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5F43" w14:textId="017AF4D1" w:rsidR="009C6C11" w:rsidRPr="009C6C11" w:rsidRDefault="009163DF" w:rsidP="00F73113">
      <w:pPr>
        <w:pStyle w:val="Title2"/>
        <w:rPr>
          <w:sz w:val="52"/>
          <w:szCs w:val="52"/>
        </w:rPr>
      </w:pPr>
      <w:r>
        <w:rPr>
          <w:sz w:val="52"/>
          <w:szCs w:val="52"/>
        </w:rPr>
        <w:t>Analysis of e</w:t>
      </w:r>
      <w:r w:rsidR="009C6C11" w:rsidRPr="009C6C11">
        <w:rPr>
          <w:sz w:val="52"/>
          <w:szCs w:val="52"/>
        </w:rPr>
        <w:t xml:space="preserve">volocumab for hypercholesterolaemia </w:t>
      </w:r>
    </w:p>
    <w:p w14:paraId="68F00614" w14:textId="28768D88" w:rsidR="00736041" w:rsidRDefault="009053D3" w:rsidP="00F73113">
      <w:pPr>
        <w:pStyle w:val="Title2"/>
      </w:pPr>
      <w:r>
        <w:t>D</w:t>
      </w:r>
      <w:r w:rsidR="00832324" w:rsidRPr="0063631C">
        <w:t xml:space="preserve">rug utilisation sub-committee </w:t>
      </w:r>
      <w:r w:rsidR="00832324">
        <w:t>(DUSC)</w:t>
      </w:r>
    </w:p>
    <w:p w14:paraId="144B204C" w14:textId="49AEC412" w:rsidR="00EB4688" w:rsidRPr="009C6C11" w:rsidRDefault="009C6C11" w:rsidP="009C6C11">
      <w:pPr>
        <w:pStyle w:val="Meetingdate"/>
      </w:pPr>
      <w:r>
        <w:t>February</w:t>
      </w:r>
      <w:r w:rsidR="00D151EB" w:rsidRPr="00F73113">
        <w:t xml:space="preserve"> 20</w:t>
      </w:r>
      <w:r>
        <w:t>23</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B9852B9" w14:textId="7C5B196E" w:rsidR="006646C0" w:rsidRDefault="006646C0" w:rsidP="006646C0">
      <w:pPr>
        <w:pStyle w:val="NoSpacing"/>
      </w:pPr>
      <w:r>
        <w:t xml:space="preserve">To review the utilisation of evolocumab for </w:t>
      </w:r>
      <w:proofErr w:type="gramStart"/>
      <w:r>
        <w:t xml:space="preserve">all </w:t>
      </w:r>
      <w:r w:rsidR="00310DA6">
        <w:t>of</w:t>
      </w:r>
      <w:proofErr w:type="gramEnd"/>
      <w:r w:rsidR="00310DA6">
        <w:t xml:space="preserve"> </w:t>
      </w:r>
      <w:r w:rsidR="00226B44">
        <w:t xml:space="preserve">its listed </w:t>
      </w:r>
      <w:r w:rsidR="0068741F">
        <w:t>Pharmaceutical Benefits Scheme (</w:t>
      </w:r>
      <w:r>
        <w:t>PBS</w:t>
      </w:r>
      <w:r w:rsidR="0068741F">
        <w:t>)</w:t>
      </w:r>
      <w:r>
        <w:t xml:space="preserve"> indications: homozygous familial </w:t>
      </w:r>
      <w:r w:rsidRPr="002C3007">
        <w:t>hypercholesterolaemia</w:t>
      </w:r>
      <w:r>
        <w:t xml:space="preserve">, heterozygous familial </w:t>
      </w:r>
      <w:r w:rsidRPr="002C3007">
        <w:t>hypercholesterolaemia</w:t>
      </w:r>
      <w:r>
        <w:t xml:space="preserve"> and non-familial </w:t>
      </w:r>
      <w:r w:rsidRPr="002C3007">
        <w:t>hypercholesterolaemia</w:t>
      </w:r>
      <w:r>
        <w:t xml:space="preserve">. </w:t>
      </w:r>
    </w:p>
    <w:p w14:paraId="03538E7F" w14:textId="0B185B23" w:rsidR="002D144A" w:rsidRDefault="002D144A" w:rsidP="00CF5E22">
      <w:pPr>
        <w:pStyle w:val="Heading3"/>
      </w:pPr>
      <w:r>
        <w:t xml:space="preserve">Date of listing on the </w:t>
      </w:r>
      <w:r w:rsidR="00A95FA5">
        <w:t>PBS</w:t>
      </w:r>
    </w:p>
    <w:p w14:paraId="300CFFD0" w14:textId="77777777" w:rsidR="009C6C11" w:rsidRPr="002D144A" w:rsidRDefault="009C6C11" w:rsidP="009C6C11">
      <w:r>
        <w:t>Evolocumab was first listed on the PBS on 1 December 2016.</w:t>
      </w:r>
    </w:p>
    <w:p w14:paraId="526743BB" w14:textId="77777777" w:rsidR="005C6661" w:rsidRDefault="005C6661" w:rsidP="00CF5E22">
      <w:pPr>
        <w:pStyle w:val="Heading3"/>
      </w:pPr>
      <w:r>
        <w:t>Data Source / methodology</w:t>
      </w:r>
    </w:p>
    <w:p w14:paraId="5E9E2FBA" w14:textId="490E8AB3" w:rsidR="005C6661" w:rsidRDefault="00033911" w:rsidP="005C6661">
      <w:pPr>
        <w:pStyle w:val="NoSpacing"/>
      </w:pPr>
      <w:r>
        <w:t xml:space="preserve">Data extracted from the PBS and Authorities databases maintained by the Department of Health and Aged Care, processed by Services Australia were used for </w:t>
      </w:r>
      <w:r w:rsidR="007C7CBB">
        <w:t xml:space="preserve">the </w:t>
      </w:r>
      <w:r>
        <w:t xml:space="preserve">analyses. </w:t>
      </w:r>
    </w:p>
    <w:p w14:paraId="0D78803C" w14:textId="77777777" w:rsidR="00710B9C" w:rsidRDefault="005C6661" w:rsidP="00710B9C">
      <w:pPr>
        <w:pStyle w:val="Heading3"/>
      </w:pPr>
      <w:r>
        <w:t>Key Findings</w:t>
      </w:r>
    </w:p>
    <w:p w14:paraId="2D59936D" w14:textId="7613E286" w:rsidR="00710B9C" w:rsidRDefault="00710B9C" w:rsidP="001D5142">
      <w:pPr>
        <w:pStyle w:val="ListParagraph"/>
        <w:numPr>
          <w:ilvl w:val="0"/>
          <w:numId w:val="19"/>
        </w:numPr>
      </w:pPr>
      <w:r>
        <w:t xml:space="preserve">In 2021, 6,119 </w:t>
      </w:r>
      <w:r w:rsidR="00BA42AD">
        <w:t xml:space="preserve">patients were treated with evolocumab and supplied 48,483 prescriptions. </w:t>
      </w:r>
    </w:p>
    <w:p w14:paraId="73E628F6" w14:textId="4F49180B" w:rsidR="00BA42AD" w:rsidRDefault="00BA42AD" w:rsidP="001D5142">
      <w:pPr>
        <w:pStyle w:val="ListParagraph"/>
        <w:numPr>
          <w:ilvl w:val="0"/>
          <w:numId w:val="19"/>
        </w:numPr>
      </w:pPr>
      <w:r>
        <w:t xml:space="preserve">There was a greater proportion of patients treated with evolocumab for non-familial </w:t>
      </w:r>
      <w:r w:rsidRPr="002C3007">
        <w:t>hypercholesterolaemia</w:t>
      </w:r>
      <w:r>
        <w:t xml:space="preserve"> compared to familial </w:t>
      </w:r>
      <w:r w:rsidRPr="002C3007">
        <w:t>hypercholesterolaemia</w:t>
      </w:r>
      <w:r>
        <w:t xml:space="preserve">. </w:t>
      </w:r>
    </w:p>
    <w:p w14:paraId="4F5FAD45" w14:textId="1FF294A6" w:rsidR="00BA42AD" w:rsidRDefault="00BA42AD" w:rsidP="001D5142">
      <w:pPr>
        <w:pStyle w:val="ListParagraph"/>
        <w:numPr>
          <w:ilvl w:val="0"/>
          <w:numId w:val="19"/>
        </w:numPr>
      </w:pPr>
      <w:r>
        <w:t xml:space="preserve">Utilisation of evolocumab for non-familial </w:t>
      </w:r>
      <w:r w:rsidRPr="002C3007">
        <w:t>hypercholesterolaemia</w:t>
      </w:r>
      <w:r>
        <w:t xml:space="preserve"> was </w:t>
      </w:r>
      <w:r w:rsidR="004113C7">
        <w:t>lower</w:t>
      </w:r>
      <w:r>
        <w:t xml:space="preserve"> than estimated. </w:t>
      </w:r>
    </w:p>
    <w:p w14:paraId="2DB74B78" w14:textId="6DCE43FD" w:rsidR="0062473B" w:rsidRDefault="0062473B" w:rsidP="001D5142">
      <w:pPr>
        <w:pStyle w:val="ListParagraph"/>
        <w:numPr>
          <w:ilvl w:val="0"/>
          <w:numId w:val="19"/>
        </w:numPr>
      </w:pPr>
      <w:r>
        <w:t xml:space="preserve">In 2021, </w:t>
      </w:r>
      <w:r w:rsidR="00CE6759">
        <w:t>80.</w:t>
      </w:r>
      <w:r w:rsidR="001E1502">
        <w:t>7</w:t>
      </w:r>
      <w:r>
        <w:t xml:space="preserve">% of patients were consistently </w:t>
      </w:r>
      <w:r w:rsidR="006C077E">
        <w:t xml:space="preserve">supplied </w:t>
      </w:r>
      <w:proofErr w:type="spellStart"/>
      <w:r w:rsidR="006C077E">
        <w:t>evolocumab</w:t>
      </w:r>
      <w:proofErr w:type="spellEnd"/>
      <w:r w:rsidR="006C077E">
        <w:t xml:space="preserve"> for </w:t>
      </w:r>
      <w:r>
        <w:t>the same indication based on</w:t>
      </w:r>
      <w:r w:rsidR="006C077E">
        <w:t xml:space="preserve"> the PBS</w:t>
      </w:r>
      <w:r>
        <w:t xml:space="preserve"> item code compared to </w:t>
      </w:r>
      <w:r w:rsidR="00CE6759">
        <w:t>70.5</w:t>
      </w:r>
      <w:r>
        <w:t xml:space="preserve">% of patients being consistently </w:t>
      </w:r>
      <w:r w:rsidR="006C077E">
        <w:t>supplied</w:t>
      </w:r>
      <w:r>
        <w:t xml:space="preserve"> </w:t>
      </w:r>
      <w:r w:rsidR="006C077E">
        <w:t>for</w:t>
      </w:r>
      <w:r>
        <w:t xml:space="preserve"> the </w:t>
      </w:r>
      <w:r w:rsidR="00562FE8">
        <w:t xml:space="preserve">same indication based on </w:t>
      </w:r>
      <w:r w:rsidR="006C077E">
        <w:t xml:space="preserve">the </w:t>
      </w:r>
      <w:r w:rsidR="00562FE8">
        <w:t xml:space="preserve">authority or streamlined code. </w:t>
      </w:r>
    </w:p>
    <w:p w14:paraId="4C2A6781" w14:textId="77777777" w:rsidR="00562FE8" w:rsidRDefault="00562FE8" w:rsidP="00E67F15">
      <w:pPr>
        <w:pStyle w:val="ListParagraph"/>
      </w:pPr>
    </w:p>
    <w:p w14:paraId="23B53F57" w14:textId="77777777" w:rsidR="00BA42AD" w:rsidRDefault="00BA42AD" w:rsidP="00BA42AD"/>
    <w:p w14:paraId="2EC9C6C6" w14:textId="77777777" w:rsidR="00710B9C" w:rsidRDefault="00710B9C">
      <w:pPr>
        <w:spacing w:line="276" w:lineRule="auto"/>
        <w:rPr>
          <w:rFonts w:eastAsiaTheme="majorEastAsia" w:cstheme="majorBidi"/>
          <w:b/>
          <w:bCs/>
          <w:sz w:val="32"/>
          <w:szCs w:val="32"/>
        </w:rPr>
      </w:pPr>
      <w:r>
        <w:br w:type="page"/>
      </w:r>
    </w:p>
    <w:p w14:paraId="5B262047" w14:textId="01E44F7B" w:rsidR="00E677DD" w:rsidRPr="00CF5E22" w:rsidRDefault="00E677DD" w:rsidP="00CF5E22">
      <w:pPr>
        <w:pStyle w:val="Heading1"/>
      </w:pPr>
      <w:r w:rsidRPr="00CF5E22">
        <w:lastRenderedPageBreak/>
        <w:t xml:space="preserve">Purpose of </w:t>
      </w:r>
      <w:r w:rsidR="00D151EB" w:rsidRPr="00CF5E22">
        <w:t>analysis</w:t>
      </w:r>
    </w:p>
    <w:p w14:paraId="7DA2D8E7" w14:textId="406CF235" w:rsidR="00006A3F" w:rsidRDefault="00006A3F" w:rsidP="00006A3F">
      <w:pPr>
        <w:pStyle w:val="NoSpacing"/>
      </w:pPr>
      <w:r>
        <w:t xml:space="preserve">To review the utilisation of evolocumab for </w:t>
      </w:r>
      <w:proofErr w:type="gramStart"/>
      <w:r>
        <w:t xml:space="preserve">all </w:t>
      </w:r>
      <w:r w:rsidR="00310DA6">
        <w:t>of</w:t>
      </w:r>
      <w:proofErr w:type="gramEnd"/>
      <w:r w:rsidR="00310DA6">
        <w:t xml:space="preserve"> its listed </w:t>
      </w:r>
      <w:r>
        <w:t xml:space="preserve">PBS indications: homozygous familial </w:t>
      </w:r>
      <w:r w:rsidRPr="002C3007">
        <w:t>hypercholesterolaemia</w:t>
      </w:r>
      <w:r>
        <w:t xml:space="preserve">,  heterozygous familial </w:t>
      </w:r>
      <w:r w:rsidRPr="002C3007">
        <w:t>hypercholesterolaemia</w:t>
      </w:r>
      <w:r>
        <w:t xml:space="preserve"> and non</w:t>
      </w:r>
      <w:r w:rsidR="0068741F">
        <w:noBreakHyphen/>
      </w:r>
      <w:r>
        <w:t xml:space="preserve">familial </w:t>
      </w:r>
      <w:r w:rsidRPr="002C3007">
        <w:t>hypercholesterolaemia</w:t>
      </w:r>
      <w:r>
        <w:t xml:space="preserve">. </w:t>
      </w:r>
    </w:p>
    <w:p w14:paraId="0A7F0B57" w14:textId="034D22D5" w:rsidR="006537D9" w:rsidRPr="005E22C2" w:rsidRDefault="00736041" w:rsidP="00CF5E22">
      <w:pPr>
        <w:pStyle w:val="Heading1"/>
      </w:pPr>
      <w:r w:rsidRPr="005E22C2">
        <w:t>Background</w:t>
      </w:r>
    </w:p>
    <w:p w14:paraId="28D94620" w14:textId="1459BAF5" w:rsidR="00103657" w:rsidRDefault="00EE2BBB" w:rsidP="009A6035">
      <w:pPr>
        <w:pStyle w:val="Heading2"/>
      </w:pPr>
      <w:r w:rsidRPr="007247B9">
        <w:t>Clinical situation</w:t>
      </w:r>
    </w:p>
    <w:p w14:paraId="118B5CC3" w14:textId="77777777" w:rsidR="00103657" w:rsidRPr="001E1502" w:rsidRDefault="00103657" w:rsidP="00103657">
      <w:pPr>
        <w:autoSpaceDE w:val="0"/>
        <w:autoSpaceDN w:val="0"/>
        <w:adjustRightInd w:val="0"/>
        <w:spacing w:after="145"/>
        <w:rPr>
          <w:rFonts w:ascii="Calibri" w:hAnsi="Calibri" w:cs="Calibri"/>
          <w:color w:val="000000"/>
        </w:rPr>
      </w:pPr>
      <w:r w:rsidRPr="001E1502">
        <w:rPr>
          <w:rFonts w:ascii="Calibri" w:hAnsi="Calibri" w:cs="Calibri"/>
          <w:color w:val="000000"/>
        </w:rPr>
        <w:t xml:space="preserve">Hypercholesterolaemia is a condition characterised by elevated serum cholesterol levels. The causes of hypercholesterolaemia can include both genetic and environmental factors (e.g. diet and lifestyle). </w:t>
      </w:r>
    </w:p>
    <w:p w14:paraId="1CD57E25" w14:textId="5FB65884" w:rsidR="00103657" w:rsidRPr="001E1502" w:rsidRDefault="00103657" w:rsidP="0028673D">
      <w:pPr>
        <w:autoSpaceDE w:val="0"/>
        <w:autoSpaceDN w:val="0"/>
        <w:adjustRightInd w:val="0"/>
        <w:spacing w:after="0"/>
        <w:rPr>
          <w:rFonts w:ascii="Calibri" w:hAnsi="Calibri" w:cs="Calibri"/>
          <w:color w:val="000000"/>
        </w:rPr>
      </w:pPr>
      <w:r w:rsidRPr="001E1502">
        <w:rPr>
          <w:rFonts w:ascii="Calibri" w:hAnsi="Calibri" w:cs="Calibri"/>
          <w:color w:val="000000"/>
        </w:rPr>
        <w:t xml:space="preserve">Hypercholesterolaemia is associated with the development of atherosclerosis and an increased incidence of myocardial infarction, stable or unstable angina, coronary revascularisation procedures, stroke, transient ischaemic attack, carotid endarterectomy and intermittent claudication of peripheral arteries. These cardiovascular events can have major impact on survival, quality of life and future risk of further cardiovascular events. </w:t>
      </w:r>
    </w:p>
    <w:p w14:paraId="3F7D4541" w14:textId="1BF86D05" w:rsidR="00103657" w:rsidRPr="001E1502" w:rsidRDefault="00103657" w:rsidP="00006A3F">
      <w:pPr>
        <w:pStyle w:val="NoSpacing"/>
      </w:pPr>
    </w:p>
    <w:p w14:paraId="7977AEEE" w14:textId="6428EAF0" w:rsidR="00006A3F" w:rsidRPr="001E1502" w:rsidRDefault="00006A3F" w:rsidP="00006A3F">
      <w:pPr>
        <w:pStyle w:val="NoSpacing"/>
      </w:pPr>
      <w:r w:rsidRPr="001E1502">
        <w:t xml:space="preserve">Familial hypercholesterolaemia (FH) is a dominantly inherited disorder present from birth that markedly elevates plasma low-density lipoprotein (LDL) cholesterol </w:t>
      </w:r>
      <w:r w:rsidR="0068741F">
        <w:t xml:space="preserve">(LDL-C) </w:t>
      </w:r>
      <w:r w:rsidRPr="001E1502">
        <w:t>and causes premature coronary heart disease.</w:t>
      </w:r>
      <w:r w:rsidRPr="001E1502">
        <w:rPr>
          <w:rStyle w:val="FootnoteReference"/>
        </w:rPr>
        <w:t xml:space="preserve"> </w:t>
      </w:r>
      <w:r w:rsidRPr="001E1502">
        <w:rPr>
          <w:rStyle w:val="FootnoteReference"/>
        </w:rPr>
        <w:footnoteReference w:id="1"/>
      </w:r>
      <w:r w:rsidRPr="001E1502">
        <w:t xml:space="preserve"> </w:t>
      </w:r>
      <w:r w:rsidR="00103657" w:rsidRPr="001E1502">
        <w:t xml:space="preserve">There are two types of FH: </w:t>
      </w:r>
    </w:p>
    <w:p w14:paraId="6603A151" w14:textId="611DE7CA" w:rsidR="00006A3F" w:rsidRPr="001E1502" w:rsidRDefault="00006A3F" w:rsidP="00006A3F">
      <w:pPr>
        <w:pStyle w:val="NoSpacing"/>
        <w:numPr>
          <w:ilvl w:val="0"/>
          <w:numId w:val="1"/>
        </w:numPr>
      </w:pPr>
      <w:r w:rsidRPr="001E1502">
        <w:t>homozygous familial hypercholesterolaemia (HoFH)</w:t>
      </w:r>
      <w:r w:rsidR="00FB49F3">
        <w:t>, and</w:t>
      </w:r>
    </w:p>
    <w:p w14:paraId="3B2D3CB9" w14:textId="1102547B" w:rsidR="00006A3F" w:rsidRPr="001E1502" w:rsidRDefault="00006A3F" w:rsidP="00006A3F">
      <w:pPr>
        <w:pStyle w:val="NoSpacing"/>
        <w:numPr>
          <w:ilvl w:val="0"/>
          <w:numId w:val="1"/>
        </w:numPr>
      </w:pPr>
      <w:r w:rsidRPr="001E1502">
        <w:t>heterozygous familial hypercholesterolaemia (HeFH)</w:t>
      </w:r>
      <w:r w:rsidR="00FB49F3">
        <w:t xml:space="preserve">. </w:t>
      </w:r>
    </w:p>
    <w:p w14:paraId="63C53F1D" w14:textId="77777777" w:rsidR="00006A3F" w:rsidRPr="001E1502" w:rsidRDefault="00006A3F" w:rsidP="00006A3F">
      <w:pPr>
        <w:pStyle w:val="NoSpacing"/>
      </w:pPr>
    </w:p>
    <w:p w14:paraId="4F751A47" w14:textId="47560C65" w:rsidR="00006A3F" w:rsidRDefault="00103657" w:rsidP="0043306D">
      <w:pPr>
        <w:pStyle w:val="NoSpacing"/>
      </w:pPr>
      <w:r>
        <w:t>N</w:t>
      </w:r>
      <w:r w:rsidR="00006A3F">
        <w:t xml:space="preserve">on-familial </w:t>
      </w:r>
      <w:r w:rsidR="00006A3F" w:rsidRPr="002C3007">
        <w:t>hypercholesterolaemia</w:t>
      </w:r>
      <w:r w:rsidR="00006A3F">
        <w:t xml:space="preserve"> (</w:t>
      </w:r>
      <w:r w:rsidR="001E1502">
        <w:t>N</w:t>
      </w:r>
      <w:r w:rsidR="00006A3F">
        <w:t>on-FH</w:t>
      </w:r>
      <w:r>
        <w:t>)</w:t>
      </w:r>
      <w:r w:rsidR="00302074">
        <w:t xml:space="preserve"> refers to elevated cholesterol levels in the absence of any specific genetic disorder. </w:t>
      </w:r>
      <w:r w:rsidR="00F73382">
        <w:t xml:space="preserve"> </w:t>
      </w:r>
    </w:p>
    <w:p w14:paraId="0183A567" w14:textId="413DF87B" w:rsidR="007247B9" w:rsidRDefault="007247B9" w:rsidP="00CF5E22">
      <w:pPr>
        <w:pStyle w:val="Heading2"/>
      </w:pPr>
      <w:r>
        <w:t>Pharmacology</w:t>
      </w:r>
    </w:p>
    <w:p w14:paraId="7A972AF8" w14:textId="2E94A057" w:rsidR="000D113C" w:rsidRDefault="000D113C" w:rsidP="000D113C">
      <w:r>
        <w:t>Evolocumab is a human monoclonal antibody that binds to proprotein convertase subtilisin/kexin type 9 (PCSK9) and inhibits circulating PCSK9 from binding to the LDL receptor on the liver cell surface, thus preventing PCSK9‐mediated LDL receptor degradation. Increasing liver LDL receptor levels results in associated reductions in serum LDL</w:t>
      </w:r>
      <w:r w:rsidR="0068741F">
        <w:t>-C</w:t>
      </w:r>
      <w:r>
        <w:t>.</w:t>
      </w:r>
      <w:r w:rsidR="00EA52A1">
        <w:rPr>
          <w:rStyle w:val="FootnoteReference"/>
        </w:rPr>
        <w:footnoteReference w:id="2"/>
      </w:r>
    </w:p>
    <w:p w14:paraId="4103F56A" w14:textId="4FEAC4D7" w:rsidR="0043306D" w:rsidRDefault="0043306D" w:rsidP="000D113C"/>
    <w:p w14:paraId="7C8E4411" w14:textId="77777777" w:rsidR="0043306D" w:rsidRPr="007247B9" w:rsidRDefault="0043306D" w:rsidP="000D113C"/>
    <w:p w14:paraId="6AC18C88" w14:textId="7A398934" w:rsidR="001420B3" w:rsidRPr="005E22C2" w:rsidRDefault="00A52918" w:rsidP="00CF5E22">
      <w:pPr>
        <w:pStyle w:val="Heading2"/>
      </w:pPr>
      <w:r w:rsidRPr="00A52918">
        <w:lastRenderedPageBreak/>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07A05BCC" w14:textId="77777777" w:rsidR="000D113C" w:rsidRDefault="000D113C" w:rsidP="000D113C">
      <w:r>
        <w:t xml:space="preserve">Evolocumab is indicated as an adjunct to diet and exercise in: </w:t>
      </w:r>
    </w:p>
    <w:p w14:paraId="7AB76911" w14:textId="77777777" w:rsidR="00C875A6" w:rsidRPr="00C875A6" w:rsidRDefault="000D113C" w:rsidP="001D5142">
      <w:pPr>
        <w:pStyle w:val="ListParagraph"/>
        <w:numPr>
          <w:ilvl w:val="0"/>
          <w:numId w:val="16"/>
        </w:numPr>
        <w:rPr>
          <w:b/>
        </w:rPr>
      </w:pPr>
      <w:r w:rsidRPr="00C875A6">
        <w:rPr>
          <w:b/>
        </w:rPr>
        <w:t>Prevention of Cardiovascular Events</w:t>
      </w:r>
      <w:r w:rsidR="00C875A6">
        <w:rPr>
          <w:b/>
        </w:rPr>
        <w:t xml:space="preserve">: </w:t>
      </w:r>
      <w:r>
        <w:t xml:space="preserve">Evolocumab is indicated to reduce the risk of cardiovascular events (myocardial infarction, stroke and coronary revascularisation) in adults with established cardiovascular disease in combination with an optimally dosed statin and/or other lipid-lowering therapies. </w:t>
      </w:r>
    </w:p>
    <w:p w14:paraId="3745CA7A" w14:textId="7500E100" w:rsidR="000D113C" w:rsidRPr="00C875A6" w:rsidRDefault="000D113C" w:rsidP="001D5142">
      <w:pPr>
        <w:pStyle w:val="ListParagraph"/>
        <w:numPr>
          <w:ilvl w:val="0"/>
          <w:numId w:val="16"/>
        </w:numPr>
        <w:rPr>
          <w:b/>
        </w:rPr>
      </w:pPr>
      <w:r w:rsidRPr="00C875A6">
        <w:rPr>
          <w:b/>
        </w:rPr>
        <w:t>Primary Hypercholesterolaemia</w:t>
      </w:r>
      <w:r w:rsidR="00C875A6">
        <w:rPr>
          <w:b/>
        </w:rPr>
        <w:t xml:space="preserve">: </w:t>
      </w:r>
      <w:r>
        <w:t xml:space="preserve">Evolocumab is indicated in adults with primary hypercholesterolaemia (including heterozygous familial hypercholesterolaemia and non-familial hypercholesterolaemia) to reduce LDL-C: </w:t>
      </w:r>
    </w:p>
    <w:p w14:paraId="6444D943" w14:textId="77777777" w:rsidR="00C875A6" w:rsidRDefault="000D113C" w:rsidP="001D5142">
      <w:pPr>
        <w:pStyle w:val="ListParagraph"/>
        <w:numPr>
          <w:ilvl w:val="0"/>
          <w:numId w:val="17"/>
        </w:numPr>
      </w:pPr>
      <w:r>
        <w:t>in combination with a statin or statin with other lipid lowering therapies, or</w:t>
      </w:r>
    </w:p>
    <w:p w14:paraId="33C3E871" w14:textId="01F9B942" w:rsidR="000D113C" w:rsidRDefault="000D113C" w:rsidP="001D5142">
      <w:pPr>
        <w:pStyle w:val="ListParagraph"/>
        <w:numPr>
          <w:ilvl w:val="0"/>
          <w:numId w:val="17"/>
        </w:numPr>
      </w:pPr>
      <w:r>
        <w:t xml:space="preserve">alone or in combination with other lipid-lowering therapies in patients who are statin-intolerant. </w:t>
      </w:r>
    </w:p>
    <w:p w14:paraId="3EA77990" w14:textId="03A042CB" w:rsidR="000D113C" w:rsidRPr="00C875A6" w:rsidRDefault="000D113C" w:rsidP="001D5142">
      <w:pPr>
        <w:pStyle w:val="ListParagraph"/>
        <w:numPr>
          <w:ilvl w:val="0"/>
          <w:numId w:val="18"/>
        </w:numPr>
        <w:rPr>
          <w:b/>
        </w:rPr>
      </w:pPr>
      <w:r w:rsidRPr="00C875A6">
        <w:rPr>
          <w:b/>
        </w:rPr>
        <w:t>Homozygous Familial Hypercholesterolaemia</w:t>
      </w:r>
      <w:r w:rsidR="00C875A6">
        <w:rPr>
          <w:b/>
        </w:rPr>
        <w:t xml:space="preserve">: </w:t>
      </w:r>
      <w:r>
        <w:t>Evolocumab is indicated in adults and adolescents aged 12 years and over with homozygous familial hypercholesterolaemia in combination with other lipid lowering therapies.</w:t>
      </w:r>
    </w:p>
    <w:p w14:paraId="15E919C1" w14:textId="1B3BA560" w:rsidR="006B709B" w:rsidRDefault="006B709B" w:rsidP="00CF5E22">
      <w:pPr>
        <w:pStyle w:val="Heading2"/>
      </w:pPr>
      <w:r>
        <w:t>Dosage and administration</w:t>
      </w:r>
    </w:p>
    <w:p w14:paraId="6D30CA9E" w14:textId="12D297CF" w:rsidR="000D113C" w:rsidRDefault="000D113C" w:rsidP="000D113C">
      <w:pPr>
        <w:pStyle w:val="Notes"/>
        <w:rPr>
          <w:rFonts w:cstheme="minorBidi"/>
          <w:sz w:val="24"/>
          <w:szCs w:val="24"/>
        </w:rPr>
      </w:pPr>
      <w:r>
        <w:rPr>
          <w:rFonts w:cstheme="minorBidi"/>
          <w:sz w:val="24"/>
          <w:szCs w:val="24"/>
        </w:rPr>
        <w:t>Evolocumab is administered subcutaneou</w:t>
      </w:r>
      <w:r w:rsidR="00001814">
        <w:rPr>
          <w:rFonts w:cstheme="minorBidi"/>
          <w:sz w:val="24"/>
          <w:szCs w:val="24"/>
        </w:rPr>
        <w:t>sly</w:t>
      </w:r>
      <w:r w:rsidR="00EA52A1">
        <w:rPr>
          <w:rFonts w:cstheme="minorBidi"/>
          <w:sz w:val="24"/>
          <w:szCs w:val="24"/>
        </w:rPr>
        <w:t xml:space="preserve">. </w:t>
      </w:r>
    </w:p>
    <w:p w14:paraId="03D9F60E" w14:textId="77777777" w:rsidR="000D113C" w:rsidRPr="00655F19" w:rsidRDefault="000D113C" w:rsidP="0053219F">
      <w:pPr>
        <w:pStyle w:val="Tabletitle"/>
        <w:spacing w:before="200"/>
      </w:pPr>
      <w:r>
        <w:t>Table 1: Dosage and administration of evolocumab</w:t>
      </w:r>
    </w:p>
    <w:tbl>
      <w:tblPr>
        <w:tblStyle w:val="TableGrid"/>
        <w:tblW w:w="0" w:type="auto"/>
        <w:tblLook w:val="04A0" w:firstRow="1" w:lastRow="0" w:firstColumn="1" w:lastColumn="0" w:noHBand="0" w:noVBand="1"/>
      </w:tblPr>
      <w:tblGrid>
        <w:gridCol w:w="2109"/>
        <w:gridCol w:w="3415"/>
        <w:gridCol w:w="3423"/>
      </w:tblGrid>
      <w:tr w:rsidR="000D113C" w:rsidRPr="00AD52AE" w14:paraId="643BC100" w14:textId="77777777" w:rsidTr="000C6B24">
        <w:tc>
          <w:tcPr>
            <w:tcW w:w="2109" w:type="dxa"/>
            <w:shd w:val="clear" w:color="auto" w:fill="BFBFBF" w:themeFill="background1" w:themeFillShade="BF"/>
          </w:tcPr>
          <w:p w14:paraId="5BC124DE" w14:textId="77777777" w:rsidR="000D113C" w:rsidRPr="00AD52AE" w:rsidRDefault="000D113C" w:rsidP="0053219F">
            <w:pPr>
              <w:spacing w:before="60" w:after="60"/>
              <w:rPr>
                <w:b/>
                <w:sz w:val="20"/>
                <w:szCs w:val="20"/>
              </w:rPr>
            </w:pPr>
            <w:r w:rsidRPr="00AD52AE">
              <w:rPr>
                <w:b/>
                <w:sz w:val="20"/>
                <w:szCs w:val="20"/>
              </w:rPr>
              <w:t>Indication</w:t>
            </w:r>
          </w:p>
        </w:tc>
        <w:tc>
          <w:tcPr>
            <w:tcW w:w="3415" w:type="dxa"/>
            <w:shd w:val="clear" w:color="auto" w:fill="BFBFBF" w:themeFill="background1" w:themeFillShade="BF"/>
          </w:tcPr>
          <w:p w14:paraId="1BB031D1" w14:textId="77777777" w:rsidR="000D113C" w:rsidRPr="00AD52AE" w:rsidRDefault="000D113C" w:rsidP="0053219F">
            <w:pPr>
              <w:spacing w:before="60" w:after="60"/>
              <w:rPr>
                <w:b/>
                <w:sz w:val="20"/>
                <w:szCs w:val="20"/>
              </w:rPr>
            </w:pPr>
            <w:r w:rsidRPr="00AD52AE">
              <w:rPr>
                <w:b/>
                <w:sz w:val="20"/>
                <w:szCs w:val="20"/>
              </w:rPr>
              <w:t>Recommended Dosage and Frequency</w:t>
            </w:r>
          </w:p>
        </w:tc>
        <w:tc>
          <w:tcPr>
            <w:tcW w:w="3423" w:type="dxa"/>
            <w:shd w:val="clear" w:color="auto" w:fill="BFBFBF" w:themeFill="background1" w:themeFillShade="BF"/>
          </w:tcPr>
          <w:p w14:paraId="5173D83F" w14:textId="77777777" w:rsidR="000D113C" w:rsidRPr="00AD52AE" w:rsidRDefault="000D113C" w:rsidP="0053219F">
            <w:pPr>
              <w:spacing w:before="60" w:after="60"/>
              <w:rPr>
                <w:b/>
                <w:sz w:val="20"/>
                <w:szCs w:val="20"/>
              </w:rPr>
            </w:pPr>
            <w:r w:rsidRPr="00AD52AE">
              <w:rPr>
                <w:b/>
                <w:sz w:val="20"/>
                <w:szCs w:val="20"/>
              </w:rPr>
              <w:t>Method of Administration</w:t>
            </w:r>
          </w:p>
        </w:tc>
      </w:tr>
      <w:tr w:rsidR="000D113C" w:rsidRPr="00AD52AE" w14:paraId="0C43C511" w14:textId="77777777" w:rsidTr="000C6B24">
        <w:tc>
          <w:tcPr>
            <w:tcW w:w="2109" w:type="dxa"/>
            <w:vMerge w:val="restart"/>
          </w:tcPr>
          <w:p w14:paraId="63680E37" w14:textId="77777777" w:rsidR="000D113C" w:rsidRPr="00AD52AE" w:rsidRDefault="000D113C" w:rsidP="0053219F">
            <w:pPr>
              <w:spacing w:before="60" w:after="60"/>
              <w:rPr>
                <w:sz w:val="20"/>
                <w:szCs w:val="20"/>
              </w:rPr>
            </w:pPr>
            <w:r w:rsidRPr="00AD52AE">
              <w:rPr>
                <w:sz w:val="20"/>
                <w:szCs w:val="20"/>
              </w:rPr>
              <w:t>Primary Hypercholesterolaemia and Prevention of Cardiovascular Events</w:t>
            </w:r>
          </w:p>
        </w:tc>
        <w:tc>
          <w:tcPr>
            <w:tcW w:w="3415" w:type="dxa"/>
          </w:tcPr>
          <w:p w14:paraId="29F63F6E" w14:textId="77777777" w:rsidR="000D113C" w:rsidRPr="00AD52AE" w:rsidRDefault="000D113C" w:rsidP="0053219F">
            <w:pPr>
              <w:spacing w:before="60" w:after="60"/>
              <w:rPr>
                <w:sz w:val="20"/>
                <w:szCs w:val="20"/>
              </w:rPr>
            </w:pPr>
            <w:r w:rsidRPr="00AD52AE">
              <w:rPr>
                <w:sz w:val="20"/>
                <w:szCs w:val="20"/>
              </w:rPr>
              <w:t>140 mg every 2 weeks</w:t>
            </w:r>
          </w:p>
        </w:tc>
        <w:tc>
          <w:tcPr>
            <w:tcW w:w="3423" w:type="dxa"/>
          </w:tcPr>
          <w:p w14:paraId="66EC2491" w14:textId="77777777" w:rsidR="000D113C" w:rsidRPr="00AD52AE" w:rsidRDefault="000D113C" w:rsidP="0053219F">
            <w:pPr>
              <w:spacing w:before="60" w:after="60"/>
              <w:rPr>
                <w:sz w:val="20"/>
                <w:szCs w:val="20"/>
              </w:rPr>
            </w:pPr>
            <w:r w:rsidRPr="00AD52AE">
              <w:rPr>
                <w:sz w:val="20"/>
                <w:szCs w:val="20"/>
              </w:rPr>
              <w:t xml:space="preserve">One single-use pre-filled pen </w:t>
            </w:r>
          </w:p>
        </w:tc>
      </w:tr>
      <w:tr w:rsidR="000D113C" w:rsidRPr="00AD52AE" w14:paraId="6C3E860C" w14:textId="77777777" w:rsidTr="000C6B24">
        <w:tc>
          <w:tcPr>
            <w:tcW w:w="2109" w:type="dxa"/>
            <w:vMerge/>
          </w:tcPr>
          <w:p w14:paraId="1EEBD05B" w14:textId="77777777" w:rsidR="000D113C" w:rsidRPr="00AD52AE" w:rsidRDefault="000D113C" w:rsidP="0053219F">
            <w:pPr>
              <w:spacing w:before="60" w:after="60"/>
              <w:rPr>
                <w:sz w:val="20"/>
                <w:szCs w:val="20"/>
              </w:rPr>
            </w:pPr>
          </w:p>
        </w:tc>
        <w:tc>
          <w:tcPr>
            <w:tcW w:w="3415" w:type="dxa"/>
          </w:tcPr>
          <w:p w14:paraId="57A4E8DB" w14:textId="77777777" w:rsidR="000D113C" w:rsidRPr="00AD52AE" w:rsidRDefault="000D113C" w:rsidP="0053219F">
            <w:pPr>
              <w:spacing w:before="60" w:after="60"/>
              <w:rPr>
                <w:sz w:val="20"/>
                <w:szCs w:val="20"/>
              </w:rPr>
            </w:pPr>
            <w:r w:rsidRPr="00AD52AE">
              <w:rPr>
                <w:sz w:val="20"/>
                <w:szCs w:val="20"/>
              </w:rPr>
              <w:t>420 mg once monthly</w:t>
            </w:r>
          </w:p>
        </w:tc>
        <w:tc>
          <w:tcPr>
            <w:tcW w:w="3423" w:type="dxa"/>
          </w:tcPr>
          <w:p w14:paraId="6C86036E" w14:textId="77777777" w:rsidR="000D113C" w:rsidRPr="00AD52AE" w:rsidRDefault="000D113C" w:rsidP="0053219F">
            <w:pPr>
              <w:spacing w:before="60" w:after="60"/>
              <w:rPr>
                <w:sz w:val="20"/>
                <w:szCs w:val="20"/>
              </w:rPr>
            </w:pPr>
            <w:r w:rsidRPr="00AD52AE">
              <w:rPr>
                <w:sz w:val="20"/>
                <w:szCs w:val="20"/>
              </w:rPr>
              <w:t xml:space="preserve">One single-use automated mini-doser (AMD) with 3.5 mL pre-filled cartridge or Three single-use pre-filled </w:t>
            </w:r>
            <w:r>
              <w:rPr>
                <w:sz w:val="20"/>
                <w:szCs w:val="20"/>
              </w:rPr>
              <w:t xml:space="preserve">pens </w:t>
            </w:r>
            <w:r w:rsidRPr="00AD52AE">
              <w:rPr>
                <w:sz w:val="20"/>
                <w:szCs w:val="20"/>
              </w:rPr>
              <w:t>administered consecutively within 30 minutes</w:t>
            </w:r>
          </w:p>
        </w:tc>
      </w:tr>
      <w:tr w:rsidR="000D113C" w:rsidRPr="00AD52AE" w14:paraId="7D338A4D" w14:textId="77777777" w:rsidTr="000C6B24">
        <w:tc>
          <w:tcPr>
            <w:tcW w:w="2109" w:type="dxa"/>
          </w:tcPr>
          <w:p w14:paraId="35A97A90" w14:textId="77777777" w:rsidR="000D113C" w:rsidRPr="00AD52AE" w:rsidRDefault="000D113C" w:rsidP="0053219F">
            <w:pPr>
              <w:spacing w:before="60" w:after="60"/>
              <w:rPr>
                <w:sz w:val="20"/>
                <w:szCs w:val="20"/>
              </w:rPr>
            </w:pPr>
            <w:r w:rsidRPr="00AD52AE">
              <w:rPr>
                <w:sz w:val="20"/>
                <w:szCs w:val="20"/>
              </w:rPr>
              <w:t>Homozygous Familial Hypercholesterolaemia</w:t>
            </w:r>
          </w:p>
        </w:tc>
        <w:tc>
          <w:tcPr>
            <w:tcW w:w="3415" w:type="dxa"/>
          </w:tcPr>
          <w:p w14:paraId="41CFB80F" w14:textId="77777777" w:rsidR="000D113C" w:rsidRPr="00AD52AE" w:rsidRDefault="000D113C" w:rsidP="0053219F">
            <w:pPr>
              <w:spacing w:before="60" w:after="60"/>
              <w:rPr>
                <w:sz w:val="20"/>
                <w:szCs w:val="20"/>
              </w:rPr>
            </w:pPr>
            <w:r w:rsidRPr="00AD52AE">
              <w:rPr>
                <w:sz w:val="20"/>
                <w:szCs w:val="20"/>
              </w:rPr>
              <w:t>Initial dose is 420 mg once monthly. The dose can be increased to 420 mg every 2 weeks if a clinical meaningful response is not achieved in 12 weeks. Patients on apheresis may initiate treatment with 420 mg every 2 weeks to correspond with apheresis schedule.</w:t>
            </w:r>
          </w:p>
        </w:tc>
        <w:tc>
          <w:tcPr>
            <w:tcW w:w="3423" w:type="dxa"/>
          </w:tcPr>
          <w:p w14:paraId="58D4F7CE" w14:textId="77777777" w:rsidR="000D113C" w:rsidRPr="00AD52AE" w:rsidRDefault="000D113C" w:rsidP="0053219F">
            <w:pPr>
              <w:spacing w:before="60" w:after="60"/>
              <w:rPr>
                <w:sz w:val="20"/>
                <w:szCs w:val="20"/>
              </w:rPr>
            </w:pPr>
            <w:r w:rsidRPr="00AD52AE">
              <w:rPr>
                <w:sz w:val="20"/>
                <w:szCs w:val="20"/>
              </w:rPr>
              <w:t>One single-use automated mini-doser (AMD) with 3.5 mL pre-filled cartridge or Th</w:t>
            </w:r>
            <w:r>
              <w:rPr>
                <w:sz w:val="20"/>
                <w:szCs w:val="20"/>
              </w:rPr>
              <w:t xml:space="preserve">ree single-use pre-filled pens </w:t>
            </w:r>
            <w:r w:rsidRPr="00AD52AE">
              <w:rPr>
                <w:sz w:val="20"/>
                <w:szCs w:val="20"/>
              </w:rPr>
              <w:t>administered consecutively within 30 minutes</w:t>
            </w:r>
          </w:p>
        </w:tc>
      </w:tr>
    </w:tbl>
    <w:p w14:paraId="1C82CA4E" w14:textId="77777777" w:rsidR="00001814" w:rsidRDefault="00001814" w:rsidP="00F17D4B"/>
    <w:p w14:paraId="6682A05C" w14:textId="78D649D1" w:rsidR="00F17D4B"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FDACAB0" w14:textId="179EB435" w:rsidR="0043306D" w:rsidRDefault="0043306D" w:rsidP="00F17D4B"/>
    <w:p w14:paraId="222CE097" w14:textId="77777777" w:rsidR="0043306D" w:rsidRPr="002F61CA" w:rsidRDefault="0043306D" w:rsidP="00F17D4B"/>
    <w:p w14:paraId="46E2BB42" w14:textId="2E62C796" w:rsidR="00DF0B13" w:rsidRPr="007247B9" w:rsidDel="00EE2BBB" w:rsidRDefault="00DF0B13" w:rsidP="00257FD9">
      <w:pPr>
        <w:pStyle w:val="Heading2"/>
        <w:keepNext/>
      </w:pPr>
      <w:r w:rsidRPr="007247B9" w:rsidDel="00EE2BBB">
        <w:lastRenderedPageBreak/>
        <w:t>PBS listing details</w:t>
      </w:r>
      <w:r w:rsidR="00D151EB" w:rsidDel="00EE2BBB">
        <w:t xml:space="preserve"> (as </w:t>
      </w:r>
      <w:proofErr w:type="gramStart"/>
      <w:r w:rsidR="00D151EB" w:rsidDel="00EE2BBB">
        <w:t>at</w:t>
      </w:r>
      <w:proofErr w:type="gramEnd"/>
      <w:r w:rsidR="00D151EB" w:rsidDel="00EE2BBB">
        <w:t xml:space="preserve"> </w:t>
      </w:r>
      <w:r w:rsidR="006C077E">
        <w:t>Decem</w:t>
      </w:r>
      <w:r w:rsidR="00247FF7">
        <w:t>b</w:t>
      </w:r>
      <w:r w:rsidR="00CF7E29">
        <w:t xml:space="preserve">er 2022) </w:t>
      </w:r>
    </w:p>
    <w:p w14:paraId="1D47784A" w14:textId="43F2C0E4" w:rsidR="001420B3" w:rsidRPr="001420B3" w:rsidDel="00EE2BBB" w:rsidRDefault="001420B3" w:rsidP="00EF66E9">
      <w:pPr>
        <w:pStyle w:val="Tabletitle"/>
        <w:spacing w:before="200"/>
      </w:pPr>
      <w:r w:rsidRPr="001420B3" w:rsidDel="00EE2BBB">
        <w:t xml:space="preserve">Table </w:t>
      </w:r>
      <w:r w:rsidR="00E572AF">
        <w:t>2</w:t>
      </w:r>
      <w:r w:rsidRPr="001420B3" w:rsidDel="00EE2BBB">
        <w:t xml:space="preserve">: </w:t>
      </w:r>
      <w:r w:rsidR="009663B6" w:rsidDel="00EE2BBB">
        <w:t>PB</w:t>
      </w:r>
      <w:r w:rsidR="00D151EB" w:rsidDel="00EE2BBB">
        <w:t xml:space="preserve">S listing of </w:t>
      </w:r>
      <w:r w:rsidR="00DD66D6">
        <w:t xml:space="preserve">evolocumab for familial </w:t>
      </w:r>
      <w:r w:rsidR="00CF7E29">
        <w:t>homozygous hypercholesterolaemia</w:t>
      </w:r>
    </w:p>
    <w:tbl>
      <w:tblPr>
        <w:tblStyle w:val="TableGrid"/>
        <w:tblW w:w="9064" w:type="dxa"/>
        <w:tblLayout w:type="fixed"/>
        <w:tblLook w:val="04A0" w:firstRow="1" w:lastRow="0" w:firstColumn="1" w:lastColumn="0" w:noHBand="0" w:noVBand="1"/>
      </w:tblPr>
      <w:tblGrid>
        <w:gridCol w:w="846"/>
        <w:gridCol w:w="3969"/>
        <w:gridCol w:w="850"/>
        <w:gridCol w:w="709"/>
        <w:gridCol w:w="992"/>
        <w:gridCol w:w="1698"/>
      </w:tblGrid>
      <w:tr w:rsidR="0093111F" w:rsidRPr="00A35800" w:rsidDel="00EE2BBB" w14:paraId="6AA19A37" w14:textId="77B518AD" w:rsidTr="00F40812">
        <w:trPr>
          <w:trHeight w:val="138"/>
          <w:tblHeader/>
        </w:trPr>
        <w:tc>
          <w:tcPr>
            <w:tcW w:w="846" w:type="dxa"/>
            <w:shd w:val="clear" w:color="auto" w:fill="BFBFBF" w:themeFill="background1" w:themeFillShade="BF"/>
          </w:tcPr>
          <w:p w14:paraId="56A3DEA0" w14:textId="0D63AE01" w:rsidR="0093111F" w:rsidRPr="00A35800" w:rsidDel="00EE2BBB" w:rsidRDefault="0093111F" w:rsidP="00A35800">
            <w:pPr>
              <w:pStyle w:val="Tableheading"/>
              <w:rPr>
                <w:sz w:val="20"/>
                <w:szCs w:val="20"/>
              </w:rPr>
            </w:pPr>
            <w:r w:rsidRPr="00A35800" w:rsidDel="00EE2BBB">
              <w:rPr>
                <w:sz w:val="20"/>
                <w:szCs w:val="20"/>
              </w:rPr>
              <w:t>Item</w:t>
            </w:r>
            <w:r w:rsidR="00AE12A8">
              <w:rPr>
                <w:sz w:val="20"/>
                <w:szCs w:val="20"/>
              </w:rPr>
              <w:t xml:space="preserve"> code</w:t>
            </w:r>
          </w:p>
        </w:tc>
        <w:tc>
          <w:tcPr>
            <w:tcW w:w="3969"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850"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709"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r w:rsidRPr="00A35800" w:rsidDel="00EE2BBB">
              <w:rPr>
                <w:sz w:val="20"/>
                <w:szCs w:val="20"/>
              </w:rPr>
              <w:t xml:space="preserve">Rpts </w:t>
            </w:r>
          </w:p>
        </w:tc>
        <w:tc>
          <w:tcPr>
            <w:tcW w:w="992"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1698"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DD66D6" w:rsidRPr="00A35800" w:rsidDel="00EE2BBB" w14:paraId="2AF9D84B" w14:textId="0D323411" w:rsidTr="00F40812">
        <w:trPr>
          <w:trHeight w:val="552"/>
          <w:tblHeader/>
        </w:trPr>
        <w:tc>
          <w:tcPr>
            <w:tcW w:w="846" w:type="dxa"/>
            <w:shd w:val="clear" w:color="auto" w:fill="auto"/>
          </w:tcPr>
          <w:p w14:paraId="0A3E3442" w14:textId="29546983" w:rsidR="00DD66D6" w:rsidRPr="00A35800" w:rsidDel="00EE2BBB" w:rsidRDefault="00DD66D6" w:rsidP="00FC3408">
            <w:pPr>
              <w:pStyle w:val="Tablewriting"/>
              <w:jc w:val="center"/>
            </w:pPr>
            <w:r>
              <w:t>10958R</w:t>
            </w:r>
          </w:p>
        </w:tc>
        <w:tc>
          <w:tcPr>
            <w:tcW w:w="3969" w:type="dxa"/>
            <w:shd w:val="clear" w:color="auto" w:fill="auto"/>
          </w:tcPr>
          <w:p w14:paraId="0F676F51" w14:textId="6FE0A1C9" w:rsidR="00DD66D6" w:rsidRPr="00A35800" w:rsidDel="00EE2BBB" w:rsidRDefault="00B352BC" w:rsidP="00DD66D6">
            <w:pPr>
              <w:pStyle w:val="Tablewriting"/>
            </w:pPr>
            <w:r>
              <w:t xml:space="preserve">evolocumab </w:t>
            </w:r>
            <w:r w:rsidR="00DD66D6">
              <w:t xml:space="preserve">140 mg/mL injection, 1 mL pen device </w:t>
            </w:r>
          </w:p>
        </w:tc>
        <w:tc>
          <w:tcPr>
            <w:tcW w:w="850" w:type="dxa"/>
            <w:shd w:val="clear" w:color="auto" w:fill="auto"/>
          </w:tcPr>
          <w:p w14:paraId="0E2637C4" w14:textId="5FB31EC6" w:rsidR="00DD66D6" w:rsidRPr="00A35800" w:rsidDel="00EE2BBB" w:rsidRDefault="00DD66D6" w:rsidP="00DD66D6">
            <w:pPr>
              <w:pStyle w:val="Tablewriting"/>
              <w:jc w:val="center"/>
            </w:pPr>
            <w:r>
              <w:t>3</w:t>
            </w:r>
          </w:p>
        </w:tc>
        <w:tc>
          <w:tcPr>
            <w:tcW w:w="709" w:type="dxa"/>
            <w:shd w:val="clear" w:color="auto" w:fill="auto"/>
          </w:tcPr>
          <w:p w14:paraId="6B361CAA" w14:textId="75B08AC9" w:rsidR="00DD66D6" w:rsidRPr="00A35800" w:rsidDel="00EE2BBB" w:rsidRDefault="00DD66D6" w:rsidP="00DD66D6">
            <w:pPr>
              <w:pStyle w:val="Tablewriting"/>
              <w:jc w:val="center"/>
            </w:pPr>
            <w:r>
              <w:t>5</w:t>
            </w:r>
          </w:p>
        </w:tc>
        <w:tc>
          <w:tcPr>
            <w:tcW w:w="992" w:type="dxa"/>
            <w:shd w:val="clear" w:color="auto" w:fill="auto"/>
          </w:tcPr>
          <w:p w14:paraId="15F68405" w14:textId="189C0718" w:rsidR="00DD66D6" w:rsidRPr="00A35800" w:rsidDel="00EE2BBB" w:rsidRDefault="00DD66D6" w:rsidP="00AE12A8">
            <w:pPr>
              <w:pStyle w:val="Tablewriting"/>
              <w:jc w:val="center"/>
            </w:pPr>
            <w:r>
              <w:t>$</w:t>
            </w:r>
            <w:r w:rsidR="00247FF7">
              <w:t>503.33</w:t>
            </w:r>
          </w:p>
        </w:tc>
        <w:tc>
          <w:tcPr>
            <w:tcW w:w="1698" w:type="dxa"/>
            <w:shd w:val="clear" w:color="auto" w:fill="auto"/>
          </w:tcPr>
          <w:p w14:paraId="3C4CEFB9" w14:textId="77777777" w:rsidR="00DD66D6" w:rsidRDefault="00DD66D6" w:rsidP="00DD66D6">
            <w:pPr>
              <w:pStyle w:val="Tablewriting"/>
            </w:pPr>
            <w:r>
              <w:t>Reptha®</w:t>
            </w:r>
          </w:p>
          <w:p w14:paraId="2D337AC6" w14:textId="6E956B23" w:rsidR="00DD66D6" w:rsidRPr="00A35800" w:rsidDel="00EE2BBB" w:rsidRDefault="00DD66D6" w:rsidP="00DD66D6">
            <w:pPr>
              <w:pStyle w:val="Tablewriting"/>
            </w:pPr>
            <w:r>
              <w:t>Amgen Australia Pty Limited</w:t>
            </w:r>
          </w:p>
        </w:tc>
      </w:tr>
      <w:tr w:rsidR="00DD66D6" w:rsidRPr="00A35800" w:rsidDel="00EE2BBB" w14:paraId="5A26F6DA" w14:textId="5F9D4936" w:rsidTr="00F40812">
        <w:trPr>
          <w:trHeight w:val="546"/>
          <w:tblHeader/>
        </w:trPr>
        <w:tc>
          <w:tcPr>
            <w:tcW w:w="846" w:type="dxa"/>
            <w:shd w:val="clear" w:color="auto" w:fill="auto"/>
          </w:tcPr>
          <w:p w14:paraId="76F26606" w14:textId="13C3DA4A" w:rsidR="00DD66D6" w:rsidRPr="00A35800" w:rsidDel="00EE2BBB" w:rsidRDefault="00DD66D6" w:rsidP="00FC3408">
            <w:pPr>
              <w:pStyle w:val="Tablewriting"/>
              <w:jc w:val="center"/>
            </w:pPr>
            <w:r>
              <w:t>11193D</w:t>
            </w:r>
          </w:p>
        </w:tc>
        <w:tc>
          <w:tcPr>
            <w:tcW w:w="3969" w:type="dxa"/>
            <w:shd w:val="clear" w:color="auto" w:fill="auto"/>
          </w:tcPr>
          <w:p w14:paraId="4C40F7E7" w14:textId="2DEB4493" w:rsidR="00DD66D6" w:rsidRPr="00A35800" w:rsidDel="00EE2BBB" w:rsidRDefault="00B352BC" w:rsidP="00DD66D6">
            <w:pPr>
              <w:pStyle w:val="Tablewriting"/>
            </w:pPr>
            <w:r>
              <w:t xml:space="preserve">evolocumab </w:t>
            </w:r>
            <w:r w:rsidR="00DD66D6">
              <w:t xml:space="preserve">420 mg/3.5 mL injection, 3.5 mL cartridge </w:t>
            </w:r>
          </w:p>
        </w:tc>
        <w:tc>
          <w:tcPr>
            <w:tcW w:w="850" w:type="dxa"/>
            <w:shd w:val="clear" w:color="auto" w:fill="auto"/>
          </w:tcPr>
          <w:p w14:paraId="73733F58" w14:textId="3BF4D84B" w:rsidR="00DD66D6" w:rsidRPr="00A35800" w:rsidDel="00EE2BBB" w:rsidRDefault="00DD66D6" w:rsidP="00DD66D6">
            <w:pPr>
              <w:pStyle w:val="Tablewriting"/>
              <w:jc w:val="center"/>
            </w:pPr>
            <w:r>
              <w:t>1</w:t>
            </w:r>
          </w:p>
        </w:tc>
        <w:tc>
          <w:tcPr>
            <w:tcW w:w="709" w:type="dxa"/>
            <w:shd w:val="clear" w:color="auto" w:fill="auto"/>
          </w:tcPr>
          <w:p w14:paraId="2751F86C" w14:textId="3B1A99A7" w:rsidR="00DD66D6" w:rsidRPr="00A35800" w:rsidDel="00EE2BBB" w:rsidRDefault="00DD66D6" w:rsidP="00DD66D6">
            <w:pPr>
              <w:pStyle w:val="Tablewriting"/>
              <w:jc w:val="center"/>
            </w:pPr>
            <w:r>
              <w:t>5</w:t>
            </w:r>
          </w:p>
        </w:tc>
        <w:tc>
          <w:tcPr>
            <w:tcW w:w="992" w:type="dxa"/>
            <w:shd w:val="clear" w:color="auto" w:fill="auto"/>
          </w:tcPr>
          <w:p w14:paraId="0EB41EFB" w14:textId="6D33521F" w:rsidR="00DD66D6" w:rsidRPr="00A35800" w:rsidDel="00EE2BBB" w:rsidRDefault="00DD66D6" w:rsidP="00AE12A8">
            <w:pPr>
              <w:pStyle w:val="Tablewriting"/>
              <w:jc w:val="center"/>
            </w:pPr>
            <w:r>
              <w:t>$</w:t>
            </w:r>
            <w:r w:rsidR="00247FF7">
              <w:t>365.36</w:t>
            </w:r>
          </w:p>
        </w:tc>
        <w:tc>
          <w:tcPr>
            <w:tcW w:w="1698" w:type="dxa"/>
            <w:shd w:val="clear" w:color="auto" w:fill="auto"/>
          </w:tcPr>
          <w:p w14:paraId="753C233C" w14:textId="77777777" w:rsidR="00DD66D6" w:rsidRDefault="00DD66D6" w:rsidP="00DD66D6">
            <w:pPr>
              <w:pStyle w:val="Tablewriting"/>
            </w:pPr>
            <w:r>
              <w:t>Reptha®</w:t>
            </w:r>
          </w:p>
          <w:p w14:paraId="2F152B32" w14:textId="1F20A903" w:rsidR="00DD66D6" w:rsidRPr="00A35800" w:rsidDel="00EE2BBB" w:rsidRDefault="00DD66D6" w:rsidP="00DD66D6">
            <w:pPr>
              <w:pStyle w:val="Tablewriting"/>
            </w:pPr>
            <w:r>
              <w:t>Amgen Australia Pty Limited</w:t>
            </w:r>
          </w:p>
        </w:tc>
      </w:tr>
      <w:tr w:rsidR="00DD66D6" w:rsidRPr="00A35800" w:rsidDel="00EE2BBB" w14:paraId="3DAC546E" w14:textId="77777777" w:rsidTr="00F40812">
        <w:trPr>
          <w:trHeight w:val="546"/>
          <w:tblHeader/>
        </w:trPr>
        <w:tc>
          <w:tcPr>
            <w:tcW w:w="846" w:type="dxa"/>
            <w:shd w:val="clear" w:color="auto" w:fill="auto"/>
          </w:tcPr>
          <w:p w14:paraId="5649E2C1" w14:textId="172FD8E7" w:rsidR="00DD66D6" w:rsidRDefault="00DD66D6" w:rsidP="00FC3408">
            <w:pPr>
              <w:pStyle w:val="Tablewriting"/>
              <w:jc w:val="center"/>
            </w:pPr>
            <w:r>
              <w:t>11977J</w:t>
            </w:r>
          </w:p>
        </w:tc>
        <w:tc>
          <w:tcPr>
            <w:tcW w:w="3969" w:type="dxa"/>
            <w:shd w:val="clear" w:color="auto" w:fill="auto"/>
          </w:tcPr>
          <w:p w14:paraId="6B8CE173" w14:textId="1EC6A0B0" w:rsidR="00DD66D6" w:rsidRDefault="00B352BC" w:rsidP="00DD66D6">
            <w:pPr>
              <w:pStyle w:val="Tablewriting"/>
            </w:pPr>
            <w:r>
              <w:t xml:space="preserve">evolocumab </w:t>
            </w:r>
            <w:r w:rsidR="00DD66D6">
              <w:t>140 mg/mL injection, 1 mL pen device</w:t>
            </w:r>
          </w:p>
        </w:tc>
        <w:tc>
          <w:tcPr>
            <w:tcW w:w="850" w:type="dxa"/>
            <w:shd w:val="clear" w:color="auto" w:fill="auto"/>
          </w:tcPr>
          <w:p w14:paraId="16B1E2BB" w14:textId="33D8F125" w:rsidR="00DD66D6" w:rsidRDefault="00DD66D6" w:rsidP="00DD66D6">
            <w:pPr>
              <w:pStyle w:val="Tablewriting"/>
              <w:jc w:val="center"/>
            </w:pPr>
            <w:r>
              <w:t>3</w:t>
            </w:r>
          </w:p>
        </w:tc>
        <w:tc>
          <w:tcPr>
            <w:tcW w:w="709" w:type="dxa"/>
            <w:shd w:val="clear" w:color="auto" w:fill="auto"/>
          </w:tcPr>
          <w:p w14:paraId="4153CD6A" w14:textId="24A7E22C" w:rsidR="00DD66D6" w:rsidRDefault="00DD66D6" w:rsidP="00DD66D6">
            <w:pPr>
              <w:pStyle w:val="Tablewriting"/>
              <w:jc w:val="center"/>
            </w:pPr>
            <w:r>
              <w:t>5</w:t>
            </w:r>
          </w:p>
        </w:tc>
        <w:tc>
          <w:tcPr>
            <w:tcW w:w="992" w:type="dxa"/>
            <w:shd w:val="clear" w:color="auto" w:fill="auto"/>
          </w:tcPr>
          <w:p w14:paraId="46FC3F2A" w14:textId="7A30198E" w:rsidR="00DD66D6" w:rsidRDefault="00DD66D6" w:rsidP="00AE12A8">
            <w:pPr>
              <w:pStyle w:val="Tablewriting"/>
              <w:jc w:val="center"/>
            </w:pPr>
            <w:r>
              <w:t>$</w:t>
            </w:r>
            <w:r w:rsidR="00247FF7">
              <w:t>503.33</w:t>
            </w:r>
          </w:p>
        </w:tc>
        <w:tc>
          <w:tcPr>
            <w:tcW w:w="1698" w:type="dxa"/>
            <w:shd w:val="clear" w:color="auto" w:fill="auto"/>
          </w:tcPr>
          <w:p w14:paraId="4300A770" w14:textId="77777777" w:rsidR="00DD66D6" w:rsidRDefault="00DD66D6" w:rsidP="00DD66D6">
            <w:pPr>
              <w:pStyle w:val="Tablewriting"/>
            </w:pPr>
            <w:r>
              <w:t>Reptha®</w:t>
            </w:r>
          </w:p>
          <w:p w14:paraId="560FF810" w14:textId="0B245B3E" w:rsidR="00DD66D6" w:rsidRPr="00A35800" w:rsidDel="00EE2BBB" w:rsidRDefault="00DD66D6" w:rsidP="00DD66D6">
            <w:pPr>
              <w:pStyle w:val="Tablewriting"/>
            </w:pPr>
            <w:r>
              <w:t>Amgen Australia Pty Limited</w:t>
            </w:r>
          </w:p>
        </w:tc>
      </w:tr>
      <w:tr w:rsidR="00DD66D6" w:rsidRPr="00A35800" w:rsidDel="00EE2BBB" w14:paraId="2A85606F" w14:textId="77777777" w:rsidTr="00F40812">
        <w:trPr>
          <w:trHeight w:val="546"/>
          <w:tblHeader/>
        </w:trPr>
        <w:tc>
          <w:tcPr>
            <w:tcW w:w="846" w:type="dxa"/>
            <w:shd w:val="clear" w:color="auto" w:fill="auto"/>
          </w:tcPr>
          <w:p w14:paraId="2D19E52D" w14:textId="59D1489B" w:rsidR="00DD66D6" w:rsidRDefault="00DD66D6" w:rsidP="00FC3408">
            <w:pPr>
              <w:pStyle w:val="Tablewriting"/>
              <w:jc w:val="center"/>
            </w:pPr>
            <w:r>
              <w:t>11972D</w:t>
            </w:r>
          </w:p>
        </w:tc>
        <w:tc>
          <w:tcPr>
            <w:tcW w:w="3969" w:type="dxa"/>
            <w:shd w:val="clear" w:color="auto" w:fill="auto"/>
          </w:tcPr>
          <w:p w14:paraId="5579A79E" w14:textId="78502055" w:rsidR="00DD66D6" w:rsidRDefault="00B352BC" w:rsidP="00DD66D6">
            <w:pPr>
              <w:pStyle w:val="Tablewriting"/>
            </w:pPr>
            <w:r>
              <w:t xml:space="preserve">evolocumab </w:t>
            </w:r>
            <w:r w:rsidR="00DD66D6">
              <w:t>420 mg/3.5 mL injection, 3.5 mL cartridge</w:t>
            </w:r>
          </w:p>
        </w:tc>
        <w:tc>
          <w:tcPr>
            <w:tcW w:w="850" w:type="dxa"/>
            <w:shd w:val="clear" w:color="auto" w:fill="auto"/>
          </w:tcPr>
          <w:p w14:paraId="3720420C" w14:textId="13CCF664" w:rsidR="00DD66D6" w:rsidRDefault="00DD66D6" w:rsidP="00DD66D6">
            <w:pPr>
              <w:pStyle w:val="Tablewriting"/>
              <w:jc w:val="center"/>
            </w:pPr>
            <w:r>
              <w:t>1</w:t>
            </w:r>
          </w:p>
        </w:tc>
        <w:tc>
          <w:tcPr>
            <w:tcW w:w="709" w:type="dxa"/>
            <w:shd w:val="clear" w:color="auto" w:fill="auto"/>
          </w:tcPr>
          <w:p w14:paraId="6B92A48B" w14:textId="39151380" w:rsidR="00DD66D6" w:rsidRDefault="00DD66D6" w:rsidP="00DD66D6">
            <w:pPr>
              <w:pStyle w:val="Tablewriting"/>
              <w:jc w:val="center"/>
            </w:pPr>
            <w:r>
              <w:t>5</w:t>
            </w:r>
          </w:p>
        </w:tc>
        <w:tc>
          <w:tcPr>
            <w:tcW w:w="992" w:type="dxa"/>
            <w:shd w:val="clear" w:color="auto" w:fill="auto"/>
          </w:tcPr>
          <w:p w14:paraId="73BF4EB2" w14:textId="6DD4478B" w:rsidR="00DD66D6" w:rsidRDefault="00DD66D6" w:rsidP="00AE12A8">
            <w:pPr>
              <w:pStyle w:val="Tablewriting"/>
              <w:jc w:val="center"/>
            </w:pPr>
            <w:r>
              <w:t>$</w:t>
            </w:r>
            <w:r w:rsidR="00247FF7">
              <w:t>365.36</w:t>
            </w:r>
          </w:p>
        </w:tc>
        <w:tc>
          <w:tcPr>
            <w:tcW w:w="1698" w:type="dxa"/>
            <w:shd w:val="clear" w:color="auto" w:fill="auto"/>
          </w:tcPr>
          <w:p w14:paraId="0CCD0E0D" w14:textId="77777777" w:rsidR="00DD66D6" w:rsidRDefault="00DD66D6" w:rsidP="00DD66D6">
            <w:pPr>
              <w:pStyle w:val="Tablewriting"/>
            </w:pPr>
            <w:r>
              <w:t>Reptha®</w:t>
            </w:r>
          </w:p>
          <w:p w14:paraId="0D3AF994" w14:textId="31A0C8DD" w:rsidR="00DD66D6" w:rsidRPr="00A35800" w:rsidDel="00EE2BBB" w:rsidRDefault="00DD66D6" w:rsidP="00DD66D6">
            <w:pPr>
              <w:pStyle w:val="Tablewriting"/>
            </w:pPr>
            <w:r>
              <w:t>Amgen Australia Pty Limited</w:t>
            </w:r>
          </w:p>
        </w:tc>
      </w:tr>
    </w:tbl>
    <w:p w14:paraId="652EF707" w14:textId="77777777" w:rsidR="00F711B8" w:rsidRDefault="007408C7" w:rsidP="00F711B8">
      <w:pPr>
        <w:pStyle w:val="Notes"/>
        <w:spacing w:after="0"/>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r w:rsidR="0080485E" w:rsidDel="00EE2BBB">
        <w:t xml:space="preserve">  </w:t>
      </w:r>
    </w:p>
    <w:p w14:paraId="7611F595" w14:textId="722B2BD1" w:rsidR="00F711B8" w:rsidRPr="00F711B8" w:rsidRDefault="00F711B8" w:rsidP="00F711B8">
      <w:pPr>
        <w:pStyle w:val="Notes"/>
        <w:spacing w:after="0"/>
      </w:pPr>
      <w:r w:rsidRPr="00F711B8">
        <w:t>Note:</w:t>
      </w:r>
    </w:p>
    <w:p w14:paraId="7D3CDB19" w14:textId="635A2E73" w:rsidR="00F711B8" w:rsidRPr="00F711B8" w:rsidRDefault="00F711B8" w:rsidP="001D5142">
      <w:pPr>
        <w:pStyle w:val="Notes"/>
        <w:numPr>
          <w:ilvl w:val="0"/>
          <w:numId w:val="4"/>
        </w:numPr>
        <w:spacing w:after="0"/>
      </w:pPr>
      <w:r w:rsidRPr="00F711B8">
        <w:t xml:space="preserve">No increase in the maximum number of repeats may be authorised. </w:t>
      </w:r>
    </w:p>
    <w:p w14:paraId="15B4EA6A" w14:textId="67F2F159" w:rsidR="00F711B8" w:rsidRPr="00F711B8" w:rsidRDefault="00F711B8" w:rsidP="001D5142">
      <w:pPr>
        <w:pStyle w:val="Notes"/>
        <w:numPr>
          <w:ilvl w:val="0"/>
          <w:numId w:val="4"/>
        </w:numPr>
        <w:spacing w:after="0"/>
      </w:pPr>
      <w:r w:rsidRPr="00F711B8">
        <w:t xml:space="preserve">Special Pricing Arrangements apply. </w:t>
      </w:r>
    </w:p>
    <w:p w14:paraId="6E21D90B" w14:textId="074D1C38" w:rsidR="00F711B8" w:rsidRPr="00F711B8" w:rsidRDefault="00F711B8" w:rsidP="001D5142">
      <w:pPr>
        <w:pStyle w:val="Notes"/>
        <w:numPr>
          <w:ilvl w:val="0"/>
          <w:numId w:val="4"/>
        </w:numPr>
        <w:spacing w:after="0"/>
      </w:pPr>
      <w:r w:rsidRPr="00F711B8">
        <w:t xml:space="preserve">Applications for authorisation under this restriction may be made in real time using the Online PBS Authorities system </w:t>
      </w:r>
      <w:r w:rsidRPr="00F711B8">
        <w:rPr>
          <w:rFonts w:cstheme="minorHAnsi"/>
        </w:rPr>
        <w:t>(</w:t>
      </w:r>
      <w:r w:rsidRPr="00F711B8">
        <w:rPr>
          <w:rFonts w:cstheme="minorHAnsi"/>
          <w:shd w:val="clear" w:color="auto" w:fill="FFFFFF"/>
        </w:rPr>
        <w:t>see www.servicesaustralia.gov.au/HPOS) or by telephone by contacting Services Australia on 1800 888 333.</w:t>
      </w:r>
    </w:p>
    <w:p w14:paraId="1A41BB1C" w14:textId="46B2EB39" w:rsidR="00DD66D6" w:rsidRPr="001420B3" w:rsidDel="00EE2BBB" w:rsidRDefault="00DD66D6" w:rsidP="00EF66E9">
      <w:pPr>
        <w:pStyle w:val="Tabletitle"/>
        <w:spacing w:before="200"/>
      </w:pPr>
      <w:r w:rsidRPr="001420B3" w:rsidDel="00EE2BBB">
        <w:t xml:space="preserve">Table </w:t>
      </w:r>
      <w:r w:rsidR="00E572AF">
        <w:t>3</w:t>
      </w:r>
      <w:r w:rsidRPr="001420B3" w:rsidDel="00EE2BBB">
        <w:t xml:space="preserve">: </w:t>
      </w:r>
      <w:r w:rsidDel="00EE2BBB">
        <w:t xml:space="preserve">PBS listing of </w:t>
      </w:r>
      <w:r>
        <w:t xml:space="preserve">evolocumab for familial heterozygous and non-familial </w:t>
      </w:r>
      <w:r w:rsidR="00CF7E29">
        <w:t>hypercholesterolaemia</w:t>
      </w:r>
    </w:p>
    <w:tbl>
      <w:tblPr>
        <w:tblStyle w:val="TableGrid"/>
        <w:tblW w:w="9064" w:type="dxa"/>
        <w:tblLayout w:type="fixed"/>
        <w:tblLook w:val="04A0" w:firstRow="1" w:lastRow="0" w:firstColumn="1" w:lastColumn="0" w:noHBand="0" w:noVBand="1"/>
      </w:tblPr>
      <w:tblGrid>
        <w:gridCol w:w="969"/>
        <w:gridCol w:w="3846"/>
        <w:gridCol w:w="850"/>
        <w:gridCol w:w="709"/>
        <w:gridCol w:w="992"/>
        <w:gridCol w:w="1698"/>
      </w:tblGrid>
      <w:tr w:rsidR="00DD66D6" w:rsidRPr="00A35800" w:rsidDel="00EE2BBB" w14:paraId="451C4314" w14:textId="77777777" w:rsidTr="00CF7E29">
        <w:trPr>
          <w:trHeight w:val="64"/>
          <w:tblHeader/>
        </w:trPr>
        <w:tc>
          <w:tcPr>
            <w:tcW w:w="969" w:type="dxa"/>
            <w:shd w:val="clear" w:color="auto" w:fill="BFBFBF" w:themeFill="background1" w:themeFillShade="BF"/>
          </w:tcPr>
          <w:p w14:paraId="66B3EF2C" w14:textId="66511F32" w:rsidR="00DD66D6" w:rsidRPr="00A35800" w:rsidDel="00EE2BBB" w:rsidRDefault="00DD66D6" w:rsidP="00B645B9">
            <w:pPr>
              <w:pStyle w:val="Tableheading"/>
              <w:rPr>
                <w:sz w:val="20"/>
                <w:szCs w:val="20"/>
              </w:rPr>
            </w:pPr>
            <w:r w:rsidRPr="00A35800" w:rsidDel="00EE2BBB">
              <w:rPr>
                <w:sz w:val="20"/>
                <w:szCs w:val="20"/>
              </w:rPr>
              <w:t>Item</w:t>
            </w:r>
            <w:r w:rsidR="00AE12A8">
              <w:rPr>
                <w:sz w:val="20"/>
                <w:szCs w:val="20"/>
              </w:rPr>
              <w:t xml:space="preserve"> code</w:t>
            </w:r>
          </w:p>
        </w:tc>
        <w:tc>
          <w:tcPr>
            <w:tcW w:w="3846" w:type="dxa"/>
            <w:shd w:val="clear" w:color="auto" w:fill="BFBFBF" w:themeFill="background1" w:themeFillShade="BF"/>
          </w:tcPr>
          <w:p w14:paraId="1FEB4833" w14:textId="77777777" w:rsidR="00DD66D6" w:rsidRPr="00A35800" w:rsidDel="00EE2BBB" w:rsidRDefault="00DD66D6" w:rsidP="00B645B9">
            <w:pPr>
              <w:pStyle w:val="Tableheading"/>
              <w:rPr>
                <w:sz w:val="20"/>
                <w:szCs w:val="20"/>
              </w:rPr>
            </w:pPr>
            <w:r w:rsidRPr="00A35800" w:rsidDel="00EE2BBB">
              <w:rPr>
                <w:sz w:val="20"/>
                <w:szCs w:val="20"/>
              </w:rPr>
              <w:t>Name, form &amp; strength, pack size</w:t>
            </w:r>
          </w:p>
        </w:tc>
        <w:tc>
          <w:tcPr>
            <w:tcW w:w="850" w:type="dxa"/>
            <w:shd w:val="clear" w:color="auto" w:fill="BFBFBF" w:themeFill="background1" w:themeFillShade="BF"/>
          </w:tcPr>
          <w:p w14:paraId="203D7E82" w14:textId="77777777" w:rsidR="00DD66D6" w:rsidRPr="00A35800" w:rsidDel="00EE2BBB" w:rsidRDefault="00DD66D6" w:rsidP="00B645B9">
            <w:pPr>
              <w:pStyle w:val="Tableheading"/>
              <w:rPr>
                <w:sz w:val="20"/>
                <w:szCs w:val="20"/>
              </w:rPr>
            </w:pPr>
            <w:r w:rsidRPr="00A35800" w:rsidDel="00EE2BBB">
              <w:rPr>
                <w:sz w:val="20"/>
                <w:szCs w:val="20"/>
              </w:rPr>
              <w:t xml:space="preserve">Max. quant. </w:t>
            </w:r>
          </w:p>
        </w:tc>
        <w:tc>
          <w:tcPr>
            <w:tcW w:w="709" w:type="dxa"/>
            <w:shd w:val="clear" w:color="auto" w:fill="BFBFBF" w:themeFill="background1" w:themeFillShade="BF"/>
          </w:tcPr>
          <w:p w14:paraId="722AFA9E" w14:textId="77777777" w:rsidR="00DD66D6" w:rsidRPr="00A35800" w:rsidDel="00EE2BBB" w:rsidRDefault="00DD66D6" w:rsidP="00B645B9">
            <w:pPr>
              <w:pStyle w:val="Tableheading"/>
              <w:rPr>
                <w:sz w:val="20"/>
                <w:szCs w:val="20"/>
              </w:rPr>
            </w:pPr>
            <w:r w:rsidRPr="00A35800" w:rsidDel="00EE2BBB">
              <w:rPr>
                <w:sz w:val="20"/>
                <w:szCs w:val="20"/>
              </w:rPr>
              <w:t xml:space="preserve">Rpts </w:t>
            </w:r>
          </w:p>
        </w:tc>
        <w:tc>
          <w:tcPr>
            <w:tcW w:w="992" w:type="dxa"/>
            <w:shd w:val="clear" w:color="auto" w:fill="BFBFBF" w:themeFill="background1" w:themeFillShade="BF"/>
          </w:tcPr>
          <w:p w14:paraId="75DD84D8" w14:textId="77777777" w:rsidR="00DD66D6" w:rsidRPr="00A35800" w:rsidDel="00EE2BBB" w:rsidRDefault="00DD66D6" w:rsidP="00B645B9">
            <w:pPr>
              <w:pStyle w:val="Tableheading"/>
              <w:rPr>
                <w:sz w:val="20"/>
                <w:szCs w:val="20"/>
              </w:rPr>
            </w:pPr>
            <w:r w:rsidRPr="00A35800" w:rsidDel="00EE2BBB">
              <w:rPr>
                <w:sz w:val="20"/>
                <w:szCs w:val="20"/>
              </w:rPr>
              <w:t>DPMQ</w:t>
            </w:r>
          </w:p>
        </w:tc>
        <w:tc>
          <w:tcPr>
            <w:tcW w:w="1698" w:type="dxa"/>
            <w:shd w:val="clear" w:color="auto" w:fill="BFBFBF" w:themeFill="background1" w:themeFillShade="BF"/>
          </w:tcPr>
          <w:p w14:paraId="4E3E3FA4" w14:textId="77777777" w:rsidR="00DD66D6" w:rsidRPr="00A35800" w:rsidDel="00EE2BBB" w:rsidRDefault="00DD66D6" w:rsidP="00B645B9">
            <w:pPr>
              <w:pStyle w:val="Tableheading"/>
              <w:rPr>
                <w:sz w:val="20"/>
                <w:szCs w:val="20"/>
              </w:rPr>
            </w:pPr>
            <w:r w:rsidRPr="00A35800" w:rsidDel="00EE2BBB">
              <w:rPr>
                <w:sz w:val="20"/>
                <w:szCs w:val="20"/>
              </w:rPr>
              <w:t>Brand name and manufacturer</w:t>
            </w:r>
          </w:p>
        </w:tc>
      </w:tr>
      <w:tr w:rsidR="00DD66D6" w:rsidRPr="00A35800" w:rsidDel="00EE2BBB" w14:paraId="69AD8EDE" w14:textId="77777777" w:rsidTr="00DD66D6">
        <w:trPr>
          <w:trHeight w:val="552"/>
          <w:tblHeader/>
        </w:trPr>
        <w:tc>
          <w:tcPr>
            <w:tcW w:w="969" w:type="dxa"/>
            <w:shd w:val="clear" w:color="auto" w:fill="auto"/>
          </w:tcPr>
          <w:p w14:paraId="68464190" w14:textId="23D0A01F" w:rsidR="00DD66D6" w:rsidRPr="00A35800" w:rsidDel="00EE2BBB" w:rsidRDefault="00DD66D6" w:rsidP="00FC3408">
            <w:pPr>
              <w:pStyle w:val="Tablewriting"/>
              <w:jc w:val="center"/>
            </w:pPr>
            <w:r>
              <w:t>11484K</w:t>
            </w:r>
          </w:p>
        </w:tc>
        <w:tc>
          <w:tcPr>
            <w:tcW w:w="3846" w:type="dxa"/>
            <w:shd w:val="clear" w:color="auto" w:fill="auto"/>
          </w:tcPr>
          <w:p w14:paraId="6A4E0F58" w14:textId="08821BB0" w:rsidR="00DD66D6" w:rsidRPr="00A35800" w:rsidDel="00EE2BBB" w:rsidRDefault="00FC3408" w:rsidP="00DD66D6">
            <w:pPr>
              <w:pStyle w:val="Tablewriting"/>
            </w:pPr>
            <w:r>
              <w:t xml:space="preserve">evolocumab </w:t>
            </w:r>
            <w:r w:rsidR="00DD66D6">
              <w:t xml:space="preserve">140 mg/mL injection, 1 mL pen device </w:t>
            </w:r>
          </w:p>
        </w:tc>
        <w:tc>
          <w:tcPr>
            <w:tcW w:w="850" w:type="dxa"/>
            <w:shd w:val="clear" w:color="auto" w:fill="auto"/>
          </w:tcPr>
          <w:p w14:paraId="4FAFA199" w14:textId="5965E914" w:rsidR="00DD66D6" w:rsidRPr="00A35800" w:rsidDel="00EE2BBB" w:rsidRDefault="00DD66D6" w:rsidP="00DD66D6">
            <w:pPr>
              <w:pStyle w:val="Tablewriting"/>
              <w:jc w:val="center"/>
            </w:pPr>
            <w:r>
              <w:t>2</w:t>
            </w:r>
          </w:p>
        </w:tc>
        <w:tc>
          <w:tcPr>
            <w:tcW w:w="709" w:type="dxa"/>
            <w:shd w:val="clear" w:color="auto" w:fill="auto"/>
          </w:tcPr>
          <w:p w14:paraId="1FD74360" w14:textId="35AB8E97" w:rsidR="00DD66D6" w:rsidRPr="00A35800" w:rsidDel="00EE2BBB" w:rsidRDefault="00DD66D6" w:rsidP="00DD66D6">
            <w:pPr>
              <w:pStyle w:val="Tablewriting"/>
              <w:jc w:val="center"/>
            </w:pPr>
            <w:r>
              <w:t>5</w:t>
            </w:r>
          </w:p>
        </w:tc>
        <w:tc>
          <w:tcPr>
            <w:tcW w:w="992" w:type="dxa"/>
            <w:shd w:val="clear" w:color="auto" w:fill="auto"/>
          </w:tcPr>
          <w:p w14:paraId="204076B8" w14:textId="375FC6B6" w:rsidR="00DD66D6" w:rsidRPr="00A35800" w:rsidDel="00EE2BBB" w:rsidRDefault="00DD66D6" w:rsidP="00AE12A8">
            <w:pPr>
              <w:pStyle w:val="Tablewriting"/>
              <w:jc w:val="center"/>
            </w:pPr>
            <w:r>
              <w:t>$</w:t>
            </w:r>
            <w:r w:rsidR="00247FF7">
              <w:t>337.94</w:t>
            </w:r>
          </w:p>
        </w:tc>
        <w:tc>
          <w:tcPr>
            <w:tcW w:w="1698" w:type="dxa"/>
            <w:shd w:val="clear" w:color="auto" w:fill="auto"/>
          </w:tcPr>
          <w:p w14:paraId="773C7F04" w14:textId="77777777" w:rsidR="00DD66D6" w:rsidRDefault="00DD66D6" w:rsidP="00DD66D6">
            <w:pPr>
              <w:pStyle w:val="Tablewriting"/>
            </w:pPr>
            <w:r>
              <w:t>Reptha®</w:t>
            </w:r>
          </w:p>
          <w:p w14:paraId="64173733" w14:textId="66E1B6BC" w:rsidR="00DD66D6" w:rsidRPr="00A35800" w:rsidDel="00EE2BBB" w:rsidRDefault="00DD66D6" w:rsidP="00DD66D6">
            <w:pPr>
              <w:pStyle w:val="Tablewriting"/>
            </w:pPr>
            <w:r>
              <w:t xml:space="preserve">Amgen Australia Pty Limited </w:t>
            </w:r>
          </w:p>
        </w:tc>
      </w:tr>
      <w:tr w:rsidR="00DD66D6" w:rsidRPr="00A35800" w:rsidDel="00EE2BBB" w14:paraId="7132010B" w14:textId="77777777" w:rsidTr="00DD66D6">
        <w:trPr>
          <w:trHeight w:val="546"/>
          <w:tblHeader/>
        </w:trPr>
        <w:tc>
          <w:tcPr>
            <w:tcW w:w="969" w:type="dxa"/>
            <w:shd w:val="clear" w:color="auto" w:fill="auto"/>
          </w:tcPr>
          <w:p w14:paraId="424ED7B4" w14:textId="7C2C34EB" w:rsidR="00DD66D6" w:rsidRPr="00A35800" w:rsidDel="00EE2BBB" w:rsidRDefault="00DD66D6" w:rsidP="00FC3408">
            <w:pPr>
              <w:pStyle w:val="Tablewriting"/>
              <w:jc w:val="center"/>
            </w:pPr>
            <w:r>
              <w:t>11485L</w:t>
            </w:r>
          </w:p>
        </w:tc>
        <w:tc>
          <w:tcPr>
            <w:tcW w:w="3846" w:type="dxa"/>
            <w:shd w:val="clear" w:color="auto" w:fill="auto"/>
          </w:tcPr>
          <w:p w14:paraId="65B5F44C" w14:textId="28CED04F" w:rsidR="00DD66D6" w:rsidRPr="00A35800" w:rsidDel="00EE2BBB" w:rsidRDefault="00FC3408" w:rsidP="00DD66D6">
            <w:pPr>
              <w:pStyle w:val="Tablewriting"/>
            </w:pPr>
            <w:r>
              <w:t xml:space="preserve">evolocumab </w:t>
            </w:r>
            <w:r w:rsidR="00DD66D6">
              <w:t>420 mg/3.5 mL injection, 3.5 mL cartridge</w:t>
            </w:r>
          </w:p>
        </w:tc>
        <w:tc>
          <w:tcPr>
            <w:tcW w:w="850" w:type="dxa"/>
            <w:shd w:val="clear" w:color="auto" w:fill="auto"/>
          </w:tcPr>
          <w:p w14:paraId="1069F4A2" w14:textId="0DE46B04" w:rsidR="00DD66D6" w:rsidRPr="00A35800" w:rsidDel="00EE2BBB" w:rsidRDefault="00DD66D6" w:rsidP="00DD66D6">
            <w:pPr>
              <w:pStyle w:val="Tablewriting"/>
              <w:jc w:val="center"/>
            </w:pPr>
            <w:r>
              <w:t>1</w:t>
            </w:r>
          </w:p>
        </w:tc>
        <w:tc>
          <w:tcPr>
            <w:tcW w:w="709" w:type="dxa"/>
            <w:shd w:val="clear" w:color="auto" w:fill="auto"/>
          </w:tcPr>
          <w:p w14:paraId="4BDAA957" w14:textId="0EEA3573" w:rsidR="00DD66D6" w:rsidRPr="00A35800" w:rsidDel="00EE2BBB" w:rsidRDefault="00DD66D6" w:rsidP="00DD66D6">
            <w:pPr>
              <w:pStyle w:val="Tablewriting"/>
              <w:jc w:val="center"/>
            </w:pPr>
            <w:r>
              <w:t>5</w:t>
            </w:r>
          </w:p>
        </w:tc>
        <w:tc>
          <w:tcPr>
            <w:tcW w:w="992" w:type="dxa"/>
            <w:shd w:val="clear" w:color="auto" w:fill="auto"/>
          </w:tcPr>
          <w:p w14:paraId="1E9F5B2E" w14:textId="287BC56E" w:rsidR="00DD66D6" w:rsidRPr="00A35800" w:rsidDel="00EE2BBB" w:rsidRDefault="00DD66D6" w:rsidP="00AE12A8">
            <w:pPr>
              <w:pStyle w:val="Tablewriting"/>
              <w:jc w:val="center"/>
            </w:pPr>
            <w:r>
              <w:t>$</w:t>
            </w:r>
            <w:r w:rsidR="00247FF7">
              <w:t>365.36</w:t>
            </w:r>
          </w:p>
        </w:tc>
        <w:tc>
          <w:tcPr>
            <w:tcW w:w="1698" w:type="dxa"/>
            <w:shd w:val="clear" w:color="auto" w:fill="auto"/>
          </w:tcPr>
          <w:p w14:paraId="3CEA9697" w14:textId="77777777" w:rsidR="00DD66D6" w:rsidRDefault="00DD66D6" w:rsidP="00DD66D6">
            <w:pPr>
              <w:pStyle w:val="Tablewriting"/>
            </w:pPr>
            <w:r>
              <w:t>Reptha®</w:t>
            </w:r>
          </w:p>
          <w:p w14:paraId="6279AEC1" w14:textId="0E9FF58D" w:rsidR="00DD66D6" w:rsidRPr="00A35800" w:rsidDel="00EE2BBB" w:rsidRDefault="00DD66D6" w:rsidP="00DD66D6">
            <w:pPr>
              <w:pStyle w:val="Tablewriting"/>
            </w:pPr>
            <w:r>
              <w:t>Amgen Australia Pty Limited</w:t>
            </w:r>
          </w:p>
        </w:tc>
      </w:tr>
      <w:tr w:rsidR="00DD66D6" w:rsidRPr="00A35800" w:rsidDel="00EE2BBB" w14:paraId="09B52919" w14:textId="77777777" w:rsidTr="00DD66D6">
        <w:trPr>
          <w:trHeight w:val="546"/>
          <w:tblHeader/>
        </w:trPr>
        <w:tc>
          <w:tcPr>
            <w:tcW w:w="969" w:type="dxa"/>
            <w:shd w:val="clear" w:color="auto" w:fill="auto"/>
          </w:tcPr>
          <w:p w14:paraId="12353582" w14:textId="05F6613A" w:rsidR="00DD66D6" w:rsidRDefault="00DD66D6" w:rsidP="00FC3408">
            <w:pPr>
              <w:pStyle w:val="Tablewriting"/>
              <w:jc w:val="center"/>
            </w:pPr>
            <w:r>
              <w:t>11985T</w:t>
            </w:r>
          </w:p>
        </w:tc>
        <w:tc>
          <w:tcPr>
            <w:tcW w:w="3846" w:type="dxa"/>
            <w:shd w:val="clear" w:color="auto" w:fill="auto"/>
          </w:tcPr>
          <w:p w14:paraId="1E526823" w14:textId="026AED84" w:rsidR="00DD66D6" w:rsidRDefault="00FC3408" w:rsidP="00DD66D6">
            <w:pPr>
              <w:pStyle w:val="Tablewriting"/>
            </w:pPr>
            <w:r>
              <w:t xml:space="preserve">evolocumab </w:t>
            </w:r>
            <w:r w:rsidR="00DD66D6">
              <w:t>140 mg/mL injection, 1 mL pen device</w:t>
            </w:r>
          </w:p>
        </w:tc>
        <w:tc>
          <w:tcPr>
            <w:tcW w:w="850" w:type="dxa"/>
            <w:shd w:val="clear" w:color="auto" w:fill="auto"/>
          </w:tcPr>
          <w:p w14:paraId="5A71CB20" w14:textId="13103B0D" w:rsidR="00DD66D6" w:rsidRDefault="00DD66D6" w:rsidP="00DD66D6">
            <w:pPr>
              <w:pStyle w:val="Tablewriting"/>
              <w:jc w:val="center"/>
            </w:pPr>
            <w:r>
              <w:t>2</w:t>
            </w:r>
          </w:p>
        </w:tc>
        <w:tc>
          <w:tcPr>
            <w:tcW w:w="709" w:type="dxa"/>
            <w:shd w:val="clear" w:color="auto" w:fill="auto"/>
          </w:tcPr>
          <w:p w14:paraId="5A8A5E3E" w14:textId="70B6138C" w:rsidR="00DD66D6" w:rsidRDefault="00DD66D6" w:rsidP="00DD66D6">
            <w:pPr>
              <w:pStyle w:val="Tablewriting"/>
              <w:jc w:val="center"/>
            </w:pPr>
            <w:r>
              <w:t>5</w:t>
            </w:r>
          </w:p>
        </w:tc>
        <w:tc>
          <w:tcPr>
            <w:tcW w:w="992" w:type="dxa"/>
            <w:shd w:val="clear" w:color="auto" w:fill="auto"/>
          </w:tcPr>
          <w:p w14:paraId="094E65A4" w14:textId="1F44D26A" w:rsidR="00DD66D6" w:rsidRDefault="00DD66D6" w:rsidP="00AE12A8">
            <w:pPr>
              <w:pStyle w:val="Tablewriting"/>
              <w:jc w:val="center"/>
            </w:pPr>
            <w:r>
              <w:t>$</w:t>
            </w:r>
            <w:r w:rsidR="00247FF7">
              <w:t>337.94</w:t>
            </w:r>
          </w:p>
        </w:tc>
        <w:tc>
          <w:tcPr>
            <w:tcW w:w="1698" w:type="dxa"/>
            <w:shd w:val="clear" w:color="auto" w:fill="auto"/>
          </w:tcPr>
          <w:p w14:paraId="299BDBC5" w14:textId="77777777" w:rsidR="00DD66D6" w:rsidRDefault="00DD66D6" w:rsidP="00DD66D6">
            <w:pPr>
              <w:pStyle w:val="Tablewriting"/>
            </w:pPr>
            <w:r>
              <w:t>Reptha®</w:t>
            </w:r>
          </w:p>
          <w:p w14:paraId="1F9DF462" w14:textId="5B4ADB39" w:rsidR="00DD66D6" w:rsidRPr="00A35800" w:rsidDel="00EE2BBB" w:rsidRDefault="00DD66D6" w:rsidP="00DD66D6">
            <w:pPr>
              <w:pStyle w:val="Tablewriting"/>
            </w:pPr>
            <w:r>
              <w:t>Amgen Australia Pty Limited</w:t>
            </w:r>
          </w:p>
        </w:tc>
      </w:tr>
      <w:tr w:rsidR="00DD66D6" w:rsidRPr="00A35800" w:rsidDel="00EE2BBB" w14:paraId="5E546C86" w14:textId="77777777" w:rsidTr="00DD66D6">
        <w:trPr>
          <w:trHeight w:val="546"/>
          <w:tblHeader/>
        </w:trPr>
        <w:tc>
          <w:tcPr>
            <w:tcW w:w="969" w:type="dxa"/>
            <w:shd w:val="clear" w:color="auto" w:fill="auto"/>
          </w:tcPr>
          <w:p w14:paraId="663061F2" w14:textId="67D4347B" w:rsidR="00DD66D6" w:rsidRDefault="00DD66D6" w:rsidP="00FC3408">
            <w:pPr>
              <w:pStyle w:val="Tablewriting"/>
              <w:jc w:val="center"/>
            </w:pPr>
            <w:r>
              <w:t>11986W</w:t>
            </w:r>
          </w:p>
        </w:tc>
        <w:tc>
          <w:tcPr>
            <w:tcW w:w="3846" w:type="dxa"/>
            <w:shd w:val="clear" w:color="auto" w:fill="auto"/>
          </w:tcPr>
          <w:p w14:paraId="692A641E" w14:textId="7332C4F5" w:rsidR="00DD66D6" w:rsidRDefault="00FC3408" w:rsidP="00DD66D6">
            <w:pPr>
              <w:pStyle w:val="Tablewriting"/>
            </w:pPr>
            <w:r>
              <w:t xml:space="preserve">evolocumab </w:t>
            </w:r>
            <w:r w:rsidR="00DD66D6">
              <w:t>420 mg/3.5 mL injection, 3.5 mL cartridge</w:t>
            </w:r>
          </w:p>
        </w:tc>
        <w:tc>
          <w:tcPr>
            <w:tcW w:w="850" w:type="dxa"/>
            <w:shd w:val="clear" w:color="auto" w:fill="auto"/>
          </w:tcPr>
          <w:p w14:paraId="1A4FBF9F" w14:textId="1B9E23C3" w:rsidR="00DD66D6" w:rsidRDefault="00DD66D6" w:rsidP="00DD66D6">
            <w:pPr>
              <w:pStyle w:val="Tablewriting"/>
              <w:jc w:val="center"/>
            </w:pPr>
            <w:r>
              <w:t>1</w:t>
            </w:r>
          </w:p>
        </w:tc>
        <w:tc>
          <w:tcPr>
            <w:tcW w:w="709" w:type="dxa"/>
            <w:shd w:val="clear" w:color="auto" w:fill="auto"/>
          </w:tcPr>
          <w:p w14:paraId="0076FFBF" w14:textId="1CCEA32B" w:rsidR="00DD66D6" w:rsidRDefault="00DD66D6" w:rsidP="00DD66D6">
            <w:pPr>
              <w:pStyle w:val="Tablewriting"/>
              <w:jc w:val="center"/>
            </w:pPr>
            <w:r>
              <w:t>5</w:t>
            </w:r>
          </w:p>
        </w:tc>
        <w:tc>
          <w:tcPr>
            <w:tcW w:w="992" w:type="dxa"/>
            <w:shd w:val="clear" w:color="auto" w:fill="auto"/>
          </w:tcPr>
          <w:p w14:paraId="703DF2B6" w14:textId="77A8B4D4" w:rsidR="00DD66D6" w:rsidRDefault="00DD66D6" w:rsidP="00AE12A8">
            <w:pPr>
              <w:pStyle w:val="Tablewriting"/>
              <w:jc w:val="center"/>
            </w:pPr>
            <w:r>
              <w:t>$</w:t>
            </w:r>
            <w:r w:rsidR="00247FF7">
              <w:t>365.36</w:t>
            </w:r>
          </w:p>
        </w:tc>
        <w:tc>
          <w:tcPr>
            <w:tcW w:w="1698" w:type="dxa"/>
            <w:shd w:val="clear" w:color="auto" w:fill="auto"/>
          </w:tcPr>
          <w:p w14:paraId="61C8FE8F" w14:textId="77777777" w:rsidR="00DD66D6" w:rsidRDefault="00DD66D6" w:rsidP="00DD66D6">
            <w:pPr>
              <w:pStyle w:val="Tablewriting"/>
            </w:pPr>
            <w:r>
              <w:t>Reptha®</w:t>
            </w:r>
          </w:p>
          <w:p w14:paraId="13953665" w14:textId="76DAA084" w:rsidR="00DD66D6" w:rsidRPr="00A35800" w:rsidDel="00EE2BBB" w:rsidRDefault="00DD66D6" w:rsidP="00DD66D6">
            <w:pPr>
              <w:pStyle w:val="Tablewriting"/>
            </w:pPr>
            <w:r>
              <w:t>Amgen Australia Pty Limited</w:t>
            </w:r>
          </w:p>
        </w:tc>
      </w:tr>
    </w:tbl>
    <w:p w14:paraId="4F696672" w14:textId="77777777" w:rsidR="00F711B8" w:rsidRDefault="00F711B8" w:rsidP="00F711B8">
      <w:pPr>
        <w:pStyle w:val="Notes"/>
        <w:spacing w:after="0"/>
      </w:pPr>
      <w:r w:rsidRPr="00A35800" w:rsidDel="00EE2BBB">
        <w:t xml:space="preserve">Source: </w:t>
      </w:r>
      <w:r w:rsidDel="00EE2BBB">
        <w:t xml:space="preserve">the </w:t>
      </w:r>
      <w:hyperlink r:id="rId11" w:history="1">
        <w:r w:rsidRPr="001624D7" w:rsidDel="00EE2BBB">
          <w:rPr>
            <w:rStyle w:val="Hyperlink"/>
          </w:rPr>
          <w:t>PBS website</w:t>
        </w:r>
      </w:hyperlink>
      <w:r w:rsidDel="00EE2BBB">
        <w:t xml:space="preserve">.  </w:t>
      </w:r>
    </w:p>
    <w:p w14:paraId="198C0978" w14:textId="77777777" w:rsidR="00F711B8" w:rsidRPr="00F711B8" w:rsidRDefault="00F711B8" w:rsidP="00F711B8">
      <w:pPr>
        <w:pStyle w:val="Notes"/>
        <w:spacing w:after="0"/>
      </w:pPr>
      <w:r w:rsidRPr="00F711B8">
        <w:t>Note:</w:t>
      </w:r>
    </w:p>
    <w:p w14:paraId="0E3BBFEF" w14:textId="4A39241D" w:rsidR="00F711B8" w:rsidRDefault="00F711B8" w:rsidP="001D5142">
      <w:pPr>
        <w:pStyle w:val="Notes"/>
        <w:numPr>
          <w:ilvl w:val="0"/>
          <w:numId w:val="4"/>
        </w:numPr>
        <w:spacing w:after="0"/>
      </w:pPr>
      <w:r>
        <w:t xml:space="preserve">No increase in the maximum quantity or number of units may be authorised. </w:t>
      </w:r>
    </w:p>
    <w:p w14:paraId="2C540335" w14:textId="678C58E9" w:rsidR="00F711B8" w:rsidRPr="00F711B8" w:rsidRDefault="00F711B8" w:rsidP="001D5142">
      <w:pPr>
        <w:pStyle w:val="Notes"/>
        <w:numPr>
          <w:ilvl w:val="0"/>
          <w:numId w:val="4"/>
        </w:numPr>
        <w:spacing w:after="0"/>
      </w:pPr>
      <w:r w:rsidRPr="00F711B8">
        <w:t xml:space="preserve">No increase in the maximum number of repeats may be authorised. </w:t>
      </w:r>
    </w:p>
    <w:p w14:paraId="2E0BCE17" w14:textId="77777777" w:rsidR="00F711B8" w:rsidRPr="00F711B8" w:rsidRDefault="00F711B8" w:rsidP="001D5142">
      <w:pPr>
        <w:pStyle w:val="Notes"/>
        <w:numPr>
          <w:ilvl w:val="0"/>
          <w:numId w:val="4"/>
        </w:numPr>
        <w:spacing w:after="0"/>
      </w:pPr>
      <w:r w:rsidRPr="00F711B8">
        <w:t xml:space="preserve">Special Pricing Arrangements apply. </w:t>
      </w:r>
    </w:p>
    <w:p w14:paraId="33BF5D41" w14:textId="3C4D15BA" w:rsidR="00F711B8" w:rsidRDefault="00F711B8" w:rsidP="001D5142">
      <w:pPr>
        <w:pStyle w:val="Notes"/>
        <w:numPr>
          <w:ilvl w:val="0"/>
          <w:numId w:val="4"/>
        </w:numPr>
        <w:spacing w:after="0"/>
      </w:pPr>
      <w:r w:rsidRPr="00F711B8">
        <w:lastRenderedPageBreak/>
        <w:t xml:space="preserve">Applications for authorisation under this restriction may be made in real time using the Online PBS Authorities system </w:t>
      </w:r>
      <w:r w:rsidRPr="00F711B8">
        <w:rPr>
          <w:rFonts w:cstheme="minorHAnsi"/>
        </w:rPr>
        <w:t>(</w:t>
      </w:r>
      <w:r w:rsidRPr="00F711B8">
        <w:rPr>
          <w:rFonts w:cstheme="minorHAnsi"/>
          <w:shd w:val="clear" w:color="auto" w:fill="FFFFFF"/>
        </w:rPr>
        <w:t>see www.servicesaustralia.gov.au/HPOS) or by telephone by contacting Services Australia on 1800 888 333.</w:t>
      </w:r>
    </w:p>
    <w:p w14:paraId="1AFA1485" w14:textId="0636763C" w:rsidR="004C3186" w:rsidDel="00EE2BBB" w:rsidRDefault="004C3186" w:rsidP="00CF5E22">
      <w:pPr>
        <w:pStyle w:val="Heading3"/>
      </w:pPr>
      <w:r w:rsidDel="00EE2BBB">
        <w:t>Restriction</w:t>
      </w:r>
      <w:r w:rsidR="000040DE">
        <w:t xml:space="preserve"> (abridged)</w:t>
      </w:r>
    </w:p>
    <w:p w14:paraId="2806D2CB" w14:textId="78C71789" w:rsidR="00240227" w:rsidRPr="00240227" w:rsidRDefault="009122EB" w:rsidP="00A35800">
      <w:r>
        <w:t>In the initial treatment phase, a</w:t>
      </w:r>
      <w:r w:rsidR="00240227" w:rsidRPr="00240227">
        <w:t>ll indications (familial homozygous and heterozygous hypercholesterol</w:t>
      </w:r>
      <w:r w:rsidR="00240227">
        <w:t>a</w:t>
      </w:r>
      <w:r w:rsidR="00240227" w:rsidRPr="00240227">
        <w:t>emia and non-familial hypercholesterol</w:t>
      </w:r>
      <w:r w:rsidR="00240227">
        <w:t>a</w:t>
      </w:r>
      <w:r w:rsidR="00240227" w:rsidRPr="00240227">
        <w:t>emia)</w:t>
      </w:r>
      <w:r w:rsidR="00EB75B7">
        <w:t xml:space="preserve"> are Authority Required listings and</w:t>
      </w:r>
      <w:r w:rsidR="00240227" w:rsidRPr="00240227">
        <w:t xml:space="preserve"> require: </w:t>
      </w:r>
    </w:p>
    <w:p w14:paraId="2BEA915B" w14:textId="2C090955" w:rsidR="00240227" w:rsidRPr="009122EB" w:rsidRDefault="009122EB" w:rsidP="001D5142">
      <w:pPr>
        <w:pStyle w:val="ListParagraph"/>
        <w:numPr>
          <w:ilvl w:val="0"/>
          <w:numId w:val="13"/>
        </w:numPr>
        <w:spacing w:after="0"/>
      </w:pPr>
      <w:r>
        <w:t>Clinical criteria</w:t>
      </w:r>
      <w:r w:rsidR="00240227" w:rsidRPr="009122EB">
        <w:t xml:space="preserve">: </w:t>
      </w:r>
    </w:p>
    <w:p w14:paraId="778848ED" w14:textId="3F4C4738" w:rsidR="009122EB" w:rsidRPr="009122EB" w:rsidRDefault="009122EB" w:rsidP="009B4CFB">
      <w:pPr>
        <w:pStyle w:val="ListParagraph"/>
        <w:numPr>
          <w:ilvl w:val="0"/>
          <w:numId w:val="14"/>
        </w:numPr>
        <w:spacing w:after="0"/>
      </w:pPr>
      <w:r w:rsidRPr="009122EB">
        <w:t>The treatment must be in conjunction with dietary therapy and exercise,</w:t>
      </w:r>
      <w:r w:rsidR="00EB75B7">
        <w:t xml:space="preserve"> </w:t>
      </w:r>
      <w:r w:rsidRPr="00191382">
        <w:rPr>
          <w:b/>
          <w:bCs/>
        </w:rPr>
        <w:t xml:space="preserve">AND </w:t>
      </w:r>
    </w:p>
    <w:p w14:paraId="0C93678D" w14:textId="13E52150" w:rsidR="009B4CFB" w:rsidRPr="009122EB" w:rsidRDefault="009122EB" w:rsidP="009B4CFB">
      <w:pPr>
        <w:pStyle w:val="ListParagraph"/>
        <w:numPr>
          <w:ilvl w:val="0"/>
          <w:numId w:val="14"/>
        </w:numPr>
        <w:spacing w:after="0"/>
      </w:pPr>
      <w:r w:rsidRPr="009122EB">
        <w:t>Patient must have been treated with the maximum recommended dose of atorvastatin,</w:t>
      </w:r>
      <w:r w:rsidRPr="007C7CBB">
        <w:t xml:space="preserve"> </w:t>
      </w:r>
      <w:r w:rsidRPr="00191382">
        <w:rPr>
          <w:b/>
          <w:bCs/>
        </w:rPr>
        <w:t>AND</w:t>
      </w:r>
      <w:r w:rsidRPr="009B4CFB">
        <w:rPr>
          <w:b/>
          <w:bCs/>
        </w:rPr>
        <w:t xml:space="preserve"> </w:t>
      </w:r>
    </w:p>
    <w:p w14:paraId="0A7ED8CA" w14:textId="3DC4BCE7" w:rsidR="009122EB" w:rsidRPr="00E572AF" w:rsidRDefault="009122EB" w:rsidP="009B4CFB">
      <w:pPr>
        <w:pStyle w:val="NormalWeb"/>
        <w:numPr>
          <w:ilvl w:val="0"/>
          <w:numId w:val="14"/>
        </w:numPr>
        <w:shd w:val="clear" w:color="auto" w:fill="FFFFFF"/>
        <w:spacing w:before="0" w:beforeAutospacing="0" w:after="0" w:afterAutospacing="0"/>
        <w:rPr>
          <w:rFonts w:asciiTheme="minorHAnsi" w:hAnsiTheme="minorHAnsi" w:cstheme="minorHAnsi"/>
          <w:color w:val="222222"/>
        </w:rPr>
      </w:pPr>
      <w:r w:rsidRPr="00E572AF">
        <w:rPr>
          <w:rFonts w:asciiTheme="minorHAnsi" w:hAnsiTheme="minorHAnsi" w:cstheme="minorHAnsi"/>
          <w:color w:val="222222"/>
        </w:rPr>
        <w:t>Patient must have been treated with the maximum recommended dose of atorvastatin (80 mg daily) or rosuvastatin (40 mg daily) according to the TGA</w:t>
      </w:r>
      <w:r w:rsidR="0068741F">
        <w:rPr>
          <w:rFonts w:asciiTheme="minorHAnsi" w:hAnsiTheme="minorHAnsi" w:cstheme="minorHAnsi"/>
          <w:color w:val="222222"/>
        </w:rPr>
        <w:noBreakHyphen/>
      </w:r>
      <w:r w:rsidRPr="00E572AF">
        <w:rPr>
          <w:rFonts w:asciiTheme="minorHAnsi" w:hAnsiTheme="minorHAnsi" w:cstheme="minorHAnsi"/>
          <w:color w:val="222222"/>
        </w:rPr>
        <w:t>approved Product Information or the maximum tolerated dose of atorvastatin or rosuvastatin for at least 12 consecutive weeks in conjunction with dietary therapy and exercise; OR</w:t>
      </w:r>
    </w:p>
    <w:p w14:paraId="3F4F6ADD" w14:textId="77777777" w:rsidR="009122EB" w:rsidRPr="00E572AF" w:rsidRDefault="009122EB" w:rsidP="009B4CFB">
      <w:pPr>
        <w:pStyle w:val="NormalWeb"/>
        <w:numPr>
          <w:ilvl w:val="0"/>
          <w:numId w:val="14"/>
        </w:numPr>
        <w:shd w:val="clear" w:color="auto" w:fill="FFFFFF"/>
        <w:spacing w:before="0" w:beforeAutospacing="0" w:after="0" w:afterAutospacing="0"/>
        <w:rPr>
          <w:rFonts w:asciiTheme="minorHAnsi" w:hAnsiTheme="minorHAnsi" w:cstheme="minorHAnsi"/>
          <w:color w:val="222222"/>
        </w:rPr>
      </w:pPr>
      <w:r w:rsidRPr="00E572AF">
        <w:rPr>
          <w:rFonts w:asciiTheme="minorHAnsi" w:hAnsiTheme="minorHAnsi" w:cstheme="minorHAnsi"/>
          <w:color w:val="222222"/>
        </w:rPr>
        <w:t>Patient must have developed clinically important product-related adverse events necessitating withdrawal of statin treatment to trials of each of atorvastatin and rosuvastatin; OR</w:t>
      </w:r>
    </w:p>
    <w:p w14:paraId="319AFFE0" w14:textId="4764EC04" w:rsidR="009122EB" w:rsidRDefault="009122EB" w:rsidP="009B4CFB">
      <w:pPr>
        <w:pStyle w:val="NormalWeb"/>
        <w:numPr>
          <w:ilvl w:val="0"/>
          <w:numId w:val="14"/>
        </w:numPr>
        <w:shd w:val="clear" w:color="auto" w:fill="FFFFFF"/>
        <w:spacing w:before="0" w:beforeAutospacing="0" w:after="0" w:afterAutospacing="0"/>
        <w:rPr>
          <w:rFonts w:asciiTheme="minorHAnsi" w:hAnsiTheme="minorHAnsi" w:cstheme="minorHAnsi"/>
          <w:color w:val="222222"/>
        </w:rPr>
      </w:pPr>
      <w:r w:rsidRPr="00E572AF">
        <w:rPr>
          <w:rFonts w:asciiTheme="minorHAnsi" w:hAnsiTheme="minorHAnsi" w:cstheme="minorHAnsi"/>
          <w:color w:val="222222"/>
        </w:rPr>
        <w:t>Patient must be contraindicated to treatment with a HMG CoA reductase inhibitor (statin) as defined in the TGA-approved Product Information.</w:t>
      </w:r>
    </w:p>
    <w:p w14:paraId="43243D50" w14:textId="6D9A7BB3" w:rsidR="009122EB" w:rsidRDefault="009122EB" w:rsidP="001D5142">
      <w:pPr>
        <w:pStyle w:val="NormalWeb"/>
        <w:numPr>
          <w:ilvl w:val="0"/>
          <w:numId w:val="13"/>
        </w:numPr>
        <w:shd w:val="clear" w:color="auto" w:fill="FFFFFF"/>
        <w:spacing w:before="240" w:beforeAutospacing="0" w:after="0" w:afterAutospacing="0" w:line="300" w:lineRule="atLeast"/>
        <w:rPr>
          <w:rFonts w:asciiTheme="minorHAnsi" w:hAnsiTheme="minorHAnsi" w:cstheme="minorHAnsi"/>
          <w:color w:val="222222"/>
        </w:rPr>
      </w:pPr>
      <w:r>
        <w:rPr>
          <w:rFonts w:asciiTheme="minorHAnsi" w:hAnsiTheme="minorHAnsi" w:cstheme="minorHAnsi"/>
          <w:color w:val="222222"/>
        </w:rPr>
        <w:t>Treatment criteria: Must be treated by a specialist physician</w:t>
      </w:r>
      <w:r w:rsidR="000040DE">
        <w:rPr>
          <w:rFonts w:asciiTheme="minorHAnsi" w:hAnsiTheme="minorHAnsi" w:cstheme="minorHAnsi"/>
          <w:color w:val="222222"/>
        </w:rPr>
        <w:t xml:space="preserve"> OR by a physician who has consulted a specialist physician.</w:t>
      </w:r>
    </w:p>
    <w:p w14:paraId="6E55ACE0" w14:textId="40AE8E8E" w:rsidR="00423590" w:rsidRDefault="00423590" w:rsidP="00423590">
      <w:pPr>
        <w:pStyle w:val="NormalWeb"/>
        <w:shd w:val="clear" w:color="auto" w:fill="FFFFFF"/>
        <w:spacing w:before="240" w:beforeAutospacing="0" w:after="0" w:afterAutospacing="0" w:line="300" w:lineRule="atLeast"/>
      </w:pPr>
      <w:r>
        <w:rPr>
          <w:rFonts w:asciiTheme="minorHAnsi" w:hAnsiTheme="minorHAnsi" w:cstheme="minorHAnsi"/>
          <w:color w:val="222222"/>
        </w:rPr>
        <w:t xml:space="preserve">In the continuing treatment phase, </w:t>
      </w:r>
      <w:r w:rsidRPr="00423590">
        <w:rPr>
          <w:rFonts w:asciiTheme="minorHAnsi" w:hAnsiTheme="minorHAnsi" w:cstheme="minorHAnsi"/>
        </w:rPr>
        <w:t xml:space="preserve">all indications (familial homozygous and heterozygous hypercholesterolaemia and non-familial hypercholesterolaemia) </w:t>
      </w:r>
      <w:r w:rsidR="00EB75B7">
        <w:rPr>
          <w:rFonts w:asciiTheme="minorHAnsi" w:hAnsiTheme="minorHAnsi" w:cstheme="minorHAnsi"/>
        </w:rPr>
        <w:t xml:space="preserve">are Authority Required (STREAMLINED) listings and </w:t>
      </w:r>
      <w:r w:rsidRPr="00423590">
        <w:rPr>
          <w:rFonts w:asciiTheme="minorHAnsi" w:hAnsiTheme="minorHAnsi" w:cstheme="minorHAnsi"/>
        </w:rPr>
        <w:t>require</w:t>
      </w:r>
      <w:r w:rsidRPr="00240227">
        <w:t>:</w:t>
      </w:r>
    </w:p>
    <w:p w14:paraId="6CC98071" w14:textId="77777777" w:rsidR="00EB75B7" w:rsidRDefault="00423590" w:rsidP="009B4CFB">
      <w:pPr>
        <w:pStyle w:val="NormalWeb"/>
        <w:numPr>
          <w:ilvl w:val="0"/>
          <w:numId w:val="13"/>
        </w:numPr>
        <w:shd w:val="clear" w:color="auto" w:fill="FFFFFF"/>
        <w:spacing w:before="0" w:beforeAutospacing="0" w:after="0" w:afterAutospacing="0" w:line="300" w:lineRule="atLeast"/>
        <w:rPr>
          <w:rFonts w:asciiTheme="minorHAnsi" w:hAnsiTheme="minorHAnsi" w:cstheme="minorHAnsi"/>
          <w:color w:val="222222"/>
        </w:rPr>
      </w:pPr>
      <w:r>
        <w:rPr>
          <w:rFonts w:asciiTheme="minorHAnsi" w:hAnsiTheme="minorHAnsi" w:cstheme="minorHAnsi"/>
          <w:color w:val="222222"/>
        </w:rPr>
        <w:t xml:space="preserve">Clinical criteria: </w:t>
      </w:r>
    </w:p>
    <w:p w14:paraId="7B746397" w14:textId="77777777" w:rsidR="00EB75B7" w:rsidRDefault="00EB75B7" w:rsidP="009B4CFB">
      <w:pPr>
        <w:pStyle w:val="NormalWeb"/>
        <w:numPr>
          <w:ilvl w:val="0"/>
          <w:numId w:val="15"/>
        </w:numPr>
        <w:shd w:val="clear" w:color="auto" w:fill="FFFFFF"/>
        <w:spacing w:before="0" w:beforeAutospacing="0" w:after="0" w:afterAutospacing="0" w:line="300" w:lineRule="atLeast"/>
        <w:rPr>
          <w:rFonts w:asciiTheme="minorHAnsi" w:hAnsiTheme="minorHAnsi" w:cstheme="minorHAnsi"/>
          <w:color w:val="222222"/>
        </w:rPr>
      </w:pPr>
      <w:r>
        <w:rPr>
          <w:rFonts w:asciiTheme="minorHAnsi" w:hAnsiTheme="minorHAnsi" w:cstheme="minorHAnsi"/>
          <w:color w:val="222222"/>
        </w:rPr>
        <w:t>P</w:t>
      </w:r>
      <w:r w:rsidR="00423590" w:rsidRPr="00EB75B7">
        <w:rPr>
          <w:rFonts w:asciiTheme="minorHAnsi" w:hAnsiTheme="minorHAnsi" w:cstheme="minorHAnsi"/>
          <w:color w:val="222222"/>
        </w:rPr>
        <w:t>atient must have previously received PBS-subsidised treatment with this drug for this condition,</w:t>
      </w:r>
      <w:r>
        <w:rPr>
          <w:rFonts w:asciiTheme="minorHAnsi" w:hAnsiTheme="minorHAnsi" w:cstheme="minorHAnsi"/>
          <w:color w:val="222222"/>
        </w:rPr>
        <w:t xml:space="preserve"> </w:t>
      </w:r>
      <w:r w:rsidR="00423590" w:rsidRPr="00191382">
        <w:rPr>
          <w:rFonts w:asciiTheme="minorHAnsi" w:hAnsiTheme="minorHAnsi" w:cstheme="minorHAnsi"/>
          <w:b/>
          <w:bCs/>
          <w:color w:val="222222"/>
          <w:bdr w:val="none" w:sz="0" w:space="0" w:color="auto" w:frame="1"/>
        </w:rPr>
        <w:t>AND</w:t>
      </w:r>
    </w:p>
    <w:p w14:paraId="3BB36BCB" w14:textId="489C964F" w:rsidR="00033911" w:rsidRDefault="00423590" w:rsidP="009B4CFB">
      <w:pPr>
        <w:pStyle w:val="NormalWeb"/>
        <w:numPr>
          <w:ilvl w:val="0"/>
          <w:numId w:val="15"/>
        </w:numPr>
        <w:shd w:val="clear" w:color="auto" w:fill="FFFFFF"/>
        <w:spacing w:before="0" w:beforeAutospacing="0" w:after="0" w:afterAutospacing="0" w:line="300" w:lineRule="atLeast"/>
        <w:rPr>
          <w:rFonts w:asciiTheme="minorHAnsi" w:hAnsiTheme="minorHAnsi" w:cstheme="minorHAnsi"/>
          <w:color w:val="222222"/>
        </w:rPr>
      </w:pPr>
      <w:r w:rsidRPr="00EB75B7">
        <w:rPr>
          <w:rFonts w:asciiTheme="minorHAnsi" w:hAnsiTheme="minorHAnsi" w:cstheme="minorHAnsi"/>
          <w:color w:val="222222"/>
        </w:rPr>
        <w:t>The treatment must be in conjunction with dietary therapy and exercise.</w:t>
      </w:r>
    </w:p>
    <w:p w14:paraId="2CD5FC87" w14:textId="306896CB" w:rsidR="000040DE" w:rsidRDefault="000040DE" w:rsidP="00E86BC7">
      <w:pPr>
        <w:pStyle w:val="NormalWeb"/>
        <w:shd w:val="clear" w:color="auto" w:fill="FFFFFF"/>
        <w:spacing w:before="240" w:beforeAutospacing="0" w:afterLines="200" w:after="480" w:afterAutospacing="0" w:line="300" w:lineRule="atLeast"/>
        <w:rPr>
          <w:rFonts w:asciiTheme="minorHAnsi" w:hAnsiTheme="minorHAnsi" w:cstheme="minorHAnsi"/>
        </w:rPr>
      </w:pPr>
      <w:r>
        <w:rPr>
          <w:rFonts w:asciiTheme="minorHAnsi" w:hAnsiTheme="minorHAnsi" w:cstheme="minorHAnsi"/>
        </w:rPr>
        <w:t>Details</w:t>
      </w:r>
      <w:r w:rsidRPr="000040DE">
        <w:rPr>
          <w:rFonts w:asciiTheme="minorHAnsi" w:hAnsiTheme="minorHAnsi" w:cstheme="minorHAnsi"/>
        </w:rPr>
        <w:t xml:space="preserve"> of the evolocumab restriction</w:t>
      </w:r>
      <w:r>
        <w:rPr>
          <w:rFonts w:asciiTheme="minorHAnsi" w:hAnsiTheme="minorHAnsi" w:cstheme="minorHAnsi"/>
        </w:rPr>
        <w:t>s</w:t>
      </w:r>
      <w:r w:rsidRPr="000040DE">
        <w:rPr>
          <w:rFonts w:asciiTheme="minorHAnsi" w:hAnsiTheme="minorHAnsi" w:cstheme="minorHAnsi"/>
        </w:rPr>
        <w:t xml:space="preserve"> can be found in Appendix A. </w:t>
      </w:r>
    </w:p>
    <w:p w14:paraId="22433632" w14:textId="1A69A862" w:rsidR="006775F1" w:rsidRDefault="006775F1" w:rsidP="00E86BC7">
      <w:pPr>
        <w:spacing w:afterLines="200" w:after="480"/>
        <w:rPr>
          <w:rStyle w:val="Hyperlink"/>
        </w:rPr>
      </w:pPr>
      <w:r w:rsidRPr="006775F1" w:rsidDel="00EE2BBB">
        <w:t xml:space="preserve">For </w:t>
      </w:r>
      <w:r w:rsidR="00835337" w:rsidDel="00EE2BBB">
        <w:t xml:space="preserve">details of the current PBS listing refer to the </w:t>
      </w:r>
      <w:hyperlink r:id="rId12" w:history="1">
        <w:r w:rsidR="00835337" w:rsidRPr="00645D51" w:rsidDel="00EE2BBB">
          <w:rPr>
            <w:rStyle w:val="Hyperlink"/>
          </w:rPr>
          <w:t>PBS website</w:t>
        </w:r>
      </w:hyperlink>
      <w:r w:rsidR="00835337" w:rsidDel="00EE2BBB">
        <w:rPr>
          <w:rStyle w:val="Hyperlink"/>
        </w:rPr>
        <w:t>.</w:t>
      </w:r>
    </w:p>
    <w:p w14:paraId="509ADFEB" w14:textId="201634E9" w:rsidR="009C35F2" w:rsidRDefault="009C35F2" w:rsidP="00CF5E22">
      <w:pPr>
        <w:pStyle w:val="Heading3"/>
      </w:pPr>
      <w:r w:rsidRPr="00675BB1" w:rsidDel="00EE2BBB">
        <w:t>Date of listing on PBS</w:t>
      </w:r>
    </w:p>
    <w:p w14:paraId="1E99F911" w14:textId="29DD2012" w:rsidR="000D113C" w:rsidRDefault="000D113C" w:rsidP="00E86BC7">
      <w:pPr>
        <w:rPr>
          <w:highlight w:val="yellow"/>
        </w:rPr>
      </w:pPr>
      <w:r w:rsidRPr="00FB5E9A">
        <w:t xml:space="preserve">Evolocumab was first PBS listed </w:t>
      </w:r>
      <w:r w:rsidR="00B57C68">
        <w:t xml:space="preserve">on </w:t>
      </w:r>
      <w:r>
        <w:t>1 December 2016.</w:t>
      </w:r>
    </w:p>
    <w:p w14:paraId="39EF75ED" w14:textId="73256AB5" w:rsidR="00675BB1" w:rsidRPr="00675BB1" w:rsidDel="00EE2BBB" w:rsidRDefault="00675BB1" w:rsidP="00257FD9">
      <w:pPr>
        <w:pStyle w:val="Heading3"/>
        <w:keepNext/>
      </w:pPr>
      <w:r w:rsidRPr="00675BB1" w:rsidDel="00EE2BBB">
        <w:lastRenderedPageBreak/>
        <w:t>Changes to listing</w:t>
      </w:r>
    </w:p>
    <w:p w14:paraId="4ECF6F1E" w14:textId="425C27AC" w:rsidR="000D113C" w:rsidRPr="004311BE" w:rsidDel="00EE2BBB" w:rsidRDefault="000D113C" w:rsidP="00EF66E9">
      <w:pPr>
        <w:pStyle w:val="Tabletitle"/>
        <w:keepNext/>
        <w:spacing w:before="200"/>
      </w:pPr>
      <w:r>
        <w:t xml:space="preserve">Table </w:t>
      </w:r>
      <w:r w:rsidR="000779D7">
        <w:t>4</w:t>
      </w:r>
      <w:r>
        <w:t>: Changes to the PBS listing of evolocumab</w:t>
      </w:r>
    </w:p>
    <w:tbl>
      <w:tblPr>
        <w:tblStyle w:val="TableGrid"/>
        <w:tblW w:w="0" w:type="auto"/>
        <w:tblLook w:val="04A0" w:firstRow="1" w:lastRow="0" w:firstColumn="1" w:lastColumn="0" w:noHBand="0" w:noVBand="1"/>
      </w:tblPr>
      <w:tblGrid>
        <w:gridCol w:w="1696"/>
        <w:gridCol w:w="7230"/>
      </w:tblGrid>
      <w:tr w:rsidR="002A53F3" w:rsidRPr="00FB5E9A" w14:paraId="27A545B5" w14:textId="08D45E5A" w:rsidTr="002A53F3">
        <w:trPr>
          <w:trHeight w:val="143"/>
          <w:tblHeader/>
        </w:trPr>
        <w:tc>
          <w:tcPr>
            <w:tcW w:w="1696" w:type="dxa"/>
            <w:shd w:val="clear" w:color="auto" w:fill="BFBFBF" w:themeFill="background1" w:themeFillShade="BF"/>
          </w:tcPr>
          <w:p w14:paraId="5A4BC3D9" w14:textId="77777777" w:rsidR="002A53F3" w:rsidRPr="00FB5E9A" w:rsidRDefault="002A53F3" w:rsidP="00EF66E9">
            <w:pPr>
              <w:spacing w:before="60" w:after="60"/>
              <w:rPr>
                <w:b/>
                <w:sz w:val="20"/>
                <w:szCs w:val="20"/>
              </w:rPr>
            </w:pPr>
            <w:r w:rsidRPr="00FB5E9A">
              <w:rPr>
                <w:b/>
                <w:sz w:val="20"/>
                <w:szCs w:val="20"/>
              </w:rPr>
              <w:t>Date</w:t>
            </w:r>
          </w:p>
        </w:tc>
        <w:tc>
          <w:tcPr>
            <w:tcW w:w="7230" w:type="dxa"/>
            <w:shd w:val="clear" w:color="auto" w:fill="BFBFBF" w:themeFill="background1" w:themeFillShade="BF"/>
          </w:tcPr>
          <w:p w14:paraId="6588314F" w14:textId="6A6C38A1" w:rsidR="002A53F3" w:rsidRPr="00FB5E9A" w:rsidRDefault="002A53F3" w:rsidP="00EF66E9">
            <w:pPr>
              <w:spacing w:before="60" w:after="60"/>
              <w:rPr>
                <w:b/>
                <w:sz w:val="20"/>
                <w:szCs w:val="20"/>
              </w:rPr>
            </w:pPr>
            <w:r w:rsidRPr="00FB5E9A">
              <w:rPr>
                <w:b/>
                <w:sz w:val="20"/>
                <w:szCs w:val="20"/>
              </w:rPr>
              <w:t>Change</w:t>
            </w:r>
            <w:r w:rsidR="009E7C2B">
              <w:rPr>
                <w:b/>
                <w:sz w:val="20"/>
                <w:szCs w:val="20"/>
              </w:rPr>
              <w:t xml:space="preserve"> to listing </w:t>
            </w:r>
          </w:p>
        </w:tc>
      </w:tr>
      <w:tr w:rsidR="002A53F3" w:rsidRPr="00FB5E9A" w14:paraId="3CE4B35A" w14:textId="30DD8787" w:rsidTr="00917466">
        <w:trPr>
          <w:trHeight w:val="64"/>
        </w:trPr>
        <w:tc>
          <w:tcPr>
            <w:tcW w:w="1696" w:type="dxa"/>
          </w:tcPr>
          <w:p w14:paraId="055C3187" w14:textId="77777777" w:rsidR="002A53F3" w:rsidRPr="00FB5E9A" w:rsidRDefault="002A53F3" w:rsidP="00EF66E9">
            <w:pPr>
              <w:spacing w:before="60" w:after="60"/>
              <w:rPr>
                <w:sz w:val="20"/>
                <w:szCs w:val="20"/>
              </w:rPr>
            </w:pPr>
            <w:r w:rsidRPr="00FB5E9A">
              <w:rPr>
                <w:sz w:val="20"/>
                <w:szCs w:val="20"/>
              </w:rPr>
              <w:t>1 December 2016</w:t>
            </w:r>
          </w:p>
        </w:tc>
        <w:tc>
          <w:tcPr>
            <w:tcW w:w="7230" w:type="dxa"/>
          </w:tcPr>
          <w:p w14:paraId="7082E6BC" w14:textId="4D25BBCE" w:rsidR="002A53F3" w:rsidRPr="00FB5E9A" w:rsidRDefault="002A53F3" w:rsidP="00EF66E9">
            <w:pPr>
              <w:spacing w:before="60" w:after="60"/>
              <w:rPr>
                <w:sz w:val="20"/>
                <w:szCs w:val="20"/>
              </w:rPr>
            </w:pPr>
            <w:r w:rsidRPr="00FB5E9A">
              <w:rPr>
                <w:sz w:val="20"/>
                <w:szCs w:val="20"/>
              </w:rPr>
              <w:t xml:space="preserve">Listed for the treatment of </w:t>
            </w:r>
            <w:r w:rsidR="0029418E">
              <w:rPr>
                <w:sz w:val="20"/>
                <w:szCs w:val="20"/>
              </w:rPr>
              <w:t>HoFH</w:t>
            </w:r>
            <w:r w:rsidR="00202502">
              <w:rPr>
                <w:sz w:val="20"/>
                <w:szCs w:val="20"/>
              </w:rPr>
              <w:t>,</w:t>
            </w:r>
            <w:r w:rsidR="00D10C2E">
              <w:rPr>
                <w:sz w:val="20"/>
                <w:szCs w:val="20"/>
              </w:rPr>
              <w:t xml:space="preserve"> as recommended at the </w:t>
            </w:r>
            <w:hyperlink r:id="rId13" w:history="1">
              <w:r w:rsidR="00202502" w:rsidRPr="00202502">
                <w:rPr>
                  <w:rStyle w:val="Hyperlink"/>
                  <w:sz w:val="20"/>
                  <w:szCs w:val="20"/>
                </w:rPr>
                <w:t>March 2016 PBAC Meeting</w:t>
              </w:r>
            </w:hyperlink>
            <w:r w:rsidR="00202502">
              <w:rPr>
                <w:sz w:val="20"/>
                <w:szCs w:val="20"/>
              </w:rPr>
              <w:t xml:space="preserve">. </w:t>
            </w:r>
          </w:p>
        </w:tc>
      </w:tr>
      <w:tr w:rsidR="002A53F3" w:rsidRPr="00FB5E9A" w14:paraId="1C45A719" w14:textId="02159AAB" w:rsidTr="002A53F3">
        <w:trPr>
          <w:trHeight w:val="93"/>
        </w:trPr>
        <w:tc>
          <w:tcPr>
            <w:tcW w:w="1696" w:type="dxa"/>
          </w:tcPr>
          <w:p w14:paraId="111CE338" w14:textId="77777777" w:rsidR="002A53F3" w:rsidRPr="00FB5E9A" w:rsidRDefault="002A53F3" w:rsidP="00EF66E9">
            <w:pPr>
              <w:spacing w:before="60" w:after="60"/>
              <w:rPr>
                <w:sz w:val="20"/>
                <w:szCs w:val="20"/>
              </w:rPr>
            </w:pPr>
            <w:r>
              <w:rPr>
                <w:sz w:val="20"/>
                <w:szCs w:val="20"/>
              </w:rPr>
              <w:t>1 November 2017</w:t>
            </w:r>
          </w:p>
        </w:tc>
        <w:tc>
          <w:tcPr>
            <w:tcW w:w="7230" w:type="dxa"/>
          </w:tcPr>
          <w:p w14:paraId="70A13086" w14:textId="77777777" w:rsidR="002A53F3" w:rsidRDefault="0029418E" w:rsidP="00EF66E9">
            <w:pPr>
              <w:spacing w:before="60" w:after="60"/>
              <w:rPr>
                <w:sz w:val="20"/>
                <w:szCs w:val="20"/>
              </w:rPr>
            </w:pPr>
            <w:r>
              <w:rPr>
                <w:sz w:val="20"/>
                <w:szCs w:val="20"/>
              </w:rPr>
              <w:t>A new dose</w:t>
            </w:r>
            <w:r w:rsidR="00202502">
              <w:rPr>
                <w:sz w:val="20"/>
                <w:szCs w:val="20"/>
              </w:rPr>
              <w:t xml:space="preserve"> and form: evolocumab</w:t>
            </w:r>
            <w:r>
              <w:rPr>
                <w:sz w:val="20"/>
                <w:szCs w:val="20"/>
              </w:rPr>
              <w:t xml:space="preserve"> </w:t>
            </w:r>
            <w:r w:rsidR="002A53F3" w:rsidRPr="00775C36">
              <w:rPr>
                <w:sz w:val="20"/>
                <w:szCs w:val="20"/>
              </w:rPr>
              <w:t>420 mg/3.5 mL injection, 3.5 mL cartridge was PBS listed</w:t>
            </w:r>
            <w:r>
              <w:rPr>
                <w:sz w:val="20"/>
                <w:szCs w:val="20"/>
              </w:rPr>
              <w:t xml:space="preserve">. </w:t>
            </w:r>
          </w:p>
          <w:p w14:paraId="25FE829E" w14:textId="7649DDFD" w:rsidR="00202502" w:rsidRDefault="00202502" w:rsidP="00EF66E9">
            <w:pPr>
              <w:spacing w:before="60" w:after="60"/>
              <w:rPr>
                <w:sz w:val="20"/>
                <w:szCs w:val="20"/>
              </w:rPr>
            </w:pPr>
            <w:r>
              <w:rPr>
                <w:sz w:val="20"/>
                <w:szCs w:val="20"/>
              </w:rPr>
              <w:t xml:space="preserve">This was recommended at the </w:t>
            </w:r>
            <w:hyperlink r:id="rId14" w:history="1">
              <w:r w:rsidRPr="00202502">
                <w:rPr>
                  <w:rStyle w:val="Hyperlink"/>
                  <w:sz w:val="20"/>
                  <w:szCs w:val="20"/>
                </w:rPr>
                <w:t>July 2017 PBAC Meeting.</w:t>
              </w:r>
            </w:hyperlink>
            <w:r>
              <w:rPr>
                <w:sz w:val="20"/>
                <w:szCs w:val="20"/>
              </w:rPr>
              <w:t xml:space="preserve"> </w:t>
            </w:r>
          </w:p>
        </w:tc>
      </w:tr>
      <w:tr w:rsidR="002A53F3" w:rsidRPr="00FB5E9A" w14:paraId="76C89765" w14:textId="21664EA6" w:rsidTr="002A53F3">
        <w:trPr>
          <w:trHeight w:val="70"/>
        </w:trPr>
        <w:tc>
          <w:tcPr>
            <w:tcW w:w="1696" w:type="dxa"/>
          </w:tcPr>
          <w:p w14:paraId="1CAEBE55" w14:textId="77777777" w:rsidR="002A53F3" w:rsidRDefault="002A53F3" w:rsidP="00EF66E9">
            <w:pPr>
              <w:spacing w:before="60" w:after="60"/>
              <w:rPr>
                <w:sz w:val="20"/>
                <w:szCs w:val="20"/>
              </w:rPr>
            </w:pPr>
            <w:r>
              <w:rPr>
                <w:sz w:val="20"/>
                <w:szCs w:val="20"/>
              </w:rPr>
              <w:t>1 February 2018</w:t>
            </w:r>
          </w:p>
        </w:tc>
        <w:tc>
          <w:tcPr>
            <w:tcW w:w="7230" w:type="dxa"/>
          </w:tcPr>
          <w:p w14:paraId="18701E29" w14:textId="04A450D9" w:rsidR="002A53F3" w:rsidRDefault="0029418E" w:rsidP="00EF66E9">
            <w:pPr>
              <w:spacing w:before="60" w:after="60"/>
              <w:rPr>
                <w:sz w:val="20"/>
                <w:szCs w:val="20"/>
              </w:rPr>
            </w:pPr>
            <w:r>
              <w:rPr>
                <w:sz w:val="20"/>
                <w:szCs w:val="20"/>
              </w:rPr>
              <w:t>Removal of listing</w:t>
            </w:r>
            <w:r w:rsidR="002A53F3">
              <w:rPr>
                <w:sz w:val="20"/>
                <w:szCs w:val="20"/>
              </w:rPr>
              <w:t xml:space="preserve"> for grandfathered </w:t>
            </w:r>
            <w:r>
              <w:rPr>
                <w:sz w:val="20"/>
                <w:szCs w:val="20"/>
              </w:rPr>
              <w:t>HoFH</w:t>
            </w:r>
            <w:r w:rsidR="002A53F3">
              <w:rPr>
                <w:sz w:val="20"/>
                <w:szCs w:val="20"/>
              </w:rPr>
              <w:t xml:space="preserve"> patient</w:t>
            </w:r>
            <w:r>
              <w:rPr>
                <w:sz w:val="20"/>
                <w:szCs w:val="20"/>
              </w:rPr>
              <w:t xml:space="preserve">s. </w:t>
            </w:r>
          </w:p>
        </w:tc>
      </w:tr>
      <w:tr w:rsidR="002A53F3" w:rsidRPr="00FB5E9A" w14:paraId="4408ACAB" w14:textId="0354F83D" w:rsidTr="002A53F3">
        <w:trPr>
          <w:trHeight w:val="70"/>
        </w:trPr>
        <w:tc>
          <w:tcPr>
            <w:tcW w:w="1696" w:type="dxa"/>
          </w:tcPr>
          <w:p w14:paraId="24CC132F" w14:textId="77777777" w:rsidR="002A53F3" w:rsidRPr="00FB5E9A" w:rsidRDefault="002A53F3" w:rsidP="00EF66E9">
            <w:pPr>
              <w:spacing w:before="60" w:after="60"/>
              <w:rPr>
                <w:sz w:val="20"/>
                <w:szCs w:val="20"/>
              </w:rPr>
            </w:pPr>
            <w:r w:rsidRPr="00FB5E9A">
              <w:rPr>
                <w:sz w:val="20"/>
                <w:szCs w:val="20"/>
              </w:rPr>
              <w:t>1 November 2018</w:t>
            </w:r>
          </w:p>
        </w:tc>
        <w:tc>
          <w:tcPr>
            <w:tcW w:w="7230" w:type="dxa"/>
          </w:tcPr>
          <w:p w14:paraId="06EC1999" w14:textId="77777777" w:rsidR="002A53F3" w:rsidRDefault="0029418E" w:rsidP="00EF66E9">
            <w:pPr>
              <w:spacing w:before="60" w:after="60"/>
              <w:rPr>
                <w:sz w:val="20"/>
                <w:szCs w:val="20"/>
              </w:rPr>
            </w:pPr>
            <w:r>
              <w:rPr>
                <w:sz w:val="20"/>
                <w:szCs w:val="20"/>
              </w:rPr>
              <w:t xml:space="preserve">Extended listing to include </w:t>
            </w:r>
            <w:r w:rsidR="002A53F3" w:rsidRPr="00FB5E9A">
              <w:rPr>
                <w:sz w:val="20"/>
                <w:szCs w:val="20"/>
              </w:rPr>
              <w:t xml:space="preserve">the treatment of </w:t>
            </w:r>
            <w:r>
              <w:rPr>
                <w:sz w:val="20"/>
                <w:szCs w:val="20"/>
              </w:rPr>
              <w:t>HeFH</w:t>
            </w:r>
            <w:r w:rsidR="002A53F3" w:rsidRPr="00FB5E9A">
              <w:rPr>
                <w:sz w:val="20"/>
                <w:szCs w:val="20"/>
              </w:rPr>
              <w:t xml:space="preserve"> </w:t>
            </w:r>
            <w:r w:rsidR="002A53F3">
              <w:rPr>
                <w:sz w:val="20"/>
                <w:szCs w:val="20"/>
              </w:rPr>
              <w:t>under new PBS item codes</w:t>
            </w:r>
            <w:r>
              <w:rPr>
                <w:sz w:val="20"/>
                <w:szCs w:val="20"/>
              </w:rPr>
              <w:t xml:space="preserve">. </w:t>
            </w:r>
          </w:p>
          <w:p w14:paraId="150BB5DE" w14:textId="7916AD59" w:rsidR="00202502" w:rsidRPr="00FB5E9A" w:rsidRDefault="00202502" w:rsidP="00EF66E9">
            <w:pPr>
              <w:spacing w:before="60" w:after="60"/>
              <w:rPr>
                <w:sz w:val="20"/>
                <w:szCs w:val="20"/>
              </w:rPr>
            </w:pPr>
            <w:r>
              <w:rPr>
                <w:sz w:val="20"/>
                <w:szCs w:val="20"/>
              </w:rPr>
              <w:t xml:space="preserve">This was recommended at the </w:t>
            </w:r>
            <w:hyperlink r:id="rId15" w:history="1">
              <w:r w:rsidRPr="00202502">
                <w:rPr>
                  <w:rStyle w:val="Hyperlink"/>
                  <w:sz w:val="20"/>
                  <w:szCs w:val="20"/>
                </w:rPr>
                <w:t>March 2018 PBAC Meeting.</w:t>
              </w:r>
            </w:hyperlink>
            <w:r>
              <w:rPr>
                <w:sz w:val="20"/>
                <w:szCs w:val="20"/>
              </w:rPr>
              <w:t xml:space="preserve"> </w:t>
            </w:r>
          </w:p>
        </w:tc>
      </w:tr>
      <w:tr w:rsidR="002A53F3" w:rsidRPr="00FB5E9A" w14:paraId="3437629E" w14:textId="121A82E4" w:rsidTr="002A53F3">
        <w:trPr>
          <w:trHeight w:val="70"/>
        </w:trPr>
        <w:tc>
          <w:tcPr>
            <w:tcW w:w="1696" w:type="dxa"/>
          </w:tcPr>
          <w:p w14:paraId="542BED31" w14:textId="77777777" w:rsidR="002A53F3" w:rsidRPr="00FB5E9A" w:rsidRDefault="002A53F3" w:rsidP="00EF66E9">
            <w:pPr>
              <w:spacing w:before="60" w:after="60"/>
              <w:rPr>
                <w:sz w:val="20"/>
                <w:szCs w:val="20"/>
              </w:rPr>
            </w:pPr>
            <w:r w:rsidRPr="00FB5E9A">
              <w:rPr>
                <w:sz w:val="20"/>
                <w:szCs w:val="20"/>
              </w:rPr>
              <w:t>1 May 2020</w:t>
            </w:r>
          </w:p>
        </w:tc>
        <w:tc>
          <w:tcPr>
            <w:tcW w:w="7230" w:type="dxa"/>
          </w:tcPr>
          <w:p w14:paraId="0B2E12AA" w14:textId="77777777" w:rsidR="002A53F3" w:rsidRDefault="0029418E" w:rsidP="00EF66E9">
            <w:pPr>
              <w:spacing w:before="60" w:after="60"/>
              <w:rPr>
                <w:sz w:val="20"/>
                <w:szCs w:val="20"/>
              </w:rPr>
            </w:pPr>
            <w:r>
              <w:rPr>
                <w:sz w:val="20"/>
                <w:szCs w:val="20"/>
              </w:rPr>
              <w:t>Extended listing to include the treatment of non-FH</w:t>
            </w:r>
            <w:r w:rsidR="002A53F3" w:rsidRPr="00FB5E9A">
              <w:rPr>
                <w:sz w:val="20"/>
                <w:szCs w:val="20"/>
              </w:rPr>
              <w:t xml:space="preserve"> </w:t>
            </w:r>
            <w:r w:rsidR="002A53F3">
              <w:rPr>
                <w:sz w:val="20"/>
                <w:szCs w:val="20"/>
              </w:rPr>
              <w:t xml:space="preserve">under the same PBS item codes as </w:t>
            </w:r>
            <w:r>
              <w:rPr>
                <w:sz w:val="20"/>
                <w:szCs w:val="20"/>
              </w:rPr>
              <w:t xml:space="preserve">HeFH. </w:t>
            </w:r>
          </w:p>
          <w:p w14:paraId="2B435015" w14:textId="77777777" w:rsidR="0029418E" w:rsidRDefault="0029418E" w:rsidP="00EF66E9">
            <w:pPr>
              <w:spacing w:before="60" w:after="60"/>
              <w:rPr>
                <w:sz w:val="20"/>
                <w:szCs w:val="20"/>
              </w:rPr>
            </w:pPr>
            <w:r>
              <w:rPr>
                <w:sz w:val="20"/>
                <w:szCs w:val="20"/>
              </w:rPr>
              <w:t xml:space="preserve">Listings for continuing treatment changed from Authority Required to Authority Required (Streamlined). </w:t>
            </w:r>
          </w:p>
          <w:p w14:paraId="059D18D3" w14:textId="2FF3D6B6" w:rsidR="00CA16C1" w:rsidRPr="00FB5E9A" w:rsidRDefault="00CA16C1" w:rsidP="00EF66E9">
            <w:pPr>
              <w:spacing w:before="60" w:after="60"/>
              <w:rPr>
                <w:sz w:val="20"/>
                <w:szCs w:val="20"/>
              </w:rPr>
            </w:pPr>
            <w:r>
              <w:rPr>
                <w:sz w:val="20"/>
                <w:szCs w:val="20"/>
              </w:rPr>
              <w:t xml:space="preserve">These changes were recommended at the </w:t>
            </w:r>
            <w:hyperlink r:id="rId16" w:history="1">
              <w:r w:rsidRPr="00202502">
                <w:rPr>
                  <w:rStyle w:val="Hyperlink"/>
                  <w:sz w:val="20"/>
                  <w:szCs w:val="20"/>
                </w:rPr>
                <w:t>November 2019 PBAC Meeting.</w:t>
              </w:r>
            </w:hyperlink>
            <w:r>
              <w:rPr>
                <w:sz w:val="20"/>
                <w:szCs w:val="20"/>
              </w:rPr>
              <w:t xml:space="preserve"> </w:t>
            </w:r>
          </w:p>
        </w:tc>
      </w:tr>
      <w:tr w:rsidR="00212D25" w:rsidRPr="00FB5E9A" w14:paraId="3BA34E47" w14:textId="77777777" w:rsidTr="002A53F3">
        <w:trPr>
          <w:trHeight w:val="272"/>
        </w:trPr>
        <w:tc>
          <w:tcPr>
            <w:tcW w:w="1696" w:type="dxa"/>
          </w:tcPr>
          <w:p w14:paraId="5895E0B5" w14:textId="42E2D412" w:rsidR="00212D25" w:rsidRDefault="00212D25" w:rsidP="00EF66E9">
            <w:pPr>
              <w:spacing w:before="60" w:after="60"/>
              <w:rPr>
                <w:sz w:val="20"/>
                <w:szCs w:val="20"/>
              </w:rPr>
            </w:pPr>
            <w:r>
              <w:rPr>
                <w:sz w:val="20"/>
                <w:szCs w:val="20"/>
              </w:rPr>
              <w:t xml:space="preserve">1 August 2021 </w:t>
            </w:r>
          </w:p>
        </w:tc>
        <w:tc>
          <w:tcPr>
            <w:tcW w:w="7230" w:type="dxa"/>
          </w:tcPr>
          <w:p w14:paraId="60E4F26C" w14:textId="3F8FC628" w:rsidR="00F938BF" w:rsidRDefault="00D10C2E" w:rsidP="00EF66E9">
            <w:pPr>
              <w:spacing w:before="60" w:after="60"/>
              <w:rPr>
                <w:sz w:val="20"/>
                <w:szCs w:val="20"/>
              </w:rPr>
            </w:pPr>
            <w:r>
              <w:rPr>
                <w:sz w:val="20"/>
                <w:szCs w:val="20"/>
              </w:rPr>
              <w:t xml:space="preserve">New grandfather </w:t>
            </w:r>
            <w:r w:rsidR="00DE7337">
              <w:rPr>
                <w:sz w:val="20"/>
                <w:szCs w:val="20"/>
              </w:rPr>
              <w:t>listings</w:t>
            </w:r>
            <w:r>
              <w:rPr>
                <w:sz w:val="20"/>
                <w:szCs w:val="20"/>
              </w:rPr>
              <w:t xml:space="preserve"> to allow the patient population that would have qualified for PBS-subsidy had the LDL</w:t>
            </w:r>
            <w:r w:rsidR="0068741F">
              <w:rPr>
                <w:sz w:val="20"/>
                <w:szCs w:val="20"/>
              </w:rPr>
              <w:t>-C</w:t>
            </w:r>
            <w:r>
              <w:rPr>
                <w:sz w:val="20"/>
                <w:szCs w:val="20"/>
              </w:rPr>
              <w:t xml:space="preserve"> level criterion been 2.6 mmol</w:t>
            </w:r>
            <w:r w:rsidR="009B4CFB">
              <w:rPr>
                <w:sz w:val="20"/>
                <w:szCs w:val="20"/>
              </w:rPr>
              <w:t>/L</w:t>
            </w:r>
            <w:r>
              <w:rPr>
                <w:sz w:val="20"/>
                <w:szCs w:val="20"/>
              </w:rPr>
              <w:t xml:space="preserve"> instead of 3.3 mmol</w:t>
            </w:r>
            <w:r w:rsidR="009B4CFB">
              <w:rPr>
                <w:sz w:val="20"/>
                <w:szCs w:val="20"/>
              </w:rPr>
              <w:t>/L</w:t>
            </w:r>
            <w:r w:rsidR="00F938BF">
              <w:rPr>
                <w:sz w:val="20"/>
                <w:szCs w:val="20"/>
              </w:rPr>
              <w:t xml:space="preserve">. </w:t>
            </w:r>
          </w:p>
          <w:p w14:paraId="7A742F0C" w14:textId="4CFE4748" w:rsidR="00F938BF" w:rsidRDefault="00F938BF" w:rsidP="00EF66E9">
            <w:pPr>
              <w:spacing w:before="60" w:after="60"/>
              <w:rPr>
                <w:sz w:val="20"/>
                <w:szCs w:val="20"/>
              </w:rPr>
            </w:pPr>
            <w:r>
              <w:rPr>
                <w:sz w:val="20"/>
                <w:szCs w:val="20"/>
              </w:rPr>
              <w:t xml:space="preserve">The Authority approval method </w:t>
            </w:r>
            <w:r w:rsidR="006968B7">
              <w:rPr>
                <w:sz w:val="20"/>
                <w:szCs w:val="20"/>
              </w:rPr>
              <w:t xml:space="preserve">HeFH grandfather listing </w:t>
            </w:r>
            <w:r>
              <w:rPr>
                <w:sz w:val="20"/>
                <w:szCs w:val="20"/>
              </w:rPr>
              <w:t>was changed from ‘In writing’ to ‘Telephone/emergency/electronic’</w:t>
            </w:r>
            <w:r w:rsidR="006968B7">
              <w:rPr>
                <w:sz w:val="20"/>
                <w:szCs w:val="20"/>
              </w:rPr>
              <w:t xml:space="preserve">, aligning with the HoFH listing. </w:t>
            </w:r>
          </w:p>
          <w:p w14:paraId="08DA595F" w14:textId="1187AE28" w:rsidR="00F938BF" w:rsidRDefault="00F938BF" w:rsidP="00EF66E9">
            <w:pPr>
              <w:spacing w:before="60" w:after="60"/>
              <w:rPr>
                <w:sz w:val="20"/>
                <w:szCs w:val="20"/>
              </w:rPr>
            </w:pPr>
            <w:r>
              <w:rPr>
                <w:sz w:val="20"/>
                <w:szCs w:val="20"/>
              </w:rPr>
              <w:t>These changes were</w:t>
            </w:r>
            <w:r w:rsidR="00D10C2E">
              <w:rPr>
                <w:sz w:val="20"/>
                <w:szCs w:val="20"/>
              </w:rPr>
              <w:t xml:space="preserve"> recommended at the </w:t>
            </w:r>
            <w:hyperlink r:id="rId17" w:history="1">
              <w:r w:rsidR="00D10C2E" w:rsidRPr="00202502">
                <w:rPr>
                  <w:rStyle w:val="Hyperlink"/>
                  <w:sz w:val="20"/>
                  <w:szCs w:val="20"/>
                </w:rPr>
                <w:t>November 2019 PBAC Meeting.</w:t>
              </w:r>
            </w:hyperlink>
            <w:r w:rsidR="00D10C2E">
              <w:rPr>
                <w:sz w:val="20"/>
                <w:szCs w:val="20"/>
              </w:rPr>
              <w:t xml:space="preserve"> </w:t>
            </w:r>
          </w:p>
        </w:tc>
      </w:tr>
      <w:tr w:rsidR="001769E6" w:rsidRPr="00FB5E9A" w14:paraId="305B8AC8" w14:textId="77777777" w:rsidTr="002A53F3">
        <w:trPr>
          <w:trHeight w:val="272"/>
        </w:trPr>
        <w:tc>
          <w:tcPr>
            <w:tcW w:w="1696" w:type="dxa"/>
          </w:tcPr>
          <w:p w14:paraId="627E7F26" w14:textId="2645202D" w:rsidR="001769E6" w:rsidRPr="00FB5E9A" w:rsidRDefault="001769E6" w:rsidP="00EF66E9">
            <w:pPr>
              <w:spacing w:before="60" w:after="60"/>
              <w:rPr>
                <w:sz w:val="20"/>
                <w:szCs w:val="20"/>
              </w:rPr>
            </w:pPr>
            <w:r>
              <w:rPr>
                <w:sz w:val="20"/>
                <w:szCs w:val="20"/>
              </w:rPr>
              <w:t xml:space="preserve">1 November 2021 </w:t>
            </w:r>
          </w:p>
        </w:tc>
        <w:tc>
          <w:tcPr>
            <w:tcW w:w="7230" w:type="dxa"/>
          </w:tcPr>
          <w:p w14:paraId="28C3C46F" w14:textId="5FEACB8A" w:rsidR="00CA16C1" w:rsidRDefault="00CA16C1" w:rsidP="00EF66E9">
            <w:pPr>
              <w:spacing w:before="60" w:after="60"/>
              <w:rPr>
                <w:sz w:val="20"/>
                <w:szCs w:val="20"/>
              </w:rPr>
            </w:pPr>
            <w:r>
              <w:rPr>
                <w:sz w:val="20"/>
                <w:szCs w:val="20"/>
              </w:rPr>
              <w:t>H</w:t>
            </w:r>
            <w:r w:rsidR="00202502">
              <w:rPr>
                <w:sz w:val="20"/>
                <w:szCs w:val="20"/>
              </w:rPr>
              <w:t>o</w:t>
            </w:r>
            <w:r>
              <w:rPr>
                <w:sz w:val="20"/>
                <w:szCs w:val="20"/>
              </w:rPr>
              <w:t xml:space="preserve">FH and HeFH listings </w:t>
            </w:r>
          </w:p>
          <w:p w14:paraId="59CADBE4" w14:textId="09B1B703" w:rsidR="001769E6" w:rsidRDefault="00D10C2E" w:rsidP="00EF66E9">
            <w:pPr>
              <w:spacing w:before="60" w:after="60"/>
              <w:rPr>
                <w:sz w:val="20"/>
                <w:szCs w:val="20"/>
              </w:rPr>
            </w:pPr>
            <w:r>
              <w:rPr>
                <w:sz w:val="20"/>
                <w:szCs w:val="20"/>
              </w:rPr>
              <w:t>The LDL-</w:t>
            </w:r>
            <w:r w:rsidR="0068741F">
              <w:rPr>
                <w:sz w:val="20"/>
                <w:szCs w:val="20"/>
              </w:rPr>
              <w:t>C</w:t>
            </w:r>
            <w:r>
              <w:rPr>
                <w:sz w:val="20"/>
                <w:szCs w:val="20"/>
              </w:rPr>
              <w:t xml:space="preserve"> eligibility threshold was revised from 3.3mmol/L to 2.6 mmol/L</w:t>
            </w:r>
            <w:r w:rsidR="00CA16C1">
              <w:rPr>
                <w:sz w:val="20"/>
                <w:szCs w:val="20"/>
              </w:rPr>
              <w:t xml:space="preserve">. </w:t>
            </w:r>
          </w:p>
          <w:p w14:paraId="0A73A9DB" w14:textId="01C6B6B3" w:rsidR="00CA16C1" w:rsidRDefault="00CA16C1" w:rsidP="00EF66E9">
            <w:pPr>
              <w:spacing w:before="60" w:after="60"/>
              <w:rPr>
                <w:sz w:val="20"/>
                <w:szCs w:val="20"/>
              </w:rPr>
            </w:pPr>
            <w:r>
              <w:rPr>
                <w:sz w:val="20"/>
                <w:szCs w:val="20"/>
              </w:rPr>
              <w:t>Clarification that the qualifying LDL</w:t>
            </w:r>
            <w:r w:rsidR="0068741F">
              <w:rPr>
                <w:sz w:val="20"/>
                <w:szCs w:val="20"/>
              </w:rPr>
              <w:t>-C</w:t>
            </w:r>
            <w:r>
              <w:rPr>
                <w:sz w:val="20"/>
                <w:szCs w:val="20"/>
              </w:rPr>
              <w:t xml:space="preserve"> level must be following  3 months treatment with ezetimibe and a statin. </w:t>
            </w:r>
          </w:p>
          <w:p w14:paraId="7674ED9C" w14:textId="7827577A" w:rsidR="00CA16C1" w:rsidRDefault="00CA16C1" w:rsidP="00EF66E9">
            <w:pPr>
              <w:spacing w:before="60" w:after="60"/>
              <w:rPr>
                <w:sz w:val="20"/>
                <w:szCs w:val="20"/>
              </w:rPr>
            </w:pPr>
            <w:r>
              <w:rPr>
                <w:sz w:val="20"/>
                <w:szCs w:val="20"/>
              </w:rPr>
              <w:t xml:space="preserve">The </w:t>
            </w:r>
            <w:r w:rsidR="00DF094F">
              <w:rPr>
                <w:sz w:val="20"/>
                <w:szCs w:val="20"/>
              </w:rPr>
              <w:t>‘</w:t>
            </w:r>
            <w:r>
              <w:rPr>
                <w:sz w:val="20"/>
                <w:szCs w:val="20"/>
              </w:rPr>
              <w:t>maximum recommended dose of atorvas</w:t>
            </w:r>
            <w:r w:rsidR="001E5555">
              <w:rPr>
                <w:sz w:val="20"/>
                <w:szCs w:val="20"/>
              </w:rPr>
              <w:t>ta</w:t>
            </w:r>
            <w:r>
              <w:rPr>
                <w:sz w:val="20"/>
                <w:szCs w:val="20"/>
              </w:rPr>
              <w:t>tin or rosuvastatin’ was revised to ‘maximum recommended or tolerated dose of atorvast</w:t>
            </w:r>
            <w:r w:rsidR="00806E09">
              <w:rPr>
                <w:sz w:val="20"/>
                <w:szCs w:val="20"/>
              </w:rPr>
              <w:t>at</w:t>
            </w:r>
            <w:r>
              <w:rPr>
                <w:sz w:val="20"/>
                <w:szCs w:val="20"/>
              </w:rPr>
              <w:t>in or rosu</w:t>
            </w:r>
            <w:r w:rsidR="00843892">
              <w:rPr>
                <w:sz w:val="20"/>
                <w:szCs w:val="20"/>
              </w:rPr>
              <w:t>v</w:t>
            </w:r>
            <w:r>
              <w:rPr>
                <w:sz w:val="20"/>
                <w:szCs w:val="20"/>
              </w:rPr>
              <w:t xml:space="preserve">astatin’ </w:t>
            </w:r>
          </w:p>
          <w:p w14:paraId="107F1B20" w14:textId="77777777" w:rsidR="00D10C2E" w:rsidRDefault="00D10C2E" w:rsidP="00EF66E9">
            <w:pPr>
              <w:spacing w:before="60" w:after="60"/>
              <w:rPr>
                <w:sz w:val="20"/>
                <w:szCs w:val="20"/>
              </w:rPr>
            </w:pPr>
            <w:r>
              <w:rPr>
                <w:sz w:val="20"/>
                <w:szCs w:val="20"/>
              </w:rPr>
              <w:t xml:space="preserve">Authority approval </w:t>
            </w:r>
            <w:r w:rsidR="00CA16C1">
              <w:rPr>
                <w:sz w:val="20"/>
                <w:szCs w:val="20"/>
              </w:rPr>
              <w:t xml:space="preserve">method for the initial restriction </w:t>
            </w:r>
            <w:r>
              <w:rPr>
                <w:sz w:val="20"/>
                <w:szCs w:val="20"/>
              </w:rPr>
              <w:t xml:space="preserve">was changed </w:t>
            </w:r>
            <w:r w:rsidR="00CA16C1">
              <w:rPr>
                <w:sz w:val="20"/>
                <w:szCs w:val="20"/>
              </w:rPr>
              <w:t>from ‘In writing’ to ‘Telephone/Emergency/Electronic’</w:t>
            </w:r>
          </w:p>
          <w:p w14:paraId="29E0CE6A" w14:textId="5D7A1E9F" w:rsidR="00CA16C1" w:rsidRDefault="00CA16C1" w:rsidP="00EF66E9">
            <w:pPr>
              <w:spacing w:before="60" w:after="60"/>
              <w:rPr>
                <w:sz w:val="20"/>
                <w:szCs w:val="20"/>
              </w:rPr>
            </w:pPr>
            <w:r>
              <w:rPr>
                <w:sz w:val="20"/>
                <w:szCs w:val="20"/>
              </w:rPr>
              <w:t xml:space="preserve">These changes were recommended at the </w:t>
            </w:r>
            <w:hyperlink r:id="rId18" w:history="1">
              <w:r w:rsidRPr="00202502">
                <w:rPr>
                  <w:rStyle w:val="Hyperlink"/>
                  <w:sz w:val="20"/>
                  <w:szCs w:val="20"/>
                </w:rPr>
                <w:t>November 2019 PBAC Meeting</w:t>
              </w:r>
            </w:hyperlink>
            <w:r>
              <w:rPr>
                <w:sz w:val="20"/>
                <w:szCs w:val="20"/>
              </w:rPr>
              <w:t xml:space="preserve">. </w:t>
            </w:r>
          </w:p>
        </w:tc>
      </w:tr>
      <w:tr w:rsidR="00D75F10" w:rsidRPr="00FB5E9A" w14:paraId="4CCF3152" w14:textId="77777777" w:rsidTr="002A53F3">
        <w:trPr>
          <w:trHeight w:val="272"/>
        </w:trPr>
        <w:tc>
          <w:tcPr>
            <w:tcW w:w="1696" w:type="dxa"/>
          </w:tcPr>
          <w:p w14:paraId="42CF4386" w14:textId="6AE2AD2B" w:rsidR="00D75F10" w:rsidRPr="00FB5E9A" w:rsidRDefault="00D75F10" w:rsidP="00EF66E9">
            <w:pPr>
              <w:spacing w:before="60" w:after="60"/>
              <w:rPr>
                <w:sz w:val="20"/>
                <w:szCs w:val="20"/>
              </w:rPr>
            </w:pPr>
            <w:r>
              <w:rPr>
                <w:sz w:val="20"/>
                <w:szCs w:val="20"/>
              </w:rPr>
              <w:t xml:space="preserve">1 December 2022 </w:t>
            </w:r>
          </w:p>
        </w:tc>
        <w:tc>
          <w:tcPr>
            <w:tcW w:w="7230" w:type="dxa"/>
          </w:tcPr>
          <w:p w14:paraId="21F2D087" w14:textId="3F5BA4E1" w:rsidR="00DE7337" w:rsidRDefault="0043306D" w:rsidP="00EF66E9">
            <w:pPr>
              <w:spacing w:before="60" w:after="60"/>
              <w:rPr>
                <w:sz w:val="20"/>
                <w:szCs w:val="20"/>
              </w:rPr>
            </w:pPr>
            <w:r>
              <w:rPr>
                <w:sz w:val="20"/>
                <w:szCs w:val="20"/>
              </w:rPr>
              <w:t>LDL-</w:t>
            </w:r>
            <w:r w:rsidR="0068741F">
              <w:rPr>
                <w:sz w:val="20"/>
                <w:szCs w:val="20"/>
              </w:rPr>
              <w:t xml:space="preserve">C </w:t>
            </w:r>
            <w:r>
              <w:rPr>
                <w:sz w:val="20"/>
                <w:szCs w:val="20"/>
              </w:rPr>
              <w:t>eligibility threshold was revised from 2.6 mmol/L to 1.8 mmol/L</w:t>
            </w:r>
            <w:r w:rsidR="00DE7337">
              <w:rPr>
                <w:sz w:val="20"/>
                <w:szCs w:val="20"/>
              </w:rPr>
              <w:t xml:space="preserve">. </w:t>
            </w:r>
          </w:p>
          <w:p w14:paraId="7BFDCEF3" w14:textId="77FEDF30" w:rsidR="0043306D" w:rsidRDefault="0043306D" w:rsidP="00EF66E9">
            <w:pPr>
              <w:spacing w:before="60" w:after="60"/>
              <w:rPr>
                <w:sz w:val="20"/>
                <w:szCs w:val="20"/>
              </w:rPr>
            </w:pPr>
            <w:r>
              <w:rPr>
                <w:sz w:val="20"/>
                <w:szCs w:val="20"/>
              </w:rPr>
              <w:t>A</w:t>
            </w:r>
            <w:r w:rsidRPr="00B35303">
              <w:rPr>
                <w:sz w:val="20"/>
                <w:szCs w:val="20"/>
              </w:rPr>
              <w:t>llow initial prescribing by any medical practitioner in consultation with a specialist physician</w:t>
            </w:r>
            <w:r w:rsidR="00DE7337">
              <w:rPr>
                <w:sz w:val="20"/>
                <w:szCs w:val="20"/>
              </w:rPr>
              <w:t xml:space="preserve">. </w:t>
            </w:r>
          </w:p>
          <w:p w14:paraId="07C52BA7" w14:textId="39D119E4" w:rsidR="00DE7337" w:rsidRDefault="00DE7337" w:rsidP="00EF66E9">
            <w:pPr>
              <w:spacing w:before="60" w:after="60"/>
              <w:rPr>
                <w:sz w:val="20"/>
                <w:szCs w:val="20"/>
              </w:rPr>
            </w:pPr>
            <w:r>
              <w:rPr>
                <w:sz w:val="20"/>
                <w:szCs w:val="20"/>
              </w:rPr>
              <w:t>New grandfather phase listings to allow the patient population that would have qualified for PBS-subsidy had the LDL</w:t>
            </w:r>
            <w:r w:rsidR="0068741F">
              <w:rPr>
                <w:sz w:val="20"/>
                <w:szCs w:val="20"/>
              </w:rPr>
              <w:t>-C</w:t>
            </w:r>
            <w:r>
              <w:rPr>
                <w:sz w:val="20"/>
                <w:szCs w:val="20"/>
              </w:rPr>
              <w:t xml:space="preserve"> level criterion been 1.8 mmol/L. </w:t>
            </w:r>
          </w:p>
          <w:p w14:paraId="245E32CA" w14:textId="3658950D" w:rsidR="0043306D" w:rsidRDefault="0043306D" w:rsidP="00EF66E9">
            <w:pPr>
              <w:spacing w:before="60" w:after="60"/>
              <w:rPr>
                <w:sz w:val="20"/>
                <w:szCs w:val="20"/>
              </w:rPr>
            </w:pPr>
            <w:r>
              <w:rPr>
                <w:sz w:val="20"/>
                <w:szCs w:val="20"/>
              </w:rPr>
              <w:t xml:space="preserve">These changes were recommended at the </w:t>
            </w:r>
            <w:hyperlink r:id="rId19" w:history="1">
              <w:r w:rsidRPr="00A120F8">
                <w:rPr>
                  <w:rStyle w:val="Hyperlink"/>
                  <w:sz w:val="20"/>
                  <w:szCs w:val="20"/>
                </w:rPr>
                <w:t>July 2022 PBAC Meeting.</w:t>
              </w:r>
            </w:hyperlink>
            <w:r>
              <w:rPr>
                <w:sz w:val="20"/>
                <w:szCs w:val="20"/>
              </w:rPr>
              <w:t xml:space="preserve"> </w:t>
            </w:r>
          </w:p>
        </w:tc>
      </w:tr>
    </w:tbl>
    <w:p w14:paraId="3C80EC1E" w14:textId="269C0DFF" w:rsidR="002A53F3" w:rsidRDefault="00BF544D" w:rsidP="00BF544D">
      <w:r w:rsidRPr="002F61CA" w:rsidDel="00EE2BBB">
        <w:t xml:space="preserve">Current PBS listing details are available from </w:t>
      </w:r>
      <w:r w:rsidDel="00EE2BBB">
        <w:t xml:space="preserve">the </w:t>
      </w:r>
      <w:hyperlink r:id="rId20" w:history="1">
        <w:r w:rsidRPr="00645D51" w:rsidDel="00EE2BBB">
          <w:rPr>
            <w:rStyle w:val="Hyperlink"/>
          </w:rPr>
          <w:t>PBS website</w:t>
        </w:r>
      </w:hyperlink>
      <w:r w:rsidDel="00EE2BBB">
        <w:t>.</w:t>
      </w:r>
    </w:p>
    <w:p w14:paraId="4BD1B612" w14:textId="4742A07D" w:rsidR="00642F5F" w:rsidRDefault="00642F5F" w:rsidP="00BF544D"/>
    <w:p w14:paraId="6213ADFB" w14:textId="053A6288" w:rsidR="00642F5F" w:rsidRDefault="00642F5F" w:rsidP="00BF544D"/>
    <w:p w14:paraId="2BE2A751" w14:textId="77777777" w:rsidR="00642F5F" w:rsidRPr="002F61CA" w:rsidDel="00EE2BBB" w:rsidRDefault="00642F5F" w:rsidP="00BF544D"/>
    <w:p w14:paraId="383E312E" w14:textId="724CF700" w:rsidR="00736041" w:rsidRPr="005E22C2" w:rsidRDefault="00394AEE" w:rsidP="00CF5E22">
      <w:pPr>
        <w:pStyle w:val="Heading2"/>
      </w:pPr>
      <w:r>
        <w:lastRenderedPageBreak/>
        <w:t>Relevant aspects of</w:t>
      </w:r>
      <w:r w:rsidR="00736041" w:rsidRPr="005E22C2">
        <w:t xml:space="preserve"> consideration</w:t>
      </w:r>
      <w:r>
        <w:t xml:space="preserve"> by the Pharmaceutical Benefits Advisory Committee (PBAC)</w:t>
      </w:r>
    </w:p>
    <w:p w14:paraId="62E0C37A" w14:textId="61BF436E" w:rsidR="009B4CFB" w:rsidRDefault="000D113C" w:rsidP="000D113C">
      <w:r>
        <w:t xml:space="preserve">The PBAC has considered </w:t>
      </w:r>
      <w:r w:rsidR="0068741F">
        <w:t xml:space="preserve">11 </w:t>
      </w:r>
      <w:r>
        <w:t xml:space="preserve">submissions for </w:t>
      </w:r>
      <w:proofErr w:type="spellStart"/>
      <w:r>
        <w:t>evolocumab</w:t>
      </w:r>
      <w:proofErr w:type="spellEnd"/>
      <w:r>
        <w:t xml:space="preserve"> since 2015. A summary of all the evolocumab submissions can be found in Appendix </w:t>
      </w:r>
      <w:r w:rsidR="008968B6">
        <w:t>B</w:t>
      </w:r>
      <w:r>
        <w:t>.</w:t>
      </w:r>
    </w:p>
    <w:p w14:paraId="0DEBD50F" w14:textId="69B931E7" w:rsidR="00094DCF" w:rsidRDefault="00ED633B" w:rsidP="00CF5E22">
      <w:pPr>
        <w:pStyle w:val="Heading2"/>
      </w:pPr>
      <w:r>
        <w:t xml:space="preserve">Previous reviews by </w:t>
      </w:r>
      <w:r w:rsidR="00177B86">
        <w:t xml:space="preserve">the </w:t>
      </w:r>
      <w:r>
        <w:t>DUSC</w:t>
      </w:r>
    </w:p>
    <w:p w14:paraId="3750AD63" w14:textId="54BF6E1A" w:rsidR="000D113C" w:rsidRPr="000D113C" w:rsidRDefault="000D113C" w:rsidP="000D113C">
      <w:pPr>
        <w:rPr>
          <w:b/>
          <w:bCs/>
          <w:i/>
          <w:iCs/>
        </w:rPr>
      </w:pPr>
      <w:r w:rsidRPr="000D113C">
        <w:rPr>
          <w:b/>
          <w:bCs/>
          <w:i/>
          <w:iCs/>
        </w:rPr>
        <w:t>October 2019</w:t>
      </w:r>
    </w:p>
    <w:p w14:paraId="4A73AEE4" w14:textId="04864CB4" w:rsidR="000D113C" w:rsidRDefault="000D113C" w:rsidP="000D113C">
      <w:r>
        <w:t xml:space="preserve">Evolocumab for </w:t>
      </w:r>
      <w:r w:rsidR="00DF297D">
        <w:t xml:space="preserve">HoFH </w:t>
      </w:r>
      <w:r>
        <w:t xml:space="preserve">was considered by DUSC at its October 2019 meeting. The number of patients treated with evolocumab in the first two years of listing was </w:t>
      </w:r>
      <w:r w:rsidR="00AB7C6C">
        <w:t>higher</w:t>
      </w:r>
      <w:r>
        <w:t xml:space="preserve"> than expected. DUSC noted to qualify for treatment under HoFH item codes, the condition must have been confirmed by genetic testing or by a </w:t>
      </w:r>
      <w:r w:rsidR="003A6026" w:rsidRPr="003A6026">
        <w:rPr>
          <w:rFonts w:eastAsia="Times New Roman" w:cstheme="minorHAnsi"/>
          <w:color w:val="222222"/>
        </w:rPr>
        <w:t>Dutch Lipid Clinic Network Score</w:t>
      </w:r>
      <w:r w:rsidR="003A6026">
        <w:rPr>
          <w:rFonts w:eastAsia="Times New Roman" w:cstheme="minorHAnsi"/>
          <w:color w:val="222222"/>
        </w:rPr>
        <w:t xml:space="preserve"> (DLCNS)</w:t>
      </w:r>
      <w:r w:rsidR="003A6026" w:rsidRPr="003A6026">
        <w:rPr>
          <w:rFonts w:eastAsia="Times New Roman" w:cstheme="minorHAnsi"/>
          <w:color w:val="222222"/>
        </w:rPr>
        <w:t xml:space="preserve"> </w:t>
      </w:r>
      <w:r w:rsidRPr="003A6026">
        <w:t>of at least</w:t>
      </w:r>
      <w:r>
        <w:t xml:space="preserve"> 7. DUSC considered that as the DLCNS was used by the majority of prescribers to confirm the condition, the actual number of treated patients most likely included both HoFH and HeFH patients.</w:t>
      </w:r>
    </w:p>
    <w:p w14:paraId="530937F8" w14:textId="0C9C4E35" w:rsidR="000D113C" w:rsidRDefault="000D113C" w:rsidP="000D113C">
      <w:r>
        <w:t xml:space="preserve">For details of the DUSC consideration of evolocumab for </w:t>
      </w:r>
      <w:r w:rsidR="00DF297D">
        <w:t>HoFH</w:t>
      </w:r>
      <w:r>
        <w:t xml:space="preserve"> refer to the </w:t>
      </w:r>
      <w:hyperlink r:id="rId21" w:history="1">
        <w:r w:rsidRPr="00B55540">
          <w:rPr>
            <w:rStyle w:val="Hyperlink"/>
          </w:rPr>
          <w:t>Public Release Document</w:t>
        </w:r>
      </w:hyperlink>
      <w:r>
        <w:t xml:space="preserve"> from the October 2019 DUSC meeting.</w:t>
      </w:r>
    </w:p>
    <w:p w14:paraId="60299F3D" w14:textId="47B2AF2D" w:rsidR="000D113C" w:rsidRPr="000D113C" w:rsidRDefault="000D113C" w:rsidP="000D113C">
      <w:pPr>
        <w:rPr>
          <w:b/>
          <w:bCs/>
          <w:i/>
          <w:iCs/>
        </w:rPr>
      </w:pPr>
      <w:r w:rsidRPr="000D113C">
        <w:rPr>
          <w:b/>
          <w:bCs/>
          <w:i/>
          <w:iCs/>
        </w:rPr>
        <w:t xml:space="preserve">June 2021 </w:t>
      </w:r>
    </w:p>
    <w:p w14:paraId="65B9B804" w14:textId="09A89A9E" w:rsidR="000D113C" w:rsidRDefault="000D113C" w:rsidP="00A35800">
      <w:r>
        <w:t xml:space="preserve">DUSC reviewed the use of evolocumab for the treatment of </w:t>
      </w:r>
      <w:r w:rsidR="00BD7762">
        <w:t>HeFH</w:t>
      </w:r>
      <w:r>
        <w:t xml:space="preserve">. The submission was based on </w:t>
      </w:r>
      <w:r w:rsidR="00BD7762">
        <w:t>FH</w:t>
      </w:r>
      <w:r>
        <w:t xml:space="preserve">; both homozygous or heterozygous. In 2020, 2,693 patients were supplied at least one prescription for </w:t>
      </w:r>
      <w:r w:rsidR="00781881">
        <w:t>FH</w:t>
      </w:r>
      <w:r>
        <w:t xml:space="preserve"> and, of these, 923 patients were supplied their first PBS</w:t>
      </w:r>
      <w:r w:rsidR="00001814">
        <w:t xml:space="preserve"> </w:t>
      </w:r>
      <w:r>
        <w:t xml:space="preserve">subsidised evolocumab prescription for this indication. Evolocumab is most frequently supplied as a dose of 280 mg or 420 mg in quantities of two or three 140 mg/mL pen devices. In 2020, 88% (17,181) of evolocumab prescriptions and 95% (43,675) of the total quantity supplied for </w:t>
      </w:r>
      <w:r w:rsidR="00781881">
        <w:t>FH</w:t>
      </w:r>
      <w:r>
        <w:t xml:space="preserve"> were for the 140 mg/mL pen device. </w:t>
      </w:r>
    </w:p>
    <w:p w14:paraId="5C143877" w14:textId="15AC28DE" w:rsidR="00E371EA" w:rsidRPr="00ED633B" w:rsidRDefault="009D1ED5" w:rsidP="00A35800">
      <w:r>
        <w:t xml:space="preserve">For details of the DUSC consideration of </w:t>
      </w:r>
      <w:r w:rsidR="000D113C">
        <w:t xml:space="preserve">evolocumab for </w:t>
      </w:r>
      <w:r w:rsidR="00781881">
        <w:t>HeFH</w:t>
      </w:r>
      <w:r>
        <w:t xml:space="preserve"> refer to the </w:t>
      </w:r>
      <w:hyperlink r:id="rId22" w:history="1">
        <w:r w:rsidRPr="00B35303">
          <w:rPr>
            <w:rStyle w:val="Hyperlink"/>
          </w:rPr>
          <w:t>Public Release Document</w:t>
        </w:r>
      </w:hyperlink>
      <w:r>
        <w:t xml:space="preserve"> from the </w:t>
      </w:r>
      <w:r w:rsidR="000D113C">
        <w:t>June 2021</w:t>
      </w:r>
      <w:r>
        <w:t xml:space="preserve"> DUSC meeting.</w:t>
      </w:r>
    </w:p>
    <w:p w14:paraId="76DDB18C" w14:textId="77777777" w:rsidR="00553EDE" w:rsidRDefault="00553EDE">
      <w:pPr>
        <w:spacing w:line="276" w:lineRule="auto"/>
        <w:rPr>
          <w:rFonts w:eastAsiaTheme="majorEastAsia" w:cstheme="majorBidi"/>
          <w:b/>
          <w:bCs/>
          <w:sz w:val="32"/>
          <w:szCs w:val="32"/>
        </w:rPr>
      </w:pPr>
      <w:r>
        <w:br w:type="page"/>
      </w:r>
    </w:p>
    <w:p w14:paraId="0312FFEC" w14:textId="044F7239" w:rsidR="00E677DD" w:rsidRPr="005E22C2" w:rsidRDefault="00E677DD" w:rsidP="00CF5E22">
      <w:pPr>
        <w:pStyle w:val="Heading1"/>
      </w:pPr>
      <w:r w:rsidRPr="005E22C2">
        <w:lastRenderedPageBreak/>
        <w:t>Method</w:t>
      </w:r>
      <w:r w:rsidR="001B5D37" w:rsidRPr="005E22C2">
        <w:t>s</w:t>
      </w:r>
    </w:p>
    <w:p w14:paraId="34BD897C" w14:textId="2DD070B7" w:rsidR="00404126" w:rsidRDefault="00404126" w:rsidP="00404126">
      <w:pPr>
        <w:jc w:val="both"/>
        <w:rPr>
          <w:rFonts w:eastAsia="Times New Roman" w:cstheme="minorHAnsi"/>
        </w:rPr>
      </w:pPr>
      <w:r w:rsidRPr="002805FB">
        <w:rPr>
          <w:rFonts w:eastAsia="Times New Roman" w:cstheme="minorHAnsi"/>
        </w:rPr>
        <w:t xml:space="preserve">PBS </w:t>
      </w:r>
      <w:r>
        <w:rPr>
          <w:rFonts w:eastAsia="Times New Roman" w:cstheme="minorHAnsi"/>
        </w:rPr>
        <w:t>prescription</w:t>
      </w:r>
      <w:r w:rsidRPr="002805FB">
        <w:rPr>
          <w:rFonts w:eastAsia="Times New Roman" w:cstheme="minorHAnsi"/>
        </w:rPr>
        <w:t xml:space="preserve"> data for </w:t>
      </w:r>
      <w:r>
        <w:rPr>
          <w:rFonts w:eastAsia="Times New Roman" w:cstheme="minorHAnsi"/>
        </w:rPr>
        <w:t>evolocumab</w:t>
      </w:r>
      <w:r w:rsidRPr="002805FB">
        <w:rPr>
          <w:rFonts w:eastAsia="Times New Roman" w:cstheme="minorHAnsi"/>
        </w:rPr>
        <w:t xml:space="preserve"> </w:t>
      </w:r>
      <w:r>
        <w:rPr>
          <w:rFonts w:eastAsia="Times New Roman" w:cstheme="minorHAnsi"/>
        </w:rPr>
        <w:t>was</w:t>
      </w:r>
      <w:r w:rsidRPr="002805FB">
        <w:rPr>
          <w:rFonts w:eastAsia="Times New Roman" w:cstheme="minorHAnsi"/>
        </w:rPr>
        <w:t xml:space="preserve"> extracted from the PBS data maintained by the Department of Health</w:t>
      </w:r>
      <w:r w:rsidR="00BB2B22">
        <w:rPr>
          <w:rFonts w:eastAsia="Times New Roman" w:cstheme="minorHAnsi"/>
        </w:rPr>
        <w:t xml:space="preserve"> and Aged Care</w:t>
      </w:r>
      <w:r w:rsidRPr="002805FB">
        <w:rPr>
          <w:rFonts w:eastAsia="Times New Roman" w:cstheme="minorHAnsi"/>
        </w:rPr>
        <w:t xml:space="preserve">, processed by Services Australia. </w:t>
      </w:r>
      <w:r>
        <w:rPr>
          <w:rFonts w:eastAsia="Times New Roman" w:cstheme="minorHAnsi"/>
        </w:rPr>
        <w:t>Data were extracted</w:t>
      </w:r>
      <w:r w:rsidRPr="006F5305">
        <w:rPr>
          <w:rFonts w:eastAsia="Times New Roman" w:cstheme="minorHAnsi"/>
        </w:rPr>
        <w:t xml:space="preserve"> for dates of supply up to and incl</w:t>
      </w:r>
      <w:r>
        <w:rPr>
          <w:rFonts w:eastAsia="Times New Roman" w:cstheme="minorHAnsi"/>
        </w:rPr>
        <w:t>uding 30 September 202</w:t>
      </w:r>
      <w:r w:rsidR="000A3F5E">
        <w:rPr>
          <w:rFonts w:eastAsia="Times New Roman" w:cstheme="minorHAnsi"/>
        </w:rPr>
        <w:t>2</w:t>
      </w:r>
      <w:r>
        <w:rPr>
          <w:rFonts w:eastAsia="Times New Roman" w:cstheme="minorHAnsi"/>
        </w:rPr>
        <w:t xml:space="preserve">. These prescription data were used to </w:t>
      </w:r>
      <w:r w:rsidRPr="002C78A6">
        <w:rPr>
          <w:rFonts w:eastAsia="Times New Roman" w:cstheme="minorHAnsi"/>
        </w:rPr>
        <w:t>analyse u</w:t>
      </w:r>
      <w:r>
        <w:rPr>
          <w:rFonts w:eastAsia="Times New Roman" w:cstheme="minorHAnsi"/>
        </w:rPr>
        <w:t>tilisation</w:t>
      </w:r>
      <w:r w:rsidRPr="002C78A6">
        <w:rPr>
          <w:rFonts w:eastAsia="Times New Roman" w:cstheme="minorHAnsi"/>
        </w:rPr>
        <w:t xml:space="preserve">, the age and </w:t>
      </w:r>
      <w:r w:rsidR="007F2645">
        <w:rPr>
          <w:rFonts w:eastAsia="Times New Roman" w:cstheme="minorHAnsi"/>
        </w:rPr>
        <w:t>gender</w:t>
      </w:r>
      <w:r w:rsidRPr="002C78A6">
        <w:rPr>
          <w:rFonts w:eastAsia="Times New Roman" w:cstheme="minorHAnsi"/>
        </w:rPr>
        <w:t xml:space="preserve"> of patients, time to resupply</w:t>
      </w:r>
      <w:r w:rsidR="000040DE">
        <w:rPr>
          <w:rFonts w:eastAsia="Times New Roman" w:cstheme="minorHAnsi"/>
        </w:rPr>
        <w:t xml:space="preserve"> and prescriber type</w:t>
      </w:r>
      <w:r w:rsidR="004D3793">
        <w:rPr>
          <w:rFonts w:eastAsia="Times New Roman" w:cstheme="minorHAnsi"/>
        </w:rPr>
        <w:t xml:space="preserve">. </w:t>
      </w:r>
    </w:p>
    <w:p w14:paraId="66502544" w14:textId="77777777" w:rsidR="00404126" w:rsidRPr="000C65A4" w:rsidRDefault="00404126" w:rsidP="000A3F5E">
      <w:pPr>
        <w:rPr>
          <w:rFonts w:eastAsia="Times New Roman" w:cstheme="minorHAnsi"/>
        </w:rPr>
      </w:pPr>
      <w:r>
        <w:rPr>
          <w:rFonts w:eastAsia="Times New Roman" w:cstheme="minorHAnsi"/>
        </w:rPr>
        <w:t xml:space="preserve">Authorities data were extracted from the Authorities database, and matched to the prescription data to determine the type of </w:t>
      </w:r>
      <w:r w:rsidRPr="009F5E8B">
        <w:t>hypercholesterolaemia</w:t>
      </w:r>
      <w:r>
        <w:t xml:space="preserve"> the prescription was intended to treat</w:t>
      </w:r>
      <w:r>
        <w:rPr>
          <w:rFonts w:eastAsia="Times New Roman" w:cstheme="minorHAnsi"/>
        </w:rPr>
        <w:t xml:space="preserve">. Where a streamlined code for </w:t>
      </w:r>
      <w:r w:rsidRPr="009F5E8B">
        <w:t>hypercholesterolaemia</w:t>
      </w:r>
      <w:r>
        <w:t xml:space="preserve"> </w:t>
      </w:r>
      <w:r>
        <w:rPr>
          <w:rFonts w:eastAsia="Times New Roman" w:cstheme="minorHAnsi"/>
        </w:rPr>
        <w:t xml:space="preserve">was recorded, this was used in preference to the Authority code. </w:t>
      </w:r>
    </w:p>
    <w:p w14:paraId="2BB29CD9" w14:textId="50184873" w:rsidR="00404126" w:rsidRDefault="00404126" w:rsidP="00404126">
      <w:r w:rsidRPr="000A3F5E">
        <w:t>Consistency of utilisation by indication was investigated, including indication by item code and restriction code for 202</w:t>
      </w:r>
      <w:r w:rsidR="000A3F5E" w:rsidRPr="000A3F5E">
        <w:t>1</w:t>
      </w:r>
      <w:r w:rsidRPr="000A3F5E">
        <w:t>, and the sequence of indication for each patient. Sequence of indication ignored prescriptions with an unknown indication, and assigned the patient ‘Unknown’ if none of the prescriptions supplied to that patient included an indication. In some analyses a patient’s main indication was used. Main indication was determined by the indication recorded on a majority of the patient’s prescriptions. If two indications were recorded the same number of times, the patient’s main indication was determined by the indication recorded on their initial prescription.</w:t>
      </w:r>
    </w:p>
    <w:p w14:paraId="63E68E13" w14:textId="1A567DBD" w:rsidR="00B7092E" w:rsidRPr="000A3F5E" w:rsidRDefault="00B7092E" w:rsidP="00404126">
      <w:r>
        <w:t>A</w:t>
      </w:r>
      <w:r w:rsidR="00782C1E">
        <w:t>n</w:t>
      </w:r>
      <w:r>
        <w:t xml:space="preserve"> indication sequence analysis was conducted to examine consistency of indication </w:t>
      </w:r>
      <w:r w:rsidR="00782C1E">
        <w:t>according</w:t>
      </w:r>
      <w:r>
        <w:t xml:space="preserve"> item code and restriction code in 2021. In both of these analyses, the first indication </w:t>
      </w:r>
      <w:r w:rsidR="00782C1E">
        <w:t xml:space="preserve">was </w:t>
      </w:r>
      <w:r>
        <w:t>recorded and if patients were subsequently supplied other indications</w:t>
      </w:r>
      <w:r w:rsidR="00782C1E">
        <w:t xml:space="preserve"> throughout the year</w:t>
      </w:r>
      <w:r>
        <w:t>, these were noted to form the patient’</w:t>
      </w:r>
      <w:r w:rsidR="00782C1E">
        <w:t xml:space="preserve">s </w:t>
      </w:r>
      <w:r>
        <w:t>indication sequence.</w:t>
      </w:r>
    </w:p>
    <w:p w14:paraId="4723987A" w14:textId="2C9DBFD1" w:rsidR="00404126" w:rsidRDefault="00404126" w:rsidP="00404126">
      <w:r w:rsidRPr="000A3F5E">
        <w:t>Treatment duration was analysed using the Kaplan-Meier method. A patient was censored if they were supplied a prescription within three times the median time to resupply prior to 3</w:t>
      </w:r>
      <w:r w:rsidR="000A3F5E" w:rsidRPr="000A3F5E">
        <w:t>0 September</w:t>
      </w:r>
      <w:r w:rsidRPr="000A3F5E">
        <w:t xml:space="preserve"> 202</w:t>
      </w:r>
      <w:r w:rsidR="000A3F5E" w:rsidRPr="000A3F5E">
        <w:t>2</w:t>
      </w:r>
      <w:r w:rsidRPr="000A3F5E">
        <w:t xml:space="preserve"> (i.e. 3</w:t>
      </w:r>
      <w:r w:rsidRPr="000A3F5E">
        <w:rPr>
          <w:rFonts w:cstheme="minorHAnsi"/>
        </w:rPr>
        <w:t>×</w:t>
      </w:r>
      <w:r w:rsidRPr="000A3F5E">
        <w:t>3</w:t>
      </w:r>
      <w:r w:rsidR="000A3F5E" w:rsidRPr="000A3F5E">
        <w:t>1</w:t>
      </w:r>
      <w:r w:rsidRPr="000A3F5E">
        <w:t xml:space="preserve"> days).</w:t>
      </w:r>
    </w:p>
    <w:p w14:paraId="5BC23B19" w14:textId="018AB44C" w:rsidR="003B0852" w:rsidRDefault="00275193" w:rsidP="00744C83">
      <w:r>
        <w:t>The indication by which patients initiated evolocumab treatment were analysed. This included the prescriber type as well as the patient’s level of remoteness. The remoteness area is based on the patient postcode at the time of prescription processing by Services Australia and uses the ABS Remoteness Structure 2018 (cat no. 1270.0.55.005)</w:t>
      </w:r>
    </w:p>
    <w:p w14:paraId="51AC5DC7" w14:textId="3A0BEF66" w:rsidR="004D3793" w:rsidRPr="00744C83" w:rsidRDefault="004D3793" w:rsidP="00744C83">
      <w:r w:rsidRPr="00744C83">
        <w:t xml:space="preserve">Assumptions used to derive the financial estimates of the non-FH listing were analysed. A 10% PBS sample was used to analyse the number of patients treated with ezetimibe ± statins </w:t>
      </w:r>
      <w:r w:rsidR="00D366CA" w:rsidRPr="00744C83">
        <w:t>to</w:t>
      </w:r>
      <w:r w:rsidRPr="00744C83">
        <w:t xml:space="preserve"> determine the proportion of patients who initiated and continued treatment for longer than three months. </w:t>
      </w:r>
    </w:p>
    <w:p w14:paraId="75999D37" w14:textId="0322792E" w:rsidR="00404126" w:rsidRDefault="00404126" w:rsidP="00A35800">
      <w:r w:rsidRPr="000A3F5E">
        <w:t>As this analysis uses date of supply prescription data, there may be small differences compared with publicly available Medicare date of processing data.</w:t>
      </w:r>
      <w:r w:rsidRPr="00782C1E">
        <w:rPr>
          <w:vertAlign w:val="superscript"/>
        </w:rPr>
        <w:footnoteReference w:id="3"/>
      </w:r>
      <w:r w:rsidRPr="00782C1E">
        <w:rPr>
          <w:vertAlign w:val="superscript"/>
        </w:rPr>
        <w:t xml:space="preserve"> </w:t>
      </w:r>
      <w:r>
        <w:t xml:space="preserve"> </w:t>
      </w:r>
    </w:p>
    <w:p w14:paraId="4F91A98A" w14:textId="1C097F02" w:rsidR="00C714D0" w:rsidRPr="005E22C2" w:rsidRDefault="00C714D0" w:rsidP="00CF5E22">
      <w:pPr>
        <w:pStyle w:val="Heading1"/>
      </w:pPr>
      <w:r w:rsidRPr="005E22C2">
        <w:lastRenderedPageBreak/>
        <w:t>Results</w:t>
      </w:r>
    </w:p>
    <w:p w14:paraId="2221FF19" w14:textId="6B835864" w:rsidR="00736041"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5B2263D6" w14:textId="64E1931E" w:rsidR="003B7EFE" w:rsidRDefault="003B7EFE" w:rsidP="003B7EFE">
      <w:pPr>
        <w:pStyle w:val="Heading3"/>
      </w:pPr>
      <w:r>
        <w:t xml:space="preserve">Overall utilisation </w:t>
      </w:r>
    </w:p>
    <w:p w14:paraId="3CD5D445" w14:textId="1D4FE77C" w:rsidR="003B7EFE" w:rsidRPr="003B7EFE" w:rsidRDefault="003B7EFE" w:rsidP="00EF66E9">
      <w:pPr>
        <w:pStyle w:val="Tabletitle"/>
        <w:spacing w:before="200"/>
      </w:pPr>
      <w:r>
        <w:t xml:space="preserve">Table </w:t>
      </w:r>
      <w:r w:rsidR="004145FD">
        <w:t>5</w:t>
      </w:r>
      <w:r>
        <w:t xml:space="preserve">: Utilisation of evolocumab by calendar year </w:t>
      </w:r>
    </w:p>
    <w:tbl>
      <w:tblPr>
        <w:tblStyle w:val="TableGrid"/>
        <w:tblW w:w="0" w:type="auto"/>
        <w:tblLook w:val="04A0" w:firstRow="1" w:lastRow="0" w:firstColumn="1" w:lastColumn="0" w:noHBand="0" w:noVBand="1"/>
      </w:tblPr>
      <w:tblGrid>
        <w:gridCol w:w="1838"/>
        <w:gridCol w:w="1015"/>
        <w:gridCol w:w="1015"/>
        <w:gridCol w:w="1015"/>
        <w:gridCol w:w="1016"/>
        <w:gridCol w:w="1015"/>
        <w:gridCol w:w="1015"/>
        <w:gridCol w:w="1016"/>
      </w:tblGrid>
      <w:tr w:rsidR="00710B9C" w:rsidRPr="002432F4" w14:paraId="699D8420" w14:textId="72A273C0" w:rsidTr="002432F4">
        <w:tc>
          <w:tcPr>
            <w:tcW w:w="1838" w:type="dxa"/>
            <w:shd w:val="clear" w:color="auto" w:fill="BFBFBF" w:themeFill="background1" w:themeFillShade="BF"/>
          </w:tcPr>
          <w:p w14:paraId="4E422131" w14:textId="77777777" w:rsidR="00710B9C" w:rsidRPr="002432F4" w:rsidRDefault="00710B9C" w:rsidP="00EF66E9">
            <w:pPr>
              <w:spacing w:before="60" w:after="60"/>
              <w:jc w:val="center"/>
              <w:rPr>
                <w:b/>
                <w:bCs/>
                <w:sz w:val="20"/>
                <w:szCs w:val="20"/>
              </w:rPr>
            </w:pPr>
          </w:p>
        </w:tc>
        <w:tc>
          <w:tcPr>
            <w:tcW w:w="1015" w:type="dxa"/>
            <w:shd w:val="clear" w:color="auto" w:fill="BFBFBF" w:themeFill="background1" w:themeFillShade="BF"/>
          </w:tcPr>
          <w:p w14:paraId="2C306502" w14:textId="5D43A8E0" w:rsidR="00710B9C" w:rsidRPr="002432F4" w:rsidRDefault="00710B9C" w:rsidP="00EF66E9">
            <w:pPr>
              <w:spacing w:before="60" w:after="60"/>
              <w:jc w:val="center"/>
              <w:rPr>
                <w:b/>
                <w:bCs/>
                <w:sz w:val="20"/>
                <w:szCs w:val="20"/>
              </w:rPr>
            </w:pPr>
            <w:r w:rsidRPr="002432F4">
              <w:rPr>
                <w:b/>
                <w:bCs/>
                <w:sz w:val="20"/>
                <w:szCs w:val="20"/>
              </w:rPr>
              <w:t>2016</w:t>
            </w:r>
          </w:p>
        </w:tc>
        <w:tc>
          <w:tcPr>
            <w:tcW w:w="1015" w:type="dxa"/>
            <w:shd w:val="clear" w:color="auto" w:fill="BFBFBF" w:themeFill="background1" w:themeFillShade="BF"/>
          </w:tcPr>
          <w:p w14:paraId="7D1D2E9E" w14:textId="39206E33" w:rsidR="00710B9C" w:rsidRPr="002432F4" w:rsidRDefault="00710B9C" w:rsidP="00EF66E9">
            <w:pPr>
              <w:spacing w:before="60" w:after="60"/>
              <w:jc w:val="center"/>
              <w:rPr>
                <w:b/>
                <w:bCs/>
                <w:sz w:val="20"/>
                <w:szCs w:val="20"/>
              </w:rPr>
            </w:pPr>
            <w:r w:rsidRPr="002432F4">
              <w:rPr>
                <w:b/>
                <w:bCs/>
                <w:sz w:val="20"/>
                <w:szCs w:val="20"/>
              </w:rPr>
              <w:t>2017</w:t>
            </w:r>
          </w:p>
        </w:tc>
        <w:tc>
          <w:tcPr>
            <w:tcW w:w="1015" w:type="dxa"/>
            <w:shd w:val="clear" w:color="auto" w:fill="BFBFBF" w:themeFill="background1" w:themeFillShade="BF"/>
          </w:tcPr>
          <w:p w14:paraId="54B9735C" w14:textId="238B81BB" w:rsidR="00710B9C" w:rsidRPr="002432F4" w:rsidRDefault="00710B9C" w:rsidP="00EF66E9">
            <w:pPr>
              <w:spacing w:before="60" w:after="60"/>
              <w:jc w:val="center"/>
              <w:rPr>
                <w:b/>
                <w:bCs/>
                <w:sz w:val="20"/>
                <w:szCs w:val="20"/>
              </w:rPr>
            </w:pPr>
            <w:r w:rsidRPr="002432F4">
              <w:rPr>
                <w:b/>
                <w:bCs/>
                <w:sz w:val="20"/>
                <w:szCs w:val="20"/>
              </w:rPr>
              <w:t>2018</w:t>
            </w:r>
          </w:p>
        </w:tc>
        <w:tc>
          <w:tcPr>
            <w:tcW w:w="1016" w:type="dxa"/>
            <w:shd w:val="clear" w:color="auto" w:fill="BFBFBF" w:themeFill="background1" w:themeFillShade="BF"/>
          </w:tcPr>
          <w:p w14:paraId="698B7AF8" w14:textId="5AD22D3C" w:rsidR="00710B9C" w:rsidRPr="002432F4" w:rsidRDefault="00710B9C" w:rsidP="00EF66E9">
            <w:pPr>
              <w:spacing w:before="60" w:after="60"/>
              <w:jc w:val="center"/>
              <w:rPr>
                <w:b/>
                <w:bCs/>
                <w:sz w:val="20"/>
                <w:szCs w:val="20"/>
              </w:rPr>
            </w:pPr>
            <w:r w:rsidRPr="002432F4">
              <w:rPr>
                <w:b/>
                <w:bCs/>
                <w:sz w:val="20"/>
                <w:szCs w:val="20"/>
              </w:rPr>
              <w:t>2019</w:t>
            </w:r>
          </w:p>
        </w:tc>
        <w:tc>
          <w:tcPr>
            <w:tcW w:w="1015" w:type="dxa"/>
            <w:shd w:val="clear" w:color="auto" w:fill="BFBFBF" w:themeFill="background1" w:themeFillShade="BF"/>
          </w:tcPr>
          <w:p w14:paraId="26F9612D" w14:textId="58F6C12E" w:rsidR="00710B9C" w:rsidRPr="002432F4" w:rsidRDefault="00710B9C" w:rsidP="00EF66E9">
            <w:pPr>
              <w:spacing w:before="60" w:after="60"/>
              <w:jc w:val="center"/>
              <w:rPr>
                <w:b/>
                <w:bCs/>
                <w:sz w:val="20"/>
                <w:szCs w:val="20"/>
              </w:rPr>
            </w:pPr>
            <w:r w:rsidRPr="002432F4">
              <w:rPr>
                <w:b/>
                <w:bCs/>
                <w:sz w:val="20"/>
                <w:szCs w:val="20"/>
              </w:rPr>
              <w:t>2020</w:t>
            </w:r>
          </w:p>
        </w:tc>
        <w:tc>
          <w:tcPr>
            <w:tcW w:w="1015" w:type="dxa"/>
            <w:shd w:val="clear" w:color="auto" w:fill="BFBFBF" w:themeFill="background1" w:themeFillShade="BF"/>
          </w:tcPr>
          <w:p w14:paraId="4811B019" w14:textId="478F01A1" w:rsidR="00710B9C" w:rsidRPr="002432F4" w:rsidRDefault="00710B9C" w:rsidP="00EF66E9">
            <w:pPr>
              <w:spacing w:before="60" w:after="60"/>
              <w:jc w:val="center"/>
              <w:rPr>
                <w:b/>
                <w:bCs/>
                <w:sz w:val="20"/>
                <w:szCs w:val="20"/>
              </w:rPr>
            </w:pPr>
            <w:r w:rsidRPr="002432F4">
              <w:rPr>
                <w:b/>
                <w:bCs/>
                <w:sz w:val="20"/>
                <w:szCs w:val="20"/>
              </w:rPr>
              <w:t>2021</w:t>
            </w:r>
          </w:p>
        </w:tc>
        <w:tc>
          <w:tcPr>
            <w:tcW w:w="1016" w:type="dxa"/>
            <w:shd w:val="clear" w:color="auto" w:fill="BFBFBF" w:themeFill="background1" w:themeFillShade="BF"/>
          </w:tcPr>
          <w:p w14:paraId="5D3F89F4" w14:textId="3B500EE3" w:rsidR="00710B9C" w:rsidRPr="002432F4" w:rsidRDefault="00710B9C" w:rsidP="00EF66E9">
            <w:pPr>
              <w:spacing w:before="60" w:after="60"/>
              <w:jc w:val="center"/>
              <w:rPr>
                <w:b/>
                <w:bCs/>
                <w:sz w:val="20"/>
                <w:szCs w:val="20"/>
              </w:rPr>
            </w:pPr>
            <w:r w:rsidRPr="002432F4">
              <w:rPr>
                <w:b/>
                <w:bCs/>
                <w:sz w:val="20"/>
                <w:szCs w:val="20"/>
              </w:rPr>
              <w:t>2022</w:t>
            </w:r>
          </w:p>
        </w:tc>
      </w:tr>
      <w:tr w:rsidR="00562FE8" w:rsidRPr="002432F4" w14:paraId="5DE43F1C" w14:textId="77777777" w:rsidTr="002432F4">
        <w:tc>
          <w:tcPr>
            <w:tcW w:w="1838" w:type="dxa"/>
          </w:tcPr>
          <w:p w14:paraId="2D6B2E74" w14:textId="57B89CCF" w:rsidR="00562FE8" w:rsidRPr="002432F4" w:rsidRDefault="00562FE8" w:rsidP="00EF66E9">
            <w:pPr>
              <w:spacing w:before="60" w:after="60"/>
              <w:rPr>
                <w:sz w:val="20"/>
                <w:szCs w:val="20"/>
              </w:rPr>
            </w:pPr>
            <w:r w:rsidRPr="002432F4">
              <w:rPr>
                <w:sz w:val="20"/>
                <w:szCs w:val="20"/>
              </w:rPr>
              <w:t>P</w:t>
            </w:r>
            <w:r w:rsidR="002432F4" w:rsidRPr="002432F4">
              <w:rPr>
                <w:sz w:val="20"/>
                <w:szCs w:val="20"/>
              </w:rPr>
              <w:t>revalent p</w:t>
            </w:r>
            <w:r w:rsidRPr="002432F4">
              <w:rPr>
                <w:sz w:val="20"/>
                <w:szCs w:val="20"/>
              </w:rPr>
              <w:t xml:space="preserve">atients </w:t>
            </w:r>
          </w:p>
        </w:tc>
        <w:tc>
          <w:tcPr>
            <w:tcW w:w="1015" w:type="dxa"/>
          </w:tcPr>
          <w:p w14:paraId="03E1E878" w14:textId="12C47637" w:rsidR="00562FE8" w:rsidRPr="002432F4" w:rsidRDefault="00562FE8" w:rsidP="00EF66E9">
            <w:pPr>
              <w:spacing w:before="60" w:after="60"/>
              <w:jc w:val="center"/>
              <w:rPr>
                <w:sz w:val="20"/>
                <w:szCs w:val="20"/>
              </w:rPr>
            </w:pPr>
            <w:r w:rsidRPr="002432F4">
              <w:rPr>
                <w:sz w:val="20"/>
                <w:szCs w:val="20"/>
              </w:rPr>
              <w:t>5</w:t>
            </w:r>
          </w:p>
        </w:tc>
        <w:tc>
          <w:tcPr>
            <w:tcW w:w="1015" w:type="dxa"/>
          </w:tcPr>
          <w:p w14:paraId="0C9FEC49" w14:textId="15F7CB6A" w:rsidR="00562FE8" w:rsidRPr="002432F4" w:rsidRDefault="00562FE8" w:rsidP="00EF66E9">
            <w:pPr>
              <w:spacing w:before="60" w:after="60"/>
              <w:jc w:val="center"/>
              <w:rPr>
                <w:sz w:val="20"/>
                <w:szCs w:val="20"/>
              </w:rPr>
            </w:pPr>
            <w:r w:rsidRPr="002432F4">
              <w:rPr>
                <w:sz w:val="20"/>
                <w:szCs w:val="20"/>
              </w:rPr>
              <w:t>556</w:t>
            </w:r>
          </w:p>
        </w:tc>
        <w:tc>
          <w:tcPr>
            <w:tcW w:w="1015" w:type="dxa"/>
          </w:tcPr>
          <w:p w14:paraId="6E3851D5" w14:textId="5E435428" w:rsidR="00562FE8" w:rsidRPr="002432F4" w:rsidRDefault="00562FE8" w:rsidP="00EF66E9">
            <w:pPr>
              <w:spacing w:before="60" w:after="60"/>
              <w:jc w:val="center"/>
              <w:rPr>
                <w:sz w:val="20"/>
                <w:szCs w:val="20"/>
              </w:rPr>
            </w:pPr>
            <w:r w:rsidRPr="002432F4">
              <w:rPr>
                <w:sz w:val="20"/>
                <w:szCs w:val="20"/>
              </w:rPr>
              <w:t>1,146</w:t>
            </w:r>
          </w:p>
        </w:tc>
        <w:tc>
          <w:tcPr>
            <w:tcW w:w="1016" w:type="dxa"/>
          </w:tcPr>
          <w:p w14:paraId="01A843C1" w14:textId="58007AA4" w:rsidR="00562FE8" w:rsidRPr="002432F4" w:rsidRDefault="00562FE8" w:rsidP="00EF66E9">
            <w:pPr>
              <w:spacing w:before="60" w:after="60"/>
              <w:jc w:val="center"/>
              <w:rPr>
                <w:sz w:val="20"/>
                <w:szCs w:val="20"/>
              </w:rPr>
            </w:pPr>
            <w:r w:rsidRPr="002432F4">
              <w:rPr>
                <w:sz w:val="20"/>
                <w:szCs w:val="20"/>
              </w:rPr>
              <w:t>1,778</w:t>
            </w:r>
          </w:p>
        </w:tc>
        <w:tc>
          <w:tcPr>
            <w:tcW w:w="1015" w:type="dxa"/>
          </w:tcPr>
          <w:p w14:paraId="2F3C01D4" w14:textId="256DC5F0" w:rsidR="00562FE8" w:rsidRPr="002432F4" w:rsidRDefault="00562FE8" w:rsidP="00EF66E9">
            <w:pPr>
              <w:spacing w:before="60" w:after="60"/>
              <w:jc w:val="center"/>
              <w:rPr>
                <w:sz w:val="20"/>
                <w:szCs w:val="20"/>
              </w:rPr>
            </w:pPr>
            <w:r w:rsidRPr="002432F4">
              <w:rPr>
                <w:sz w:val="20"/>
                <w:szCs w:val="20"/>
              </w:rPr>
              <w:t>3,691</w:t>
            </w:r>
          </w:p>
        </w:tc>
        <w:tc>
          <w:tcPr>
            <w:tcW w:w="1015" w:type="dxa"/>
          </w:tcPr>
          <w:p w14:paraId="2C1EFD22" w14:textId="7F4F524A" w:rsidR="00562FE8" w:rsidRPr="002432F4" w:rsidRDefault="00562FE8" w:rsidP="00EF66E9">
            <w:pPr>
              <w:spacing w:before="60" w:after="60"/>
              <w:jc w:val="center"/>
              <w:rPr>
                <w:sz w:val="20"/>
                <w:szCs w:val="20"/>
              </w:rPr>
            </w:pPr>
            <w:r w:rsidRPr="002432F4">
              <w:rPr>
                <w:sz w:val="20"/>
                <w:szCs w:val="20"/>
              </w:rPr>
              <w:t>6,119</w:t>
            </w:r>
          </w:p>
        </w:tc>
        <w:tc>
          <w:tcPr>
            <w:tcW w:w="1016" w:type="dxa"/>
          </w:tcPr>
          <w:p w14:paraId="3BE1BB89" w14:textId="2114D360" w:rsidR="00562FE8" w:rsidRPr="002432F4" w:rsidRDefault="00562FE8" w:rsidP="00EF66E9">
            <w:pPr>
              <w:spacing w:before="60" w:after="60"/>
              <w:jc w:val="center"/>
              <w:rPr>
                <w:sz w:val="20"/>
                <w:szCs w:val="20"/>
              </w:rPr>
            </w:pPr>
            <w:r w:rsidRPr="002432F4">
              <w:rPr>
                <w:sz w:val="20"/>
                <w:szCs w:val="20"/>
              </w:rPr>
              <w:t>7,639</w:t>
            </w:r>
          </w:p>
        </w:tc>
      </w:tr>
      <w:tr w:rsidR="00562FE8" w:rsidRPr="002432F4" w14:paraId="1F3201B0" w14:textId="699C438F" w:rsidTr="002432F4">
        <w:tc>
          <w:tcPr>
            <w:tcW w:w="1838" w:type="dxa"/>
          </w:tcPr>
          <w:p w14:paraId="5AE29FAF" w14:textId="7CCE516F" w:rsidR="00562FE8" w:rsidRPr="002432F4" w:rsidRDefault="00562FE8" w:rsidP="00EF66E9">
            <w:pPr>
              <w:spacing w:before="60" w:after="60"/>
              <w:rPr>
                <w:sz w:val="20"/>
                <w:szCs w:val="20"/>
              </w:rPr>
            </w:pPr>
            <w:r w:rsidRPr="002432F4">
              <w:rPr>
                <w:sz w:val="20"/>
                <w:szCs w:val="20"/>
              </w:rPr>
              <w:t xml:space="preserve">Prescriptions </w:t>
            </w:r>
          </w:p>
        </w:tc>
        <w:tc>
          <w:tcPr>
            <w:tcW w:w="1015" w:type="dxa"/>
          </w:tcPr>
          <w:p w14:paraId="27888518" w14:textId="674AD080" w:rsidR="00562FE8" w:rsidRPr="002432F4" w:rsidRDefault="00562FE8" w:rsidP="00EF66E9">
            <w:pPr>
              <w:spacing w:before="60" w:after="60"/>
              <w:jc w:val="center"/>
              <w:rPr>
                <w:sz w:val="20"/>
                <w:szCs w:val="20"/>
              </w:rPr>
            </w:pPr>
            <w:r w:rsidRPr="002432F4">
              <w:rPr>
                <w:sz w:val="20"/>
                <w:szCs w:val="20"/>
              </w:rPr>
              <w:t>11</w:t>
            </w:r>
          </w:p>
        </w:tc>
        <w:tc>
          <w:tcPr>
            <w:tcW w:w="1015" w:type="dxa"/>
          </w:tcPr>
          <w:p w14:paraId="7F5A9B6A" w14:textId="579FC655" w:rsidR="00562FE8" w:rsidRPr="002432F4" w:rsidRDefault="00562FE8" w:rsidP="00EF66E9">
            <w:pPr>
              <w:spacing w:before="60" w:after="60"/>
              <w:jc w:val="center"/>
              <w:rPr>
                <w:sz w:val="20"/>
                <w:szCs w:val="20"/>
              </w:rPr>
            </w:pPr>
            <w:r w:rsidRPr="002432F4">
              <w:rPr>
                <w:sz w:val="20"/>
                <w:szCs w:val="20"/>
              </w:rPr>
              <w:t>2,407</w:t>
            </w:r>
          </w:p>
        </w:tc>
        <w:tc>
          <w:tcPr>
            <w:tcW w:w="1015" w:type="dxa"/>
          </w:tcPr>
          <w:p w14:paraId="10A93B3C" w14:textId="169EC5F1" w:rsidR="00562FE8" w:rsidRPr="002432F4" w:rsidRDefault="00562FE8" w:rsidP="00EF66E9">
            <w:pPr>
              <w:spacing w:before="60" w:after="60"/>
              <w:jc w:val="center"/>
              <w:rPr>
                <w:sz w:val="20"/>
                <w:szCs w:val="20"/>
              </w:rPr>
            </w:pPr>
            <w:r w:rsidRPr="002432F4">
              <w:rPr>
                <w:sz w:val="20"/>
                <w:szCs w:val="20"/>
              </w:rPr>
              <w:t>7,329</w:t>
            </w:r>
          </w:p>
        </w:tc>
        <w:tc>
          <w:tcPr>
            <w:tcW w:w="1016" w:type="dxa"/>
          </w:tcPr>
          <w:p w14:paraId="475233C1" w14:textId="7F6B8E08" w:rsidR="00562FE8" w:rsidRPr="002432F4" w:rsidRDefault="00562FE8" w:rsidP="00EF66E9">
            <w:pPr>
              <w:spacing w:before="60" w:after="60"/>
              <w:jc w:val="center"/>
              <w:rPr>
                <w:sz w:val="20"/>
                <w:szCs w:val="20"/>
              </w:rPr>
            </w:pPr>
            <w:r w:rsidRPr="002432F4">
              <w:rPr>
                <w:sz w:val="20"/>
                <w:szCs w:val="20"/>
              </w:rPr>
              <w:t>12,634</w:t>
            </w:r>
          </w:p>
        </w:tc>
        <w:tc>
          <w:tcPr>
            <w:tcW w:w="1015" w:type="dxa"/>
          </w:tcPr>
          <w:p w14:paraId="37984D7A" w14:textId="3E31024E" w:rsidR="00562FE8" w:rsidRPr="002432F4" w:rsidRDefault="00562FE8" w:rsidP="00EF66E9">
            <w:pPr>
              <w:spacing w:before="60" w:after="60"/>
              <w:jc w:val="center"/>
              <w:rPr>
                <w:sz w:val="20"/>
                <w:szCs w:val="20"/>
              </w:rPr>
            </w:pPr>
            <w:r w:rsidRPr="002432F4">
              <w:rPr>
                <w:sz w:val="20"/>
                <w:szCs w:val="20"/>
              </w:rPr>
              <w:t>24,607</w:t>
            </w:r>
          </w:p>
        </w:tc>
        <w:tc>
          <w:tcPr>
            <w:tcW w:w="1015" w:type="dxa"/>
          </w:tcPr>
          <w:p w14:paraId="68E11D68" w14:textId="424C8F22" w:rsidR="00562FE8" w:rsidRPr="002432F4" w:rsidRDefault="00562FE8" w:rsidP="00EF66E9">
            <w:pPr>
              <w:spacing w:before="60" w:after="60"/>
              <w:jc w:val="center"/>
              <w:rPr>
                <w:sz w:val="20"/>
                <w:szCs w:val="20"/>
              </w:rPr>
            </w:pPr>
            <w:r w:rsidRPr="002432F4">
              <w:rPr>
                <w:sz w:val="20"/>
                <w:szCs w:val="20"/>
              </w:rPr>
              <w:t>48,483</w:t>
            </w:r>
          </w:p>
        </w:tc>
        <w:tc>
          <w:tcPr>
            <w:tcW w:w="1016" w:type="dxa"/>
          </w:tcPr>
          <w:p w14:paraId="2AD8B0B3" w14:textId="444E6B85" w:rsidR="00562FE8" w:rsidRPr="002432F4" w:rsidRDefault="00562FE8" w:rsidP="00EF66E9">
            <w:pPr>
              <w:spacing w:before="60" w:after="60"/>
              <w:jc w:val="center"/>
              <w:rPr>
                <w:sz w:val="20"/>
                <w:szCs w:val="20"/>
              </w:rPr>
            </w:pPr>
            <w:r w:rsidRPr="002432F4">
              <w:rPr>
                <w:sz w:val="20"/>
                <w:szCs w:val="20"/>
              </w:rPr>
              <w:t>49,677</w:t>
            </w:r>
          </w:p>
        </w:tc>
      </w:tr>
    </w:tbl>
    <w:p w14:paraId="0C6E0A22" w14:textId="74876668" w:rsidR="00710B9C" w:rsidRPr="00710B9C" w:rsidRDefault="00710B9C" w:rsidP="003B7EFE">
      <w:pPr>
        <w:rPr>
          <w:sz w:val="20"/>
          <w:szCs w:val="20"/>
        </w:rPr>
      </w:pPr>
      <w:r w:rsidRPr="00710B9C">
        <w:rPr>
          <w:sz w:val="20"/>
          <w:szCs w:val="20"/>
        </w:rPr>
        <w:t xml:space="preserve">Note: </w:t>
      </w:r>
      <w:r>
        <w:rPr>
          <w:sz w:val="20"/>
          <w:szCs w:val="20"/>
        </w:rPr>
        <w:t xml:space="preserve">As evolocumab was first PBS listed on 1 December 2016, the utilisation figures for 2016 only include the month of December. Utilisation figures for 2022 only include the months January to September 2022, inclusive. </w:t>
      </w:r>
    </w:p>
    <w:p w14:paraId="1FD58CC9" w14:textId="49F50DAB" w:rsidR="00716E0D" w:rsidRDefault="008A63D2" w:rsidP="00E07573">
      <w:pPr>
        <w:pStyle w:val="Heading3"/>
      </w:pPr>
      <w:r>
        <w:t xml:space="preserve">Consistency of indication </w:t>
      </w:r>
    </w:p>
    <w:p w14:paraId="63C74912" w14:textId="37CF4F5B" w:rsidR="00E07573" w:rsidRDefault="00E07573" w:rsidP="003242EE">
      <w:pPr>
        <w:jc w:val="center"/>
      </w:pPr>
      <w:r>
        <w:rPr>
          <w:noProof/>
        </w:rPr>
        <w:drawing>
          <wp:inline distT="0" distB="0" distL="0" distR="0" wp14:anchorId="27241EF7" wp14:editId="5015F4EF">
            <wp:extent cx="5097600" cy="3333600"/>
            <wp:effectExtent l="0" t="0" r="8255" b="635"/>
            <wp:docPr id="6" name="Chart 6" descr="Evolocumab prescriptions supplied by indication determined by item code &#10;">
              <a:extLst xmlns:a="http://schemas.openxmlformats.org/drawingml/2006/main">
                <a:ext uri="{FF2B5EF4-FFF2-40B4-BE49-F238E27FC236}">
                  <a16:creationId xmlns:a16="http://schemas.microsoft.com/office/drawing/2014/main" id="{16512EBA-69F3-4E75-8CBA-D8AF02B8C8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8A04FA" w14:textId="483BBE35" w:rsidR="00716E0D" w:rsidRDefault="00716E0D" w:rsidP="00716E0D">
      <w:pPr>
        <w:pStyle w:val="Tabletitle"/>
      </w:pPr>
      <w:r w:rsidRPr="00E801B2">
        <w:t xml:space="preserve">Figure </w:t>
      </w:r>
      <w:r w:rsidR="004145FD">
        <w:t>1</w:t>
      </w:r>
      <w:r w:rsidRPr="00E801B2">
        <w:t xml:space="preserve">: </w:t>
      </w:r>
      <w:r w:rsidR="00647A7C">
        <w:t>Evolocumab p</w:t>
      </w:r>
      <w:r w:rsidRPr="00612829">
        <w:t>rescriptions</w:t>
      </w:r>
      <w:r w:rsidR="00647A7C">
        <w:t xml:space="preserve"> supplied</w:t>
      </w:r>
      <w:r w:rsidRPr="00612829">
        <w:t xml:space="preserve"> by indication determined by item code</w:t>
      </w:r>
      <w:r w:rsidRPr="005E22C2">
        <w:t xml:space="preserve"> </w:t>
      </w:r>
    </w:p>
    <w:p w14:paraId="7C3BCD72" w14:textId="77777777" w:rsidR="00647A7C" w:rsidRDefault="00647A7C" w:rsidP="00257FD9">
      <w:pPr>
        <w:pStyle w:val="Figuretitle"/>
      </w:pPr>
    </w:p>
    <w:p w14:paraId="7B23DD09" w14:textId="41337936" w:rsidR="00647A7C" w:rsidRPr="00647A7C" w:rsidRDefault="00647A7C" w:rsidP="008A63D2">
      <w:r>
        <w:t xml:space="preserve">Figure 1 shows the number of </w:t>
      </w:r>
      <w:proofErr w:type="spellStart"/>
      <w:r>
        <w:t>evolocumab</w:t>
      </w:r>
      <w:proofErr w:type="spellEnd"/>
      <w:r w:rsidR="00562FE8">
        <w:t xml:space="preserve"> prescriptions supplied</w:t>
      </w:r>
      <w:r>
        <w:t xml:space="preserve"> ha</w:t>
      </w:r>
      <w:r w:rsidR="00BF339B">
        <w:t>s</w:t>
      </w:r>
      <w:r>
        <w:t xml:space="preserve"> increased over time, particularly from </w:t>
      </w:r>
      <w:r w:rsidR="0014633B">
        <w:t xml:space="preserve">1 </w:t>
      </w:r>
      <w:r>
        <w:t xml:space="preserve">May 2020 onwards with the extension of </w:t>
      </w:r>
      <w:r w:rsidR="003B3518">
        <w:t xml:space="preserve">the </w:t>
      </w:r>
      <w:r w:rsidR="00562FE8">
        <w:t xml:space="preserve">PBS </w:t>
      </w:r>
      <w:r>
        <w:t xml:space="preserve">listing to include </w:t>
      </w:r>
      <w:r w:rsidR="00562FE8">
        <w:t xml:space="preserve">treatment for </w:t>
      </w:r>
      <w:r w:rsidR="00E07573">
        <w:t>non-FH</w:t>
      </w:r>
      <w:r w:rsidR="0014633B">
        <w:t xml:space="preserve"> and listings for continuing treatment were changed from Authority Required to Authority Required (Streamlined)</w:t>
      </w:r>
      <w:r>
        <w:t xml:space="preserve">. As the item codes for </w:t>
      </w:r>
      <w:r w:rsidR="00E07573">
        <w:t>non-FH</w:t>
      </w:r>
      <w:r>
        <w:t xml:space="preserve"> are the same as HeFH,</w:t>
      </w:r>
      <w:r w:rsidR="003B3518">
        <w:t xml:space="preserve"> the individual</w:t>
      </w:r>
      <w:r>
        <w:t xml:space="preserve"> utilisation by these indications</w:t>
      </w:r>
      <w:r w:rsidR="003B3518">
        <w:t xml:space="preserve"> </w:t>
      </w:r>
      <w:r>
        <w:t xml:space="preserve">cannot be distinguished. </w:t>
      </w:r>
    </w:p>
    <w:p w14:paraId="31DB7EE9" w14:textId="66B958E2" w:rsidR="001E6EE7" w:rsidRDefault="001E6EE7" w:rsidP="001E6EE7"/>
    <w:p w14:paraId="78D4F30A" w14:textId="6C7AA770" w:rsidR="000D44AB" w:rsidRDefault="000D44AB">
      <w:pPr>
        <w:spacing w:line="276" w:lineRule="auto"/>
        <w:rPr>
          <w:b/>
        </w:rPr>
      </w:pPr>
    </w:p>
    <w:p w14:paraId="0B00CA30" w14:textId="78EA9A02" w:rsidR="004C12EF" w:rsidRDefault="001E6EE7" w:rsidP="00EF66E9">
      <w:pPr>
        <w:pStyle w:val="Tabletitle"/>
        <w:spacing w:before="200"/>
      </w:pPr>
      <w:r>
        <w:lastRenderedPageBreak/>
        <w:t xml:space="preserve">Table </w:t>
      </w:r>
      <w:r w:rsidR="004145FD">
        <w:t>6</w:t>
      </w:r>
      <w:r>
        <w:t xml:space="preserve">: Indication sequence by item code </w:t>
      </w:r>
      <w:r w:rsidR="00B35ED1">
        <w:t>in 2021</w:t>
      </w:r>
      <w:r w:rsidR="0069732B">
        <w:t xml:space="preserve"> </w:t>
      </w:r>
    </w:p>
    <w:tbl>
      <w:tblPr>
        <w:tblW w:w="8705" w:type="dxa"/>
        <w:tblLook w:val="04A0" w:firstRow="1" w:lastRow="0" w:firstColumn="1" w:lastColumn="0" w:noHBand="0" w:noVBand="1"/>
      </w:tblPr>
      <w:tblGrid>
        <w:gridCol w:w="6004"/>
        <w:gridCol w:w="1570"/>
        <w:gridCol w:w="1131"/>
      </w:tblGrid>
      <w:tr w:rsidR="00F167A9" w:rsidRPr="00B35ED1" w14:paraId="3AAE4157" w14:textId="77777777" w:rsidTr="00B727A0">
        <w:trPr>
          <w:trHeight w:val="245"/>
        </w:trPr>
        <w:tc>
          <w:tcPr>
            <w:tcW w:w="60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5B824C9" w14:textId="29190F45" w:rsidR="00B35ED1" w:rsidRPr="00B35ED1" w:rsidRDefault="00B35ED1" w:rsidP="00EF66E9">
            <w:pPr>
              <w:spacing w:before="200" w:after="20"/>
              <w:rPr>
                <w:rFonts w:ascii="Calibri" w:eastAsia="Times New Roman" w:hAnsi="Calibri" w:cs="Calibri"/>
                <w:b/>
                <w:bCs/>
                <w:color w:val="000000"/>
                <w:sz w:val="22"/>
                <w:szCs w:val="22"/>
              </w:rPr>
            </w:pPr>
            <w:r w:rsidRPr="00F167A9">
              <w:rPr>
                <w:rFonts w:ascii="Calibri" w:eastAsia="Times New Roman" w:hAnsi="Calibri" w:cs="Calibri"/>
                <w:b/>
                <w:bCs/>
                <w:color w:val="000000"/>
                <w:sz w:val="22"/>
                <w:szCs w:val="22"/>
              </w:rPr>
              <w:t>Indication sequence</w:t>
            </w:r>
          </w:p>
        </w:tc>
        <w:tc>
          <w:tcPr>
            <w:tcW w:w="157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4680631" w14:textId="477E7F4C" w:rsidR="00B35ED1" w:rsidRPr="00B35ED1" w:rsidRDefault="00B35ED1" w:rsidP="00EF66E9">
            <w:pPr>
              <w:spacing w:before="200" w:after="20"/>
              <w:jc w:val="right"/>
              <w:rPr>
                <w:rFonts w:ascii="Calibri" w:eastAsia="Times New Roman" w:hAnsi="Calibri" w:cs="Calibri"/>
                <w:b/>
                <w:bCs/>
                <w:color w:val="000000"/>
                <w:sz w:val="22"/>
                <w:szCs w:val="22"/>
              </w:rPr>
            </w:pPr>
            <w:r w:rsidRPr="00F167A9">
              <w:rPr>
                <w:rFonts w:ascii="Calibri" w:eastAsia="Times New Roman" w:hAnsi="Calibri" w:cs="Calibri"/>
                <w:b/>
                <w:bCs/>
                <w:color w:val="000000"/>
                <w:sz w:val="22"/>
                <w:szCs w:val="22"/>
              </w:rPr>
              <w:t>P</w:t>
            </w:r>
            <w:r w:rsidRPr="00B35ED1">
              <w:rPr>
                <w:rFonts w:ascii="Calibri" w:eastAsia="Times New Roman" w:hAnsi="Calibri" w:cs="Calibri"/>
                <w:b/>
                <w:bCs/>
                <w:color w:val="000000"/>
                <w:sz w:val="22"/>
                <w:szCs w:val="22"/>
              </w:rPr>
              <w:t>atients</w:t>
            </w:r>
          </w:p>
        </w:tc>
        <w:tc>
          <w:tcPr>
            <w:tcW w:w="113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5C2511A" w14:textId="546D9DAC" w:rsidR="00B35ED1" w:rsidRPr="00B35ED1" w:rsidRDefault="00B35ED1" w:rsidP="00EF66E9">
            <w:pPr>
              <w:spacing w:before="200" w:after="20"/>
              <w:jc w:val="right"/>
              <w:rPr>
                <w:rFonts w:ascii="Calibri" w:eastAsia="Times New Roman" w:hAnsi="Calibri" w:cs="Calibri"/>
                <w:b/>
                <w:bCs/>
                <w:color w:val="000000"/>
                <w:sz w:val="22"/>
                <w:szCs w:val="22"/>
              </w:rPr>
            </w:pPr>
            <w:r w:rsidRPr="00F167A9">
              <w:rPr>
                <w:rFonts w:ascii="Calibri" w:eastAsia="Times New Roman" w:hAnsi="Calibri" w:cs="Calibri"/>
                <w:b/>
                <w:bCs/>
                <w:color w:val="000000"/>
                <w:sz w:val="22"/>
                <w:szCs w:val="22"/>
              </w:rPr>
              <w:t>P</w:t>
            </w:r>
            <w:r w:rsidRPr="00B35ED1">
              <w:rPr>
                <w:rFonts w:ascii="Calibri" w:eastAsia="Times New Roman" w:hAnsi="Calibri" w:cs="Calibri"/>
                <w:b/>
                <w:bCs/>
                <w:color w:val="000000"/>
                <w:sz w:val="22"/>
                <w:szCs w:val="22"/>
              </w:rPr>
              <w:t>ercent</w:t>
            </w:r>
          </w:p>
        </w:tc>
      </w:tr>
      <w:tr w:rsidR="00B727A0" w:rsidRPr="00B727A0" w14:paraId="631A97F2" w14:textId="77777777" w:rsidTr="00B727A0">
        <w:trPr>
          <w:trHeight w:val="245"/>
        </w:trPr>
        <w:tc>
          <w:tcPr>
            <w:tcW w:w="60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597F3" w14:textId="08C9710D" w:rsidR="00B727A0" w:rsidRPr="00B727A0" w:rsidRDefault="00E07573" w:rsidP="00EF66E9">
            <w:pPr>
              <w:spacing w:before="200" w:after="20"/>
              <w:rPr>
                <w:rFonts w:ascii="Calibri" w:eastAsia="Times New Roman" w:hAnsi="Calibri" w:cs="Calibri"/>
                <w:color w:val="000000"/>
                <w:sz w:val="22"/>
                <w:szCs w:val="22"/>
              </w:rPr>
            </w:pPr>
            <w:r>
              <w:rPr>
                <w:rFonts w:ascii="Calibri" w:eastAsia="Times New Roman" w:hAnsi="Calibri" w:cs="Calibri"/>
                <w:color w:val="000000"/>
                <w:sz w:val="22"/>
                <w:szCs w:val="22"/>
              </w:rPr>
              <w:t>Non-FH</w:t>
            </w:r>
            <w:r w:rsidR="00B727A0" w:rsidRPr="00B727A0">
              <w:rPr>
                <w:rFonts w:ascii="Calibri" w:eastAsia="Times New Roman" w:hAnsi="Calibri" w:cs="Calibri"/>
                <w:color w:val="000000"/>
                <w:sz w:val="22"/>
                <w:szCs w:val="22"/>
              </w:rPr>
              <w:t>/HeFH</w:t>
            </w: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1173014C" w14:textId="384ECA12"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3</w:t>
            </w:r>
            <w:r>
              <w:rPr>
                <w:rFonts w:ascii="Calibri" w:eastAsia="Times New Roman" w:hAnsi="Calibri" w:cs="Calibri"/>
                <w:color w:val="000000"/>
                <w:sz w:val="22"/>
                <w:szCs w:val="22"/>
              </w:rPr>
              <w:t>,</w:t>
            </w:r>
            <w:r w:rsidRPr="00B727A0">
              <w:rPr>
                <w:rFonts w:ascii="Calibri" w:eastAsia="Times New Roman" w:hAnsi="Calibri" w:cs="Calibri"/>
                <w:color w:val="000000"/>
                <w:sz w:val="22"/>
                <w:szCs w:val="22"/>
              </w:rPr>
              <w:t>454</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0405870C" w14:textId="77777777"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56.4%</w:t>
            </w:r>
          </w:p>
        </w:tc>
      </w:tr>
      <w:tr w:rsidR="00B727A0" w:rsidRPr="00B727A0" w14:paraId="148EFAFC" w14:textId="77777777" w:rsidTr="00B727A0">
        <w:trPr>
          <w:trHeight w:val="245"/>
        </w:trPr>
        <w:tc>
          <w:tcPr>
            <w:tcW w:w="60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40EC9" w14:textId="77777777" w:rsidR="00B727A0" w:rsidRPr="00B727A0" w:rsidRDefault="00B727A0" w:rsidP="00EF66E9">
            <w:pPr>
              <w:spacing w:before="200" w:after="20"/>
              <w:rPr>
                <w:rFonts w:ascii="Calibri" w:eastAsia="Times New Roman" w:hAnsi="Calibri" w:cs="Calibri"/>
                <w:color w:val="000000"/>
                <w:sz w:val="22"/>
                <w:szCs w:val="22"/>
              </w:rPr>
            </w:pPr>
            <w:r w:rsidRPr="00B727A0">
              <w:rPr>
                <w:rFonts w:ascii="Calibri" w:eastAsia="Times New Roman" w:hAnsi="Calibri" w:cs="Calibri"/>
                <w:color w:val="000000"/>
                <w:sz w:val="22"/>
                <w:szCs w:val="22"/>
              </w:rPr>
              <w:t>HoFH</w:t>
            </w: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63F7EFC3" w14:textId="41AAE8AF"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1</w:t>
            </w:r>
            <w:r>
              <w:rPr>
                <w:rFonts w:ascii="Calibri" w:eastAsia="Times New Roman" w:hAnsi="Calibri" w:cs="Calibri"/>
                <w:color w:val="000000"/>
                <w:sz w:val="22"/>
                <w:szCs w:val="22"/>
              </w:rPr>
              <w:t>,</w:t>
            </w:r>
            <w:r w:rsidRPr="00B727A0">
              <w:rPr>
                <w:rFonts w:ascii="Calibri" w:eastAsia="Times New Roman" w:hAnsi="Calibri" w:cs="Calibri"/>
                <w:color w:val="000000"/>
                <w:sz w:val="22"/>
                <w:szCs w:val="22"/>
              </w:rPr>
              <w:t>488</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39B5F544" w14:textId="77777777"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24.3%</w:t>
            </w:r>
          </w:p>
        </w:tc>
      </w:tr>
      <w:tr w:rsidR="00B727A0" w:rsidRPr="00B727A0" w14:paraId="7CC7BBA0" w14:textId="77777777" w:rsidTr="00B727A0">
        <w:trPr>
          <w:trHeight w:val="245"/>
        </w:trPr>
        <w:tc>
          <w:tcPr>
            <w:tcW w:w="60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F61C0" w14:textId="097EFEC1" w:rsidR="00B727A0" w:rsidRPr="00B727A0" w:rsidRDefault="00E07573" w:rsidP="00EF66E9">
            <w:pPr>
              <w:spacing w:before="200" w:after="20"/>
              <w:rPr>
                <w:rFonts w:ascii="Calibri" w:eastAsia="Times New Roman" w:hAnsi="Calibri" w:cs="Calibri"/>
                <w:color w:val="000000"/>
                <w:sz w:val="22"/>
                <w:szCs w:val="22"/>
              </w:rPr>
            </w:pPr>
            <w:r>
              <w:rPr>
                <w:rFonts w:ascii="Calibri" w:eastAsia="Times New Roman" w:hAnsi="Calibri" w:cs="Calibri"/>
                <w:color w:val="000000"/>
                <w:sz w:val="22"/>
                <w:szCs w:val="22"/>
              </w:rPr>
              <w:t>Non-FH</w:t>
            </w:r>
            <w:r w:rsidR="00B727A0" w:rsidRPr="00B727A0">
              <w:rPr>
                <w:rFonts w:ascii="Calibri" w:eastAsia="Times New Roman" w:hAnsi="Calibri" w:cs="Calibri"/>
                <w:color w:val="000000"/>
                <w:sz w:val="22"/>
                <w:szCs w:val="22"/>
              </w:rPr>
              <w:t>/HeFH&gt;HoFH</w:t>
            </w: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3695D22D" w14:textId="77777777"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601</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2CACD081" w14:textId="77777777"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9.8%</w:t>
            </w:r>
          </w:p>
        </w:tc>
      </w:tr>
      <w:tr w:rsidR="00B727A0" w:rsidRPr="00B727A0" w14:paraId="4C25576A" w14:textId="77777777" w:rsidTr="00B727A0">
        <w:trPr>
          <w:trHeight w:val="245"/>
        </w:trPr>
        <w:tc>
          <w:tcPr>
            <w:tcW w:w="60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5F65E" w14:textId="60AFD129" w:rsidR="00B727A0" w:rsidRPr="00B727A0" w:rsidRDefault="00B727A0" w:rsidP="00EF66E9">
            <w:pPr>
              <w:spacing w:before="200" w:after="20"/>
              <w:rPr>
                <w:rFonts w:ascii="Calibri" w:eastAsia="Times New Roman" w:hAnsi="Calibri" w:cs="Calibri"/>
                <w:color w:val="000000"/>
                <w:sz w:val="22"/>
                <w:szCs w:val="22"/>
              </w:rPr>
            </w:pPr>
            <w:r w:rsidRPr="00B727A0">
              <w:rPr>
                <w:rFonts w:ascii="Calibri" w:eastAsia="Times New Roman" w:hAnsi="Calibri" w:cs="Calibri"/>
                <w:color w:val="000000"/>
                <w:sz w:val="22"/>
                <w:szCs w:val="22"/>
              </w:rPr>
              <w:t>HoFH&gt;</w:t>
            </w:r>
            <w:r w:rsidR="00E07573">
              <w:rPr>
                <w:rFonts w:ascii="Calibri" w:eastAsia="Times New Roman" w:hAnsi="Calibri" w:cs="Calibri"/>
                <w:color w:val="000000"/>
                <w:sz w:val="22"/>
                <w:szCs w:val="22"/>
              </w:rPr>
              <w:t>Non-FH</w:t>
            </w:r>
            <w:r w:rsidRPr="00B727A0">
              <w:rPr>
                <w:rFonts w:ascii="Calibri" w:eastAsia="Times New Roman" w:hAnsi="Calibri" w:cs="Calibri"/>
                <w:color w:val="000000"/>
                <w:sz w:val="22"/>
                <w:szCs w:val="22"/>
              </w:rPr>
              <w:t>/HeFH</w:t>
            </w: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697936C2" w14:textId="77777777"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265</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6A369CAC" w14:textId="77777777"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4.3%</w:t>
            </w:r>
          </w:p>
        </w:tc>
      </w:tr>
      <w:tr w:rsidR="00B727A0" w:rsidRPr="00B727A0" w14:paraId="1D598613" w14:textId="77777777" w:rsidTr="00B727A0">
        <w:trPr>
          <w:trHeight w:val="245"/>
        </w:trPr>
        <w:tc>
          <w:tcPr>
            <w:tcW w:w="60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74AAF" w14:textId="1E398297" w:rsidR="00B727A0" w:rsidRPr="00B727A0" w:rsidRDefault="00E07573" w:rsidP="00EF66E9">
            <w:pPr>
              <w:spacing w:before="200" w:after="20"/>
              <w:rPr>
                <w:rFonts w:ascii="Calibri" w:eastAsia="Times New Roman" w:hAnsi="Calibri" w:cs="Calibri"/>
                <w:color w:val="000000"/>
                <w:sz w:val="22"/>
                <w:szCs w:val="22"/>
              </w:rPr>
            </w:pPr>
            <w:r>
              <w:rPr>
                <w:rFonts w:ascii="Calibri" w:eastAsia="Times New Roman" w:hAnsi="Calibri" w:cs="Calibri"/>
                <w:color w:val="000000"/>
                <w:sz w:val="22"/>
                <w:szCs w:val="22"/>
              </w:rPr>
              <w:t>Non-FH</w:t>
            </w:r>
            <w:r w:rsidR="00B727A0" w:rsidRPr="00B727A0">
              <w:rPr>
                <w:rFonts w:ascii="Calibri" w:eastAsia="Times New Roman" w:hAnsi="Calibri" w:cs="Calibri"/>
                <w:color w:val="000000"/>
                <w:sz w:val="22"/>
                <w:szCs w:val="22"/>
              </w:rPr>
              <w:t>/HeFH&gt;HoFH&gt;</w:t>
            </w:r>
            <w:r>
              <w:rPr>
                <w:rFonts w:ascii="Calibri" w:eastAsia="Times New Roman" w:hAnsi="Calibri" w:cs="Calibri"/>
                <w:color w:val="000000"/>
                <w:sz w:val="22"/>
                <w:szCs w:val="22"/>
              </w:rPr>
              <w:t>Non-FH</w:t>
            </w:r>
            <w:r w:rsidR="00B727A0" w:rsidRPr="00B727A0">
              <w:rPr>
                <w:rFonts w:ascii="Calibri" w:eastAsia="Times New Roman" w:hAnsi="Calibri" w:cs="Calibri"/>
                <w:color w:val="000000"/>
                <w:sz w:val="22"/>
                <w:szCs w:val="22"/>
              </w:rPr>
              <w:t>/HeFH</w:t>
            </w: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7A18F8DB" w14:textId="77777777"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110</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2B0FEF3B" w14:textId="77777777"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1.8%</w:t>
            </w:r>
          </w:p>
        </w:tc>
      </w:tr>
      <w:tr w:rsidR="00B727A0" w:rsidRPr="00B727A0" w14:paraId="7575A6B3" w14:textId="77777777" w:rsidTr="00B727A0">
        <w:trPr>
          <w:trHeight w:val="245"/>
        </w:trPr>
        <w:tc>
          <w:tcPr>
            <w:tcW w:w="60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94000" w14:textId="653FF0C3" w:rsidR="00B727A0" w:rsidRPr="00B727A0" w:rsidRDefault="00B727A0" w:rsidP="00EF66E9">
            <w:pPr>
              <w:spacing w:before="200" w:after="20"/>
              <w:rPr>
                <w:rFonts w:ascii="Calibri" w:eastAsia="Times New Roman" w:hAnsi="Calibri" w:cs="Calibri"/>
                <w:color w:val="000000"/>
                <w:sz w:val="22"/>
                <w:szCs w:val="22"/>
              </w:rPr>
            </w:pPr>
            <w:r w:rsidRPr="00B727A0">
              <w:rPr>
                <w:rFonts w:ascii="Calibri" w:eastAsia="Times New Roman" w:hAnsi="Calibri" w:cs="Calibri"/>
                <w:color w:val="000000"/>
                <w:sz w:val="22"/>
                <w:szCs w:val="22"/>
              </w:rPr>
              <w:t>HoFH&gt;</w:t>
            </w:r>
            <w:r w:rsidR="00E07573">
              <w:rPr>
                <w:rFonts w:ascii="Calibri" w:eastAsia="Times New Roman" w:hAnsi="Calibri" w:cs="Calibri"/>
                <w:color w:val="000000"/>
                <w:sz w:val="22"/>
                <w:szCs w:val="22"/>
              </w:rPr>
              <w:t>Non-FH</w:t>
            </w:r>
            <w:r w:rsidRPr="00B727A0">
              <w:rPr>
                <w:rFonts w:ascii="Calibri" w:eastAsia="Times New Roman" w:hAnsi="Calibri" w:cs="Calibri"/>
                <w:color w:val="000000"/>
                <w:sz w:val="22"/>
                <w:szCs w:val="22"/>
              </w:rPr>
              <w:t>/HeFH&gt;HoFH</w:t>
            </w: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5C990336" w14:textId="77777777"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97</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751D05D5" w14:textId="77777777" w:rsidR="00B727A0" w:rsidRPr="00B727A0" w:rsidRDefault="00B727A0" w:rsidP="00EF66E9">
            <w:pPr>
              <w:spacing w:before="200" w:after="20"/>
              <w:jc w:val="right"/>
              <w:rPr>
                <w:rFonts w:ascii="Calibri" w:eastAsia="Times New Roman" w:hAnsi="Calibri" w:cs="Calibri"/>
                <w:color w:val="000000"/>
                <w:sz w:val="22"/>
                <w:szCs w:val="22"/>
              </w:rPr>
            </w:pPr>
            <w:r w:rsidRPr="00B727A0">
              <w:rPr>
                <w:rFonts w:ascii="Calibri" w:eastAsia="Times New Roman" w:hAnsi="Calibri" w:cs="Calibri"/>
                <w:color w:val="000000"/>
                <w:sz w:val="22"/>
                <w:szCs w:val="22"/>
              </w:rPr>
              <w:t>1.6%</w:t>
            </w:r>
          </w:p>
        </w:tc>
      </w:tr>
      <w:tr w:rsidR="00B727A0" w:rsidRPr="00B727A0" w14:paraId="2477F913" w14:textId="77777777" w:rsidTr="00B727A0">
        <w:trPr>
          <w:trHeight w:val="245"/>
        </w:trPr>
        <w:tc>
          <w:tcPr>
            <w:tcW w:w="60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06FF8" w14:textId="7B5E7DEC" w:rsidR="00B727A0" w:rsidRPr="00B727A0" w:rsidRDefault="00B727A0" w:rsidP="00EF66E9">
            <w:pPr>
              <w:spacing w:before="200" w:after="20"/>
              <w:rPr>
                <w:rFonts w:ascii="Calibri" w:eastAsia="Times New Roman" w:hAnsi="Calibri" w:cs="Calibri"/>
                <w:color w:val="000000"/>
                <w:sz w:val="22"/>
                <w:szCs w:val="22"/>
              </w:rPr>
            </w:pPr>
            <w:r>
              <w:rPr>
                <w:rFonts w:ascii="Calibri" w:eastAsia="Times New Roman" w:hAnsi="Calibri" w:cs="Calibri"/>
                <w:color w:val="000000"/>
                <w:sz w:val="22"/>
                <w:szCs w:val="22"/>
              </w:rPr>
              <w:t xml:space="preserve">Other sequences </w:t>
            </w: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1EE46625" w14:textId="406ED892" w:rsidR="00B727A0" w:rsidRPr="00B727A0" w:rsidRDefault="00B727A0" w:rsidP="00EF66E9">
            <w:pPr>
              <w:spacing w:before="200" w:after="20"/>
              <w:jc w:val="right"/>
              <w:rPr>
                <w:rFonts w:ascii="Calibri" w:eastAsia="Times New Roman" w:hAnsi="Calibri" w:cs="Calibri"/>
                <w:color w:val="000000"/>
                <w:sz w:val="22"/>
                <w:szCs w:val="22"/>
              </w:rPr>
            </w:pPr>
            <w:r>
              <w:rPr>
                <w:rFonts w:ascii="Calibri" w:eastAsia="Times New Roman" w:hAnsi="Calibri" w:cs="Calibri"/>
                <w:color w:val="000000"/>
                <w:sz w:val="22"/>
                <w:szCs w:val="22"/>
              </w:rPr>
              <w:t>104</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3B2F6665" w14:textId="7EF36DF9" w:rsidR="00B727A0" w:rsidRPr="00B727A0" w:rsidRDefault="00B727A0" w:rsidP="00EF66E9">
            <w:pPr>
              <w:spacing w:before="200" w:after="20"/>
              <w:jc w:val="right"/>
              <w:rPr>
                <w:rFonts w:ascii="Calibri" w:eastAsia="Times New Roman" w:hAnsi="Calibri" w:cs="Calibri"/>
                <w:color w:val="000000"/>
                <w:sz w:val="22"/>
                <w:szCs w:val="22"/>
              </w:rPr>
            </w:pPr>
            <w:r>
              <w:rPr>
                <w:rFonts w:ascii="Calibri" w:eastAsia="Times New Roman" w:hAnsi="Calibri" w:cs="Calibri"/>
                <w:color w:val="000000"/>
                <w:sz w:val="22"/>
                <w:szCs w:val="22"/>
              </w:rPr>
              <w:t>1.7%</w:t>
            </w:r>
          </w:p>
        </w:tc>
      </w:tr>
    </w:tbl>
    <w:p w14:paraId="15282515" w14:textId="77777777" w:rsidR="00B35ED1" w:rsidRDefault="00B35ED1" w:rsidP="00257FD9">
      <w:pPr>
        <w:pStyle w:val="Figuretitle"/>
      </w:pPr>
    </w:p>
    <w:p w14:paraId="49D4AC48" w14:textId="647A7091" w:rsidR="008026E6" w:rsidRDefault="00647A7C" w:rsidP="00257FD9">
      <w:r>
        <w:t xml:space="preserve">In Table </w:t>
      </w:r>
      <w:r w:rsidR="004145FD">
        <w:t>6</w:t>
      </w:r>
      <w:r>
        <w:t xml:space="preserve">, approximately </w:t>
      </w:r>
      <w:r w:rsidR="00F167A9">
        <w:t>8</w:t>
      </w:r>
      <w:r w:rsidR="00B727A0">
        <w:t>0.</w:t>
      </w:r>
      <w:r w:rsidR="001E1502">
        <w:t>7</w:t>
      </w:r>
      <w:r w:rsidR="004C69B2">
        <w:t xml:space="preserve">% of </w:t>
      </w:r>
      <w:proofErr w:type="spellStart"/>
      <w:r w:rsidR="000D44AB">
        <w:t>evolocumab</w:t>
      </w:r>
      <w:proofErr w:type="spellEnd"/>
      <w:r w:rsidR="000D44AB">
        <w:t xml:space="preserve"> </w:t>
      </w:r>
      <w:r w:rsidR="004C69B2">
        <w:t xml:space="preserve">patients </w:t>
      </w:r>
      <w:r w:rsidR="000D44AB">
        <w:t xml:space="preserve">were </w:t>
      </w:r>
      <w:r w:rsidR="004C69B2">
        <w:t xml:space="preserve">consistently </w:t>
      </w:r>
      <w:r w:rsidR="00D366CA">
        <w:t xml:space="preserve">supplied a PBS listing for </w:t>
      </w:r>
      <w:r>
        <w:t xml:space="preserve">the same indication </w:t>
      </w:r>
      <w:r w:rsidR="000D44AB">
        <w:t>according to item</w:t>
      </w:r>
      <w:r>
        <w:t xml:space="preserve"> code</w:t>
      </w:r>
      <w:r w:rsidR="00F167A9">
        <w:t xml:space="preserve"> in 2021</w:t>
      </w:r>
      <w:r>
        <w:t xml:space="preserve">. </w:t>
      </w:r>
    </w:p>
    <w:p w14:paraId="483D6841" w14:textId="77777777" w:rsidR="00E86BC7" w:rsidRDefault="00E86BC7" w:rsidP="00257FD9"/>
    <w:p w14:paraId="369B1FA6" w14:textId="73DD418F" w:rsidR="00A256B6" w:rsidRDefault="00E07573" w:rsidP="00240314">
      <w:pPr>
        <w:spacing w:line="276" w:lineRule="auto"/>
        <w:jc w:val="center"/>
      </w:pPr>
      <w:r>
        <w:rPr>
          <w:noProof/>
        </w:rPr>
        <w:drawing>
          <wp:inline distT="0" distB="0" distL="0" distR="0" wp14:anchorId="0A28FF04" wp14:editId="66D43F5B">
            <wp:extent cx="5097600" cy="3333600"/>
            <wp:effectExtent l="0" t="0" r="8255" b="635"/>
            <wp:docPr id="8" name="Chart 8" descr="Evolocumab prescriptions supplied by indication determined by streamlined code ">
              <a:extLst xmlns:a="http://schemas.openxmlformats.org/drawingml/2006/main">
                <a:ext uri="{FF2B5EF4-FFF2-40B4-BE49-F238E27FC236}">
                  <a16:creationId xmlns:a16="http://schemas.microsoft.com/office/drawing/2014/main" id="{D9156DAE-0657-4D49-B81A-032DB58083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8CD5317" w14:textId="53C54591" w:rsidR="00A256B6" w:rsidRDefault="00A256B6" w:rsidP="00A256B6">
      <w:pPr>
        <w:pStyle w:val="Tabletitle"/>
      </w:pPr>
      <w:r w:rsidRPr="00E801B2">
        <w:t xml:space="preserve">Figure </w:t>
      </w:r>
      <w:r w:rsidR="00437067">
        <w:t>2</w:t>
      </w:r>
      <w:r w:rsidRPr="00E801B2">
        <w:t xml:space="preserve">: </w:t>
      </w:r>
      <w:r w:rsidR="000D44AB">
        <w:t>Evolocumab p</w:t>
      </w:r>
      <w:r w:rsidR="000D44AB" w:rsidRPr="00612829">
        <w:t>rescriptions</w:t>
      </w:r>
      <w:r w:rsidR="000D44AB">
        <w:t xml:space="preserve"> supplied</w:t>
      </w:r>
      <w:r w:rsidRPr="00612829">
        <w:t xml:space="preserve"> by indication determined by </w:t>
      </w:r>
      <w:r>
        <w:t xml:space="preserve">streamlined code </w:t>
      </w:r>
      <w:r w:rsidRPr="005E22C2">
        <w:t xml:space="preserve"> </w:t>
      </w:r>
    </w:p>
    <w:p w14:paraId="50E2EECC" w14:textId="77777777" w:rsidR="00562FE8" w:rsidRDefault="00562FE8" w:rsidP="00257FD9">
      <w:pPr>
        <w:pStyle w:val="Figuretitle"/>
      </w:pPr>
    </w:p>
    <w:p w14:paraId="655B7936" w14:textId="28F09C8F" w:rsidR="00394198" w:rsidRDefault="000D44AB" w:rsidP="00085613">
      <w:r>
        <w:t xml:space="preserve">As </w:t>
      </w:r>
      <w:r w:rsidR="00562FE8">
        <w:t>aforementioned</w:t>
      </w:r>
      <w:r>
        <w:t>, from</w:t>
      </w:r>
      <w:r w:rsidR="003B3518">
        <w:t xml:space="preserve"> </w:t>
      </w:r>
      <w:r>
        <w:t xml:space="preserve">1 May 2020 onwards, the PBS listings for </w:t>
      </w:r>
      <w:r w:rsidR="00562FE8">
        <w:t>continuing</w:t>
      </w:r>
      <w:r>
        <w:t xml:space="preserve"> treatment were changed from Authority Required to Authority Required (Streamlined). </w:t>
      </w:r>
      <w:r w:rsidR="0014633B">
        <w:t xml:space="preserve">Figure 2 shows a large number of these prescriptions do not have a recorded streamlined code, however </w:t>
      </w:r>
      <w:r w:rsidR="0014633B">
        <w:lastRenderedPageBreak/>
        <w:t>some of these may have been approved as Authority Required prescriptions, for example to approve an increased quantity.</w:t>
      </w:r>
    </w:p>
    <w:p w14:paraId="19A3F62A" w14:textId="0D2E26F7" w:rsidR="00E07573" w:rsidRDefault="00E07573" w:rsidP="00237171">
      <w:pPr>
        <w:jc w:val="center"/>
      </w:pPr>
      <w:r>
        <w:rPr>
          <w:noProof/>
        </w:rPr>
        <w:drawing>
          <wp:inline distT="0" distB="0" distL="0" distR="0" wp14:anchorId="3E99988A" wp14:editId="4373CEE4">
            <wp:extent cx="5097600" cy="3333600"/>
            <wp:effectExtent l="0" t="0" r="8255" b="635"/>
            <wp:docPr id="10" name="Chart 10" descr="Evolocumab prescriptions supplied by indication determined by authority or streamlined code">
              <a:extLst xmlns:a="http://schemas.openxmlformats.org/drawingml/2006/main">
                <a:ext uri="{FF2B5EF4-FFF2-40B4-BE49-F238E27FC236}">
                  <a16:creationId xmlns:a16="http://schemas.microsoft.com/office/drawing/2014/main" id="{5875B411-B54B-4FCB-A09E-BE74C076CC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2490035" w14:textId="51563B57" w:rsidR="00394198" w:rsidRDefault="00394198" w:rsidP="00D245ED">
      <w:pPr>
        <w:pStyle w:val="Figuretitle"/>
      </w:pPr>
      <w:r>
        <w:t>Figure</w:t>
      </w:r>
      <w:r w:rsidR="00437067">
        <w:t xml:space="preserve"> 3</w:t>
      </w:r>
      <w:r w:rsidRPr="002C727E">
        <w:t xml:space="preserve">: </w:t>
      </w:r>
      <w:r w:rsidR="000D44AB">
        <w:t>Evolocumab p</w:t>
      </w:r>
      <w:r w:rsidRPr="002C727E">
        <w:t>rescriptions</w:t>
      </w:r>
      <w:r w:rsidR="000D44AB">
        <w:t xml:space="preserve"> supplied</w:t>
      </w:r>
      <w:r w:rsidRPr="002C727E">
        <w:t xml:space="preserve"> by indication determined by </w:t>
      </w:r>
      <w:r>
        <w:t>authority or streamlined</w:t>
      </w:r>
      <w:r w:rsidRPr="002C727E">
        <w:t xml:space="preserve"> code</w:t>
      </w:r>
    </w:p>
    <w:p w14:paraId="742F69D2" w14:textId="77777777" w:rsidR="00483B7F" w:rsidRPr="00E86BC7" w:rsidRDefault="00483B7F" w:rsidP="00E86BC7"/>
    <w:p w14:paraId="17F97D89" w14:textId="4135F965" w:rsidR="004C69B2" w:rsidRDefault="000D44AB">
      <w:pPr>
        <w:spacing w:line="276" w:lineRule="auto"/>
      </w:pPr>
      <w:r>
        <w:t xml:space="preserve">Figure 3 shows that when authority codes and streamlined codes were used to determine </w:t>
      </w:r>
      <w:r w:rsidR="00F92E28">
        <w:t xml:space="preserve">the </w:t>
      </w:r>
      <w:r>
        <w:t xml:space="preserve">indication, the number of prescriptions with an unknown indication was much smaller. </w:t>
      </w:r>
    </w:p>
    <w:p w14:paraId="5A14133B" w14:textId="6E694DDD" w:rsidR="004D571B" w:rsidRDefault="004D571B" w:rsidP="00EF66E9">
      <w:pPr>
        <w:pStyle w:val="Figuretitle"/>
        <w:spacing w:before="200" w:after="20"/>
      </w:pPr>
      <w:r>
        <w:t xml:space="preserve">Table </w:t>
      </w:r>
      <w:r w:rsidR="004145FD">
        <w:t>7</w:t>
      </w:r>
      <w:r>
        <w:t xml:space="preserve">: </w:t>
      </w:r>
      <w:r w:rsidR="00DA7243">
        <w:t>Indication sequences</w:t>
      </w:r>
      <w:r>
        <w:t xml:space="preserve"> by authority or streamlined code </w:t>
      </w:r>
      <w:r w:rsidR="00DA7243">
        <w:t>in 2021</w:t>
      </w:r>
      <w:r>
        <w:t xml:space="preserve"> </w:t>
      </w:r>
    </w:p>
    <w:tbl>
      <w:tblPr>
        <w:tblW w:w="8642" w:type="dxa"/>
        <w:tblLook w:val="04A0" w:firstRow="1" w:lastRow="0" w:firstColumn="1" w:lastColumn="0" w:noHBand="0" w:noVBand="1"/>
      </w:tblPr>
      <w:tblGrid>
        <w:gridCol w:w="5949"/>
        <w:gridCol w:w="1701"/>
        <w:gridCol w:w="992"/>
      </w:tblGrid>
      <w:tr w:rsidR="00DA7243" w:rsidRPr="00DA7243" w14:paraId="1941C04F"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FA272AE" w14:textId="6B412665" w:rsidR="00DA7243" w:rsidRPr="00DA7243" w:rsidRDefault="00DA7243" w:rsidP="00EF66E9">
            <w:pPr>
              <w:spacing w:before="60" w:after="60"/>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Indication sequence </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61671B9" w14:textId="5BBC59F4" w:rsidR="00DA7243" w:rsidRPr="00DA7243" w:rsidRDefault="00DA7243" w:rsidP="00EF66E9">
            <w:pPr>
              <w:spacing w:before="60" w:after="60"/>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Patients </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615B15A" w14:textId="77777777" w:rsidR="00DA7243" w:rsidRPr="00DA7243" w:rsidRDefault="00DA7243" w:rsidP="00EF66E9">
            <w:pPr>
              <w:spacing w:before="60" w:after="60"/>
              <w:rPr>
                <w:rFonts w:ascii="Calibri" w:eastAsia="Times New Roman" w:hAnsi="Calibri" w:cs="Calibri"/>
                <w:b/>
                <w:bCs/>
                <w:color w:val="000000"/>
                <w:sz w:val="22"/>
                <w:szCs w:val="22"/>
              </w:rPr>
            </w:pPr>
            <w:r w:rsidRPr="00DA7243">
              <w:rPr>
                <w:rFonts w:ascii="Calibri" w:eastAsia="Times New Roman" w:hAnsi="Calibri" w:cs="Calibri"/>
                <w:b/>
                <w:bCs/>
                <w:color w:val="000000"/>
                <w:sz w:val="22"/>
                <w:szCs w:val="22"/>
              </w:rPr>
              <w:t>Percent</w:t>
            </w:r>
          </w:p>
        </w:tc>
      </w:tr>
      <w:tr w:rsidR="000A1FA9" w:rsidRPr="000A1FA9" w14:paraId="631C3FB3"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165C5" w14:textId="7EAC5A48" w:rsidR="000A1FA9" w:rsidRPr="000A1FA9" w:rsidRDefault="00E07573" w:rsidP="00EF66E9">
            <w:pPr>
              <w:spacing w:before="60" w:after="60"/>
              <w:rPr>
                <w:rFonts w:ascii="Calibri" w:eastAsia="Times New Roman" w:hAnsi="Calibri" w:cs="Calibri"/>
                <w:color w:val="000000"/>
                <w:sz w:val="22"/>
                <w:szCs w:val="22"/>
              </w:rPr>
            </w:pPr>
            <w:r>
              <w:rPr>
                <w:rFonts w:ascii="Calibri" w:eastAsia="Times New Roman" w:hAnsi="Calibri" w:cs="Calibri"/>
                <w:color w:val="000000"/>
                <w:sz w:val="22"/>
                <w:szCs w:val="22"/>
              </w:rPr>
              <w:t>Non-FH</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C09E88C" w14:textId="48894439"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1</w:t>
            </w:r>
            <w:r>
              <w:rPr>
                <w:rFonts w:ascii="Calibri" w:eastAsia="Times New Roman" w:hAnsi="Calibri" w:cs="Calibri"/>
                <w:color w:val="000000"/>
                <w:sz w:val="22"/>
                <w:szCs w:val="22"/>
              </w:rPr>
              <w:t>,</w:t>
            </w:r>
            <w:r w:rsidRPr="000A1FA9">
              <w:rPr>
                <w:rFonts w:ascii="Calibri" w:eastAsia="Times New Roman" w:hAnsi="Calibri" w:cs="Calibri"/>
                <w:color w:val="000000"/>
                <w:sz w:val="22"/>
                <w:szCs w:val="22"/>
              </w:rPr>
              <w:t>975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32AFC42"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32.3%</w:t>
            </w:r>
          </w:p>
        </w:tc>
      </w:tr>
      <w:tr w:rsidR="000A1FA9" w:rsidRPr="000A1FA9" w14:paraId="27EE1684"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49A0E" w14:textId="77777777" w:rsidR="000A1FA9" w:rsidRPr="000A1FA9" w:rsidRDefault="000A1FA9" w:rsidP="00EF66E9">
            <w:pPr>
              <w:spacing w:before="60" w:after="60"/>
              <w:rPr>
                <w:rFonts w:ascii="Calibri" w:eastAsia="Times New Roman" w:hAnsi="Calibri" w:cs="Calibri"/>
                <w:color w:val="000000"/>
                <w:sz w:val="22"/>
                <w:szCs w:val="22"/>
              </w:rPr>
            </w:pPr>
            <w:r w:rsidRPr="000A1FA9">
              <w:rPr>
                <w:rFonts w:ascii="Calibri" w:eastAsia="Times New Roman" w:hAnsi="Calibri" w:cs="Calibri"/>
                <w:color w:val="000000"/>
                <w:sz w:val="22"/>
                <w:szCs w:val="22"/>
              </w:rPr>
              <w:t>HoFH</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A56F7BC" w14:textId="550B1B78"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1</w:t>
            </w:r>
            <w:r>
              <w:rPr>
                <w:rFonts w:ascii="Calibri" w:eastAsia="Times New Roman" w:hAnsi="Calibri" w:cs="Calibri"/>
                <w:color w:val="000000"/>
                <w:sz w:val="22"/>
                <w:szCs w:val="22"/>
              </w:rPr>
              <w:t>,</w:t>
            </w:r>
            <w:r w:rsidRPr="000A1FA9">
              <w:rPr>
                <w:rFonts w:ascii="Calibri" w:eastAsia="Times New Roman" w:hAnsi="Calibri" w:cs="Calibri"/>
                <w:color w:val="000000"/>
                <w:sz w:val="22"/>
                <w:szCs w:val="22"/>
              </w:rPr>
              <w:t>490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56AA94F"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24.4%</w:t>
            </w:r>
          </w:p>
        </w:tc>
      </w:tr>
      <w:tr w:rsidR="000A1FA9" w:rsidRPr="000A1FA9" w14:paraId="40CF19E7"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27F1F" w14:textId="77777777" w:rsidR="000A1FA9" w:rsidRPr="000A1FA9" w:rsidRDefault="000A1FA9" w:rsidP="00EF66E9">
            <w:pPr>
              <w:spacing w:before="60" w:after="60"/>
              <w:rPr>
                <w:rFonts w:ascii="Calibri" w:eastAsia="Times New Roman" w:hAnsi="Calibri" w:cs="Calibri"/>
                <w:color w:val="000000"/>
                <w:sz w:val="22"/>
                <w:szCs w:val="22"/>
              </w:rPr>
            </w:pPr>
            <w:r w:rsidRPr="000A1FA9">
              <w:rPr>
                <w:rFonts w:ascii="Calibri" w:eastAsia="Times New Roman" w:hAnsi="Calibri" w:cs="Calibri"/>
                <w:color w:val="000000"/>
                <w:sz w:val="22"/>
                <w:szCs w:val="22"/>
              </w:rPr>
              <w:t>HeFH</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33B8CE"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849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2458A16"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13.9%</w:t>
            </w:r>
          </w:p>
        </w:tc>
      </w:tr>
      <w:tr w:rsidR="000A1FA9" w:rsidRPr="000A1FA9" w14:paraId="2BE1EDFC"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17754" w14:textId="52212261" w:rsidR="000A1FA9" w:rsidRPr="000A1FA9" w:rsidRDefault="00E07573" w:rsidP="00EF66E9">
            <w:pPr>
              <w:spacing w:before="60" w:after="60"/>
              <w:rPr>
                <w:rFonts w:ascii="Calibri" w:eastAsia="Times New Roman" w:hAnsi="Calibri" w:cs="Calibri"/>
                <w:color w:val="000000"/>
                <w:sz w:val="22"/>
                <w:szCs w:val="22"/>
              </w:rPr>
            </w:pPr>
            <w:r>
              <w:rPr>
                <w:rFonts w:ascii="Calibri" w:eastAsia="Times New Roman" w:hAnsi="Calibri" w:cs="Calibri"/>
                <w:color w:val="000000"/>
                <w:sz w:val="22"/>
                <w:szCs w:val="22"/>
              </w:rPr>
              <w:t>Non-FH</w:t>
            </w:r>
            <w:r w:rsidR="000A1FA9" w:rsidRPr="000A1FA9">
              <w:rPr>
                <w:rFonts w:ascii="Calibri" w:eastAsia="Times New Roman" w:hAnsi="Calibri" w:cs="Calibri"/>
                <w:color w:val="000000"/>
                <w:sz w:val="22"/>
                <w:szCs w:val="22"/>
              </w:rPr>
              <w:t>&gt;HoFH</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2EBBC23"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298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89D76C3"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4.9%</w:t>
            </w:r>
          </w:p>
        </w:tc>
      </w:tr>
      <w:tr w:rsidR="000A1FA9" w:rsidRPr="000A1FA9" w14:paraId="29C18578"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3998B" w14:textId="58956E9D" w:rsidR="000A1FA9" w:rsidRPr="000A1FA9" w:rsidRDefault="00E07573" w:rsidP="00EF66E9">
            <w:pPr>
              <w:spacing w:before="60" w:after="60"/>
              <w:rPr>
                <w:rFonts w:ascii="Calibri" w:eastAsia="Times New Roman" w:hAnsi="Calibri" w:cs="Calibri"/>
                <w:color w:val="000000"/>
                <w:sz w:val="22"/>
                <w:szCs w:val="22"/>
              </w:rPr>
            </w:pPr>
            <w:r>
              <w:rPr>
                <w:rFonts w:ascii="Calibri" w:eastAsia="Times New Roman" w:hAnsi="Calibri" w:cs="Calibri"/>
                <w:color w:val="000000"/>
                <w:sz w:val="22"/>
                <w:szCs w:val="22"/>
              </w:rPr>
              <w:t>Non-FH</w:t>
            </w:r>
            <w:r w:rsidR="000A1FA9" w:rsidRPr="000A1FA9">
              <w:rPr>
                <w:rFonts w:ascii="Calibri" w:eastAsia="Times New Roman" w:hAnsi="Calibri" w:cs="Calibri"/>
                <w:color w:val="000000"/>
                <w:sz w:val="22"/>
                <w:szCs w:val="22"/>
              </w:rPr>
              <w:t>&gt;HeFH</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ED6176E"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266</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64D97B3"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4.3%</w:t>
            </w:r>
          </w:p>
        </w:tc>
      </w:tr>
      <w:tr w:rsidR="000A1FA9" w:rsidRPr="000A1FA9" w14:paraId="7BA3AF84"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A2577" w14:textId="4F3180EB" w:rsidR="000A1FA9" w:rsidRPr="000A1FA9" w:rsidRDefault="000A1FA9" w:rsidP="00EF66E9">
            <w:pPr>
              <w:spacing w:before="60" w:after="60"/>
              <w:rPr>
                <w:rFonts w:ascii="Calibri" w:eastAsia="Times New Roman" w:hAnsi="Calibri" w:cs="Calibri"/>
                <w:color w:val="000000"/>
                <w:sz w:val="22"/>
                <w:szCs w:val="22"/>
              </w:rPr>
            </w:pPr>
            <w:r w:rsidRPr="000A1FA9">
              <w:rPr>
                <w:rFonts w:ascii="Calibri" w:eastAsia="Times New Roman" w:hAnsi="Calibri" w:cs="Calibri"/>
                <w:color w:val="000000"/>
                <w:sz w:val="22"/>
                <w:szCs w:val="22"/>
              </w:rPr>
              <w:t>HeFH&gt;</w:t>
            </w:r>
            <w:r w:rsidR="00E07573">
              <w:rPr>
                <w:rFonts w:ascii="Calibri" w:eastAsia="Times New Roman" w:hAnsi="Calibri" w:cs="Calibri"/>
                <w:color w:val="000000"/>
                <w:sz w:val="22"/>
                <w:szCs w:val="22"/>
              </w:rPr>
              <w:t>Non-FH</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BEBE3AD"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247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38A4C73"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4.0%</w:t>
            </w:r>
          </w:p>
        </w:tc>
      </w:tr>
      <w:tr w:rsidR="000A1FA9" w:rsidRPr="000A1FA9" w14:paraId="63242823"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14FB1" w14:textId="77777777" w:rsidR="000A1FA9" w:rsidRPr="000A1FA9" w:rsidRDefault="000A1FA9" w:rsidP="00EF66E9">
            <w:pPr>
              <w:spacing w:before="60" w:after="60"/>
              <w:rPr>
                <w:rFonts w:ascii="Calibri" w:eastAsia="Times New Roman" w:hAnsi="Calibri" w:cs="Calibri"/>
                <w:color w:val="000000"/>
                <w:sz w:val="22"/>
                <w:szCs w:val="22"/>
              </w:rPr>
            </w:pPr>
            <w:r w:rsidRPr="000A1FA9">
              <w:rPr>
                <w:rFonts w:ascii="Calibri" w:eastAsia="Times New Roman" w:hAnsi="Calibri" w:cs="Calibri"/>
                <w:color w:val="000000"/>
                <w:sz w:val="22"/>
                <w:szCs w:val="22"/>
              </w:rPr>
              <w:t>HeFH&gt;HoFH</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EAB1324"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194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40A1DC1"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3.2%</w:t>
            </w:r>
          </w:p>
        </w:tc>
      </w:tr>
      <w:tr w:rsidR="000A1FA9" w:rsidRPr="000A1FA9" w14:paraId="7BCC06A1"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4BB4D" w14:textId="77777777" w:rsidR="000A1FA9" w:rsidRPr="000A1FA9" w:rsidRDefault="000A1FA9" w:rsidP="00EF66E9">
            <w:pPr>
              <w:spacing w:before="60" w:after="60"/>
              <w:rPr>
                <w:rFonts w:ascii="Calibri" w:eastAsia="Times New Roman" w:hAnsi="Calibri" w:cs="Calibri"/>
                <w:color w:val="000000"/>
                <w:sz w:val="22"/>
                <w:szCs w:val="22"/>
              </w:rPr>
            </w:pPr>
            <w:r w:rsidRPr="000A1FA9">
              <w:rPr>
                <w:rFonts w:ascii="Calibri" w:eastAsia="Times New Roman" w:hAnsi="Calibri" w:cs="Calibri"/>
                <w:color w:val="000000"/>
                <w:sz w:val="22"/>
                <w:szCs w:val="22"/>
              </w:rPr>
              <w:t>HoFH&gt;HeFH</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5326B18"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136</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A431D68"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2.2%</w:t>
            </w:r>
          </w:p>
        </w:tc>
      </w:tr>
      <w:tr w:rsidR="000A1FA9" w:rsidRPr="000A1FA9" w14:paraId="5A9E9DCE"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74566" w14:textId="56C21E0C" w:rsidR="000A1FA9" w:rsidRPr="000A1FA9" w:rsidRDefault="000A1FA9" w:rsidP="00EF66E9">
            <w:pPr>
              <w:spacing w:before="60" w:after="60"/>
              <w:rPr>
                <w:rFonts w:ascii="Calibri" w:eastAsia="Times New Roman" w:hAnsi="Calibri" w:cs="Calibri"/>
                <w:color w:val="000000"/>
                <w:sz w:val="22"/>
                <w:szCs w:val="22"/>
              </w:rPr>
            </w:pPr>
            <w:r w:rsidRPr="000A1FA9">
              <w:rPr>
                <w:rFonts w:ascii="Calibri" w:eastAsia="Times New Roman" w:hAnsi="Calibri" w:cs="Calibri"/>
                <w:color w:val="000000"/>
                <w:sz w:val="22"/>
                <w:szCs w:val="22"/>
              </w:rPr>
              <w:t>HoFH&gt;</w:t>
            </w:r>
            <w:r w:rsidR="00E07573">
              <w:rPr>
                <w:rFonts w:ascii="Calibri" w:eastAsia="Times New Roman" w:hAnsi="Calibri" w:cs="Calibri"/>
                <w:color w:val="000000"/>
                <w:sz w:val="22"/>
                <w:szCs w:val="22"/>
              </w:rPr>
              <w:t>Non-FH</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69E3E15"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95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FC09846"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1.6%</w:t>
            </w:r>
          </w:p>
        </w:tc>
      </w:tr>
      <w:tr w:rsidR="000A1FA9" w:rsidRPr="000A1FA9" w14:paraId="706F3E9D"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8C2A7" w14:textId="3A115DB0" w:rsidR="000A1FA9" w:rsidRPr="000A1FA9" w:rsidRDefault="00E07573" w:rsidP="00EF66E9">
            <w:pPr>
              <w:spacing w:before="60" w:after="60"/>
              <w:rPr>
                <w:rFonts w:ascii="Calibri" w:eastAsia="Times New Roman" w:hAnsi="Calibri" w:cs="Calibri"/>
                <w:color w:val="000000"/>
                <w:sz w:val="22"/>
                <w:szCs w:val="22"/>
              </w:rPr>
            </w:pPr>
            <w:r>
              <w:rPr>
                <w:rFonts w:ascii="Calibri" w:eastAsia="Times New Roman" w:hAnsi="Calibri" w:cs="Calibri"/>
                <w:color w:val="000000"/>
                <w:sz w:val="22"/>
                <w:szCs w:val="22"/>
              </w:rPr>
              <w:t>Non-FH</w:t>
            </w:r>
            <w:r w:rsidR="000A1FA9" w:rsidRPr="000A1FA9">
              <w:rPr>
                <w:rFonts w:ascii="Calibri" w:eastAsia="Times New Roman" w:hAnsi="Calibri" w:cs="Calibri"/>
                <w:color w:val="000000"/>
                <w:sz w:val="22"/>
                <w:szCs w:val="22"/>
              </w:rPr>
              <w:t>&gt;HeFH&gt;</w:t>
            </w:r>
            <w:r>
              <w:rPr>
                <w:rFonts w:ascii="Calibri" w:eastAsia="Times New Roman" w:hAnsi="Calibri" w:cs="Calibri"/>
                <w:color w:val="000000"/>
                <w:sz w:val="22"/>
                <w:szCs w:val="22"/>
              </w:rPr>
              <w:t>Non-FH</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AF039D6"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80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CE7B749" w14:textId="77777777" w:rsidR="000A1FA9" w:rsidRPr="000A1FA9" w:rsidRDefault="000A1FA9" w:rsidP="00EF66E9">
            <w:pPr>
              <w:spacing w:before="60" w:after="60"/>
              <w:jc w:val="right"/>
              <w:rPr>
                <w:rFonts w:ascii="Calibri" w:eastAsia="Times New Roman" w:hAnsi="Calibri" w:cs="Calibri"/>
                <w:color w:val="000000"/>
                <w:sz w:val="22"/>
                <w:szCs w:val="22"/>
              </w:rPr>
            </w:pPr>
            <w:r w:rsidRPr="000A1FA9">
              <w:rPr>
                <w:rFonts w:ascii="Calibri" w:eastAsia="Times New Roman" w:hAnsi="Calibri" w:cs="Calibri"/>
                <w:color w:val="000000"/>
                <w:sz w:val="22"/>
                <w:szCs w:val="22"/>
              </w:rPr>
              <w:t>1.3%</w:t>
            </w:r>
          </w:p>
        </w:tc>
      </w:tr>
      <w:tr w:rsidR="000A1FA9" w:rsidRPr="000A1FA9" w14:paraId="3E5F708B" w14:textId="77777777" w:rsidTr="001E1502">
        <w:trPr>
          <w:trHeight w:val="261"/>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47C62" w14:textId="4DC52611" w:rsidR="000A1FA9" w:rsidRPr="000A1FA9" w:rsidRDefault="000A1FA9" w:rsidP="00EF66E9">
            <w:pPr>
              <w:spacing w:before="60" w:after="60"/>
              <w:rPr>
                <w:rFonts w:ascii="Calibri" w:eastAsia="Times New Roman" w:hAnsi="Calibri" w:cs="Calibri"/>
                <w:color w:val="000000"/>
                <w:sz w:val="22"/>
                <w:szCs w:val="22"/>
              </w:rPr>
            </w:pPr>
            <w:r>
              <w:rPr>
                <w:rFonts w:ascii="Calibri" w:eastAsia="Times New Roman" w:hAnsi="Calibri" w:cs="Calibri"/>
                <w:color w:val="000000"/>
                <w:sz w:val="22"/>
                <w:szCs w:val="22"/>
              </w:rPr>
              <w:t xml:space="preserve">Other sequences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164B01F" w14:textId="7701A97A" w:rsidR="000A1FA9" w:rsidRPr="000A1FA9" w:rsidRDefault="000A1FA9" w:rsidP="00EF66E9">
            <w:pPr>
              <w:spacing w:before="60" w:after="60"/>
              <w:jc w:val="right"/>
              <w:rPr>
                <w:rFonts w:ascii="Calibri" w:eastAsia="Times New Roman" w:hAnsi="Calibri" w:cs="Calibri"/>
                <w:color w:val="000000"/>
                <w:sz w:val="22"/>
                <w:szCs w:val="22"/>
              </w:rPr>
            </w:pPr>
            <w:r>
              <w:rPr>
                <w:rFonts w:ascii="Calibri" w:eastAsia="Times New Roman" w:hAnsi="Calibri" w:cs="Calibri"/>
                <w:color w:val="000000"/>
                <w:sz w:val="22"/>
                <w:szCs w:val="22"/>
              </w:rPr>
              <w:t>489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EC533C3" w14:textId="5C7451A9" w:rsidR="000A1FA9" w:rsidRPr="000A1FA9" w:rsidRDefault="000A1FA9" w:rsidP="00EF66E9">
            <w:pPr>
              <w:spacing w:before="60" w:after="60"/>
              <w:jc w:val="right"/>
              <w:rPr>
                <w:rFonts w:ascii="Calibri" w:eastAsia="Times New Roman" w:hAnsi="Calibri" w:cs="Calibri"/>
                <w:color w:val="000000"/>
                <w:sz w:val="22"/>
                <w:szCs w:val="22"/>
              </w:rPr>
            </w:pPr>
            <w:r>
              <w:rPr>
                <w:rFonts w:ascii="Calibri" w:eastAsia="Times New Roman" w:hAnsi="Calibri" w:cs="Calibri"/>
                <w:color w:val="000000"/>
                <w:sz w:val="22"/>
                <w:szCs w:val="22"/>
              </w:rPr>
              <w:t>8%</w:t>
            </w:r>
          </w:p>
        </w:tc>
      </w:tr>
    </w:tbl>
    <w:p w14:paraId="20AC0B6C" w14:textId="77777777" w:rsidR="0062473B" w:rsidRPr="00E86BC7" w:rsidRDefault="0062473B" w:rsidP="00E86BC7"/>
    <w:p w14:paraId="43572ED8" w14:textId="4BB9D057" w:rsidR="000D44AB" w:rsidRDefault="000D44AB" w:rsidP="00D245ED">
      <w:r>
        <w:t xml:space="preserve">In Table </w:t>
      </w:r>
      <w:r w:rsidR="004145FD">
        <w:t>7</w:t>
      </w:r>
      <w:r>
        <w:t xml:space="preserve">, approximately </w:t>
      </w:r>
      <w:r w:rsidR="000A1FA9">
        <w:t>70.5</w:t>
      </w:r>
      <w:r w:rsidR="004C69B2">
        <w:t xml:space="preserve">% of </w:t>
      </w:r>
      <w:r>
        <w:t xml:space="preserve">evolocumab </w:t>
      </w:r>
      <w:r w:rsidR="004C69B2">
        <w:t xml:space="preserve">patients </w:t>
      </w:r>
      <w:r w:rsidR="003B3518">
        <w:t xml:space="preserve">were </w:t>
      </w:r>
      <w:r w:rsidR="004C69B2">
        <w:t xml:space="preserve">consistently </w:t>
      </w:r>
      <w:r w:rsidR="00D5311A">
        <w:t xml:space="preserve">supplied a PBS listing </w:t>
      </w:r>
      <w:r w:rsidR="003B3518">
        <w:t>for</w:t>
      </w:r>
      <w:r w:rsidR="004C69B2">
        <w:t xml:space="preserve"> same </w:t>
      </w:r>
      <w:r>
        <w:t xml:space="preserve">indication based on the </w:t>
      </w:r>
      <w:r w:rsidR="004C69B2">
        <w:t>authority</w:t>
      </w:r>
      <w:r>
        <w:t xml:space="preserve"> or </w:t>
      </w:r>
      <w:r w:rsidR="004C69B2">
        <w:t>streamlined code</w:t>
      </w:r>
      <w:r w:rsidR="00562FE8">
        <w:t xml:space="preserve"> in 2021</w:t>
      </w:r>
      <w:r>
        <w:t xml:space="preserve">. </w:t>
      </w:r>
    </w:p>
    <w:p w14:paraId="327A6429" w14:textId="77777777" w:rsidR="00257FD9" w:rsidRDefault="00257FD9" w:rsidP="00D245ED"/>
    <w:p w14:paraId="71C6BE5F" w14:textId="484513CB" w:rsidR="001E6EE7" w:rsidRDefault="001E6EE7" w:rsidP="005145C0">
      <w:pPr>
        <w:jc w:val="center"/>
      </w:pPr>
      <w:r>
        <w:rPr>
          <w:noProof/>
        </w:rPr>
        <w:drawing>
          <wp:inline distT="0" distB="0" distL="0" distR="0" wp14:anchorId="7C8120B1" wp14:editId="54BE0B55">
            <wp:extent cx="4933950" cy="3700601"/>
            <wp:effectExtent l="0" t="0" r="0" b="0"/>
            <wp:docPr id="9" name="Graphic 9" descr="Proportion of prescriptions by indication based on item code and restriction code in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Proportion of prescriptions by indication based on item code and restriction code in 2021 "/>
                    <pic:cNvPicPr/>
                  </pic:nvPicPr>
                  <pic:blipFill>
                    <a:blip r:embed="rId26">
                      <a:extLst>
                        <a:ext uri="{96DAC541-7B7A-43D3-8B79-37D633B846F1}">
                          <asvg:svgBlip xmlns:asvg="http://schemas.microsoft.com/office/drawing/2016/SVG/main" r:embed="rId27"/>
                        </a:ext>
                      </a:extLst>
                    </a:blip>
                    <a:stretch>
                      <a:fillRect/>
                    </a:stretch>
                  </pic:blipFill>
                  <pic:spPr>
                    <a:xfrm>
                      <a:off x="0" y="0"/>
                      <a:ext cx="4976975" cy="3732871"/>
                    </a:xfrm>
                    <a:prstGeom prst="rect">
                      <a:avLst/>
                    </a:prstGeom>
                  </pic:spPr>
                </pic:pic>
              </a:graphicData>
            </a:graphic>
          </wp:inline>
        </w:drawing>
      </w:r>
      <w:r w:rsidR="002666B2">
        <w:t xml:space="preserve"> </w:t>
      </w:r>
    </w:p>
    <w:p w14:paraId="2DE6FA07" w14:textId="36BCD47D" w:rsidR="001E6EE7" w:rsidRDefault="001E6EE7" w:rsidP="001E6EE7">
      <w:pPr>
        <w:pStyle w:val="Figuretitle"/>
      </w:pPr>
      <w:r>
        <w:t xml:space="preserve">Figure </w:t>
      </w:r>
      <w:r w:rsidR="00437067">
        <w:t>4</w:t>
      </w:r>
      <w:r w:rsidRPr="002C727E">
        <w:t xml:space="preserve">: </w:t>
      </w:r>
      <w:r>
        <w:t xml:space="preserve">Proportion of prescriptions by indication based on item code and restriction code </w:t>
      </w:r>
      <w:r w:rsidR="00562FE8">
        <w:t>in</w:t>
      </w:r>
      <w:r>
        <w:t xml:space="preserve"> 2021 </w:t>
      </w:r>
    </w:p>
    <w:p w14:paraId="15E1648C" w14:textId="617680BF" w:rsidR="001E6EE7" w:rsidRDefault="001E6EE7" w:rsidP="00D245ED"/>
    <w:p w14:paraId="54BC95C8" w14:textId="6A0D161D" w:rsidR="008A63D2" w:rsidRDefault="009F23A3" w:rsidP="00562FE8">
      <w:r>
        <w:t xml:space="preserve">Figure 4 shows the indication of the item code in the outer circle, and the indication of the restriction code in the inner circle. The number of unknowns or mismatched codes, i.e. a restriction code for </w:t>
      </w:r>
      <w:r w:rsidR="000878A1">
        <w:t xml:space="preserve">HoFH </w:t>
      </w:r>
      <w:r>
        <w:t xml:space="preserve">against an item code for </w:t>
      </w:r>
      <w:r w:rsidR="000878A1">
        <w:t>HeFH</w:t>
      </w:r>
      <w:r>
        <w:t xml:space="preserve">, are represented by the incomplete </w:t>
      </w:r>
      <w:r w:rsidR="009777E2">
        <w:t xml:space="preserve">segments of the </w:t>
      </w:r>
      <w:r>
        <w:t>inner circles, however the numbers of these were too small to be shown.</w:t>
      </w:r>
      <w:r w:rsidR="00562FE8">
        <w:t xml:space="preserve"> </w:t>
      </w:r>
    </w:p>
    <w:p w14:paraId="13163BEB" w14:textId="77777777" w:rsidR="00562FE8" w:rsidRDefault="00562FE8" w:rsidP="00562FE8"/>
    <w:p w14:paraId="53382893" w14:textId="77777777" w:rsidR="00E07573" w:rsidRDefault="00E07573">
      <w:pPr>
        <w:spacing w:line="276" w:lineRule="auto"/>
        <w:rPr>
          <w:b/>
          <w:i/>
          <w:szCs w:val="28"/>
        </w:rPr>
      </w:pPr>
      <w:r>
        <w:br w:type="page"/>
      </w:r>
    </w:p>
    <w:p w14:paraId="1E4F1F0C" w14:textId="1B58D7F9" w:rsidR="00067F73" w:rsidRDefault="008A63D2" w:rsidP="00E07573">
      <w:pPr>
        <w:pStyle w:val="Heading3"/>
      </w:pPr>
      <w:r>
        <w:lastRenderedPageBreak/>
        <w:t>Utilisation by prevalent patients</w:t>
      </w:r>
    </w:p>
    <w:p w14:paraId="746A1909" w14:textId="746EED72" w:rsidR="00E07573" w:rsidRDefault="00E07573" w:rsidP="00FA1155">
      <w:pPr>
        <w:spacing w:line="276" w:lineRule="auto"/>
        <w:jc w:val="center"/>
      </w:pPr>
      <w:r>
        <w:rPr>
          <w:noProof/>
        </w:rPr>
        <w:drawing>
          <wp:inline distT="0" distB="0" distL="0" distR="0" wp14:anchorId="5E982A58" wp14:editId="12BEB470">
            <wp:extent cx="5097600" cy="3333600"/>
            <wp:effectExtent l="0" t="0" r="8255" b="635"/>
            <wp:docPr id="11" name="Chart 11" descr="Prevalent evolocumab patients by indication ">
              <a:extLst xmlns:a="http://schemas.openxmlformats.org/drawingml/2006/main">
                <a:ext uri="{FF2B5EF4-FFF2-40B4-BE49-F238E27FC236}">
                  <a16:creationId xmlns:a16="http://schemas.microsoft.com/office/drawing/2014/main" id="{CA05ED5B-B4E1-464F-A28F-F5DEB01BEF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4749BF5" w14:textId="67B2B557" w:rsidR="004D0052" w:rsidRDefault="004D0052" w:rsidP="004D0052">
      <w:pPr>
        <w:pStyle w:val="Figuretitle"/>
      </w:pPr>
      <w:r>
        <w:t>Figure 5</w:t>
      </w:r>
      <w:r w:rsidRPr="002C727E">
        <w:t xml:space="preserve">: </w:t>
      </w:r>
      <w:r>
        <w:t xml:space="preserve">Prevalent evolocumab patients by indication </w:t>
      </w:r>
    </w:p>
    <w:p w14:paraId="2607D7EF" w14:textId="08F9CD17" w:rsidR="004D0052" w:rsidRPr="004D0052" w:rsidRDefault="004D0052" w:rsidP="004D0052">
      <w:pPr>
        <w:rPr>
          <w:sz w:val="20"/>
          <w:szCs w:val="20"/>
        </w:rPr>
      </w:pPr>
      <w:r w:rsidRPr="00B7146F">
        <w:rPr>
          <w:sz w:val="20"/>
          <w:szCs w:val="20"/>
        </w:rPr>
        <w:t xml:space="preserve">Note: Indication determined by authority or streamlined code  </w:t>
      </w:r>
    </w:p>
    <w:p w14:paraId="5172F60E" w14:textId="05BF2269" w:rsidR="00562FE8" w:rsidRDefault="00562FE8" w:rsidP="004D0052">
      <w:pPr>
        <w:spacing w:line="276" w:lineRule="auto"/>
      </w:pPr>
      <w:r>
        <w:t>As shown in Figure 5, t</w:t>
      </w:r>
      <w:r w:rsidR="004D0052">
        <w:t xml:space="preserve">here was a </w:t>
      </w:r>
      <w:r>
        <w:t>large</w:t>
      </w:r>
      <w:r w:rsidR="004D0052">
        <w:t xml:space="preserve"> increase in the number of prevalent evolocumab patients when</w:t>
      </w:r>
      <w:r>
        <w:t xml:space="preserve"> the listing was extended to include treatment for </w:t>
      </w:r>
      <w:r w:rsidR="00E07573">
        <w:t>non-FH</w:t>
      </w:r>
      <w:r>
        <w:t xml:space="preserve"> in May 2020.</w:t>
      </w:r>
    </w:p>
    <w:p w14:paraId="3E6617BE" w14:textId="77777777" w:rsidR="00E07573" w:rsidRDefault="00E07573">
      <w:pPr>
        <w:spacing w:line="276" w:lineRule="auto"/>
        <w:rPr>
          <w:b/>
          <w:i/>
          <w:szCs w:val="28"/>
        </w:rPr>
      </w:pPr>
      <w:r>
        <w:br w:type="page"/>
      </w:r>
    </w:p>
    <w:p w14:paraId="5B8F1E51" w14:textId="2EDBB972" w:rsidR="008A63D2" w:rsidRDefault="008A63D2" w:rsidP="008A63D2">
      <w:pPr>
        <w:pStyle w:val="Heading3"/>
      </w:pPr>
      <w:r>
        <w:lastRenderedPageBreak/>
        <w:t>Utilisation by initiating patients</w:t>
      </w:r>
    </w:p>
    <w:p w14:paraId="10FDDA3E" w14:textId="5C66C289" w:rsidR="00067F73" w:rsidRDefault="00067F73" w:rsidP="00FA1155">
      <w:pPr>
        <w:spacing w:line="276" w:lineRule="auto"/>
        <w:jc w:val="center"/>
      </w:pPr>
      <w:r>
        <w:rPr>
          <w:noProof/>
        </w:rPr>
        <w:drawing>
          <wp:inline distT="0" distB="0" distL="0" distR="0" wp14:anchorId="68B5D509" wp14:editId="035F3897">
            <wp:extent cx="5097600" cy="3333600"/>
            <wp:effectExtent l="0" t="0" r="8255" b="635"/>
            <wp:docPr id="4" name="Chart 4" descr="Initiating evolocumab patients by indication ">
              <a:extLst xmlns:a="http://schemas.openxmlformats.org/drawingml/2006/main">
                <a:ext uri="{FF2B5EF4-FFF2-40B4-BE49-F238E27FC236}">
                  <a16:creationId xmlns:a16="http://schemas.microsoft.com/office/drawing/2014/main" id="{925AE338-B5B0-469F-BDB3-E5617A156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7E3FF90" w14:textId="4F0F43BE" w:rsidR="004D0052" w:rsidRDefault="004D0052" w:rsidP="004D0052">
      <w:pPr>
        <w:pStyle w:val="Figuretitle"/>
      </w:pPr>
      <w:r>
        <w:t xml:space="preserve">Figure </w:t>
      </w:r>
      <w:r w:rsidR="001C0C18">
        <w:t>6</w:t>
      </w:r>
      <w:r w:rsidRPr="002C727E">
        <w:t xml:space="preserve">: </w:t>
      </w:r>
      <w:r>
        <w:t xml:space="preserve">Initiating evolocumab patients by indication </w:t>
      </w:r>
    </w:p>
    <w:p w14:paraId="1766DD31" w14:textId="07A92359" w:rsidR="004145FD" w:rsidRDefault="004D0052" w:rsidP="00257FD9">
      <w:r w:rsidRPr="00B7146F">
        <w:rPr>
          <w:sz w:val="20"/>
          <w:szCs w:val="20"/>
        </w:rPr>
        <w:t xml:space="preserve">Note: Indication determined by authority or streamlined code  </w:t>
      </w:r>
    </w:p>
    <w:p w14:paraId="2E9C8738" w14:textId="2780E891" w:rsidR="001C0C18" w:rsidRDefault="001C0C18" w:rsidP="001C0C18">
      <w:pPr>
        <w:spacing w:line="276" w:lineRule="auto"/>
      </w:pPr>
      <w:r>
        <w:t xml:space="preserve">As shown in Figure 6, there was a large increase in the number of patients initiating treatment with evolocumab in 2020Q2. The majority of patients who initiated treatment with evolocumab were treated for </w:t>
      </w:r>
      <w:r w:rsidR="00E07573">
        <w:t>non-FH</w:t>
      </w:r>
      <w:r>
        <w:t xml:space="preserve">. </w:t>
      </w:r>
    </w:p>
    <w:p w14:paraId="16574FC9" w14:textId="77777777" w:rsidR="001C0C18" w:rsidRDefault="001C0C18" w:rsidP="001C0C18">
      <w:pPr>
        <w:spacing w:line="276" w:lineRule="auto"/>
      </w:pPr>
    </w:p>
    <w:p w14:paraId="44ACE2D8" w14:textId="211497E5" w:rsidR="00067F73" w:rsidRDefault="00067F73" w:rsidP="00FA1155">
      <w:pPr>
        <w:spacing w:line="276" w:lineRule="auto"/>
        <w:jc w:val="center"/>
      </w:pPr>
    </w:p>
    <w:p w14:paraId="3304AEE4" w14:textId="77777777" w:rsidR="00C05BF3" w:rsidRDefault="00C05BF3">
      <w:pPr>
        <w:spacing w:line="276" w:lineRule="auto"/>
        <w:rPr>
          <w:b/>
          <w:i/>
          <w:szCs w:val="28"/>
        </w:rPr>
      </w:pPr>
    </w:p>
    <w:p w14:paraId="7997ACD6" w14:textId="2A7CE724" w:rsidR="00124068" w:rsidRDefault="00124068">
      <w:pPr>
        <w:spacing w:line="276" w:lineRule="auto"/>
        <w:rPr>
          <w:b/>
          <w:i/>
          <w:szCs w:val="28"/>
        </w:rPr>
      </w:pPr>
      <w:r>
        <w:br w:type="page"/>
      </w:r>
    </w:p>
    <w:p w14:paraId="171E7146" w14:textId="3A330A60" w:rsidR="00237171" w:rsidRDefault="003B7EFE" w:rsidP="00124068">
      <w:pPr>
        <w:pStyle w:val="Heading3"/>
      </w:pPr>
      <w:r>
        <w:lastRenderedPageBreak/>
        <w:t xml:space="preserve">Age and gender distribution </w:t>
      </w:r>
    </w:p>
    <w:p w14:paraId="404A1FDC" w14:textId="225BFA8F" w:rsidR="00124068" w:rsidRDefault="00124068" w:rsidP="00AC4241">
      <w:pPr>
        <w:jc w:val="center"/>
      </w:pPr>
      <w:r>
        <w:rPr>
          <w:noProof/>
        </w:rPr>
        <w:drawing>
          <wp:inline distT="0" distB="0" distL="0" distR="0" wp14:anchorId="3DA7F9CB" wp14:editId="592DCE0D">
            <wp:extent cx="5097600" cy="3456000"/>
            <wp:effectExtent l="0" t="0" r="8255" b="11430"/>
            <wp:docPr id="13" name="Chart 13" descr="Age and gender distribution of patients initiating evolocumab ">
              <a:extLst xmlns:a="http://schemas.openxmlformats.org/drawingml/2006/main">
                <a:ext uri="{FF2B5EF4-FFF2-40B4-BE49-F238E27FC236}">
                  <a16:creationId xmlns:a16="http://schemas.microsoft.com/office/drawing/2014/main" id="{0CEAD722-31DF-48E2-97A3-D40C773A5E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5A6FDB8" w14:textId="5BDBE802" w:rsidR="00C05BF3" w:rsidRDefault="00FB036E" w:rsidP="00C05BF3">
      <w:pPr>
        <w:pStyle w:val="Figuretitle"/>
      </w:pPr>
      <w:r>
        <w:t xml:space="preserve">Figure </w:t>
      </w:r>
      <w:r w:rsidR="00954C5E">
        <w:t>7</w:t>
      </w:r>
      <w:r w:rsidR="00437067">
        <w:t xml:space="preserve">: </w:t>
      </w:r>
      <w:r>
        <w:t xml:space="preserve">Age and gender distribution of patients initiating </w:t>
      </w:r>
      <w:proofErr w:type="spellStart"/>
      <w:r>
        <w:t>evolo</w:t>
      </w:r>
      <w:r w:rsidR="00CC07E0">
        <w:t>c</w:t>
      </w:r>
      <w:r>
        <w:t>umab</w:t>
      </w:r>
      <w:proofErr w:type="spellEnd"/>
      <w:r>
        <w:t xml:space="preserve"> </w:t>
      </w:r>
    </w:p>
    <w:p w14:paraId="0037C0A1" w14:textId="5F7D9730" w:rsidR="00C05BF3" w:rsidRDefault="00C05BF3" w:rsidP="00257FD9">
      <w:pPr>
        <w:spacing w:after="120"/>
      </w:pPr>
    </w:p>
    <w:p w14:paraId="701DEB5E" w14:textId="7797DEA7" w:rsidR="00C05BF3" w:rsidRDefault="00C05BF3" w:rsidP="00124068">
      <w:r>
        <w:t xml:space="preserve">Figure </w:t>
      </w:r>
      <w:r w:rsidR="00954C5E">
        <w:t>7</w:t>
      </w:r>
      <w:r>
        <w:t xml:space="preserve"> shows a greater proportion of </w:t>
      </w:r>
      <w:proofErr w:type="gramStart"/>
      <w:r>
        <w:t>males initiated</w:t>
      </w:r>
      <w:proofErr w:type="gramEnd"/>
      <w:r>
        <w:t xml:space="preserve"> treatment with evolocumab compared to females. The median age of initiation for males and females was</w:t>
      </w:r>
      <w:r w:rsidR="00065598">
        <w:t xml:space="preserve"> 63 and 66 years</w:t>
      </w:r>
      <w:r>
        <w:t xml:space="preserve">, respectively. The mean age of initiation for males and females was </w:t>
      </w:r>
      <w:r w:rsidR="00065598">
        <w:t>62 and 64 years</w:t>
      </w:r>
      <w:r>
        <w:t>, respectively.</w:t>
      </w:r>
    </w:p>
    <w:p w14:paraId="6993A068" w14:textId="77777777" w:rsidR="00C05BF3" w:rsidRDefault="00C05BF3" w:rsidP="00124068"/>
    <w:p w14:paraId="493A4BB7" w14:textId="4E167C0B" w:rsidR="00C05BF3" w:rsidRDefault="00C05BF3" w:rsidP="00C05BF3">
      <w:pPr>
        <w:jc w:val="center"/>
      </w:pPr>
    </w:p>
    <w:p w14:paraId="5675A443" w14:textId="216A01FF" w:rsidR="00E07573" w:rsidRDefault="00E07573" w:rsidP="00C05BF3">
      <w:pPr>
        <w:jc w:val="center"/>
      </w:pPr>
      <w:r>
        <w:rPr>
          <w:noProof/>
        </w:rPr>
        <w:lastRenderedPageBreak/>
        <w:drawing>
          <wp:inline distT="0" distB="0" distL="0" distR="0" wp14:anchorId="7ADB57E5" wp14:editId="00105F44">
            <wp:extent cx="5097600" cy="3333600"/>
            <wp:effectExtent l="0" t="0" r="8255" b="635"/>
            <wp:docPr id="14" name="Chart 14" descr="Age distribution of patients initiating evolocumab by indication ">
              <a:extLst xmlns:a="http://schemas.openxmlformats.org/drawingml/2006/main">
                <a:ext uri="{FF2B5EF4-FFF2-40B4-BE49-F238E27FC236}">
                  <a16:creationId xmlns:a16="http://schemas.microsoft.com/office/drawing/2014/main" id="{B8747325-6DA3-4A97-8146-8F8D384EF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0E26EC2" w14:textId="403A2479" w:rsidR="00C05BF3" w:rsidRDefault="00C05BF3" w:rsidP="00C05BF3">
      <w:pPr>
        <w:pStyle w:val="Figuretitle"/>
      </w:pPr>
      <w:r>
        <w:t xml:space="preserve">Figure </w:t>
      </w:r>
      <w:r w:rsidR="00954C5E">
        <w:t>8</w:t>
      </w:r>
      <w:r>
        <w:t xml:space="preserve">: Age distribution of patients initiating evolocumab by indication </w:t>
      </w:r>
    </w:p>
    <w:p w14:paraId="14132A8D" w14:textId="77777777" w:rsidR="001C0C18" w:rsidRDefault="001C0C18" w:rsidP="00257FD9">
      <w:pPr>
        <w:spacing w:after="120"/>
        <w:rPr>
          <w:sz w:val="20"/>
          <w:szCs w:val="20"/>
        </w:rPr>
      </w:pPr>
    </w:p>
    <w:p w14:paraId="70C28ADB" w14:textId="04AAEAA0" w:rsidR="00C05BF3" w:rsidRDefault="00C05BF3" w:rsidP="00124068">
      <w:r>
        <w:t xml:space="preserve">Figure </w:t>
      </w:r>
      <w:r w:rsidR="00954C5E">
        <w:t>8</w:t>
      </w:r>
      <w:r>
        <w:t xml:space="preserve"> shows a greater </w:t>
      </w:r>
      <w:r w:rsidR="00065598">
        <w:t>level</w:t>
      </w:r>
      <w:r>
        <w:t xml:space="preserve"> of positive skewness in age in patients who initiated treatment with evolocumab for </w:t>
      </w:r>
      <w:r w:rsidR="00E07573">
        <w:t>non-FH</w:t>
      </w:r>
      <w:r>
        <w:t xml:space="preserve"> compared to HeFH and HoFH. </w:t>
      </w:r>
    </w:p>
    <w:p w14:paraId="59CCAE8F" w14:textId="6E286E63" w:rsidR="002E64C8" w:rsidRPr="005E22C2" w:rsidRDefault="00437067" w:rsidP="00EF66E9">
      <w:pPr>
        <w:pStyle w:val="Figuretitle"/>
        <w:spacing w:before="200" w:after="20"/>
      </w:pPr>
      <w:r>
        <w:t xml:space="preserve">Table </w:t>
      </w:r>
      <w:r w:rsidR="004145FD">
        <w:t>8</w:t>
      </w:r>
      <w:r w:rsidR="002E64C8" w:rsidRPr="002C727E">
        <w:t xml:space="preserve">: </w:t>
      </w:r>
      <w:r w:rsidR="00D56011">
        <w:t>M</w:t>
      </w:r>
      <w:r w:rsidR="002E64C8">
        <w:t>edian age</w:t>
      </w:r>
      <w:r w:rsidR="00D56011">
        <w:t xml:space="preserve"> (years)</w:t>
      </w:r>
      <w:r w:rsidR="002E64C8">
        <w:t xml:space="preserve"> at initiation by main indication </w:t>
      </w:r>
    </w:p>
    <w:tbl>
      <w:tblPr>
        <w:tblW w:w="8775"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194"/>
        <w:gridCol w:w="2194"/>
        <w:gridCol w:w="2194"/>
      </w:tblGrid>
      <w:tr w:rsidR="00D56011" w:rsidRPr="00BA55B7" w14:paraId="264B9E57" w14:textId="77777777" w:rsidTr="00D56011">
        <w:trPr>
          <w:trHeight w:val="154"/>
        </w:trPr>
        <w:tc>
          <w:tcPr>
            <w:tcW w:w="2193" w:type="dxa"/>
            <w:tcBorders>
              <w:top w:val="single" w:sz="4" w:space="0" w:color="auto"/>
            </w:tcBorders>
            <w:shd w:val="clear" w:color="auto" w:fill="BFBFBF" w:themeFill="background1" w:themeFillShade="BF"/>
            <w:noWrap/>
            <w:vAlign w:val="bottom"/>
          </w:tcPr>
          <w:p w14:paraId="50DD30D1" w14:textId="69FA1C80" w:rsidR="00D56011" w:rsidRPr="00BA55B7" w:rsidRDefault="00D56011" w:rsidP="00EF66E9">
            <w:pPr>
              <w:spacing w:before="60" w:after="60"/>
              <w:rPr>
                <w:rFonts w:ascii="Calibri" w:eastAsia="Times New Roman" w:hAnsi="Calibri" w:cs="Calibri"/>
                <w:color w:val="000000"/>
                <w:sz w:val="22"/>
                <w:szCs w:val="22"/>
              </w:rPr>
            </w:pPr>
            <w:r>
              <w:rPr>
                <w:rFonts w:ascii="Calibri" w:eastAsia="Times New Roman" w:hAnsi="Calibri" w:cs="Calibri"/>
                <w:b/>
                <w:bCs/>
                <w:color w:val="000000"/>
                <w:sz w:val="22"/>
                <w:szCs w:val="22"/>
              </w:rPr>
              <w:t>Main indication</w:t>
            </w:r>
          </w:p>
        </w:tc>
        <w:tc>
          <w:tcPr>
            <w:tcW w:w="2194" w:type="dxa"/>
            <w:tcBorders>
              <w:top w:val="single" w:sz="4" w:space="0" w:color="auto"/>
            </w:tcBorders>
            <w:shd w:val="clear" w:color="auto" w:fill="BFBFBF" w:themeFill="background1" w:themeFillShade="BF"/>
            <w:noWrap/>
            <w:vAlign w:val="bottom"/>
          </w:tcPr>
          <w:p w14:paraId="50A69EB0" w14:textId="7AB0B7F9" w:rsidR="00D56011" w:rsidRPr="00BA55B7" w:rsidRDefault="00D56011" w:rsidP="00EF66E9">
            <w:pPr>
              <w:spacing w:before="60" w:after="60"/>
              <w:jc w:val="center"/>
              <w:rPr>
                <w:rFonts w:ascii="Calibri" w:eastAsia="Times New Roman" w:hAnsi="Calibri" w:cs="Calibri"/>
                <w:color w:val="000000"/>
                <w:sz w:val="22"/>
                <w:szCs w:val="22"/>
              </w:rPr>
            </w:pPr>
            <w:r>
              <w:rPr>
                <w:rFonts w:ascii="Calibri" w:eastAsia="Times New Roman" w:hAnsi="Calibri" w:cs="Calibri"/>
                <w:b/>
                <w:bCs/>
                <w:color w:val="000000"/>
                <w:sz w:val="22"/>
                <w:szCs w:val="22"/>
              </w:rPr>
              <w:t>Female</w:t>
            </w:r>
          </w:p>
        </w:tc>
        <w:tc>
          <w:tcPr>
            <w:tcW w:w="2194" w:type="dxa"/>
            <w:tcBorders>
              <w:top w:val="single" w:sz="4" w:space="0" w:color="auto"/>
            </w:tcBorders>
            <w:shd w:val="clear" w:color="auto" w:fill="BFBFBF" w:themeFill="background1" w:themeFillShade="BF"/>
          </w:tcPr>
          <w:p w14:paraId="23229AD5" w14:textId="66CBAC02" w:rsidR="00D56011" w:rsidRPr="00BA55B7" w:rsidRDefault="00D56011" w:rsidP="00EF66E9">
            <w:pPr>
              <w:spacing w:before="60" w:after="60"/>
              <w:jc w:val="center"/>
              <w:rPr>
                <w:rFonts w:ascii="Calibri" w:eastAsia="Times New Roman" w:hAnsi="Calibri" w:cs="Calibri"/>
                <w:color w:val="000000"/>
                <w:sz w:val="22"/>
                <w:szCs w:val="22"/>
              </w:rPr>
            </w:pPr>
            <w:r w:rsidRPr="00BA55B7">
              <w:rPr>
                <w:rFonts w:ascii="Calibri" w:eastAsia="Times New Roman" w:hAnsi="Calibri" w:cs="Calibri"/>
                <w:b/>
                <w:bCs/>
                <w:color w:val="000000"/>
                <w:sz w:val="22"/>
                <w:szCs w:val="22"/>
              </w:rPr>
              <w:t>Male</w:t>
            </w:r>
          </w:p>
        </w:tc>
        <w:tc>
          <w:tcPr>
            <w:tcW w:w="2194" w:type="dxa"/>
            <w:tcBorders>
              <w:top w:val="single" w:sz="4" w:space="0" w:color="auto"/>
            </w:tcBorders>
            <w:shd w:val="clear" w:color="auto" w:fill="BFBFBF" w:themeFill="background1" w:themeFillShade="BF"/>
          </w:tcPr>
          <w:p w14:paraId="019AAF81" w14:textId="127D25C5" w:rsidR="00D56011" w:rsidRDefault="00D56011" w:rsidP="00EF66E9">
            <w:pPr>
              <w:spacing w:before="60" w:after="60"/>
              <w:jc w:val="center"/>
              <w:rPr>
                <w:rFonts w:ascii="Calibri" w:eastAsia="Times New Roman" w:hAnsi="Calibri" w:cs="Calibri"/>
                <w:color w:val="000000"/>
                <w:sz w:val="22"/>
                <w:szCs w:val="22"/>
              </w:rPr>
            </w:pPr>
            <w:r>
              <w:rPr>
                <w:rFonts w:ascii="Calibri" w:eastAsia="Times New Roman" w:hAnsi="Calibri" w:cs="Calibri"/>
                <w:b/>
                <w:bCs/>
                <w:color w:val="000000"/>
                <w:sz w:val="22"/>
                <w:szCs w:val="22"/>
              </w:rPr>
              <w:t>Overall</w:t>
            </w:r>
          </w:p>
        </w:tc>
      </w:tr>
      <w:tr w:rsidR="00D56011" w:rsidRPr="00BA55B7" w14:paraId="25F3022C" w14:textId="7B0E7C08" w:rsidTr="00D56011">
        <w:trPr>
          <w:trHeight w:val="154"/>
        </w:trPr>
        <w:tc>
          <w:tcPr>
            <w:tcW w:w="2193" w:type="dxa"/>
            <w:shd w:val="clear" w:color="auto" w:fill="auto"/>
            <w:noWrap/>
            <w:vAlign w:val="bottom"/>
            <w:hideMark/>
          </w:tcPr>
          <w:p w14:paraId="610D13A8" w14:textId="2B64E321" w:rsidR="00D56011" w:rsidRPr="00BA55B7" w:rsidRDefault="00D56011" w:rsidP="00EF66E9">
            <w:pPr>
              <w:spacing w:before="60" w:after="60"/>
              <w:rPr>
                <w:rFonts w:ascii="Calibri" w:eastAsia="Times New Roman" w:hAnsi="Calibri" w:cs="Calibri"/>
                <w:color w:val="000000"/>
                <w:sz w:val="22"/>
                <w:szCs w:val="22"/>
              </w:rPr>
            </w:pPr>
            <w:r w:rsidRPr="00BA55B7">
              <w:rPr>
                <w:rFonts w:ascii="Calibri" w:eastAsia="Times New Roman" w:hAnsi="Calibri" w:cs="Calibri"/>
                <w:color w:val="000000"/>
                <w:sz w:val="22"/>
                <w:szCs w:val="22"/>
              </w:rPr>
              <w:t>He</w:t>
            </w:r>
            <w:r w:rsidR="00D400C7">
              <w:rPr>
                <w:rFonts w:ascii="Calibri" w:eastAsia="Times New Roman" w:hAnsi="Calibri" w:cs="Calibri"/>
                <w:color w:val="000000"/>
                <w:sz w:val="22"/>
                <w:szCs w:val="22"/>
              </w:rPr>
              <w:t>FH</w:t>
            </w:r>
          </w:p>
        </w:tc>
        <w:tc>
          <w:tcPr>
            <w:tcW w:w="2194" w:type="dxa"/>
            <w:shd w:val="clear" w:color="auto" w:fill="auto"/>
            <w:noWrap/>
            <w:vAlign w:val="bottom"/>
            <w:hideMark/>
          </w:tcPr>
          <w:p w14:paraId="0D5C3892" w14:textId="77777777" w:rsidR="00D56011" w:rsidRPr="00BA55B7" w:rsidRDefault="00D56011" w:rsidP="00EF66E9">
            <w:pPr>
              <w:spacing w:before="60" w:after="60"/>
              <w:jc w:val="center"/>
              <w:rPr>
                <w:rFonts w:ascii="Calibri" w:eastAsia="Times New Roman" w:hAnsi="Calibri" w:cs="Calibri"/>
                <w:color w:val="000000"/>
                <w:sz w:val="22"/>
                <w:szCs w:val="22"/>
              </w:rPr>
            </w:pPr>
            <w:r w:rsidRPr="00BA55B7">
              <w:rPr>
                <w:rFonts w:ascii="Calibri" w:eastAsia="Times New Roman" w:hAnsi="Calibri" w:cs="Calibri"/>
                <w:color w:val="000000"/>
                <w:sz w:val="22"/>
                <w:szCs w:val="22"/>
              </w:rPr>
              <w:t>64</w:t>
            </w:r>
          </w:p>
        </w:tc>
        <w:tc>
          <w:tcPr>
            <w:tcW w:w="2194" w:type="dxa"/>
          </w:tcPr>
          <w:p w14:paraId="3D909E1F" w14:textId="512853DB" w:rsidR="00D56011" w:rsidRPr="00BA55B7" w:rsidRDefault="00D56011" w:rsidP="00EF66E9">
            <w:pPr>
              <w:spacing w:before="60" w:after="60"/>
              <w:jc w:val="center"/>
              <w:rPr>
                <w:rFonts w:ascii="Calibri" w:eastAsia="Times New Roman" w:hAnsi="Calibri" w:cs="Calibri"/>
                <w:color w:val="000000"/>
                <w:sz w:val="22"/>
                <w:szCs w:val="22"/>
              </w:rPr>
            </w:pPr>
            <w:r w:rsidRPr="00BA55B7">
              <w:rPr>
                <w:rFonts w:ascii="Calibri" w:eastAsia="Times New Roman" w:hAnsi="Calibri" w:cs="Calibri"/>
                <w:color w:val="000000"/>
                <w:sz w:val="22"/>
                <w:szCs w:val="22"/>
              </w:rPr>
              <w:t>59</w:t>
            </w:r>
          </w:p>
        </w:tc>
        <w:tc>
          <w:tcPr>
            <w:tcW w:w="2194" w:type="dxa"/>
          </w:tcPr>
          <w:p w14:paraId="00236B0B" w14:textId="7CAC9F4B" w:rsidR="00D56011" w:rsidRPr="00BA55B7" w:rsidRDefault="00D56011" w:rsidP="00EF66E9">
            <w:pPr>
              <w:spacing w:before="60" w:after="60"/>
              <w:jc w:val="center"/>
              <w:rPr>
                <w:rFonts w:ascii="Calibri" w:eastAsia="Times New Roman" w:hAnsi="Calibri" w:cs="Calibri"/>
                <w:color w:val="000000"/>
                <w:sz w:val="22"/>
                <w:szCs w:val="22"/>
              </w:rPr>
            </w:pPr>
            <w:r>
              <w:rPr>
                <w:rFonts w:ascii="Calibri" w:eastAsia="Times New Roman" w:hAnsi="Calibri" w:cs="Calibri"/>
                <w:color w:val="000000"/>
                <w:sz w:val="22"/>
                <w:szCs w:val="22"/>
              </w:rPr>
              <w:t>61</w:t>
            </w:r>
          </w:p>
        </w:tc>
      </w:tr>
      <w:tr w:rsidR="00D56011" w:rsidRPr="00BA55B7" w14:paraId="72E0B595" w14:textId="00DDDFD7" w:rsidTr="00D56011">
        <w:trPr>
          <w:trHeight w:val="154"/>
        </w:trPr>
        <w:tc>
          <w:tcPr>
            <w:tcW w:w="2193" w:type="dxa"/>
            <w:shd w:val="clear" w:color="auto" w:fill="auto"/>
            <w:noWrap/>
            <w:vAlign w:val="bottom"/>
            <w:hideMark/>
          </w:tcPr>
          <w:p w14:paraId="5C3F322E" w14:textId="6C7A3E11" w:rsidR="00D56011" w:rsidRPr="00BA55B7" w:rsidRDefault="00D400C7" w:rsidP="00EF66E9">
            <w:pPr>
              <w:spacing w:before="60" w:after="60"/>
              <w:rPr>
                <w:rFonts w:ascii="Calibri" w:eastAsia="Times New Roman" w:hAnsi="Calibri" w:cs="Calibri"/>
                <w:color w:val="000000"/>
                <w:sz w:val="22"/>
                <w:szCs w:val="22"/>
              </w:rPr>
            </w:pPr>
            <w:r>
              <w:rPr>
                <w:rFonts w:ascii="Calibri" w:eastAsia="Times New Roman" w:hAnsi="Calibri" w:cs="Calibri"/>
                <w:color w:val="000000"/>
                <w:sz w:val="22"/>
                <w:szCs w:val="22"/>
              </w:rPr>
              <w:t>HoFH</w:t>
            </w:r>
          </w:p>
        </w:tc>
        <w:tc>
          <w:tcPr>
            <w:tcW w:w="2194" w:type="dxa"/>
            <w:shd w:val="clear" w:color="auto" w:fill="auto"/>
            <w:noWrap/>
            <w:vAlign w:val="bottom"/>
            <w:hideMark/>
          </w:tcPr>
          <w:p w14:paraId="00E1D623" w14:textId="77777777" w:rsidR="00D56011" w:rsidRPr="00BA55B7" w:rsidRDefault="00D56011" w:rsidP="00EF66E9">
            <w:pPr>
              <w:spacing w:before="60" w:after="60"/>
              <w:jc w:val="center"/>
              <w:rPr>
                <w:rFonts w:ascii="Calibri" w:eastAsia="Times New Roman" w:hAnsi="Calibri" w:cs="Calibri"/>
                <w:color w:val="000000"/>
                <w:sz w:val="22"/>
                <w:szCs w:val="22"/>
              </w:rPr>
            </w:pPr>
            <w:r w:rsidRPr="00BA55B7">
              <w:rPr>
                <w:rFonts w:ascii="Calibri" w:eastAsia="Times New Roman" w:hAnsi="Calibri" w:cs="Calibri"/>
                <w:color w:val="000000"/>
                <w:sz w:val="22"/>
                <w:szCs w:val="22"/>
              </w:rPr>
              <w:t>62</w:t>
            </w:r>
          </w:p>
        </w:tc>
        <w:tc>
          <w:tcPr>
            <w:tcW w:w="2194" w:type="dxa"/>
            <w:vAlign w:val="bottom"/>
          </w:tcPr>
          <w:p w14:paraId="7EDEA39A" w14:textId="795D4FB0" w:rsidR="00D56011" w:rsidRPr="00BA55B7" w:rsidRDefault="00D56011" w:rsidP="00EF66E9">
            <w:pPr>
              <w:spacing w:before="60" w:after="60"/>
              <w:jc w:val="center"/>
              <w:rPr>
                <w:rFonts w:ascii="Calibri" w:eastAsia="Times New Roman" w:hAnsi="Calibri" w:cs="Calibri"/>
                <w:color w:val="000000"/>
                <w:sz w:val="22"/>
                <w:szCs w:val="22"/>
              </w:rPr>
            </w:pPr>
            <w:r w:rsidRPr="00BA55B7">
              <w:rPr>
                <w:rFonts w:ascii="Calibri" w:eastAsia="Times New Roman" w:hAnsi="Calibri" w:cs="Calibri"/>
                <w:color w:val="000000"/>
                <w:sz w:val="22"/>
                <w:szCs w:val="22"/>
              </w:rPr>
              <w:t>58</w:t>
            </w:r>
          </w:p>
        </w:tc>
        <w:tc>
          <w:tcPr>
            <w:tcW w:w="2194" w:type="dxa"/>
          </w:tcPr>
          <w:p w14:paraId="2BF3BFAF" w14:textId="506F5E5F" w:rsidR="00D56011" w:rsidRPr="00BA55B7" w:rsidRDefault="00D56011" w:rsidP="00EF66E9">
            <w:pPr>
              <w:spacing w:before="60" w:after="60"/>
              <w:jc w:val="center"/>
              <w:rPr>
                <w:rFonts w:ascii="Calibri" w:eastAsia="Times New Roman" w:hAnsi="Calibri" w:cs="Calibri"/>
                <w:color w:val="000000"/>
                <w:sz w:val="22"/>
                <w:szCs w:val="22"/>
              </w:rPr>
            </w:pPr>
            <w:r>
              <w:rPr>
                <w:rFonts w:ascii="Calibri" w:eastAsia="Times New Roman" w:hAnsi="Calibri" w:cs="Calibri"/>
                <w:color w:val="000000"/>
                <w:sz w:val="22"/>
                <w:szCs w:val="22"/>
              </w:rPr>
              <w:t>60</w:t>
            </w:r>
          </w:p>
        </w:tc>
      </w:tr>
      <w:tr w:rsidR="00D56011" w:rsidRPr="00BA55B7" w14:paraId="559247B0" w14:textId="5F1A971A" w:rsidTr="00D56011">
        <w:trPr>
          <w:trHeight w:val="154"/>
        </w:trPr>
        <w:tc>
          <w:tcPr>
            <w:tcW w:w="2193" w:type="dxa"/>
            <w:shd w:val="clear" w:color="auto" w:fill="auto"/>
            <w:noWrap/>
            <w:vAlign w:val="bottom"/>
            <w:hideMark/>
          </w:tcPr>
          <w:p w14:paraId="382AA27B" w14:textId="3CD34821" w:rsidR="00D56011" w:rsidRPr="00BA55B7" w:rsidRDefault="00D56011" w:rsidP="00EF66E9">
            <w:pPr>
              <w:spacing w:before="60" w:after="60"/>
              <w:rPr>
                <w:rFonts w:ascii="Calibri" w:eastAsia="Times New Roman" w:hAnsi="Calibri" w:cs="Calibri"/>
                <w:color w:val="000000"/>
                <w:sz w:val="22"/>
                <w:szCs w:val="22"/>
              </w:rPr>
            </w:pPr>
            <w:r w:rsidRPr="00BA55B7">
              <w:rPr>
                <w:rFonts w:ascii="Calibri" w:eastAsia="Times New Roman" w:hAnsi="Calibri" w:cs="Calibri"/>
                <w:color w:val="000000"/>
                <w:sz w:val="22"/>
                <w:szCs w:val="22"/>
              </w:rPr>
              <w:t>Non-</w:t>
            </w:r>
            <w:r w:rsidR="00D400C7">
              <w:rPr>
                <w:rFonts w:ascii="Calibri" w:eastAsia="Times New Roman" w:hAnsi="Calibri" w:cs="Calibri"/>
                <w:color w:val="000000"/>
                <w:sz w:val="22"/>
                <w:szCs w:val="22"/>
              </w:rPr>
              <w:t>FH</w:t>
            </w:r>
          </w:p>
        </w:tc>
        <w:tc>
          <w:tcPr>
            <w:tcW w:w="2194" w:type="dxa"/>
            <w:shd w:val="clear" w:color="auto" w:fill="auto"/>
            <w:noWrap/>
            <w:vAlign w:val="bottom"/>
            <w:hideMark/>
          </w:tcPr>
          <w:p w14:paraId="74A0BD7D" w14:textId="77777777" w:rsidR="00D56011" w:rsidRPr="00BA55B7" w:rsidRDefault="00D56011" w:rsidP="00EF66E9">
            <w:pPr>
              <w:spacing w:before="60" w:after="60"/>
              <w:jc w:val="center"/>
              <w:rPr>
                <w:rFonts w:ascii="Calibri" w:eastAsia="Times New Roman" w:hAnsi="Calibri" w:cs="Calibri"/>
                <w:color w:val="000000"/>
                <w:sz w:val="22"/>
                <w:szCs w:val="22"/>
              </w:rPr>
            </w:pPr>
            <w:r w:rsidRPr="00BA55B7">
              <w:rPr>
                <w:rFonts w:ascii="Calibri" w:eastAsia="Times New Roman" w:hAnsi="Calibri" w:cs="Calibri"/>
                <w:color w:val="000000"/>
                <w:sz w:val="22"/>
                <w:szCs w:val="22"/>
              </w:rPr>
              <w:t>70</w:t>
            </w:r>
          </w:p>
        </w:tc>
        <w:tc>
          <w:tcPr>
            <w:tcW w:w="2194" w:type="dxa"/>
            <w:vAlign w:val="bottom"/>
          </w:tcPr>
          <w:p w14:paraId="0921D068" w14:textId="4C85DDC3" w:rsidR="00D56011" w:rsidRPr="00BA55B7" w:rsidRDefault="00D56011" w:rsidP="00EF66E9">
            <w:pPr>
              <w:spacing w:before="60" w:after="60"/>
              <w:jc w:val="center"/>
              <w:rPr>
                <w:rFonts w:ascii="Calibri" w:eastAsia="Times New Roman" w:hAnsi="Calibri" w:cs="Calibri"/>
                <w:color w:val="000000"/>
                <w:sz w:val="22"/>
                <w:szCs w:val="22"/>
              </w:rPr>
            </w:pPr>
            <w:r w:rsidRPr="00BA55B7">
              <w:rPr>
                <w:rFonts w:ascii="Calibri" w:eastAsia="Times New Roman" w:hAnsi="Calibri" w:cs="Calibri"/>
                <w:color w:val="000000"/>
                <w:sz w:val="22"/>
                <w:szCs w:val="22"/>
              </w:rPr>
              <w:t>66</w:t>
            </w:r>
          </w:p>
        </w:tc>
        <w:tc>
          <w:tcPr>
            <w:tcW w:w="2194" w:type="dxa"/>
          </w:tcPr>
          <w:p w14:paraId="5202B71E" w14:textId="7DC69AF0" w:rsidR="00D56011" w:rsidRPr="00BA55B7" w:rsidRDefault="00D56011" w:rsidP="00EF66E9">
            <w:pPr>
              <w:spacing w:before="60" w:after="60"/>
              <w:jc w:val="center"/>
              <w:rPr>
                <w:rFonts w:ascii="Calibri" w:eastAsia="Times New Roman" w:hAnsi="Calibri" w:cs="Calibri"/>
                <w:color w:val="000000"/>
                <w:sz w:val="22"/>
                <w:szCs w:val="22"/>
              </w:rPr>
            </w:pPr>
            <w:r>
              <w:rPr>
                <w:rFonts w:ascii="Calibri" w:eastAsia="Times New Roman" w:hAnsi="Calibri" w:cs="Calibri"/>
                <w:color w:val="000000"/>
                <w:sz w:val="22"/>
                <w:szCs w:val="22"/>
              </w:rPr>
              <w:t>68</w:t>
            </w:r>
          </w:p>
        </w:tc>
      </w:tr>
      <w:tr w:rsidR="00D56011" w:rsidRPr="00BA55B7" w14:paraId="11C73A56" w14:textId="40A87E2E" w:rsidTr="00D56011">
        <w:trPr>
          <w:trHeight w:val="154"/>
        </w:trPr>
        <w:tc>
          <w:tcPr>
            <w:tcW w:w="2193" w:type="dxa"/>
            <w:tcBorders>
              <w:bottom w:val="single" w:sz="4" w:space="0" w:color="auto"/>
            </w:tcBorders>
            <w:shd w:val="clear" w:color="auto" w:fill="auto"/>
            <w:noWrap/>
            <w:vAlign w:val="bottom"/>
            <w:hideMark/>
          </w:tcPr>
          <w:p w14:paraId="503D4C54" w14:textId="77777777" w:rsidR="00D56011" w:rsidRPr="00BA55B7" w:rsidRDefault="00D56011" w:rsidP="00EF66E9">
            <w:pPr>
              <w:spacing w:before="60" w:after="60"/>
              <w:rPr>
                <w:rFonts w:ascii="Calibri" w:eastAsia="Times New Roman" w:hAnsi="Calibri" w:cs="Calibri"/>
                <w:color w:val="000000"/>
                <w:sz w:val="22"/>
                <w:szCs w:val="22"/>
              </w:rPr>
            </w:pPr>
            <w:r w:rsidRPr="00BA55B7">
              <w:rPr>
                <w:rFonts w:ascii="Calibri" w:eastAsia="Times New Roman" w:hAnsi="Calibri" w:cs="Calibri"/>
                <w:color w:val="000000"/>
                <w:sz w:val="22"/>
                <w:szCs w:val="22"/>
              </w:rPr>
              <w:t>Unknown</w:t>
            </w:r>
          </w:p>
        </w:tc>
        <w:tc>
          <w:tcPr>
            <w:tcW w:w="2194" w:type="dxa"/>
            <w:tcBorders>
              <w:bottom w:val="single" w:sz="4" w:space="0" w:color="auto"/>
            </w:tcBorders>
            <w:shd w:val="clear" w:color="auto" w:fill="auto"/>
            <w:noWrap/>
            <w:vAlign w:val="bottom"/>
            <w:hideMark/>
          </w:tcPr>
          <w:p w14:paraId="7A57B4FD" w14:textId="77777777" w:rsidR="00D56011" w:rsidRPr="00BA55B7" w:rsidRDefault="00D56011" w:rsidP="00EF66E9">
            <w:pPr>
              <w:spacing w:before="60" w:after="60"/>
              <w:jc w:val="center"/>
              <w:rPr>
                <w:rFonts w:ascii="Calibri" w:eastAsia="Times New Roman" w:hAnsi="Calibri" w:cs="Calibri"/>
                <w:color w:val="000000"/>
                <w:sz w:val="22"/>
                <w:szCs w:val="22"/>
              </w:rPr>
            </w:pPr>
            <w:r w:rsidRPr="00BA55B7">
              <w:rPr>
                <w:rFonts w:ascii="Calibri" w:eastAsia="Times New Roman" w:hAnsi="Calibri" w:cs="Calibri"/>
                <w:color w:val="000000"/>
                <w:sz w:val="22"/>
                <w:szCs w:val="22"/>
              </w:rPr>
              <w:t>65</w:t>
            </w:r>
          </w:p>
        </w:tc>
        <w:tc>
          <w:tcPr>
            <w:tcW w:w="2194" w:type="dxa"/>
            <w:tcBorders>
              <w:bottom w:val="single" w:sz="4" w:space="0" w:color="auto"/>
            </w:tcBorders>
            <w:vAlign w:val="bottom"/>
          </w:tcPr>
          <w:p w14:paraId="32630CB1" w14:textId="01FD9B67" w:rsidR="00D56011" w:rsidRPr="00BA55B7" w:rsidRDefault="00D56011" w:rsidP="00EF66E9">
            <w:pPr>
              <w:spacing w:before="60" w:after="60"/>
              <w:jc w:val="center"/>
              <w:rPr>
                <w:rFonts w:ascii="Calibri" w:eastAsia="Times New Roman" w:hAnsi="Calibri" w:cs="Calibri"/>
                <w:color w:val="000000"/>
                <w:sz w:val="22"/>
                <w:szCs w:val="22"/>
              </w:rPr>
            </w:pPr>
            <w:r w:rsidRPr="00BA55B7">
              <w:rPr>
                <w:rFonts w:ascii="Calibri" w:eastAsia="Times New Roman" w:hAnsi="Calibri" w:cs="Calibri"/>
                <w:color w:val="000000"/>
                <w:sz w:val="22"/>
                <w:szCs w:val="22"/>
              </w:rPr>
              <w:t>69</w:t>
            </w:r>
          </w:p>
        </w:tc>
        <w:tc>
          <w:tcPr>
            <w:tcW w:w="2194" w:type="dxa"/>
            <w:tcBorders>
              <w:bottom w:val="single" w:sz="4" w:space="0" w:color="auto"/>
            </w:tcBorders>
          </w:tcPr>
          <w:p w14:paraId="420CED2B" w14:textId="0686DAA2" w:rsidR="00D56011" w:rsidRPr="00BA55B7" w:rsidRDefault="00D56011" w:rsidP="00EF66E9">
            <w:pPr>
              <w:spacing w:before="60" w:after="60"/>
              <w:jc w:val="center"/>
              <w:rPr>
                <w:rFonts w:ascii="Calibri" w:eastAsia="Times New Roman" w:hAnsi="Calibri" w:cs="Calibri"/>
                <w:color w:val="000000"/>
                <w:sz w:val="22"/>
                <w:szCs w:val="22"/>
              </w:rPr>
            </w:pPr>
            <w:r>
              <w:rPr>
                <w:rFonts w:ascii="Calibri" w:eastAsia="Times New Roman" w:hAnsi="Calibri" w:cs="Calibri"/>
                <w:color w:val="000000"/>
                <w:sz w:val="22"/>
                <w:szCs w:val="22"/>
              </w:rPr>
              <w:t>67</w:t>
            </w:r>
          </w:p>
        </w:tc>
      </w:tr>
    </w:tbl>
    <w:p w14:paraId="05BD0AA3" w14:textId="0C8742E4" w:rsidR="00124068" w:rsidRDefault="00124068" w:rsidP="00124068">
      <w:pPr>
        <w:spacing w:line="276" w:lineRule="auto"/>
        <w:jc w:val="center"/>
      </w:pPr>
    </w:p>
    <w:p w14:paraId="0C65FF66" w14:textId="77777777" w:rsidR="00D56011" w:rsidRDefault="00D56011">
      <w:pPr>
        <w:spacing w:line="276" w:lineRule="auto"/>
        <w:rPr>
          <w:b/>
          <w:i/>
          <w:szCs w:val="28"/>
        </w:rPr>
      </w:pPr>
      <w:r>
        <w:br w:type="page"/>
      </w:r>
    </w:p>
    <w:p w14:paraId="7ABB7C4B" w14:textId="059C4AF3" w:rsidR="00D400C7" w:rsidRPr="00D400C7" w:rsidRDefault="003B7EFE" w:rsidP="00D400C7">
      <w:pPr>
        <w:pStyle w:val="Heading3"/>
      </w:pPr>
      <w:r>
        <w:lastRenderedPageBreak/>
        <w:t xml:space="preserve">Utilisation by prescriber type </w:t>
      </w:r>
    </w:p>
    <w:p w14:paraId="69B17BC0" w14:textId="79D3B5A9" w:rsidR="00D400C7" w:rsidRDefault="00D400C7" w:rsidP="00124068">
      <w:pPr>
        <w:tabs>
          <w:tab w:val="left" w:pos="5818"/>
        </w:tabs>
        <w:spacing w:line="276" w:lineRule="auto"/>
        <w:jc w:val="center"/>
      </w:pPr>
      <w:r>
        <w:rPr>
          <w:noProof/>
        </w:rPr>
        <w:drawing>
          <wp:inline distT="0" distB="0" distL="0" distR="0" wp14:anchorId="49ED1EDD" wp14:editId="2CD1022E">
            <wp:extent cx="5097600" cy="3333600"/>
            <wp:effectExtent l="0" t="0" r="8255" b="635"/>
            <wp:docPr id="1" name="Chart 1" descr="Proportion of patients initiating evolocumab by prescriber type in 2021 ">
              <a:extLst xmlns:a="http://schemas.openxmlformats.org/drawingml/2006/main">
                <a:ext uri="{FF2B5EF4-FFF2-40B4-BE49-F238E27FC236}">
                  <a16:creationId xmlns:a16="http://schemas.microsoft.com/office/drawing/2014/main" id="{21A4EB1B-F0E6-429F-A581-273099434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BF911FB" w14:textId="0EFF4473" w:rsidR="005D3F91" w:rsidRDefault="005D3F91" w:rsidP="005D3F91">
      <w:pPr>
        <w:pStyle w:val="Figuretitle"/>
      </w:pPr>
      <w:r>
        <w:t xml:space="preserve">Figure </w:t>
      </w:r>
      <w:r w:rsidR="00954C5E">
        <w:t>9</w:t>
      </w:r>
      <w:r w:rsidRPr="002C727E">
        <w:t xml:space="preserve">: </w:t>
      </w:r>
      <w:r>
        <w:t xml:space="preserve">Proportion of patients initiating evolocumab by prescriber type in 2021 </w:t>
      </w:r>
    </w:p>
    <w:p w14:paraId="3E876B33" w14:textId="01A955D8" w:rsidR="001C0C18" w:rsidRDefault="001C0C18" w:rsidP="00257FD9">
      <w:pPr>
        <w:spacing w:after="120" w:line="276" w:lineRule="auto"/>
        <w:rPr>
          <w:b/>
          <w:sz w:val="28"/>
        </w:rPr>
      </w:pPr>
    </w:p>
    <w:p w14:paraId="584EE35C" w14:textId="1E5C0131" w:rsidR="001C0C18" w:rsidRPr="001C0C18" w:rsidRDefault="001C0C18">
      <w:pPr>
        <w:spacing w:line="276" w:lineRule="auto"/>
        <w:rPr>
          <w:bCs/>
        </w:rPr>
      </w:pPr>
      <w:r w:rsidRPr="001C0C18">
        <w:rPr>
          <w:bCs/>
        </w:rPr>
        <w:t xml:space="preserve">In Figure </w:t>
      </w:r>
      <w:r w:rsidR="00954C5E">
        <w:rPr>
          <w:bCs/>
        </w:rPr>
        <w:t>9</w:t>
      </w:r>
      <w:r>
        <w:rPr>
          <w:bCs/>
        </w:rPr>
        <w:t>, across all indications, the majority (72.7%) of initia</w:t>
      </w:r>
      <w:r w:rsidR="0053578E">
        <w:rPr>
          <w:bCs/>
        </w:rPr>
        <w:t>l</w:t>
      </w:r>
      <w:r>
        <w:rPr>
          <w:bCs/>
        </w:rPr>
        <w:t xml:space="preserve"> treatment with evolocumab in 2021 </w:t>
      </w:r>
      <w:r w:rsidR="0053578E">
        <w:rPr>
          <w:bCs/>
        </w:rPr>
        <w:t>was prescribed</w:t>
      </w:r>
      <w:r>
        <w:rPr>
          <w:bCs/>
        </w:rPr>
        <w:t xml:space="preserve"> </w:t>
      </w:r>
      <w:r w:rsidR="00B62D7E">
        <w:rPr>
          <w:bCs/>
        </w:rPr>
        <w:t>by</w:t>
      </w:r>
      <w:r>
        <w:rPr>
          <w:bCs/>
        </w:rPr>
        <w:t xml:space="preserve"> cardiologists. </w:t>
      </w:r>
      <w:r w:rsidR="00B62D7E">
        <w:rPr>
          <w:bCs/>
        </w:rPr>
        <w:t xml:space="preserve">Approximately 76.2% of </w:t>
      </w:r>
      <w:r w:rsidR="00E07573">
        <w:rPr>
          <w:bCs/>
        </w:rPr>
        <w:t>non-FH</w:t>
      </w:r>
      <w:r w:rsidR="00B62D7E">
        <w:rPr>
          <w:bCs/>
        </w:rPr>
        <w:t xml:space="preserve"> patients were treated by cardiologists compared to 67% of HoFH and 66% of HeFH patients treated by cardiologists. </w:t>
      </w:r>
    </w:p>
    <w:p w14:paraId="4035272A" w14:textId="522C411C" w:rsidR="003B7EFE" w:rsidRDefault="003B7EFE">
      <w:pPr>
        <w:spacing w:line="276" w:lineRule="auto"/>
        <w:rPr>
          <w:b/>
          <w:sz w:val="28"/>
        </w:rPr>
      </w:pPr>
    </w:p>
    <w:p w14:paraId="5A37C02C" w14:textId="77777777" w:rsidR="00744C83" w:rsidRDefault="00744C83">
      <w:pPr>
        <w:spacing w:line="276" w:lineRule="auto"/>
        <w:rPr>
          <w:b/>
          <w:i/>
          <w:szCs w:val="28"/>
        </w:rPr>
      </w:pPr>
      <w:r>
        <w:br w:type="page"/>
      </w:r>
    </w:p>
    <w:p w14:paraId="19E6A433" w14:textId="2BF7BDC4" w:rsidR="00B746C3" w:rsidRPr="00B746C3" w:rsidRDefault="003B7EFE" w:rsidP="00DB6538">
      <w:pPr>
        <w:pStyle w:val="Heading3"/>
      </w:pPr>
      <w:r>
        <w:lastRenderedPageBreak/>
        <w:t xml:space="preserve">Treatment duration </w:t>
      </w:r>
    </w:p>
    <w:p w14:paraId="5FAFFC47" w14:textId="56C547D5" w:rsidR="000C4C6B" w:rsidRDefault="00DB6538" w:rsidP="000C4C6B">
      <w:pPr>
        <w:spacing w:line="276" w:lineRule="auto"/>
        <w:jc w:val="center"/>
        <w:rPr>
          <w:b/>
          <w:sz w:val="28"/>
        </w:rPr>
      </w:pPr>
      <w:r>
        <w:rPr>
          <w:noProof/>
        </w:rPr>
        <w:drawing>
          <wp:inline distT="0" distB="0" distL="0" distR="0" wp14:anchorId="69619E9A" wp14:editId="102CEA0B">
            <wp:extent cx="4533731" cy="3400425"/>
            <wp:effectExtent l="0" t="0" r="635" b="0"/>
            <wp:docPr id="12" name="Graphic 12" descr="Treatment duration for patients who initiated evolocumab treatment for non-FH between 1 May 2020 to 30 April 2021 and followed up to 30 Septembe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Treatment duration for patients who initiated evolocumab treatment for non-FH between 1 May 2020 to 30 April 2021 and followed up to 30 September 2022"/>
                    <pic:cNvPicPr/>
                  </pic:nvPicPr>
                  <pic:blipFill>
                    <a:blip r:embed="rId33">
                      <a:extLst>
                        <a:ext uri="{96DAC541-7B7A-43D3-8B79-37D633B846F1}">
                          <asvg:svgBlip xmlns:asvg="http://schemas.microsoft.com/office/drawing/2016/SVG/main" r:embed="rId34"/>
                        </a:ext>
                      </a:extLst>
                    </a:blip>
                    <a:stretch>
                      <a:fillRect/>
                    </a:stretch>
                  </pic:blipFill>
                  <pic:spPr>
                    <a:xfrm>
                      <a:off x="0" y="0"/>
                      <a:ext cx="4537533" cy="3403277"/>
                    </a:xfrm>
                    <a:prstGeom prst="rect">
                      <a:avLst/>
                    </a:prstGeom>
                  </pic:spPr>
                </pic:pic>
              </a:graphicData>
            </a:graphic>
          </wp:inline>
        </w:drawing>
      </w:r>
    </w:p>
    <w:p w14:paraId="4B30304F" w14:textId="5D616C3C" w:rsidR="0034422F" w:rsidRDefault="000C4C6B" w:rsidP="00DB6538">
      <w:pPr>
        <w:pStyle w:val="Tabletitle"/>
      </w:pPr>
      <w:r>
        <w:t xml:space="preserve">Figure </w:t>
      </w:r>
      <w:r w:rsidR="00954C5E">
        <w:t>10</w:t>
      </w:r>
      <w:r w:rsidR="00437067">
        <w:t>:</w:t>
      </w:r>
      <w:r w:rsidRPr="002C727E">
        <w:t xml:space="preserve"> </w:t>
      </w:r>
      <w:r w:rsidR="00B746C3" w:rsidRPr="00B22958">
        <w:rPr>
          <w:rFonts w:cstheme="minorHAnsi"/>
        </w:rPr>
        <w:t xml:space="preserve">Treatment duration for patients who initiated </w:t>
      </w:r>
      <w:r w:rsidR="00B746C3">
        <w:rPr>
          <w:rFonts w:cstheme="minorHAnsi"/>
        </w:rPr>
        <w:t>evolocumab</w:t>
      </w:r>
      <w:r w:rsidR="00B746C3" w:rsidRPr="00B22958">
        <w:rPr>
          <w:rFonts w:cstheme="minorHAnsi"/>
        </w:rPr>
        <w:t xml:space="preserve"> treatment</w:t>
      </w:r>
      <w:r w:rsidR="00B746C3">
        <w:rPr>
          <w:rFonts w:cstheme="minorHAnsi"/>
        </w:rPr>
        <w:t xml:space="preserve"> </w:t>
      </w:r>
      <w:r w:rsidR="00DB6538">
        <w:rPr>
          <w:rFonts w:cstheme="minorHAnsi"/>
        </w:rPr>
        <w:t xml:space="preserve">for non-FH </w:t>
      </w:r>
      <w:r w:rsidR="00B746C3" w:rsidRPr="00B22958">
        <w:rPr>
          <w:rFonts w:cstheme="minorHAnsi"/>
        </w:rPr>
        <w:t xml:space="preserve">between </w:t>
      </w:r>
      <w:r w:rsidR="00DB6538">
        <w:t xml:space="preserve">1 May 2020 to </w:t>
      </w:r>
      <w:r w:rsidR="00DB6538" w:rsidRPr="00072EE6">
        <w:t>3</w:t>
      </w:r>
      <w:r w:rsidR="00DB6538">
        <w:t xml:space="preserve">0 April </w:t>
      </w:r>
      <w:r w:rsidR="00DB6538" w:rsidRPr="00072EE6">
        <w:t>202</w:t>
      </w:r>
      <w:r w:rsidR="00DB6538">
        <w:t>1 and followed up to 30 September 2022</w:t>
      </w:r>
    </w:p>
    <w:p w14:paraId="5A6B44D7" w14:textId="77777777" w:rsidR="00DB6538" w:rsidRDefault="00DB6538" w:rsidP="00257FD9">
      <w:pPr>
        <w:spacing w:after="120"/>
      </w:pPr>
    </w:p>
    <w:p w14:paraId="7E22D9E7" w14:textId="6D923268" w:rsidR="00DB6538" w:rsidRDefault="00DB6538" w:rsidP="00DB6538">
      <w:r>
        <w:t>The data were too immature to fully analyse the time on evolocumab, with a median time on therapy not being reached within 2</w:t>
      </w:r>
      <w:r w:rsidR="00A21128">
        <w:t>9</w:t>
      </w:r>
      <w:r>
        <w:t xml:space="preserve"> months from first listing. Of the </w:t>
      </w:r>
      <w:r w:rsidR="00A21128">
        <w:t xml:space="preserve">1,220 </w:t>
      </w:r>
      <w:r>
        <w:t xml:space="preserve">patients who initiated </w:t>
      </w:r>
      <w:r w:rsidR="00A21128">
        <w:t>evolocumab</w:t>
      </w:r>
      <w:r>
        <w:t xml:space="preserve"> treatment between 1 </w:t>
      </w:r>
      <w:r w:rsidR="00A21128">
        <w:t>May 2020</w:t>
      </w:r>
      <w:r>
        <w:t xml:space="preserve"> and 3</w:t>
      </w:r>
      <w:r w:rsidR="00A21128">
        <w:t>0</w:t>
      </w:r>
      <w:r>
        <w:t xml:space="preserve"> </w:t>
      </w:r>
      <w:r w:rsidR="00A21128">
        <w:t>April</w:t>
      </w:r>
      <w:r>
        <w:t xml:space="preserve"> 2021, </w:t>
      </w:r>
      <w:r w:rsidR="00A21128">
        <w:t>74.6</w:t>
      </w:r>
      <w:r>
        <w:t>% of patients were censored at analysis end date.</w:t>
      </w:r>
    </w:p>
    <w:p w14:paraId="57B70A7C" w14:textId="75AB4C35" w:rsidR="00DB6538" w:rsidRDefault="00DB6538" w:rsidP="0034422F">
      <w:pPr>
        <w:spacing w:line="276" w:lineRule="auto"/>
        <w:rPr>
          <w:bCs/>
          <w:sz w:val="28"/>
        </w:rPr>
      </w:pPr>
    </w:p>
    <w:p w14:paraId="16792FEF" w14:textId="77777777" w:rsidR="00744C83" w:rsidRDefault="00744C83">
      <w:pPr>
        <w:spacing w:line="276" w:lineRule="auto"/>
        <w:rPr>
          <w:b/>
          <w:i/>
          <w:szCs w:val="28"/>
        </w:rPr>
      </w:pPr>
      <w:r>
        <w:br w:type="page"/>
      </w:r>
    </w:p>
    <w:p w14:paraId="59E20177" w14:textId="537A3467" w:rsidR="00954C5E" w:rsidRPr="0026642A" w:rsidRDefault="003B7EFE" w:rsidP="00B15388">
      <w:pPr>
        <w:pStyle w:val="Heading3"/>
      </w:pPr>
      <w:r>
        <w:lastRenderedPageBreak/>
        <w:t xml:space="preserve">Utilisation by remoteness area </w:t>
      </w:r>
    </w:p>
    <w:p w14:paraId="776C1933" w14:textId="18E53619" w:rsidR="002F4F13" w:rsidRPr="00A51309" w:rsidRDefault="002F4F13" w:rsidP="00A51309">
      <w:pPr>
        <w:spacing w:line="276" w:lineRule="auto"/>
        <w:jc w:val="center"/>
        <w:rPr>
          <w:b/>
          <w:sz w:val="28"/>
        </w:rPr>
      </w:pPr>
      <w:r>
        <w:rPr>
          <w:noProof/>
        </w:rPr>
        <w:drawing>
          <wp:inline distT="0" distB="0" distL="0" distR="0" wp14:anchorId="2C59240A" wp14:editId="71D0D6DD">
            <wp:extent cx="5082363" cy="3646967"/>
            <wp:effectExtent l="0" t="0" r="4445" b="10795"/>
            <wp:docPr id="2" name="Chart 2" descr="Proportion of patients initiating evolocumab by prescriber type and by remoteness area in 2021 ">
              <a:extLst xmlns:a="http://schemas.openxmlformats.org/drawingml/2006/main">
                <a:ext uri="{FF2B5EF4-FFF2-40B4-BE49-F238E27FC236}">
                  <a16:creationId xmlns:a16="http://schemas.microsoft.com/office/drawing/2014/main" id="{CF084C53-9D26-4547-86FB-DDC3DA8E27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D97F1B5" w14:textId="2A980916" w:rsidR="00A51309" w:rsidRDefault="00A51309" w:rsidP="00A51309">
      <w:pPr>
        <w:pStyle w:val="Figuretitle"/>
      </w:pPr>
      <w:r>
        <w:t xml:space="preserve">Figure </w:t>
      </w:r>
      <w:r w:rsidR="00954C5E">
        <w:t>11</w:t>
      </w:r>
      <w:r w:rsidRPr="002C727E">
        <w:t xml:space="preserve">: </w:t>
      </w:r>
      <w:r>
        <w:t xml:space="preserve">Proportion of patients initiating evolocumab </w:t>
      </w:r>
      <w:r w:rsidR="00664FF8">
        <w:t xml:space="preserve">by prescriber type and </w:t>
      </w:r>
      <w:r>
        <w:t xml:space="preserve">by remoteness area in 2021 </w:t>
      </w:r>
    </w:p>
    <w:p w14:paraId="0F510744" w14:textId="77777777" w:rsidR="00FB0383" w:rsidRDefault="00FB0383" w:rsidP="00257FD9">
      <w:pPr>
        <w:spacing w:after="120" w:line="276" w:lineRule="auto"/>
        <w:rPr>
          <w:sz w:val="20"/>
          <w:szCs w:val="20"/>
        </w:rPr>
      </w:pPr>
    </w:p>
    <w:p w14:paraId="307752C6" w14:textId="7A6206FC" w:rsidR="00954C5E" w:rsidRDefault="00954C5E" w:rsidP="0034422F">
      <w:pPr>
        <w:spacing w:line="276" w:lineRule="auto"/>
        <w:rPr>
          <w:bCs/>
        </w:rPr>
      </w:pPr>
      <w:r>
        <w:rPr>
          <w:bCs/>
        </w:rPr>
        <w:t xml:space="preserve">In Figure 11, across </w:t>
      </w:r>
      <w:r w:rsidR="002F4F13">
        <w:rPr>
          <w:bCs/>
        </w:rPr>
        <w:t>major cities, inner regional and outer regional areas</w:t>
      </w:r>
      <w:r>
        <w:rPr>
          <w:bCs/>
        </w:rPr>
        <w:t xml:space="preserve"> of Australia, the majority of </w:t>
      </w:r>
      <w:r w:rsidR="00625351">
        <w:rPr>
          <w:bCs/>
        </w:rPr>
        <w:t xml:space="preserve">patients </w:t>
      </w:r>
      <w:r>
        <w:rPr>
          <w:bCs/>
        </w:rPr>
        <w:t xml:space="preserve">initiating evolocumab were treated by cardiologists in 2021. </w:t>
      </w:r>
    </w:p>
    <w:p w14:paraId="1844557A" w14:textId="6676F7EE" w:rsidR="002F4F13" w:rsidRDefault="002F4F13" w:rsidP="0034422F">
      <w:pPr>
        <w:spacing w:line="276" w:lineRule="auto"/>
        <w:rPr>
          <w:bCs/>
        </w:rPr>
      </w:pPr>
      <w:r>
        <w:rPr>
          <w:bCs/>
        </w:rPr>
        <w:t xml:space="preserve">Similar to the remoteness areas shown in Figure 11, the majority of patients in remote and very remote areas of Australia were treated by cardiologists. </w:t>
      </w:r>
    </w:p>
    <w:p w14:paraId="1B284488" w14:textId="2E4BA8FD" w:rsidR="00402C0F" w:rsidRDefault="00402C0F" w:rsidP="000A3F5E">
      <w:pPr>
        <w:spacing w:line="276" w:lineRule="auto"/>
        <w:jc w:val="center"/>
        <w:rPr>
          <w:bCs/>
          <w:sz w:val="28"/>
        </w:rPr>
      </w:pPr>
    </w:p>
    <w:p w14:paraId="06581746" w14:textId="77777777" w:rsidR="007F02EB" w:rsidRDefault="007F02EB">
      <w:pPr>
        <w:spacing w:line="276" w:lineRule="auto"/>
        <w:rPr>
          <w:rFonts w:eastAsiaTheme="majorEastAsia" w:cstheme="majorBidi"/>
          <w:b/>
          <w:bCs/>
          <w:sz w:val="32"/>
          <w:szCs w:val="32"/>
        </w:rPr>
      </w:pPr>
      <w:r>
        <w:br w:type="page"/>
      </w:r>
    </w:p>
    <w:p w14:paraId="7C626030" w14:textId="64320ABA" w:rsidR="00FC4003" w:rsidRPr="00FC4003" w:rsidRDefault="00FC4003" w:rsidP="00FC4003">
      <w:pPr>
        <w:pStyle w:val="Heading2"/>
        <w:rPr>
          <w:sz w:val="32"/>
          <w:szCs w:val="32"/>
        </w:rPr>
      </w:pPr>
      <w:r w:rsidRPr="00FC4003">
        <w:rPr>
          <w:sz w:val="32"/>
          <w:szCs w:val="32"/>
        </w:rPr>
        <w:lastRenderedPageBreak/>
        <w:t xml:space="preserve">Actual versus predicted utilisation of evolocumab for non-FH </w:t>
      </w:r>
    </w:p>
    <w:p w14:paraId="550A6188" w14:textId="77777777" w:rsidR="00E21717" w:rsidRDefault="00E21717" w:rsidP="00E21717">
      <w:pPr>
        <w:pStyle w:val="Heading2"/>
      </w:pPr>
      <w:r>
        <w:t>Approach taken to estimate utilisation</w:t>
      </w:r>
    </w:p>
    <w:p w14:paraId="4A9697C9" w14:textId="2E1B3713" w:rsidR="009C71FF" w:rsidRDefault="00E21717" w:rsidP="00EC1F69">
      <w:r>
        <w:t xml:space="preserve">The </w:t>
      </w:r>
      <w:r w:rsidR="0090549F">
        <w:t>November 2019 minor re</w:t>
      </w:r>
      <w:r>
        <w:t>submission used a mixed market share/epidemiological approach to estimate the eligible patient population</w:t>
      </w:r>
      <w:r w:rsidR="009C71FF">
        <w:t xml:space="preserve"> and estimated that:</w:t>
      </w:r>
    </w:p>
    <w:p w14:paraId="4F39B0B8" w14:textId="73679317" w:rsidR="009C71FF" w:rsidRPr="008A63D2" w:rsidRDefault="00B0456D" w:rsidP="001D5142">
      <w:pPr>
        <w:pStyle w:val="CommentText"/>
        <w:numPr>
          <w:ilvl w:val="0"/>
          <w:numId w:val="13"/>
        </w:numPr>
        <w:spacing w:after="0"/>
        <w:rPr>
          <w:rFonts w:cstheme="minorHAnsi"/>
          <w:sz w:val="24"/>
          <w:szCs w:val="24"/>
        </w:rPr>
      </w:pPr>
      <w:r w:rsidRPr="00D47D9B">
        <w:rPr>
          <w:sz w:val="24"/>
          <w:szCs w:val="24"/>
        </w:rPr>
        <w:t>The</w:t>
      </w:r>
      <w:r w:rsidR="003A104C">
        <w:rPr>
          <w:sz w:val="24"/>
          <w:szCs w:val="24"/>
        </w:rPr>
        <w:t xml:space="preserve"> revised number </w:t>
      </w:r>
      <w:r w:rsidR="009C71FF" w:rsidRPr="00D47D9B">
        <w:rPr>
          <w:sz w:val="24"/>
          <w:szCs w:val="24"/>
        </w:rPr>
        <w:t xml:space="preserve">patients </w:t>
      </w:r>
      <w:r w:rsidRPr="00D47D9B">
        <w:rPr>
          <w:sz w:val="24"/>
          <w:szCs w:val="24"/>
        </w:rPr>
        <w:t>treated with ezetimibe</w:t>
      </w:r>
      <w:r w:rsidR="003A104C">
        <w:rPr>
          <w:sz w:val="24"/>
          <w:szCs w:val="24"/>
        </w:rPr>
        <w:t xml:space="preserve"> </w:t>
      </w:r>
      <w:r w:rsidR="00D47D9B" w:rsidRPr="008A63D2">
        <w:rPr>
          <w:rFonts w:cstheme="minorHAnsi"/>
          <w:bCs/>
          <w:sz w:val="24"/>
          <w:szCs w:val="24"/>
        </w:rPr>
        <w:t>+/- statin</w:t>
      </w:r>
      <w:r w:rsidRPr="008A63D2">
        <w:rPr>
          <w:rFonts w:cstheme="minorHAnsi"/>
          <w:sz w:val="24"/>
          <w:szCs w:val="24"/>
        </w:rPr>
        <w:t xml:space="preserve"> in</w:t>
      </w:r>
      <w:r w:rsidRPr="00D47D9B">
        <w:rPr>
          <w:sz w:val="24"/>
          <w:szCs w:val="24"/>
        </w:rPr>
        <w:t xml:space="preserve"> 2018</w:t>
      </w:r>
      <w:r w:rsidR="003A104C">
        <w:rPr>
          <w:sz w:val="24"/>
          <w:szCs w:val="24"/>
        </w:rPr>
        <w:t xml:space="preserve"> to be </w:t>
      </w:r>
      <w:proofErr w:type="spellStart"/>
      <w:r w:rsidR="00972BB3" w:rsidRPr="00972BB3">
        <w:rPr>
          <w:sz w:val="24"/>
          <w:szCs w:val="24"/>
          <w:highlight w:val="black"/>
        </w:rPr>
        <w:t>xxxx</w:t>
      </w:r>
      <w:proofErr w:type="spellEnd"/>
      <w:r w:rsidR="003A104C">
        <w:rPr>
          <w:sz w:val="24"/>
          <w:szCs w:val="24"/>
        </w:rPr>
        <w:t xml:space="preserve">. </w:t>
      </w:r>
      <w:r w:rsidR="00D47D9B" w:rsidRPr="008A63D2">
        <w:rPr>
          <w:rFonts w:cstheme="minorHAnsi"/>
          <w:sz w:val="24"/>
          <w:szCs w:val="24"/>
        </w:rPr>
        <w:t>A</w:t>
      </w:r>
      <w:r w:rsidR="003A104C">
        <w:rPr>
          <w:rFonts w:cstheme="minorHAnsi"/>
          <w:sz w:val="24"/>
          <w:szCs w:val="24"/>
        </w:rPr>
        <w:t xml:space="preserve"> 10% PBS sample </w:t>
      </w:r>
      <w:r w:rsidR="00D47D9B" w:rsidRPr="008A63D2">
        <w:rPr>
          <w:rFonts w:cstheme="minorHAnsi"/>
          <w:sz w:val="24"/>
          <w:szCs w:val="24"/>
        </w:rPr>
        <w:t xml:space="preserve">analysis </w:t>
      </w:r>
      <w:r w:rsidR="003A104C">
        <w:rPr>
          <w:rFonts w:cstheme="minorHAnsi"/>
          <w:sz w:val="24"/>
          <w:szCs w:val="24"/>
        </w:rPr>
        <w:t>(</w:t>
      </w:r>
      <w:r w:rsidR="003A104C" w:rsidRPr="008A63D2">
        <w:rPr>
          <w:rFonts w:cstheme="minorHAnsi"/>
          <w:sz w:val="24"/>
          <w:szCs w:val="24"/>
        </w:rPr>
        <w:t>ezetimibe, ezetimibe with simvastatin, rosuvastatin with ezetimibe and ezetimibe with atorvastatin</w:t>
      </w:r>
      <w:r w:rsidR="003A104C">
        <w:rPr>
          <w:rFonts w:cstheme="minorHAnsi"/>
          <w:sz w:val="24"/>
          <w:szCs w:val="24"/>
        </w:rPr>
        <w:t xml:space="preserve">) </w:t>
      </w:r>
      <w:r w:rsidR="00D47D9B" w:rsidRPr="008A63D2">
        <w:rPr>
          <w:rFonts w:cstheme="minorHAnsi"/>
          <w:sz w:val="24"/>
          <w:szCs w:val="24"/>
        </w:rPr>
        <w:t xml:space="preserve">undertaken by the DUSC Secretariat found a lower estimate of </w:t>
      </w:r>
      <w:r w:rsidR="00972BB3" w:rsidRPr="00972BB3">
        <w:rPr>
          <w:rFonts w:cstheme="minorHAnsi"/>
          <w:bCs/>
          <w:sz w:val="24"/>
          <w:szCs w:val="24"/>
          <w:highlight w:val="black"/>
        </w:rPr>
        <w:t>xxxx</w:t>
      </w:r>
      <w:r w:rsidR="00D47D9B" w:rsidRPr="008A63D2">
        <w:rPr>
          <w:rFonts w:cstheme="minorHAnsi"/>
          <w:sz w:val="24"/>
          <w:szCs w:val="24"/>
        </w:rPr>
        <w:t xml:space="preserve"> patients</w:t>
      </w:r>
      <w:r w:rsidR="003A104C">
        <w:rPr>
          <w:rFonts w:cstheme="minorHAnsi"/>
          <w:sz w:val="24"/>
          <w:szCs w:val="24"/>
        </w:rPr>
        <w:t xml:space="preserve"> </w:t>
      </w:r>
      <w:r w:rsidR="003A104C" w:rsidRPr="008A63D2">
        <w:rPr>
          <w:rFonts w:cstheme="minorHAnsi"/>
          <w:sz w:val="24"/>
          <w:szCs w:val="24"/>
        </w:rPr>
        <w:t xml:space="preserve">treated in 2018 </w:t>
      </w:r>
      <w:r w:rsidR="003A104C">
        <w:rPr>
          <w:rFonts w:cstheme="minorHAnsi"/>
          <w:sz w:val="24"/>
          <w:szCs w:val="24"/>
        </w:rPr>
        <w:t xml:space="preserve">compared to the submission’s estimate. </w:t>
      </w:r>
      <w:r w:rsidR="00D47D9B" w:rsidRPr="008A63D2">
        <w:rPr>
          <w:rFonts w:cstheme="minorHAnsi"/>
          <w:sz w:val="24"/>
          <w:szCs w:val="24"/>
        </w:rPr>
        <w:t xml:space="preserve"> </w:t>
      </w:r>
    </w:p>
    <w:p w14:paraId="0F36B51B" w14:textId="46D94E6F" w:rsidR="00B0456D" w:rsidRPr="00D47D9B" w:rsidRDefault="00B0456D" w:rsidP="001D5142">
      <w:pPr>
        <w:pStyle w:val="CommentText"/>
        <w:numPr>
          <w:ilvl w:val="0"/>
          <w:numId w:val="13"/>
        </w:numPr>
        <w:spacing w:after="0"/>
        <w:rPr>
          <w:rFonts w:cstheme="minorHAnsi"/>
          <w:sz w:val="24"/>
          <w:szCs w:val="24"/>
        </w:rPr>
      </w:pPr>
      <w:r w:rsidRPr="00D47D9B">
        <w:rPr>
          <w:sz w:val="24"/>
          <w:szCs w:val="24"/>
        </w:rPr>
        <w:t xml:space="preserve">The </w:t>
      </w:r>
      <w:r w:rsidR="003A104C">
        <w:rPr>
          <w:sz w:val="24"/>
          <w:szCs w:val="24"/>
        </w:rPr>
        <w:t xml:space="preserve">revised </w:t>
      </w:r>
      <w:r w:rsidRPr="00D47D9B">
        <w:rPr>
          <w:sz w:val="24"/>
          <w:szCs w:val="24"/>
        </w:rPr>
        <w:t xml:space="preserve">annual growth rate for symptomatic </w:t>
      </w:r>
      <w:r w:rsidR="0090549F" w:rsidRPr="00D47D9B">
        <w:rPr>
          <w:sz w:val="24"/>
          <w:szCs w:val="24"/>
        </w:rPr>
        <w:t>atherosclerotic cardiovascular disease (</w:t>
      </w:r>
      <w:r w:rsidRPr="00D47D9B">
        <w:rPr>
          <w:sz w:val="24"/>
          <w:szCs w:val="24"/>
        </w:rPr>
        <w:t>ASCVD</w:t>
      </w:r>
      <w:r w:rsidR="0090549F" w:rsidRPr="00D47D9B">
        <w:rPr>
          <w:sz w:val="24"/>
          <w:szCs w:val="24"/>
        </w:rPr>
        <w:t xml:space="preserve">) </w:t>
      </w:r>
      <w:r w:rsidRPr="00D47D9B">
        <w:rPr>
          <w:sz w:val="24"/>
          <w:szCs w:val="24"/>
        </w:rPr>
        <w:t xml:space="preserve">would be </w:t>
      </w:r>
      <w:r w:rsidR="00972BB3" w:rsidRPr="00972BB3">
        <w:rPr>
          <w:sz w:val="24"/>
          <w:szCs w:val="24"/>
          <w:highlight w:val="black"/>
        </w:rPr>
        <w:t>xxxx</w:t>
      </w:r>
      <w:r w:rsidRPr="00D47D9B">
        <w:rPr>
          <w:sz w:val="24"/>
          <w:szCs w:val="24"/>
        </w:rPr>
        <w:t>.</w:t>
      </w:r>
      <w:r w:rsidR="00D47D9B" w:rsidRPr="00D47D9B">
        <w:rPr>
          <w:sz w:val="24"/>
          <w:szCs w:val="24"/>
        </w:rPr>
        <w:t xml:space="preserve"> </w:t>
      </w:r>
      <w:r w:rsidR="00D47D9B" w:rsidRPr="008A63D2">
        <w:rPr>
          <w:rFonts w:cstheme="minorHAnsi"/>
          <w:sz w:val="24"/>
          <w:szCs w:val="24"/>
        </w:rPr>
        <w:t xml:space="preserve">The DUSC Secretariat calculated an annual growth rate for prevalent patients for all listings of </w:t>
      </w:r>
      <w:r w:rsidR="00916100" w:rsidRPr="00D47D9B">
        <w:rPr>
          <w:sz w:val="24"/>
          <w:szCs w:val="24"/>
        </w:rPr>
        <w:t>ezetimibe</w:t>
      </w:r>
      <w:r w:rsidR="00916100">
        <w:rPr>
          <w:sz w:val="24"/>
          <w:szCs w:val="24"/>
        </w:rPr>
        <w:t xml:space="preserve"> </w:t>
      </w:r>
      <w:r w:rsidR="00916100" w:rsidRPr="008A63D2">
        <w:rPr>
          <w:rFonts w:cstheme="minorHAnsi"/>
          <w:bCs/>
          <w:sz w:val="24"/>
          <w:szCs w:val="24"/>
        </w:rPr>
        <w:t>+/- statin</w:t>
      </w:r>
      <w:r w:rsidR="00916100" w:rsidRPr="008A63D2">
        <w:rPr>
          <w:rFonts w:cstheme="minorHAnsi"/>
          <w:sz w:val="24"/>
          <w:szCs w:val="24"/>
        </w:rPr>
        <w:t xml:space="preserve"> </w:t>
      </w:r>
      <w:r w:rsidR="00916100">
        <w:rPr>
          <w:rFonts w:cstheme="minorHAnsi"/>
          <w:sz w:val="24"/>
          <w:szCs w:val="24"/>
        </w:rPr>
        <w:t>to be</w:t>
      </w:r>
      <w:r w:rsidR="00D47D9B" w:rsidRPr="005067A7">
        <w:rPr>
          <w:rFonts w:cstheme="minorHAnsi"/>
          <w:sz w:val="24"/>
          <w:szCs w:val="24"/>
        </w:rPr>
        <w:t xml:space="preserve"> </w:t>
      </w:r>
      <w:r w:rsidR="001C1EC1" w:rsidRPr="00972BB3">
        <w:rPr>
          <w:rFonts w:cstheme="minorHAnsi"/>
          <w:bCs/>
          <w:sz w:val="24"/>
          <w:szCs w:val="24"/>
          <w:highlight w:val="black"/>
        </w:rPr>
        <w:t>xxxx</w:t>
      </w:r>
      <w:r w:rsidR="001C1EC1" w:rsidRPr="005067A7">
        <w:rPr>
          <w:rFonts w:cstheme="minorHAnsi"/>
          <w:sz w:val="24"/>
          <w:szCs w:val="24"/>
        </w:rPr>
        <w:t xml:space="preserve"> </w:t>
      </w:r>
      <w:r w:rsidR="00D47D9B" w:rsidRPr="005067A7">
        <w:rPr>
          <w:rFonts w:cstheme="minorHAnsi"/>
          <w:sz w:val="24"/>
          <w:szCs w:val="24"/>
        </w:rPr>
        <w:t>in 2018</w:t>
      </w:r>
      <w:r w:rsidR="00D47D9B" w:rsidRPr="008A63D2">
        <w:rPr>
          <w:rFonts w:cstheme="minorHAnsi"/>
          <w:sz w:val="24"/>
          <w:szCs w:val="24"/>
        </w:rPr>
        <w:t xml:space="preserve">. </w:t>
      </w:r>
    </w:p>
    <w:p w14:paraId="70616DD1" w14:textId="0A054D87" w:rsidR="00B0456D" w:rsidRDefault="00B0456D" w:rsidP="001D5142">
      <w:pPr>
        <w:pStyle w:val="ListParagraph"/>
        <w:numPr>
          <w:ilvl w:val="0"/>
          <w:numId w:val="13"/>
        </w:numPr>
      </w:pPr>
      <w:r>
        <w:t xml:space="preserve">There would be </w:t>
      </w:r>
      <w:r w:rsidR="00972BB3" w:rsidRPr="00972BB3">
        <w:rPr>
          <w:rFonts w:cstheme="minorHAnsi"/>
          <w:bCs/>
          <w:highlight w:val="black"/>
        </w:rPr>
        <w:t>xxxx</w:t>
      </w:r>
      <w:r w:rsidR="00972BB3">
        <w:t xml:space="preserve"> </w:t>
      </w:r>
      <w:r>
        <w:t xml:space="preserve">of patients with symptomatic ACSVD. </w:t>
      </w:r>
    </w:p>
    <w:p w14:paraId="3D45366B" w14:textId="05B68304" w:rsidR="00B0456D" w:rsidRDefault="00B0456D" w:rsidP="001D5142">
      <w:pPr>
        <w:pStyle w:val="ListParagraph"/>
        <w:numPr>
          <w:ilvl w:val="0"/>
          <w:numId w:val="13"/>
        </w:numPr>
      </w:pPr>
      <w:r>
        <w:t xml:space="preserve">There would be </w:t>
      </w:r>
      <w:r w:rsidR="00972BB3" w:rsidRPr="00972BB3">
        <w:rPr>
          <w:rFonts w:cstheme="minorHAnsi"/>
          <w:bCs/>
          <w:highlight w:val="black"/>
        </w:rPr>
        <w:t>xxxx</w:t>
      </w:r>
      <w:r w:rsidR="00972BB3">
        <w:t xml:space="preserve"> </w:t>
      </w:r>
      <w:r>
        <w:t xml:space="preserve">of patients with additional risk factors. </w:t>
      </w:r>
    </w:p>
    <w:p w14:paraId="5FC6346E" w14:textId="1EE92F3A" w:rsidR="005067A7" w:rsidRDefault="00B0456D" w:rsidP="005067A7">
      <w:pPr>
        <w:pStyle w:val="ListParagraph"/>
        <w:numPr>
          <w:ilvl w:val="0"/>
          <w:numId w:val="13"/>
        </w:numPr>
      </w:pPr>
      <w:r>
        <w:t>The</w:t>
      </w:r>
      <w:r w:rsidR="003A104C">
        <w:t xml:space="preserve"> revised</w:t>
      </w:r>
      <w:r>
        <w:t xml:space="preserve"> proportion of symptomatic ASCVD (non-FH) patients remaining on </w:t>
      </w:r>
      <w:r w:rsidR="00916100" w:rsidRPr="00D47D9B">
        <w:t>ezetimibe</w:t>
      </w:r>
      <w:r w:rsidR="00916100">
        <w:t xml:space="preserve"> </w:t>
      </w:r>
      <w:r w:rsidR="00916100" w:rsidRPr="008A63D2">
        <w:rPr>
          <w:rFonts w:cstheme="minorHAnsi"/>
          <w:bCs/>
        </w:rPr>
        <w:t>+/- statin</w:t>
      </w:r>
      <w:r w:rsidR="00916100">
        <w:rPr>
          <w:rFonts w:cstheme="minorHAnsi"/>
          <w:bCs/>
        </w:rPr>
        <w:t>s</w:t>
      </w:r>
      <w:r>
        <w:t xml:space="preserve"> for more than three months would be </w:t>
      </w:r>
      <w:proofErr w:type="spellStart"/>
      <w:r w:rsidR="00972BB3" w:rsidRPr="00972BB3">
        <w:rPr>
          <w:rFonts w:cstheme="minorHAnsi"/>
          <w:bCs/>
          <w:highlight w:val="black"/>
        </w:rPr>
        <w:t>xxxx</w:t>
      </w:r>
      <w:proofErr w:type="spellEnd"/>
      <w:r w:rsidR="00B15388">
        <w:rPr>
          <w:rFonts w:cstheme="minorHAnsi"/>
          <w:bCs/>
        </w:rPr>
        <w:t>.</w:t>
      </w:r>
      <w:r w:rsidR="00972BB3" w:rsidRPr="005067A7">
        <w:rPr>
          <w:rFonts w:cstheme="minorHAnsi"/>
        </w:rPr>
        <w:t xml:space="preserve"> </w:t>
      </w:r>
      <w:r w:rsidR="005067A7" w:rsidRPr="005067A7">
        <w:rPr>
          <w:rFonts w:cstheme="minorHAnsi"/>
        </w:rPr>
        <w:t xml:space="preserve">The DUSC Secretariat examined the time on therapy for patients first initiating on the following drugs in 2017-18 with follow-up to 30 June 2019 using a 10% sample. </w:t>
      </w:r>
      <w:r w:rsidR="00972BB3" w:rsidRPr="00972BB3">
        <w:rPr>
          <w:rFonts w:cstheme="minorHAnsi"/>
          <w:bCs/>
          <w:highlight w:val="black"/>
        </w:rPr>
        <w:t>xxxx</w:t>
      </w:r>
      <w:r w:rsidR="00972BB3" w:rsidRPr="005067A7">
        <w:rPr>
          <w:rFonts w:cstheme="minorHAnsi"/>
          <w:bCs/>
        </w:rPr>
        <w:t xml:space="preserve"> </w:t>
      </w:r>
      <w:r w:rsidR="005067A7" w:rsidRPr="005067A7">
        <w:rPr>
          <w:rFonts w:cstheme="minorHAnsi"/>
          <w:bCs/>
        </w:rPr>
        <w:t>of</w:t>
      </w:r>
      <w:r w:rsidR="005067A7" w:rsidRPr="005067A7">
        <w:rPr>
          <w:rFonts w:cstheme="minorHAnsi"/>
        </w:rPr>
        <w:t xml:space="preserve"> initiators were found to have three or more months of therapy.</w:t>
      </w:r>
    </w:p>
    <w:p w14:paraId="51926D78" w14:textId="615DE32D" w:rsidR="00B0456D" w:rsidRDefault="00B0456D" w:rsidP="001D5142">
      <w:pPr>
        <w:pStyle w:val="ListParagraph"/>
        <w:numPr>
          <w:ilvl w:val="0"/>
          <w:numId w:val="13"/>
        </w:numPr>
      </w:pPr>
      <w:r>
        <w:t xml:space="preserve">There would be </w:t>
      </w:r>
      <w:r w:rsidR="00972BB3" w:rsidRPr="00972BB3">
        <w:rPr>
          <w:rFonts w:cstheme="minorHAnsi"/>
          <w:bCs/>
          <w:highlight w:val="black"/>
        </w:rPr>
        <w:t>xxxx</w:t>
      </w:r>
      <w:r w:rsidR="00972BB3">
        <w:t xml:space="preserve"> </w:t>
      </w:r>
      <w:r>
        <w:t xml:space="preserve">of patients with LDL-C &gt;2.6mmol/L. </w:t>
      </w:r>
    </w:p>
    <w:p w14:paraId="7A98BC2E" w14:textId="6EC34B65" w:rsidR="0015284B" w:rsidRPr="00B0456D" w:rsidRDefault="00B0456D" w:rsidP="001D5142">
      <w:pPr>
        <w:pStyle w:val="ListParagraph"/>
        <w:numPr>
          <w:ilvl w:val="0"/>
          <w:numId w:val="13"/>
        </w:numPr>
      </w:pPr>
      <w:r>
        <w:t xml:space="preserve">Treatment uptake would be </w:t>
      </w:r>
      <w:r w:rsidR="00972BB3" w:rsidRPr="00972BB3">
        <w:rPr>
          <w:rFonts w:cstheme="minorHAnsi"/>
          <w:bCs/>
          <w:highlight w:val="black"/>
        </w:rPr>
        <w:t>xxxx</w:t>
      </w:r>
      <w:r w:rsidR="00972BB3">
        <w:t xml:space="preserve"> </w:t>
      </w:r>
      <w:r>
        <w:t xml:space="preserve">in Year 1, increasing to </w:t>
      </w:r>
      <w:r w:rsidR="00972BB3" w:rsidRPr="00972BB3">
        <w:rPr>
          <w:rFonts w:cstheme="minorHAnsi"/>
          <w:bCs/>
          <w:highlight w:val="black"/>
        </w:rPr>
        <w:t>xxxx</w:t>
      </w:r>
      <w:r w:rsidR="00972BB3">
        <w:t xml:space="preserve"> </w:t>
      </w:r>
      <w:r>
        <w:t xml:space="preserve">in Year 6. </w:t>
      </w:r>
    </w:p>
    <w:p w14:paraId="4D100A09" w14:textId="235974E1" w:rsidR="00E21717" w:rsidRDefault="00E21717" w:rsidP="00E21717">
      <w:pPr>
        <w:pStyle w:val="Heading2"/>
      </w:pPr>
      <w:r>
        <w:t xml:space="preserve">Analysis </w:t>
      </w:r>
      <w:r w:rsidRPr="005E22C2">
        <w:t xml:space="preserve">of </w:t>
      </w:r>
      <w:r>
        <w:t>a</w:t>
      </w:r>
      <w:r w:rsidRPr="005E22C2">
        <w:t xml:space="preserve">ctual versus </w:t>
      </w:r>
      <w:r>
        <w:t>p</w:t>
      </w:r>
      <w:r w:rsidRPr="005E22C2">
        <w:t xml:space="preserve">redicted </w:t>
      </w:r>
      <w:r>
        <w:t>u</w:t>
      </w:r>
      <w:r w:rsidRPr="005E22C2">
        <w:t>tilisation</w:t>
      </w:r>
    </w:p>
    <w:p w14:paraId="3312B53D" w14:textId="77777777" w:rsidR="008F6D82" w:rsidRPr="00FB6C26" w:rsidRDefault="008F6D82" w:rsidP="00EF66E9">
      <w:pPr>
        <w:pStyle w:val="Tabletitle"/>
        <w:spacing w:before="200"/>
      </w:pPr>
      <w:r>
        <w:t>Table 9</w:t>
      </w:r>
      <w:r w:rsidRPr="004F057D">
        <w:t>:</w:t>
      </w:r>
      <w:r>
        <w:t xml:space="preserve"> Evolocumab for non-FH actual versus predicted utilisation </w:t>
      </w:r>
    </w:p>
    <w:tbl>
      <w:tblPr>
        <w:tblW w:w="89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80"/>
        <w:gridCol w:w="1761"/>
        <w:gridCol w:w="1843"/>
        <w:gridCol w:w="1843"/>
        <w:gridCol w:w="1715"/>
      </w:tblGrid>
      <w:tr w:rsidR="008F6D82" w:rsidRPr="00FB6C26" w14:paraId="1643243D" w14:textId="77777777" w:rsidTr="00CB5F51">
        <w:trPr>
          <w:trHeight w:val="187"/>
        </w:trPr>
        <w:tc>
          <w:tcPr>
            <w:tcW w:w="3541" w:type="dxa"/>
            <w:gridSpan w:val="2"/>
            <w:vMerge w:val="restart"/>
            <w:shd w:val="clear" w:color="000000" w:fill="BFBFBF"/>
            <w:vAlign w:val="center"/>
            <w:hideMark/>
          </w:tcPr>
          <w:p w14:paraId="6FBFA5BF" w14:textId="77777777" w:rsidR="008F6D82" w:rsidRPr="00FB6C26" w:rsidRDefault="008F6D82" w:rsidP="00EF66E9">
            <w:pPr>
              <w:spacing w:before="60" w:after="60"/>
              <w:rPr>
                <w:rFonts w:ascii="Calibri" w:eastAsia="Times New Roman" w:hAnsi="Calibri" w:cs="Calibri"/>
                <w:b/>
                <w:bCs/>
                <w:color w:val="000000"/>
                <w:sz w:val="20"/>
                <w:szCs w:val="20"/>
              </w:rPr>
            </w:pPr>
            <w:r w:rsidRPr="00FB6C26">
              <w:rPr>
                <w:rFonts w:ascii="Calibri" w:eastAsia="Times New Roman" w:hAnsi="Calibri" w:cs="Calibri"/>
                <w:b/>
                <w:bCs/>
                <w:color w:val="000000"/>
                <w:sz w:val="20"/>
                <w:szCs w:val="20"/>
              </w:rPr>
              <w:t xml:space="preserve">Evolocumab for non-FH listing years </w:t>
            </w:r>
          </w:p>
        </w:tc>
        <w:tc>
          <w:tcPr>
            <w:tcW w:w="1843" w:type="dxa"/>
            <w:shd w:val="clear" w:color="000000" w:fill="BFBFBF"/>
            <w:vAlign w:val="center"/>
            <w:hideMark/>
          </w:tcPr>
          <w:p w14:paraId="26468042" w14:textId="77777777" w:rsidR="008F6D82" w:rsidRPr="00FB6C26" w:rsidRDefault="008F6D82" w:rsidP="00EF66E9">
            <w:pPr>
              <w:spacing w:before="60" w:after="60"/>
              <w:jc w:val="center"/>
              <w:rPr>
                <w:rFonts w:ascii="Calibri" w:eastAsia="Times New Roman" w:hAnsi="Calibri" w:cs="Calibri"/>
                <w:b/>
                <w:bCs/>
                <w:color w:val="000000"/>
                <w:sz w:val="20"/>
                <w:szCs w:val="20"/>
              </w:rPr>
            </w:pPr>
            <w:r w:rsidRPr="00FB6C26">
              <w:rPr>
                <w:rFonts w:ascii="Calibri" w:eastAsia="Times New Roman" w:hAnsi="Calibri" w:cs="Calibri"/>
                <w:b/>
                <w:bCs/>
                <w:sz w:val="20"/>
                <w:szCs w:val="20"/>
              </w:rPr>
              <w:t>Year 1</w:t>
            </w:r>
          </w:p>
        </w:tc>
        <w:tc>
          <w:tcPr>
            <w:tcW w:w="1843" w:type="dxa"/>
            <w:shd w:val="clear" w:color="000000" w:fill="BFBFBF"/>
            <w:vAlign w:val="center"/>
            <w:hideMark/>
          </w:tcPr>
          <w:p w14:paraId="79B31ECB" w14:textId="77777777" w:rsidR="008F6D82" w:rsidRPr="00FB6C26" w:rsidRDefault="008F6D82" w:rsidP="00EF66E9">
            <w:pPr>
              <w:spacing w:before="60" w:after="60"/>
              <w:jc w:val="center"/>
              <w:rPr>
                <w:rFonts w:ascii="Calibri" w:eastAsia="Times New Roman" w:hAnsi="Calibri" w:cs="Calibri"/>
                <w:b/>
                <w:bCs/>
                <w:color w:val="000000"/>
                <w:sz w:val="20"/>
                <w:szCs w:val="20"/>
              </w:rPr>
            </w:pPr>
            <w:r w:rsidRPr="00FB6C26">
              <w:rPr>
                <w:rFonts w:ascii="Calibri" w:eastAsia="Times New Roman" w:hAnsi="Calibri" w:cs="Calibri"/>
                <w:b/>
                <w:bCs/>
                <w:sz w:val="20"/>
                <w:szCs w:val="20"/>
              </w:rPr>
              <w:t>Year 2</w:t>
            </w:r>
          </w:p>
        </w:tc>
        <w:tc>
          <w:tcPr>
            <w:tcW w:w="1715" w:type="dxa"/>
            <w:shd w:val="clear" w:color="000000" w:fill="BFBFBF"/>
            <w:vAlign w:val="center"/>
            <w:hideMark/>
          </w:tcPr>
          <w:p w14:paraId="67B14223" w14:textId="77777777" w:rsidR="008F6D82" w:rsidRPr="00FB6C26" w:rsidRDefault="008F6D82" w:rsidP="00EF66E9">
            <w:pPr>
              <w:spacing w:before="60" w:after="60"/>
              <w:jc w:val="center"/>
              <w:rPr>
                <w:rFonts w:ascii="Calibri" w:eastAsia="Times New Roman" w:hAnsi="Calibri" w:cs="Calibri"/>
                <w:b/>
                <w:bCs/>
                <w:color w:val="000000"/>
                <w:sz w:val="20"/>
                <w:szCs w:val="20"/>
              </w:rPr>
            </w:pPr>
            <w:r w:rsidRPr="00FB6C26">
              <w:rPr>
                <w:rFonts w:ascii="Calibri" w:eastAsia="Times New Roman" w:hAnsi="Calibri" w:cs="Calibri"/>
                <w:b/>
                <w:bCs/>
                <w:sz w:val="20"/>
                <w:szCs w:val="20"/>
              </w:rPr>
              <w:t>Year 3</w:t>
            </w:r>
          </w:p>
        </w:tc>
      </w:tr>
      <w:tr w:rsidR="008F6D82" w:rsidRPr="00FB6C26" w14:paraId="23DE1863" w14:textId="77777777" w:rsidTr="00CB5F51">
        <w:trPr>
          <w:trHeight w:val="465"/>
        </w:trPr>
        <w:tc>
          <w:tcPr>
            <w:tcW w:w="3541" w:type="dxa"/>
            <w:gridSpan w:val="2"/>
            <w:vMerge/>
            <w:vAlign w:val="center"/>
            <w:hideMark/>
          </w:tcPr>
          <w:p w14:paraId="28D204BD" w14:textId="77777777" w:rsidR="008F6D82" w:rsidRPr="00FB6C26" w:rsidRDefault="008F6D82" w:rsidP="00EF66E9">
            <w:pPr>
              <w:spacing w:before="60" w:after="60"/>
              <w:rPr>
                <w:rFonts w:ascii="Calibri" w:eastAsia="Times New Roman" w:hAnsi="Calibri" w:cs="Calibri"/>
                <w:b/>
                <w:bCs/>
                <w:color w:val="000000"/>
                <w:sz w:val="20"/>
                <w:szCs w:val="20"/>
              </w:rPr>
            </w:pPr>
          </w:p>
        </w:tc>
        <w:tc>
          <w:tcPr>
            <w:tcW w:w="1843" w:type="dxa"/>
            <w:shd w:val="clear" w:color="000000" w:fill="BFBFBF"/>
            <w:vAlign w:val="center"/>
            <w:hideMark/>
          </w:tcPr>
          <w:p w14:paraId="1C0C9291" w14:textId="77777777" w:rsidR="008F6D82" w:rsidRPr="00FB6C26" w:rsidRDefault="008F6D82" w:rsidP="00EF66E9">
            <w:pPr>
              <w:spacing w:before="60" w:after="60"/>
              <w:jc w:val="center"/>
              <w:rPr>
                <w:rFonts w:ascii="Calibri" w:eastAsia="Times New Roman" w:hAnsi="Calibri" w:cs="Calibri"/>
                <w:b/>
                <w:bCs/>
                <w:color w:val="000000"/>
                <w:sz w:val="20"/>
                <w:szCs w:val="20"/>
              </w:rPr>
            </w:pPr>
            <w:r w:rsidRPr="00FB6C26">
              <w:rPr>
                <w:rFonts w:ascii="Calibri" w:eastAsia="Times New Roman" w:hAnsi="Calibri" w:cs="Calibri"/>
                <w:b/>
                <w:bCs/>
                <w:sz w:val="20"/>
                <w:szCs w:val="20"/>
              </w:rPr>
              <w:t>May 2020 – April  2021</w:t>
            </w:r>
          </w:p>
        </w:tc>
        <w:tc>
          <w:tcPr>
            <w:tcW w:w="1843" w:type="dxa"/>
            <w:shd w:val="clear" w:color="000000" w:fill="BFBFBF"/>
            <w:vAlign w:val="center"/>
            <w:hideMark/>
          </w:tcPr>
          <w:p w14:paraId="295F783A" w14:textId="77777777" w:rsidR="008F6D82" w:rsidRPr="00FB6C26" w:rsidRDefault="008F6D82" w:rsidP="00EF66E9">
            <w:pPr>
              <w:spacing w:before="60" w:after="60"/>
              <w:jc w:val="center"/>
              <w:rPr>
                <w:rFonts w:ascii="Calibri" w:eastAsia="Times New Roman" w:hAnsi="Calibri" w:cs="Calibri"/>
                <w:b/>
                <w:bCs/>
                <w:color w:val="000000"/>
                <w:sz w:val="20"/>
                <w:szCs w:val="20"/>
              </w:rPr>
            </w:pPr>
            <w:r w:rsidRPr="00FB6C26">
              <w:rPr>
                <w:rFonts w:ascii="Calibri" w:eastAsia="Times New Roman" w:hAnsi="Calibri" w:cs="Calibri"/>
                <w:b/>
                <w:bCs/>
                <w:sz w:val="20"/>
                <w:szCs w:val="20"/>
              </w:rPr>
              <w:t>May 2021 – April  2022</w:t>
            </w:r>
          </w:p>
        </w:tc>
        <w:tc>
          <w:tcPr>
            <w:tcW w:w="1715" w:type="dxa"/>
            <w:shd w:val="clear" w:color="000000" w:fill="BFBFBF"/>
            <w:vAlign w:val="center"/>
            <w:hideMark/>
          </w:tcPr>
          <w:p w14:paraId="4E9421B6" w14:textId="77777777" w:rsidR="008F6D82" w:rsidRPr="00FB6C26" w:rsidRDefault="008F6D82" w:rsidP="00EF66E9">
            <w:pPr>
              <w:spacing w:before="60" w:after="60"/>
              <w:jc w:val="center"/>
              <w:rPr>
                <w:rFonts w:ascii="Calibri" w:eastAsia="Times New Roman" w:hAnsi="Calibri" w:cs="Calibri"/>
                <w:b/>
                <w:bCs/>
                <w:color w:val="000000"/>
                <w:sz w:val="20"/>
                <w:szCs w:val="20"/>
              </w:rPr>
            </w:pPr>
            <w:r w:rsidRPr="00FB6C26">
              <w:rPr>
                <w:rFonts w:ascii="Calibri" w:eastAsia="Times New Roman" w:hAnsi="Calibri" w:cs="Calibri"/>
                <w:b/>
                <w:bCs/>
                <w:sz w:val="20"/>
                <w:szCs w:val="20"/>
              </w:rPr>
              <w:t>May 2022 – April  2023</w:t>
            </w:r>
            <w:r>
              <w:rPr>
                <w:rFonts w:ascii="Calibri" w:eastAsia="Times New Roman" w:hAnsi="Calibri" w:cs="Calibri"/>
                <w:b/>
                <w:bCs/>
                <w:sz w:val="20"/>
                <w:szCs w:val="20"/>
              </w:rPr>
              <w:t xml:space="preserve"> (part year to September 2022)</w:t>
            </w:r>
          </w:p>
        </w:tc>
      </w:tr>
      <w:tr w:rsidR="008F6D82" w:rsidRPr="0039456F" w14:paraId="176222C1" w14:textId="77777777" w:rsidTr="00CB5F51">
        <w:trPr>
          <w:trHeight w:val="187"/>
        </w:trPr>
        <w:tc>
          <w:tcPr>
            <w:tcW w:w="1780" w:type="dxa"/>
            <w:tcBorders>
              <w:top w:val="single" w:sz="2" w:space="0" w:color="auto"/>
              <w:left w:val="single" w:sz="2" w:space="0" w:color="auto"/>
              <w:bottom w:val="single" w:sz="2" w:space="0" w:color="auto"/>
              <w:right w:val="single" w:sz="2" w:space="0" w:color="auto"/>
            </w:tcBorders>
            <w:shd w:val="clear" w:color="auto" w:fill="auto"/>
            <w:vAlign w:val="center"/>
          </w:tcPr>
          <w:p w14:paraId="1A5A5C91" w14:textId="77777777" w:rsidR="008F6D82" w:rsidRPr="0039456F" w:rsidRDefault="008F6D82" w:rsidP="00EF66E9">
            <w:pPr>
              <w:spacing w:before="60" w:after="60"/>
              <w:rPr>
                <w:rFonts w:ascii="Calibri" w:eastAsia="Times New Roman" w:hAnsi="Calibri" w:cs="Calibri"/>
                <w:color w:val="000000"/>
                <w:sz w:val="20"/>
                <w:szCs w:val="20"/>
              </w:rPr>
            </w:pPr>
            <w:r w:rsidRPr="0039456F">
              <w:rPr>
                <w:rFonts w:ascii="Calibri" w:eastAsia="Times New Roman" w:hAnsi="Calibri" w:cs="Calibri"/>
                <w:color w:val="000000"/>
                <w:sz w:val="20"/>
                <w:szCs w:val="20"/>
              </w:rPr>
              <w:t>Patients</w:t>
            </w:r>
          </w:p>
        </w:tc>
        <w:tc>
          <w:tcPr>
            <w:tcW w:w="1761" w:type="dxa"/>
            <w:tcBorders>
              <w:top w:val="single" w:sz="2" w:space="0" w:color="auto"/>
              <w:left w:val="single" w:sz="2" w:space="0" w:color="auto"/>
              <w:bottom w:val="single" w:sz="2" w:space="0" w:color="auto"/>
              <w:right w:val="single" w:sz="2" w:space="0" w:color="auto"/>
            </w:tcBorders>
            <w:shd w:val="clear" w:color="auto" w:fill="auto"/>
            <w:vAlign w:val="center"/>
          </w:tcPr>
          <w:p w14:paraId="179DEEE9" w14:textId="2D0DE045" w:rsidR="008F6D82" w:rsidRPr="0039456F" w:rsidRDefault="00DB538C" w:rsidP="00EF66E9">
            <w:pPr>
              <w:spacing w:before="60" w:after="60"/>
              <w:rPr>
                <w:rFonts w:ascii="Calibri" w:eastAsia="Times New Roman" w:hAnsi="Calibri" w:cs="Calibri"/>
                <w:color w:val="000000"/>
                <w:sz w:val="20"/>
                <w:szCs w:val="20"/>
              </w:rPr>
            </w:pPr>
            <w:r>
              <w:rPr>
                <w:rFonts w:ascii="Calibri" w:eastAsia="Times New Roman" w:hAnsi="Calibri" w:cs="Calibri"/>
                <w:color w:val="000000"/>
                <w:sz w:val="20"/>
                <w:szCs w:val="20"/>
              </w:rPr>
              <w:t>P</w:t>
            </w:r>
            <w:r w:rsidRPr="0039456F">
              <w:rPr>
                <w:rFonts w:ascii="Calibri" w:eastAsia="Times New Roman" w:hAnsi="Calibri" w:cs="Calibri"/>
                <w:color w:val="000000"/>
                <w:sz w:val="20"/>
                <w:szCs w:val="20"/>
              </w:rPr>
              <w:t>redicted</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20E31805" w14:textId="097F6E38"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xxxx xx</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431D3435" w14:textId="22F3404C"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xxxx xx</w:t>
            </w:r>
          </w:p>
        </w:tc>
        <w:tc>
          <w:tcPr>
            <w:tcW w:w="1715" w:type="dxa"/>
            <w:tcBorders>
              <w:top w:val="single" w:sz="2" w:space="0" w:color="auto"/>
              <w:left w:val="single" w:sz="2" w:space="0" w:color="auto"/>
              <w:bottom w:val="single" w:sz="2" w:space="0" w:color="auto"/>
              <w:right w:val="single" w:sz="2" w:space="0" w:color="auto"/>
            </w:tcBorders>
            <w:shd w:val="clear" w:color="auto" w:fill="auto"/>
            <w:vAlign w:val="center"/>
          </w:tcPr>
          <w:p w14:paraId="5268BE87" w14:textId="51CD46BE"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xxxx xx</w:t>
            </w:r>
          </w:p>
        </w:tc>
      </w:tr>
      <w:tr w:rsidR="008F6D82" w:rsidRPr="0039456F" w14:paraId="352C1889" w14:textId="77777777" w:rsidTr="00CB5F51">
        <w:trPr>
          <w:trHeight w:val="187"/>
        </w:trPr>
        <w:tc>
          <w:tcPr>
            <w:tcW w:w="1780" w:type="dxa"/>
            <w:tcBorders>
              <w:top w:val="single" w:sz="2" w:space="0" w:color="auto"/>
              <w:left w:val="single" w:sz="2" w:space="0" w:color="auto"/>
              <w:bottom w:val="single" w:sz="2" w:space="0" w:color="auto"/>
              <w:right w:val="single" w:sz="2" w:space="0" w:color="auto"/>
            </w:tcBorders>
            <w:shd w:val="clear" w:color="auto" w:fill="auto"/>
            <w:vAlign w:val="center"/>
          </w:tcPr>
          <w:p w14:paraId="2ADBF432" w14:textId="77777777" w:rsidR="008F6D82" w:rsidRPr="0039456F" w:rsidRDefault="008F6D82" w:rsidP="00EF66E9">
            <w:pPr>
              <w:spacing w:before="60" w:after="60"/>
              <w:rPr>
                <w:rFonts w:ascii="Calibri" w:eastAsia="Times New Roman" w:hAnsi="Calibri" w:cs="Calibri"/>
                <w:color w:val="000000"/>
                <w:sz w:val="20"/>
                <w:szCs w:val="20"/>
              </w:rPr>
            </w:pPr>
            <w:r w:rsidRPr="0039456F">
              <w:rPr>
                <w:rFonts w:ascii="Calibri" w:eastAsia="Times New Roman" w:hAnsi="Calibri" w:cs="Calibri"/>
                <w:color w:val="000000"/>
                <w:sz w:val="20"/>
                <w:szCs w:val="20"/>
              </w:rPr>
              <w:t> </w:t>
            </w:r>
          </w:p>
        </w:tc>
        <w:tc>
          <w:tcPr>
            <w:tcW w:w="1761" w:type="dxa"/>
            <w:tcBorders>
              <w:top w:val="single" w:sz="2" w:space="0" w:color="auto"/>
              <w:left w:val="single" w:sz="2" w:space="0" w:color="auto"/>
              <w:bottom w:val="single" w:sz="2" w:space="0" w:color="auto"/>
              <w:right w:val="single" w:sz="2" w:space="0" w:color="auto"/>
            </w:tcBorders>
            <w:shd w:val="clear" w:color="auto" w:fill="auto"/>
            <w:vAlign w:val="center"/>
          </w:tcPr>
          <w:p w14:paraId="5333F0D7" w14:textId="77777777" w:rsidR="008F6D82" w:rsidRPr="0039456F" w:rsidRDefault="008F6D82" w:rsidP="00EF66E9">
            <w:pPr>
              <w:spacing w:before="60" w:after="60"/>
              <w:rPr>
                <w:rFonts w:ascii="Calibri" w:eastAsia="Times New Roman" w:hAnsi="Calibri" w:cs="Calibri"/>
                <w:color w:val="000000"/>
                <w:sz w:val="20"/>
                <w:szCs w:val="20"/>
              </w:rPr>
            </w:pPr>
            <w:r w:rsidRPr="0039456F">
              <w:rPr>
                <w:rFonts w:ascii="Calibri" w:eastAsia="Times New Roman" w:hAnsi="Calibri" w:cs="Calibri"/>
                <w:color w:val="000000"/>
                <w:sz w:val="20"/>
                <w:szCs w:val="20"/>
              </w:rPr>
              <w:t>Actual</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0AAB374F" w14:textId="77777777" w:rsidR="008F6D82" w:rsidRPr="00AB7C6C" w:rsidRDefault="008F6D82" w:rsidP="00EF66E9">
            <w:pPr>
              <w:spacing w:before="60" w:after="60"/>
              <w:jc w:val="center"/>
              <w:rPr>
                <w:rFonts w:ascii="Calibri" w:eastAsia="Times New Roman" w:hAnsi="Calibri" w:cs="Calibri"/>
                <w:color w:val="000000"/>
                <w:sz w:val="20"/>
                <w:szCs w:val="20"/>
              </w:rPr>
            </w:pPr>
            <w:r w:rsidRPr="00AB7C6C">
              <w:rPr>
                <w:rFonts w:ascii="Calibri" w:eastAsia="Times New Roman" w:hAnsi="Calibri" w:cs="Calibri"/>
                <w:color w:val="000000"/>
                <w:sz w:val="20"/>
                <w:szCs w:val="20"/>
              </w:rPr>
              <w:t>1,917</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657584F3" w14:textId="77777777" w:rsidR="008F6D82" w:rsidRPr="00AB7C6C" w:rsidRDefault="008F6D82" w:rsidP="00EF66E9">
            <w:pPr>
              <w:spacing w:before="60" w:after="60"/>
              <w:jc w:val="center"/>
              <w:rPr>
                <w:rFonts w:ascii="Calibri" w:eastAsia="Times New Roman" w:hAnsi="Calibri" w:cs="Calibri"/>
                <w:color w:val="000000"/>
                <w:sz w:val="20"/>
                <w:szCs w:val="20"/>
              </w:rPr>
            </w:pPr>
            <w:r w:rsidRPr="00AB7C6C">
              <w:rPr>
                <w:rFonts w:ascii="Calibri" w:eastAsia="Times New Roman" w:hAnsi="Calibri" w:cs="Calibri"/>
                <w:color w:val="000000"/>
                <w:sz w:val="20"/>
                <w:szCs w:val="20"/>
              </w:rPr>
              <w:t>3,841</w:t>
            </w:r>
          </w:p>
        </w:tc>
        <w:tc>
          <w:tcPr>
            <w:tcW w:w="1715" w:type="dxa"/>
            <w:tcBorders>
              <w:top w:val="single" w:sz="2" w:space="0" w:color="auto"/>
              <w:left w:val="single" w:sz="2" w:space="0" w:color="auto"/>
              <w:bottom w:val="single" w:sz="2" w:space="0" w:color="auto"/>
              <w:right w:val="single" w:sz="2" w:space="0" w:color="auto"/>
            </w:tcBorders>
            <w:shd w:val="clear" w:color="auto" w:fill="auto"/>
            <w:vAlign w:val="center"/>
          </w:tcPr>
          <w:p w14:paraId="687A4168" w14:textId="77777777" w:rsidR="008F6D82" w:rsidRPr="00AB7C6C" w:rsidRDefault="008F6D82" w:rsidP="00EF66E9">
            <w:pPr>
              <w:spacing w:before="60" w:after="60"/>
              <w:jc w:val="center"/>
              <w:rPr>
                <w:rFonts w:ascii="Calibri" w:eastAsia="Times New Roman" w:hAnsi="Calibri" w:cs="Calibri"/>
                <w:color w:val="000000"/>
                <w:sz w:val="20"/>
                <w:szCs w:val="20"/>
              </w:rPr>
            </w:pPr>
            <w:r w:rsidRPr="00AB7C6C">
              <w:rPr>
                <w:rFonts w:ascii="Calibri" w:eastAsia="Times New Roman" w:hAnsi="Calibri" w:cs="Calibri"/>
                <w:color w:val="000000"/>
                <w:sz w:val="20"/>
                <w:szCs w:val="20"/>
              </w:rPr>
              <w:t>3,627</w:t>
            </w:r>
          </w:p>
        </w:tc>
      </w:tr>
      <w:tr w:rsidR="008F6D82" w:rsidRPr="0039456F" w14:paraId="5BDFCC55" w14:textId="77777777" w:rsidTr="00CB5F51">
        <w:trPr>
          <w:trHeight w:val="187"/>
        </w:trPr>
        <w:tc>
          <w:tcPr>
            <w:tcW w:w="1780" w:type="dxa"/>
            <w:tcBorders>
              <w:top w:val="single" w:sz="2" w:space="0" w:color="auto"/>
              <w:left w:val="single" w:sz="2" w:space="0" w:color="auto"/>
              <w:bottom w:val="single" w:sz="2" w:space="0" w:color="auto"/>
              <w:right w:val="single" w:sz="2" w:space="0" w:color="auto"/>
            </w:tcBorders>
            <w:shd w:val="clear" w:color="auto" w:fill="auto"/>
            <w:vAlign w:val="center"/>
          </w:tcPr>
          <w:p w14:paraId="77B60CDE" w14:textId="77777777" w:rsidR="008F6D82" w:rsidRPr="0039456F" w:rsidRDefault="008F6D82" w:rsidP="00EF66E9">
            <w:pPr>
              <w:spacing w:before="60" w:after="60"/>
              <w:rPr>
                <w:rFonts w:ascii="Calibri" w:eastAsia="Times New Roman" w:hAnsi="Calibri" w:cs="Calibri"/>
                <w:color w:val="000000"/>
                <w:sz w:val="20"/>
                <w:szCs w:val="20"/>
              </w:rPr>
            </w:pPr>
            <w:r w:rsidRPr="0039456F">
              <w:rPr>
                <w:rFonts w:ascii="Calibri" w:eastAsia="Times New Roman" w:hAnsi="Calibri" w:cs="Calibri"/>
                <w:color w:val="000000"/>
                <w:sz w:val="20"/>
                <w:szCs w:val="20"/>
              </w:rPr>
              <w:t> </w:t>
            </w:r>
          </w:p>
        </w:tc>
        <w:tc>
          <w:tcPr>
            <w:tcW w:w="1761" w:type="dxa"/>
            <w:tcBorders>
              <w:top w:val="single" w:sz="2" w:space="0" w:color="auto"/>
              <w:left w:val="single" w:sz="2" w:space="0" w:color="auto"/>
              <w:bottom w:val="single" w:sz="2" w:space="0" w:color="auto"/>
              <w:right w:val="single" w:sz="2" w:space="0" w:color="auto"/>
            </w:tcBorders>
            <w:shd w:val="clear" w:color="auto" w:fill="auto"/>
            <w:vAlign w:val="center"/>
          </w:tcPr>
          <w:p w14:paraId="1E189D55" w14:textId="77777777" w:rsidR="008F6D82" w:rsidRPr="0039456F" w:rsidRDefault="008F6D82" w:rsidP="00EF66E9">
            <w:pPr>
              <w:spacing w:before="60" w:after="60"/>
              <w:rPr>
                <w:rFonts w:ascii="Calibri" w:eastAsia="Times New Roman" w:hAnsi="Calibri" w:cs="Calibri"/>
                <w:color w:val="000000"/>
                <w:sz w:val="20"/>
                <w:szCs w:val="20"/>
              </w:rPr>
            </w:pPr>
            <w:r w:rsidRPr="0039456F">
              <w:rPr>
                <w:rFonts w:ascii="Calibri" w:eastAsia="Times New Roman" w:hAnsi="Calibri" w:cs="Calibri"/>
                <w:color w:val="000000"/>
                <w:sz w:val="20"/>
                <w:szCs w:val="20"/>
              </w:rPr>
              <w:t>Difference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315882F2" w14:textId="772A975E"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xxxx xx</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2BA4592E" w14:textId="25568408"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 xml:space="preserve"> xxxx xx</w:t>
            </w:r>
          </w:p>
        </w:tc>
        <w:tc>
          <w:tcPr>
            <w:tcW w:w="1715" w:type="dxa"/>
            <w:tcBorders>
              <w:top w:val="single" w:sz="2" w:space="0" w:color="auto"/>
              <w:left w:val="single" w:sz="2" w:space="0" w:color="auto"/>
              <w:bottom w:val="single" w:sz="2" w:space="0" w:color="auto"/>
              <w:right w:val="single" w:sz="2" w:space="0" w:color="auto"/>
            </w:tcBorders>
            <w:shd w:val="clear" w:color="auto" w:fill="auto"/>
            <w:vAlign w:val="center"/>
          </w:tcPr>
          <w:p w14:paraId="5AFDF654" w14:textId="1F390D4D"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xxxx xx</w:t>
            </w:r>
          </w:p>
        </w:tc>
      </w:tr>
      <w:tr w:rsidR="008F6D82" w:rsidRPr="0039456F" w14:paraId="3A6EDB0A" w14:textId="77777777" w:rsidTr="00CB5F51">
        <w:trPr>
          <w:trHeight w:val="187"/>
        </w:trPr>
        <w:tc>
          <w:tcPr>
            <w:tcW w:w="1780" w:type="dxa"/>
            <w:tcBorders>
              <w:top w:val="single" w:sz="2" w:space="0" w:color="auto"/>
              <w:left w:val="single" w:sz="2" w:space="0" w:color="auto"/>
              <w:bottom w:val="single" w:sz="2" w:space="0" w:color="auto"/>
              <w:right w:val="single" w:sz="2" w:space="0" w:color="auto"/>
            </w:tcBorders>
            <w:shd w:val="clear" w:color="auto" w:fill="auto"/>
            <w:vAlign w:val="center"/>
          </w:tcPr>
          <w:p w14:paraId="33AEAE39" w14:textId="77777777" w:rsidR="008F6D82" w:rsidRPr="0039456F" w:rsidRDefault="008F6D82" w:rsidP="00EF66E9">
            <w:pPr>
              <w:spacing w:before="60" w:after="60"/>
              <w:rPr>
                <w:rFonts w:ascii="Calibri" w:eastAsia="Times New Roman" w:hAnsi="Calibri" w:cs="Calibri"/>
                <w:color w:val="000000"/>
                <w:sz w:val="20"/>
                <w:szCs w:val="20"/>
              </w:rPr>
            </w:pPr>
            <w:r w:rsidRPr="0039456F">
              <w:rPr>
                <w:rFonts w:ascii="Calibri" w:eastAsia="Times New Roman" w:hAnsi="Calibri" w:cs="Calibri"/>
                <w:color w:val="000000"/>
                <w:sz w:val="20"/>
                <w:szCs w:val="20"/>
              </w:rPr>
              <w:t>Prescriptions</w:t>
            </w:r>
          </w:p>
        </w:tc>
        <w:tc>
          <w:tcPr>
            <w:tcW w:w="1761" w:type="dxa"/>
            <w:tcBorders>
              <w:top w:val="single" w:sz="2" w:space="0" w:color="auto"/>
              <w:left w:val="single" w:sz="2" w:space="0" w:color="auto"/>
              <w:bottom w:val="single" w:sz="2" w:space="0" w:color="auto"/>
              <w:right w:val="single" w:sz="2" w:space="0" w:color="auto"/>
            </w:tcBorders>
            <w:shd w:val="clear" w:color="auto" w:fill="auto"/>
            <w:vAlign w:val="center"/>
          </w:tcPr>
          <w:p w14:paraId="4F5E9646" w14:textId="77777777" w:rsidR="008F6D82" w:rsidRPr="0039456F" w:rsidRDefault="008F6D82" w:rsidP="00EF66E9">
            <w:pPr>
              <w:spacing w:before="60" w:after="60"/>
              <w:rPr>
                <w:rFonts w:ascii="Calibri" w:eastAsia="Times New Roman" w:hAnsi="Calibri" w:cs="Calibri"/>
                <w:color w:val="000000"/>
                <w:sz w:val="20"/>
                <w:szCs w:val="20"/>
              </w:rPr>
            </w:pPr>
            <w:r>
              <w:rPr>
                <w:rFonts w:ascii="Calibri" w:eastAsia="Times New Roman" w:hAnsi="Calibri" w:cs="Calibri"/>
                <w:color w:val="000000"/>
                <w:sz w:val="20"/>
                <w:szCs w:val="20"/>
              </w:rPr>
              <w:t>P</w:t>
            </w:r>
            <w:r w:rsidRPr="0039456F">
              <w:rPr>
                <w:rFonts w:ascii="Calibri" w:eastAsia="Times New Roman" w:hAnsi="Calibri" w:cs="Calibri"/>
                <w:color w:val="000000"/>
                <w:sz w:val="20"/>
                <w:szCs w:val="20"/>
              </w:rPr>
              <w:t>redicted</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7AB7E5E6" w14:textId="255FED2A"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xxxx xx</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7BFBAD06" w14:textId="4282DCA6"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xxxx xx</w:t>
            </w:r>
          </w:p>
        </w:tc>
        <w:tc>
          <w:tcPr>
            <w:tcW w:w="1715" w:type="dxa"/>
            <w:tcBorders>
              <w:top w:val="single" w:sz="2" w:space="0" w:color="auto"/>
              <w:left w:val="single" w:sz="2" w:space="0" w:color="auto"/>
              <w:bottom w:val="single" w:sz="2" w:space="0" w:color="auto"/>
              <w:right w:val="single" w:sz="2" w:space="0" w:color="auto"/>
            </w:tcBorders>
            <w:shd w:val="clear" w:color="auto" w:fill="auto"/>
            <w:vAlign w:val="center"/>
          </w:tcPr>
          <w:p w14:paraId="0129C4C8" w14:textId="077A0E8D"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xxxx xx</w:t>
            </w:r>
          </w:p>
        </w:tc>
      </w:tr>
      <w:tr w:rsidR="008F6D82" w:rsidRPr="0039456F" w14:paraId="450A3885" w14:textId="77777777" w:rsidTr="00CB5F51">
        <w:trPr>
          <w:trHeight w:val="187"/>
        </w:trPr>
        <w:tc>
          <w:tcPr>
            <w:tcW w:w="1780" w:type="dxa"/>
            <w:tcBorders>
              <w:top w:val="single" w:sz="2" w:space="0" w:color="auto"/>
              <w:left w:val="single" w:sz="2" w:space="0" w:color="auto"/>
              <w:bottom w:val="single" w:sz="2" w:space="0" w:color="auto"/>
              <w:right w:val="single" w:sz="2" w:space="0" w:color="auto"/>
            </w:tcBorders>
            <w:shd w:val="clear" w:color="auto" w:fill="auto"/>
            <w:vAlign w:val="center"/>
          </w:tcPr>
          <w:p w14:paraId="49D5D2D2" w14:textId="77777777" w:rsidR="008F6D82" w:rsidRPr="0039456F" w:rsidRDefault="008F6D82" w:rsidP="00EF66E9">
            <w:pPr>
              <w:spacing w:before="60" w:after="60"/>
              <w:rPr>
                <w:rFonts w:ascii="Calibri" w:eastAsia="Times New Roman" w:hAnsi="Calibri" w:cs="Calibri"/>
                <w:color w:val="000000"/>
                <w:sz w:val="20"/>
                <w:szCs w:val="20"/>
              </w:rPr>
            </w:pPr>
            <w:r w:rsidRPr="0039456F">
              <w:rPr>
                <w:rFonts w:ascii="Calibri" w:eastAsia="Times New Roman" w:hAnsi="Calibri" w:cs="Calibri"/>
                <w:color w:val="000000"/>
                <w:sz w:val="20"/>
                <w:szCs w:val="20"/>
              </w:rPr>
              <w:t> </w:t>
            </w:r>
          </w:p>
        </w:tc>
        <w:tc>
          <w:tcPr>
            <w:tcW w:w="1761" w:type="dxa"/>
            <w:tcBorders>
              <w:top w:val="single" w:sz="2" w:space="0" w:color="auto"/>
              <w:left w:val="single" w:sz="2" w:space="0" w:color="auto"/>
              <w:bottom w:val="single" w:sz="2" w:space="0" w:color="auto"/>
              <w:right w:val="single" w:sz="2" w:space="0" w:color="auto"/>
            </w:tcBorders>
            <w:shd w:val="clear" w:color="auto" w:fill="auto"/>
            <w:vAlign w:val="center"/>
          </w:tcPr>
          <w:p w14:paraId="2B058C78" w14:textId="77777777" w:rsidR="008F6D82" w:rsidRPr="0039456F" w:rsidRDefault="008F6D82" w:rsidP="00EF66E9">
            <w:pPr>
              <w:spacing w:before="60" w:after="60"/>
              <w:rPr>
                <w:rFonts w:ascii="Calibri" w:eastAsia="Times New Roman" w:hAnsi="Calibri" w:cs="Calibri"/>
                <w:color w:val="000000"/>
                <w:sz w:val="20"/>
                <w:szCs w:val="20"/>
              </w:rPr>
            </w:pPr>
            <w:r>
              <w:rPr>
                <w:rFonts w:ascii="Calibri" w:eastAsia="Times New Roman" w:hAnsi="Calibri" w:cs="Calibri"/>
                <w:color w:val="000000"/>
                <w:sz w:val="20"/>
                <w:szCs w:val="20"/>
              </w:rPr>
              <w:t>A</w:t>
            </w:r>
            <w:r w:rsidRPr="0039456F">
              <w:rPr>
                <w:rFonts w:ascii="Calibri" w:eastAsia="Times New Roman" w:hAnsi="Calibri" w:cs="Calibri"/>
                <w:color w:val="000000"/>
                <w:sz w:val="20"/>
                <w:szCs w:val="20"/>
              </w:rPr>
              <w:t>ctual</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0EEAAAB1" w14:textId="77777777" w:rsidR="008F6D82" w:rsidRPr="00AB7C6C" w:rsidRDefault="008F6D82" w:rsidP="00EF66E9">
            <w:pPr>
              <w:spacing w:before="60" w:after="60"/>
              <w:jc w:val="center"/>
              <w:rPr>
                <w:rFonts w:ascii="Calibri" w:eastAsia="Times New Roman" w:hAnsi="Calibri" w:cs="Calibri"/>
                <w:color w:val="000000"/>
                <w:sz w:val="20"/>
                <w:szCs w:val="20"/>
              </w:rPr>
            </w:pPr>
            <w:r w:rsidRPr="00AB7C6C">
              <w:rPr>
                <w:rFonts w:ascii="Calibri" w:eastAsia="Times New Roman" w:hAnsi="Calibri" w:cs="Calibri"/>
                <w:color w:val="000000"/>
                <w:sz w:val="20"/>
                <w:szCs w:val="20"/>
              </w:rPr>
              <w:t>9,761</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5BA30CA2" w14:textId="77777777" w:rsidR="008F6D82" w:rsidRPr="00AB7C6C" w:rsidRDefault="008F6D82" w:rsidP="00EF66E9">
            <w:pPr>
              <w:spacing w:before="60" w:after="60"/>
              <w:jc w:val="center"/>
              <w:rPr>
                <w:rFonts w:ascii="Calibri" w:eastAsia="Times New Roman" w:hAnsi="Calibri" w:cs="Calibri"/>
                <w:color w:val="000000"/>
                <w:sz w:val="20"/>
                <w:szCs w:val="20"/>
              </w:rPr>
            </w:pPr>
            <w:r w:rsidRPr="00AB7C6C">
              <w:rPr>
                <w:rFonts w:ascii="Calibri" w:eastAsia="Times New Roman" w:hAnsi="Calibri" w:cs="Calibri"/>
                <w:color w:val="000000"/>
                <w:sz w:val="20"/>
                <w:szCs w:val="20"/>
              </w:rPr>
              <w:t>23,922</w:t>
            </w:r>
          </w:p>
        </w:tc>
        <w:tc>
          <w:tcPr>
            <w:tcW w:w="1715" w:type="dxa"/>
            <w:tcBorders>
              <w:top w:val="single" w:sz="2" w:space="0" w:color="auto"/>
              <w:left w:val="single" w:sz="2" w:space="0" w:color="auto"/>
              <w:bottom w:val="single" w:sz="2" w:space="0" w:color="auto"/>
              <w:right w:val="single" w:sz="2" w:space="0" w:color="auto"/>
            </w:tcBorders>
            <w:shd w:val="clear" w:color="auto" w:fill="auto"/>
            <w:vAlign w:val="center"/>
          </w:tcPr>
          <w:p w14:paraId="192895DF" w14:textId="77777777" w:rsidR="008F6D82" w:rsidRPr="00AB7C6C" w:rsidRDefault="008F6D82" w:rsidP="00EF66E9">
            <w:pPr>
              <w:spacing w:before="60" w:after="60"/>
              <w:jc w:val="center"/>
              <w:rPr>
                <w:rFonts w:ascii="Calibri" w:eastAsia="Times New Roman" w:hAnsi="Calibri" w:cs="Calibri"/>
                <w:color w:val="000000"/>
                <w:sz w:val="20"/>
                <w:szCs w:val="20"/>
              </w:rPr>
            </w:pPr>
            <w:r w:rsidRPr="00AB7C6C">
              <w:rPr>
                <w:rFonts w:ascii="Calibri" w:eastAsia="Times New Roman" w:hAnsi="Calibri" w:cs="Calibri"/>
                <w:color w:val="000000"/>
                <w:sz w:val="20"/>
                <w:szCs w:val="20"/>
              </w:rPr>
              <w:t>13,587</w:t>
            </w:r>
          </w:p>
        </w:tc>
      </w:tr>
      <w:tr w:rsidR="008F6D82" w:rsidRPr="0039456F" w14:paraId="1ECFFD17" w14:textId="77777777" w:rsidTr="00CB5F51">
        <w:trPr>
          <w:trHeight w:val="187"/>
        </w:trPr>
        <w:tc>
          <w:tcPr>
            <w:tcW w:w="1780" w:type="dxa"/>
            <w:tcBorders>
              <w:top w:val="single" w:sz="2" w:space="0" w:color="auto"/>
              <w:left w:val="single" w:sz="2" w:space="0" w:color="auto"/>
              <w:bottom w:val="single" w:sz="2" w:space="0" w:color="auto"/>
              <w:right w:val="single" w:sz="2" w:space="0" w:color="auto"/>
            </w:tcBorders>
            <w:shd w:val="clear" w:color="auto" w:fill="auto"/>
            <w:vAlign w:val="center"/>
          </w:tcPr>
          <w:p w14:paraId="34271C1C" w14:textId="77777777" w:rsidR="008F6D82" w:rsidRPr="0039456F" w:rsidRDefault="008F6D82" w:rsidP="00EF66E9">
            <w:pPr>
              <w:spacing w:before="60" w:after="60"/>
              <w:rPr>
                <w:rFonts w:ascii="Calibri" w:eastAsia="Times New Roman" w:hAnsi="Calibri" w:cs="Calibri"/>
                <w:color w:val="000000"/>
                <w:sz w:val="20"/>
                <w:szCs w:val="20"/>
              </w:rPr>
            </w:pPr>
            <w:r w:rsidRPr="0039456F">
              <w:rPr>
                <w:rFonts w:ascii="Calibri" w:eastAsia="Times New Roman" w:hAnsi="Calibri" w:cs="Calibri"/>
                <w:color w:val="000000"/>
                <w:sz w:val="20"/>
                <w:szCs w:val="20"/>
              </w:rPr>
              <w:t> </w:t>
            </w:r>
          </w:p>
        </w:tc>
        <w:tc>
          <w:tcPr>
            <w:tcW w:w="1761" w:type="dxa"/>
            <w:tcBorders>
              <w:top w:val="single" w:sz="2" w:space="0" w:color="auto"/>
              <w:left w:val="single" w:sz="2" w:space="0" w:color="auto"/>
              <w:bottom w:val="single" w:sz="2" w:space="0" w:color="auto"/>
              <w:right w:val="single" w:sz="2" w:space="0" w:color="auto"/>
            </w:tcBorders>
            <w:shd w:val="clear" w:color="auto" w:fill="auto"/>
            <w:vAlign w:val="center"/>
          </w:tcPr>
          <w:p w14:paraId="5B6E372F" w14:textId="77777777" w:rsidR="008F6D82" w:rsidRPr="0039456F" w:rsidRDefault="008F6D82" w:rsidP="00EF66E9">
            <w:pPr>
              <w:spacing w:before="60" w:after="60"/>
              <w:rPr>
                <w:rFonts w:ascii="Calibri" w:eastAsia="Times New Roman" w:hAnsi="Calibri" w:cs="Calibri"/>
                <w:color w:val="000000"/>
                <w:sz w:val="20"/>
                <w:szCs w:val="20"/>
              </w:rPr>
            </w:pPr>
            <w:r w:rsidRPr="0039456F">
              <w:rPr>
                <w:rFonts w:ascii="Calibri" w:eastAsia="Times New Roman" w:hAnsi="Calibri" w:cs="Calibri"/>
                <w:color w:val="000000"/>
                <w:sz w:val="20"/>
                <w:szCs w:val="20"/>
              </w:rPr>
              <w:t>Difference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2E47FE30" w14:textId="0FFE2ECF"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xxxx xx</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1AEF316F" w14:textId="3E3C14B6"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xxxx xx</w:t>
            </w:r>
          </w:p>
        </w:tc>
        <w:tc>
          <w:tcPr>
            <w:tcW w:w="1715" w:type="dxa"/>
            <w:tcBorders>
              <w:top w:val="single" w:sz="2" w:space="0" w:color="auto"/>
              <w:left w:val="single" w:sz="2" w:space="0" w:color="auto"/>
              <w:bottom w:val="single" w:sz="2" w:space="0" w:color="auto"/>
              <w:right w:val="single" w:sz="2" w:space="0" w:color="auto"/>
            </w:tcBorders>
            <w:shd w:val="clear" w:color="auto" w:fill="auto"/>
            <w:vAlign w:val="center"/>
          </w:tcPr>
          <w:p w14:paraId="6548396D" w14:textId="6B818AC3" w:rsidR="008F6D82" w:rsidRPr="00AB7C6C" w:rsidRDefault="005903CF" w:rsidP="00EF66E9">
            <w:pPr>
              <w:spacing w:before="60" w:after="60"/>
              <w:jc w:val="center"/>
              <w:rPr>
                <w:rFonts w:ascii="Calibri" w:eastAsia="Times New Roman" w:hAnsi="Calibri" w:cs="Calibri"/>
                <w:color w:val="000000"/>
                <w:sz w:val="20"/>
                <w:szCs w:val="20"/>
              </w:rPr>
            </w:pPr>
            <w:r w:rsidRPr="00972BB3">
              <w:rPr>
                <w:rFonts w:cstheme="minorHAnsi"/>
                <w:bCs/>
                <w:highlight w:val="black"/>
              </w:rPr>
              <w:t>xxxx xx</w:t>
            </w:r>
          </w:p>
        </w:tc>
      </w:tr>
    </w:tbl>
    <w:p w14:paraId="2C2D23D0" w14:textId="77777777" w:rsidR="008F6D82" w:rsidRDefault="008F6D82" w:rsidP="008F6D82">
      <w:pPr>
        <w:rPr>
          <w:sz w:val="20"/>
          <w:szCs w:val="20"/>
        </w:rPr>
      </w:pPr>
      <w:r w:rsidRPr="001F23C9">
        <w:rPr>
          <w:sz w:val="20"/>
          <w:szCs w:val="20"/>
        </w:rPr>
        <w:t xml:space="preserve">Note: Year 3 predicted </w:t>
      </w:r>
      <w:r>
        <w:rPr>
          <w:sz w:val="20"/>
          <w:szCs w:val="20"/>
        </w:rPr>
        <w:t xml:space="preserve">and actual </w:t>
      </w:r>
      <w:r w:rsidRPr="001F23C9">
        <w:rPr>
          <w:sz w:val="20"/>
          <w:szCs w:val="20"/>
        </w:rPr>
        <w:t xml:space="preserve">numbers are five months of data (May 2022 to September 2022 inclusive). </w:t>
      </w:r>
    </w:p>
    <w:p w14:paraId="5AC3AED7" w14:textId="6CBB5801" w:rsidR="008F6D82" w:rsidRDefault="008F6D82" w:rsidP="008F6D82">
      <w:r w:rsidRPr="00D56011">
        <w:t xml:space="preserve">As shown in </w:t>
      </w:r>
      <w:r>
        <w:t xml:space="preserve">Table 9, actual patient and prescription figures of evolocumab for non-FH were lower than estimated. The number of patients in the first and second year of evolocumab’s listing for non-FH were lower by </w:t>
      </w:r>
      <w:r w:rsidR="005903CF" w:rsidRPr="00972BB3">
        <w:rPr>
          <w:rFonts w:cstheme="minorHAnsi"/>
          <w:bCs/>
          <w:highlight w:val="black"/>
        </w:rPr>
        <w:t>xx</w:t>
      </w:r>
      <w:r>
        <w:t xml:space="preserve">% and </w:t>
      </w:r>
      <w:r w:rsidR="005903CF" w:rsidRPr="00972BB3">
        <w:rPr>
          <w:rFonts w:cstheme="minorHAnsi"/>
          <w:bCs/>
          <w:highlight w:val="black"/>
        </w:rPr>
        <w:t>xx</w:t>
      </w:r>
      <w:r>
        <w:t>%</w:t>
      </w:r>
      <w:r w:rsidR="005903CF">
        <w:t xml:space="preserve">, </w:t>
      </w:r>
      <w:r>
        <w:t>respectively.</w:t>
      </w:r>
    </w:p>
    <w:p w14:paraId="20174480" w14:textId="73A59907" w:rsidR="008F6D82" w:rsidRPr="004F3A92" w:rsidRDefault="008F6D82" w:rsidP="008F6D82">
      <w:r>
        <w:lastRenderedPageBreak/>
        <w:t xml:space="preserve">The number of prescriptions in the first and second year of evolocumab listing were lower by </w:t>
      </w:r>
      <w:r w:rsidR="005903CF" w:rsidRPr="00972BB3">
        <w:rPr>
          <w:rFonts w:cstheme="minorHAnsi"/>
          <w:bCs/>
          <w:highlight w:val="black"/>
        </w:rPr>
        <w:t>xx</w:t>
      </w:r>
      <w:r>
        <w:t xml:space="preserve">% and </w:t>
      </w:r>
      <w:r w:rsidR="005903CF" w:rsidRPr="00972BB3">
        <w:rPr>
          <w:rFonts w:cstheme="minorHAnsi"/>
          <w:bCs/>
          <w:highlight w:val="black"/>
        </w:rPr>
        <w:t>xx</w:t>
      </w:r>
      <w:r w:rsidR="005903CF">
        <w:t xml:space="preserve"> </w:t>
      </w:r>
      <w:r>
        <w:t xml:space="preserve">%, respectively. </w:t>
      </w:r>
    </w:p>
    <w:p w14:paraId="72698501" w14:textId="75688BEB" w:rsidR="003E26A8" w:rsidRPr="003E26A8" w:rsidRDefault="003E26A8" w:rsidP="00EF66E9">
      <w:pPr>
        <w:pStyle w:val="Tabletitle"/>
        <w:spacing w:before="200"/>
      </w:pPr>
      <w:r>
        <w:t xml:space="preserve">Table </w:t>
      </w:r>
      <w:r w:rsidR="004145FD">
        <w:t>10</w:t>
      </w:r>
      <w:r w:rsidRPr="004F057D">
        <w:t>:</w:t>
      </w:r>
      <w:r>
        <w:t xml:space="preserve"> </w:t>
      </w:r>
      <w:r w:rsidR="00905161">
        <w:t xml:space="preserve">Utilisation of </w:t>
      </w:r>
      <w:r w:rsidR="00905161" w:rsidRPr="00905161">
        <w:t>ezetim</w:t>
      </w:r>
      <w:r w:rsidR="00905161">
        <w:t>ibe</w:t>
      </w:r>
      <w:r w:rsidRPr="00905161">
        <w:t xml:space="preserve"> </w:t>
      </w:r>
      <w:r w:rsidR="00905161" w:rsidRPr="00905161">
        <w:rPr>
          <w:rFonts w:cstheme="minorHAnsi"/>
          <w:bCs/>
        </w:rPr>
        <w:t>+/- statin</w:t>
      </w:r>
      <w:r w:rsidR="00EA33A0">
        <w:rPr>
          <w:rFonts w:cstheme="minorHAnsi"/>
          <w:bCs/>
        </w:rPr>
        <w:t>s</w:t>
      </w:r>
      <w:r w:rsidR="00905161">
        <w:rPr>
          <w:rFonts w:cstheme="minorHAnsi"/>
          <w:bCs/>
        </w:rPr>
        <w:t xml:space="preserve"> by calendar year </w:t>
      </w:r>
    </w:p>
    <w:tbl>
      <w:tblPr>
        <w:tblStyle w:val="TableGrid"/>
        <w:tblW w:w="0" w:type="auto"/>
        <w:tblLook w:val="04A0" w:firstRow="1" w:lastRow="0" w:firstColumn="1" w:lastColumn="0" w:noHBand="0" w:noVBand="1"/>
      </w:tblPr>
      <w:tblGrid>
        <w:gridCol w:w="4109"/>
        <w:gridCol w:w="1150"/>
        <w:gridCol w:w="1229"/>
        <w:gridCol w:w="1229"/>
        <w:gridCol w:w="1230"/>
      </w:tblGrid>
      <w:tr w:rsidR="00B20639" w14:paraId="092D38F1" w14:textId="77777777" w:rsidTr="00B20639">
        <w:tc>
          <w:tcPr>
            <w:tcW w:w="4109" w:type="dxa"/>
            <w:shd w:val="clear" w:color="auto" w:fill="BFBFBF" w:themeFill="background1" w:themeFillShade="BF"/>
          </w:tcPr>
          <w:p w14:paraId="12747C3E" w14:textId="77777777" w:rsidR="00B20639" w:rsidRPr="00876F92" w:rsidRDefault="00B20639" w:rsidP="00EF66E9">
            <w:pPr>
              <w:spacing w:before="60" w:after="60"/>
              <w:rPr>
                <w:b/>
                <w:bCs/>
                <w:sz w:val="20"/>
                <w:szCs w:val="20"/>
              </w:rPr>
            </w:pPr>
          </w:p>
        </w:tc>
        <w:tc>
          <w:tcPr>
            <w:tcW w:w="1150" w:type="dxa"/>
            <w:shd w:val="clear" w:color="auto" w:fill="BFBFBF" w:themeFill="background1" w:themeFillShade="BF"/>
          </w:tcPr>
          <w:p w14:paraId="0D15408D" w14:textId="2B2902AD" w:rsidR="00B20639" w:rsidRPr="00876F92" w:rsidRDefault="00B20639" w:rsidP="00EF66E9">
            <w:pPr>
              <w:spacing w:before="60" w:after="60"/>
              <w:jc w:val="center"/>
              <w:rPr>
                <w:b/>
                <w:bCs/>
                <w:sz w:val="20"/>
                <w:szCs w:val="20"/>
              </w:rPr>
            </w:pPr>
            <w:r>
              <w:rPr>
                <w:b/>
                <w:bCs/>
                <w:sz w:val="20"/>
                <w:szCs w:val="20"/>
              </w:rPr>
              <w:t>2018</w:t>
            </w:r>
          </w:p>
        </w:tc>
        <w:tc>
          <w:tcPr>
            <w:tcW w:w="1229" w:type="dxa"/>
            <w:shd w:val="clear" w:color="auto" w:fill="BFBFBF" w:themeFill="background1" w:themeFillShade="BF"/>
          </w:tcPr>
          <w:p w14:paraId="19CF0847" w14:textId="5F48F614" w:rsidR="00B20639" w:rsidRPr="00876F92" w:rsidRDefault="00B20639" w:rsidP="00EF66E9">
            <w:pPr>
              <w:spacing w:before="60" w:after="60"/>
              <w:jc w:val="center"/>
              <w:rPr>
                <w:b/>
                <w:bCs/>
                <w:sz w:val="20"/>
                <w:szCs w:val="20"/>
              </w:rPr>
            </w:pPr>
            <w:r w:rsidRPr="00876F92">
              <w:rPr>
                <w:b/>
                <w:bCs/>
                <w:sz w:val="20"/>
                <w:szCs w:val="20"/>
              </w:rPr>
              <w:t>2019</w:t>
            </w:r>
          </w:p>
        </w:tc>
        <w:tc>
          <w:tcPr>
            <w:tcW w:w="1229" w:type="dxa"/>
            <w:shd w:val="clear" w:color="auto" w:fill="BFBFBF" w:themeFill="background1" w:themeFillShade="BF"/>
          </w:tcPr>
          <w:p w14:paraId="367D56A6" w14:textId="20A6709C" w:rsidR="00B20639" w:rsidRPr="00876F92" w:rsidRDefault="00B20639" w:rsidP="00EF66E9">
            <w:pPr>
              <w:spacing w:before="60" w:after="60"/>
              <w:jc w:val="center"/>
              <w:rPr>
                <w:b/>
                <w:bCs/>
                <w:sz w:val="20"/>
                <w:szCs w:val="20"/>
              </w:rPr>
            </w:pPr>
            <w:r w:rsidRPr="00876F92">
              <w:rPr>
                <w:b/>
                <w:bCs/>
                <w:sz w:val="20"/>
                <w:szCs w:val="20"/>
              </w:rPr>
              <w:t>2020</w:t>
            </w:r>
          </w:p>
        </w:tc>
        <w:tc>
          <w:tcPr>
            <w:tcW w:w="1230" w:type="dxa"/>
            <w:shd w:val="clear" w:color="auto" w:fill="BFBFBF" w:themeFill="background1" w:themeFillShade="BF"/>
          </w:tcPr>
          <w:p w14:paraId="0171E365" w14:textId="49A982D9" w:rsidR="00B20639" w:rsidRPr="00876F92" w:rsidRDefault="00B20639" w:rsidP="00EF66E9">
            <w:pPr>
              <w:spacing w:before="60" w:after="60"/>
              <w:jc w:val="center"/>
              <w:rPr>
                <w:b/>
                <w:bCs/>
                <w:sz w:val="20"/>
                <w:szCs w:val="20"/>
              </w:rPr>
            </w:pPr>
            <w:r w:rsidRPr="00876F92">
              <w:rPr>
                <w:b/>
                <w:bCs/>
                <w:sz w:val="20"/>
                <w:szCs w:val="20"/>
              </w:rPr>
              <w:t>2021</w:t>
            </w:r>
          </w:p>
        </w:tc>
      </w:tr>
      <w:tr w:rsidR="00B20639" w14:paraId="5D998033" w14:textId="77777777" w:rsidTr="00B20639">
        <w:tc>
          <w:tcPr>
            <w:tcW w:w="4109" w:type="dxa"/>
          </w:tcPr>
          <w:p w14:paraId="26EE1F37" w14:textId="667493E4" w:rsidR="00B20639" w:rsidRPr="00C46EA5" w:rsidRDefault="00B20639" w:rsidP="00EF66E9">
            <w:pPr>
              <w:spacing w:before="60" w:after="60"/>
              <w:rPr>
                <w:sz w:val="20"/>
                <w:szCs w:val="20"/>
              </w:rPr>
            </w:pPr>
            <w:r w:rsidRPr="00C46EA5">
              <w:rPr>
                <w:sz w:val="20"/>
                <w:szCs w:val="20"/>
              </w:rPr>
              <w:t>Number of</w:t>
            </w:r>
            <w:r w:rsidR="00EA33A0">
              <w:rPr>
                <w:sz w:val="20"/>
                <w:szCs w:val="20"/>
              </w:rPr>
              <w:t xml:space="preserve"> </w:t>
            </w:r>
            <w:r w:rsidR="00B265A8">
              <w:rPr>
                <w:sz w:val="20"/>
                <w:szCs w:val="20"/>
              </w:rPr>
              <w:t>prevalent</w:t>
            </w:r>
            <w:r w:rsidR="00B265A8" w:rsidRPr="00C46EA5">
              <w:rPr>
                <w:sz w:val="20"/>
                <w:szCs w:val="20"/>
              </w:rPr>
              <w:t xml:space="preserve"> </w:t>
            </w:r>
            <w:r w:rsidRPr="00C46EA5">
              <w:rPr>
                <w:sz w:val="20"/>
                <w:szCs w:val="20"/>
              </w:rPr>
              <w:t xml:space="preserve">patients </w:t>
            </w:r>
          </w:p>
        </w:tc>
        <w:tc>
          <w:tcPr>
            <w:tcW w:w="1150" w:type="dxa"/>
          </w:tcPr>
          <w:p w14:paraId="2FF8DE4C" w14:textId="455DBE68" w:rsidR="00B265A8" w:rsidRDefault="00B265A8" w:rsidP="00EF66E9">
            <w:pPr>
              <w:spacing w:before="60" w:after="60"/>
              <w:jc w:val="center"/>
              <w:rPr>
                <w:sz w:val="20"/>
                <w:szCs w:val="20"/>
              </w:rPr>
            </w:pPr>
            <w:r>
              <w:rPr>
                <w:sz w:val="20"/>
                <w:szCs w:val="20"/>
              </w:rPr>
              <w:t>362,810</w:t>
            </w:r>
          </w:p>
        </w:tc>
        <w:tc>
          <w:tcPr>
            <w:tcW w:w="1229" w:type="dxa"/>
          </w:tcPr>
          <w:p w14:paraId="18303FA9" w14:textId="137A6018" w:rsidR="00B265A8" w:rsidRDefault="00B265A8" w:rsidP="00EF66E9">
            <w:pPr>
              <w:spacing w:before="60" w:after="60"/>
              <w:jc w:val="center"/>
              <w:rPr>
                <w:sz w:val="20"/>
                <w:szCs w:val="20"/>
              </w:rPr>
            </w:pPr>
            <w:r>
              <w:rPr>
                <w:sz w:val="20"/>
                <w:szCs w:val="20"/>
              </w:rPr>
              <w:t>379,930</w:t>
            </w:r>
          </w:p>
        </w:tc>
        <w:tc>
          <w:tcPr>
            <w:tcW w:w="1229" w:type="dxa"/>
          </w:tcPr>
          <w:p w14:paraId="0E06FAD8" w14:textId="6C87506F" w:rsidR="00B265A8" w:rsidRDefault="00B265A8" w:rsidP="00EF66E9">
            <w:pPr>
              <w:spacing w:before="60" w:after="60"/>
              <w:jc w:val="center"/>
              <w:rPr>
                <w:sz w:val="20"/>
                <w:szCs w:val="20"/>
              </w:rPr>
            </w:pPr>
            <w:r>
              <w:rPr>
                <w:sz w:val="20"/>
                <w:szCs w:val="20"/>
              </w:rPr>
              <w:t>407,110</w:t>
            </w:r>
          </w:p>
        </w:tc>
        <w:tc>
          <w:tcPr>
            <w:tcW w:w="1230" w:type="dxa"/>
          </w:tcPr>
          <w:p w14:paraId="3CD1F464" w14:textId="3DC29D11" w:rsidR="00B265A8" w:rsidRDefault="007B0612" w:rsidP="00EF66E9">
            <w:pPr>
              <w:spacing w:before="60" w:after="60"/>
              <w:jc w:val="center"/>
              <w:rPr>
                <w:sz w:val="20"/>
                <w:szCs w:val="20"/>
              </w:rPr>
            </w:pPr>
            <w:r>
              <w:rPr>
                <w:sz w:val="20"/>
                <w:szCs w:val="20"/>
              </w:rPr>
              <w:t>438,450</w:t>
            </w:r>
          </w:p>
        </w:tc>
      </w:tr>
      <w:tr w:rsidR="00B20639" w14:paraId="6F3B4118" w14:textId="77777777" w:rsidTr="00B20639">
        <w:tc>
          <w:tcPr>
            <w:tcW w:w="4109" w:type="dxa"/>
          </w:tcPr>
          <w:p w14:paraId="64D7FAD8" w14:textId="319D0CD3" w:rsidR="00B20639" w:rsidRPr="00876F92" w:rsidRDefault="00B20639" w:rsidP="00EF66E9">
            <w:pPr>
              <w:pStyle w:val="CommentText"/>
              <w:spacing w:before="60" w:after="60"/>
              <w:rPr>
                <w:rFonts w:cstheme="minorHAnsi"/>
              </w:rPr>
            </w:pPr>
            <w:r>
              <w:t xml:space="preserve">Annual growth rate </w:t>
            </w:r>
          </w:p>
        </w:tc>
        <w:tc>
          <w:tcPr>
            <w:tcW w:w="1150" w:type="dxa"/>
          </w:tcPr>
          <w:p w14:paraId="13DC293D" w14:textId="2A2424E7" w:rsidR="00B265A8" w:rsidRDefault="00B265A8" w:rsidP="00EF66E9">
            <w:pPr>
              <w:spacing w:before="60" w:after="60"/>
              <w:jc w:val="center"/>
              <w:rPr>
                <w:sz w:val="20"/>
                <w:szCs w:val="20"/>
              </w:rPr>
            </w:pPr>
            <w:r>
              <w:rPr>
                <w:sz w:val="20"/>
                <w:szCs w:val="20"/>
              </w:rPr>
              <w:t>5%</w:t>
            </w:r>
          </w:p>
        </w:tc>
        <w:tc>
          <w:tcPr>
            <w:tcW w:w="1229" w:type="dxa"/>
          </w:tcPr>
          <w:p w14:paraId="4CBF13E6" w14:textId="5FD6A661" w:rsidR="00B265A8" w:rsidRDefault="00B265A8" w:rsidP="00EF66E9">
            <w:pPr>
              <w:spacing w:before="60" w:after="60"/>
              <w:jc w:val="center"/>
              <w:rPr>
                <w:sz w:val="20"/>
                <w:szCs w:val="20"/>
              </w:rPr>
            </w:pPr>
            <w:r>
              <w:rPr>
                <w:sz w:val="20"/>
                <w:szCs w:val="20"/>
              </w:rPr>
              <w:t>5%</w:t>
            </w:r>
          </w:p>
        </w:tc>
        <w:tc>
          <w:tcPr>
            <w:tcW w:w="1229" w:type="dxa"/>
          </w:tcPr>
          <w:p w14:paraId="596B39D1" w14:textId="1BC976C5" w:rsidR="00B265A8" w:rsidRDefault="00B265A8" w:rsidP="00EF66E9">
            <w:pPr>
              <w:spacing w:before="60" w:after="60"/>
              <w:jc w:val="center"/>
              <w:rPr>
                <w:sz w:val="20"/>
                <w:szCs w:val="20"/>
              </w:rPr>
            </w:pPr>
            <w:r>
              <w:rPr>
                <w:sz w:val="20"/>
                <w:szCs w:val="20"/>
              </w:rPr>
              <w:t>7%</w:t>
            </w:r>
          </w:p>
        </w:tc>
        <w:tc>
          <w:tcPr>
            <w:tcW w:w="1230" w:type="dxa"/>
          </w:tcPr>
          <w:p w14:paraId="0195E9E9" w14:textId="4A080D8D" w:rsidR="00B265A8" w:rsidRDefault="00B265A8" w:rsidP="00EF66E9">
            <w:pPr>
              <w:spacing w:before="60" w:after="60"/>
              <w:jc w:val="center"/>
              <w:rPr>
                <w:sz w:val="20"/>
                <w:szCs w:val="20"/>
              </w:rPr>
            </w:pPr>
            <w:r>
              <w:rPr>
                <w:sz w:val="20"/>
                <w:szCs w:val="20"/>
              </w:rPr>
              <w:t>8%</w:t>
            </w:r>
          </w:p>
        </w:tc>
      </w:tr>
    </w:tbl>
    <w:p w14:paraId="214ADBB0" w14:textId="4AA666DA" w:rsidR="00EF66E9" w:rsidRDefault="00B265A8">
      <w:r>
        <w:rPr>
          <w:sz w:val="20"/>
          <w:szCs w:val="20"/>
        </w:rPr>
        <w:t xml:space="preserve">Note: Utilisation of </w:t>
      </w:r>
      <w:r w:rsidRPr="00EA33A0">
        <w:rPr>
          <w:rFonts w:cstheme="minorHAnsi"/>
          <w:sz w:val="20"/>
          <w:szCs w:val="20"/>
        </w:rPr>
        <w:t>ezetimibe, ezetimibe with simvastatin, ezetimibe with rosuvastatin and ezetimibe with atorvastatin</w:t>
      </w:r>
      <w:r>
        <w:rPr>
          <w:sz w:val="20"/>
          <w:szCs w:val="20"/>
        </w:rPr>
        <w:t xml:space="preserve"> were derived through a 10% PBS sample.</w:t>
      </w:r>
      <w:r>
        <w:rPr>
          <w:rFonts w:cstheme="minorHAnsi"/>
          <w:sz w:val="20"/>
          <w:szCs w:val="20"/>
        </w:rPr>
        <w:t xml:space="preserve"> </w:t>
      </w:r>
    </w:p>
    <w:p w14:paraId="590B1B18" w14:textId="28BBC9D2" w:rsidR="00DA52E9" w:rsidRDefault="00EA33A0" w:rsidP="00EF66E9">
      <w:pPr>
        <w:pStyle w:val="Tabletitle"/>
        <w:spacing w:before="200"/>
      </w:pPr>
      <w:r>
        <w:t xml:space="preserve">Table </w:t>
      </w:r>
      <w:r w:rsidR="004145FD">
        <w:t>11</w:t>
      </w:r>
      <w:r>
        <w:t xml:space="preserve">: </w:t>
      </w:r>
      <w:r w:rsidR="00B265A8">
        <w:t xml:space="preserve">Proportion of patients first initiating on ezetimibe with simvastatin, ezetimibe with rosuvastatin and ezetimibe with atorvastatin </w:t>
      </w:r>
      <w:r w:rsidR="00916100">
        <w:t xml:space="preserve">to have </w:t>
      </w:r>
      <w:r w:rsidR="00B265A8">
        <w:t xml:space="preserve">three or more months of therapy </w:t>
      </w:r>
    </w:p>
    <w:tbl>
      <w:tblPr>
        <w:tblStyle w:val="TableGrid"/>
        <w:tblW w:w="9064" w:type="dxa"/>
        <w:tblLayout w:type="fixed"/>
        <w:tblLook w:val="04A0" w:firstRow="1" w:lastRow="0" w:firstColumn="1" w:lastColumn="0" w:noHBand="0" w:noVBand="1"/>
      </w:tblPr>
      <w:tblGrid>
        <w:gridCol w:w="4532"/>
        <w:gridCol w:w="4532"/>
      </w:tblGrid>
      <w:tr w:rsidR="00DA52E9" w:rsidRPr="001D0858" w14:paraId="730C9F23" w14:textId="77777777" w:rsidTr="00EF66E9">
        <w:trPr>
          <w:trHeight w:val="70"/>
          <w:tblHeader/>
        </w:trPr>
        <w:tc>
          <w:tcPr>
            <w:tcW w:w="4532" w:type="dxa"/>
            <w:shd w:val="clear" w:color="auto" w:fill="BFBFBF" w:themeFill="background1" w:themeFillShade="BF"/>
          </w:tcPr>
          <w:p w14:paraId="0F61E141" w14:textId="2F50F8C2" w:rsidR="00DA52E9" w:rsidRPr="001D0858" w:rsidRDefault="00EF66E9" w:rsidP="000E410D">
            <w:pPr>
              <w:pStyle w:val="Tableheading"/>
              <w:rPr>
                <w:sz w:val="20"/>
                <w:szCs w:val="20"/>
              </w:rPr>
            </w:pPr>
            <w:r>
              <w:rPr>
                <w:sz w:val="20"/>
                <w:szCs w:val="20"/>
              </w:rPr>
              <w:t>Period</w:t>
            </w:r>
          </w:p>
        </w:tc>
        <w:tc>
          <w:tcPr>
            <w:tcW w:w="4532" w:type="dxa"/>
            <w:shd w:val="clear" w:color="auto" w:fill="BFBFBF" w:themeFill="background1" w:themeFillShade="BF"/>
          </w:tcPr>
          <w:p w14:paraId="61CC3B52" w14:textId="5D769B1A" w:rsidR="00DA52E9" w:rsidRPr="001D0858" w:rsidRDefault="00EF66E9" w:rsidP="000E410D">
            <w:pPr>
              <w:pStyle w:val="Tableheading"/>
              <w:rPr>
                <w:sz w:val="20"/>
                <w:szCs w:val="20"/>
              </w:rPr>
            </w:pPr>
            <w:r>
              <w:rPr>
                <w:sz w:val="20"/>
                <w:szCs w:val="20"/>
              </w:rPr>
              <w:t xml:space="preserve">Proportion </w:t>
            </w:r>
          </w:p>
        </w:tc>
      </w:tr>
      <w:tr w:rsidR="00DA52E9" w:rsidRPr="001D0858" w14:paraId="409ECC46" w14:textId="77777777" w:rsidTr="00EF66E9">
        <w:trPr>
          <w:trHeight w:val="247"/>
        </w:trPr>
        <w:tc>
          <w:tcPr>
            <w:tcW w:w="4532" w:type="dxa"/>
          </w:tcPr>
          <w:p w14:paraId="75781279" w14:textId="4FDABC6A" w:rsidR="00DA52E9" w:rsidRPr="00DE172A" w:rsidRDefault="00EF66E9" w:rsidP="00EF66E9">
            <w:pPr>
              <w:pStyle w:val="Tableheading"/>
              <w:rPr>
                <w:b w:val="0"/>
                <w:sz w:val="20"/>
                <w:szCs w:val="20"/>
              </w:rPr>
            </w:pPr>
            <w:r>
              <w:rPr>
                <w:b w:val="0"/>
                <w:sz w:val="20"/>
                <w:szCs w:val="20"/>
              </w:rPr>
              <w:t>2017-18, follow up to 30 June 2019</w:t>
            </w:r>
          </w:p>
        </w:tc>
        <w:tc>
          <w:tcPr>
            <w:tcW w:w="4532" w:type="dxa"/>
          </w:tcPr>
          <w:p w14:paraId="729E5E91" w14:textId="48BDD311" w:rsidR="00DA52E9" w:rsidRPr="001D0858" w:rsidRDefault="00EF66E9" w:rsidP="000E410D">
            <w:pPr>
              <w:pStyle w:val="Tableheading"/>
              <w:rPr>
                <w:b w:val="0"/>
                <w:sz w:val="20"/>
                <w:szCs w:val="20"/>
              </w:rPr>
            </w:pPr>
            <w:r>
              <w:rPr>
                <w:b w:val="0"/>
                <w:sz w:val="20"/>
                <w:szCs w:val="20"/>
              </w:rPr>
              <w:t>80%</w:t>
            </w:r>
          </w:p>
        </w:tc>
      </w:tr>
      <w:tr w:rsidR="00EF66E9" w:rsidRPr="001D0858" w14:paraId="4BF6ABDD" w14:textId="77777777" w:rsidTr="00EF66E9">
        <w:trPr>
          <w:trHeight w:val="70"/>
        </w:trPr>
        <w:tc>
          <w:tcPr>
            <w:tcW w:w="4532" w:type="dxa"/>
          </w:tcPr>
          <w:p w14:paraId="59471614" w14:textId="70BB68C7" w:rsidR="00EF66E9" w:rsidRDefault="00EF66E9" w:rsidP="00EF66E9">
            <w:pPr>
              <w:pStyle w:val="Tableheading"/>
              <w:rPr>
                <w:b w:val="0"/>
                <w:sz w:val="20"/>
                <w:szCs w:val="20"/>
              </w:rPr>
            </w:pPr>
            <w:r>
              <w:rPr>
                <w:b w:val="0"/>
                <w:sz w:val="20"/>
                <w:szCs w:val="20"/>
              </w:rPr>
              <w:t>2018-19, follow up to 30 June 2020</w:t>
            </w:r>
          </w:p>
        </w:tc>
        <w:tc>
          <w:tcPr>
            <w:tcW w:w="4532" w:type="dxa"/>
          </w:tcPr>
          <w:p w14:paraId="1726F0F5" w14:textId="1ACCCFF1" w:rsidR="00EF66E9" w:rsidRDefault="00EF66E9" w:rsidP="00EF66E9">
            <w:pPr>
              <w:pStyle w:val="Tableheading"/>
              <w:rPr>
                <w:b w:val="0"/>
                <w:sz w:val="20"/>
                <w:szCs w:val="20"/>
              </w:rPr>
            </w:pPr>
            <w:r>
              <w:rPr>
                <w:b w:val="0"/>
                <w:sz w:val="20"/>
                <w:szCs w:val="20"/>
              </w:rPr>
              <w:t>80%</w:t>
            </w:r>
          </w:p>
        </w:tc>
      </w:tr>
      <w:tr w:rsidR="00EF66E9" w:rsidRPr="001D0858" w14:paraId="0C4B0976" w14:textId="77777777" w:rsidTr="00EF66E9">
        <w:trPr>
          <w:trHeight w:val="70"/>
        </w:trPr>
        <w:tc>
          <w:tcPr>
            <w:tcW w:w="4532" w:type="dxa"/>
          </w:tcPr>
          <w:p w14:paraId="6909A021" w14:textId="157B014E" w:rsidR="00EF66E9" w:rsidRDefault="00EF66E9" w:rsidP="00EF66E9">
            <w:pPr>
              <w:pStyle w:val="Tableheading"/>
              <w:rPr>
                <w:b w:val="0"/>
                <w:sz w:val="20"/>
                <w:szCs w:val="20"/>
              </w:rPr>
            </w:pPr>
            <w:r>
              <w:rPr>
                <w:b w:val="0"/>
                <w:sz w:val="20"/>
                <w:szCs w:val="20"/>
              </w:rPr>
              <w:t>2019-20, follow up to 30 June 2021</w:t>
            </w:r>
          </w:p>
        </w:tc>
        <w:tc>
          <w:tcPr>
            <w:tcW w:w="4532" w:type="dxa"/>
          </w:tcPr>
          <w:p w14:paraId="31510574" w14:textId="17CCD0BD" w:rsidR="00EF66E9" w:rsidRDefault="00EF66E9" w:rsidP="00EF66E9">
            <w:pPr>
              <w:pStyle w:val="Tableheading"/>
              <w:rPr>
                <w:b w:val="0"/>
                <w:sz w:val="20"/>
                <w:szCs w:val="20"/>
              </w:rPr>
            </w:pPr>
            <w:r>
              <w:rPr>
                <w:b w:val="0"/>
                <w:sz w:val="20"/>
                <w:szCs w:val="20"/>
              </w:rPr>
              <w:t>84%</w:t>
            </w:r>
          </w:p>
        </w:tc>
      </w:tr>
      <w:tr w:rsidR="00EF66E9" w:rsidRPr="001D0858" w14:paraId="500D3CE9" w14:textId="77777777" w:rsidTr="00EF66E9">
        <w:trPr>
          <w:trHeight w:val="70"/>
        </w:trPr>
        <w:tc>
          <w:tcPr>
            <w:tcW w:w="4532" w:type="dxa"/>
          </w:tcPr>
          <w:p w14:paraId="57273FF8" w14:textId="2AEDDC2A" w:rsidR="00EF66E9" w:rsidRDefault="00EF66E9" w:rsidP="00EF66E9">
            <w:pPr>
              <w:pStyle w:val="Tableheading"/>
              <w:rPr>
                <w:b w:val="0"/>
                <w:sz w:val="20"/>
                <w:szCs w:val="20"/>
              </w:rPr>
            </w:pPr>
            <w:r>
              <w:rPr>
                <w:b w:val="0"/>
                <w:sz w:val="20"/>
                <w:szCs w:val="20"/>
              </w:rPr>
              <w:t>2020-21, follow up to 30 June 2022</w:t>
            </w:r>
          </w:p>
        </w:tc>
        <w:tc>
          <w:tcPr>
            <w:tcW w:w="4532" w:type="dxa"/>
          </w:tcPr>
          <w:p w14:paraId="17CDDFBE" w14:textId="2758F613" w:rsidR="00EF66E9" w:rsidRDefault="00EF66E9" w:rsidP="00EF66E9">
            <w:pPr>
              <w:pStyle w:val="Tableheading"/>
              <w:rPr>
                <w:b w:val="0"/>
                <w:sz w:val="20"/>
                <w:szCs w:val="20"/>
              </w:rPr>
            </w:pPr>
            <w:r>
              <w:rPr>
                <w:b w:val="0"/>
                <w:sz w:val="20"/>
                <w:szCs w:val="20"/>
              </w:rPr>
              <w:t>83%</w:t>
            </w:r>
          </w:p>
        </w:tc>
      </w:tr>
    </w:tbl>
    <w:p w14:paraId="5F8F6867" w14:textId="77777777" w:rsidR="00EF66E9" w:rsidRDefault="00EF66E9" w:rsidP="00257FD9">
      <w:pPr>
        <w:spacing w:after="120" w:line="276" w:lineRule="auto"/>
        <w:rPr>
          <w:rFonts w:eastAsiaTheme="majorEastAsia" w:cstheme="majorBidi"/>
        </w:rPr>
      </w:pPr>
    </w:p>
    <w:p w14:paraId="1D69F7E6" w14:textId="6CC49FEB" w:rsidR="00DC57D2" w:rsidRPr="00916100" w:rsidRDefault="00DC57D2">
      <w:pPr>
        <w:spacing w:line="276" w:lineRule="auto"/>
        <w:rPr>
          <w:rFonts w:eastAsiaTheme="majorEastAsia" w:cstheme="majorBidi"/>
        </w:rPr>
      </w:pPr>
      <w:r>
        <w:rPr>
          <w:rFonts w:eastAsiaTheme="majorEastAsia" w:cstheme="majorBidi"/>
        </w:rPr>
        <w:t xml:space="preserve">As shown in Table </w:t>
      </w:r>
      <w:r w:rsidR="004145FD">
        <w:rPr>
          <w:rFonts w:eastAsiaTheme="majorEastAsia" w:cstheme="majorBidi"/>
        </w:rPr>
        <w:t>10</w:t>
      </w:r>
      <w:r w:rsidR="00916100">
        <w:rPr>
          <w:rFonts w:eastAsiaTheme="majorEastAsia" w:cstheme="majorBidi"/>
        </w:rPr>
        <w:t xml:space="preserve"> and 1</w:t>
      </w:r>
      <w:r w:rsidR="004145FD">
        <w:rPr>
          <w:rFonts w:eastAsiaTheme="majorEastAsia" w:cstheme="majorBidi"/>
        </w:rPr>
        <w:t>1</w:t>
      </w:r>
      <w:r>
        <w:rPr>
          <w:rFonts w:eastAsiaTheme="majorEastAsia" w:cstheme="majorBidi"/>
        </w:rPr>
        <w:t xml:space="preserve">, the annual growth rate in the number of patients treated with ezetimibe </w:t>
      </w:r>
      <w:r>
        <w:rPr>
          <w:rFonts w:eastAsiaTheme="majorEastAsia" w:cstheme="minorHAnsi"/>
        </w:rPr>
        <w:t>±</w:t>
      </w:r>
      <w:r>
        <w:rPr>
          <w:rFonts w:eastAsiaTheme="majorEastAsia" w:cstheme="majorBidi"/>
        </w:rPr>
        <w:t xml:space="preserve"> statins </w:t>
      </w:r>
      <w:r w:rsidR="00916100">
        <w:rPr>
          <w:rFonts w:eastAsiaTheme="majorEastAsia" w:cstheme="majorBidi"/>
        </w:rPr>
        <w:t xml:space="preserve">and the proportion of patients initiating on ezetimibe </w:t>
      </w:r>
      <w:r w:rsidR="00916100">
        <w:rPr>
          <w:rFonts w:eastAsiaTheme="majorEastAsia" w:cstheme="minorHAnsi"/>
        </w:rPr>
        <w:t>±</w:t>
      </w:r>
      <w:r w:rsidR="00916100">
        <w:rPr>
          <w:rFonts w:eastAsiaTheme="majorEastAsia" w:cstheme="majorBidi"/>
        </w:rPr>
        <w:t xml:space="preserve"> statins who have three or months of therapy </w:t>
      </w:r>
      <w:r w:rsidR="00B15388">
        <w:rPr>
          <w:rFonts w:eastAsiaTheme="majorEastAsia" w:cstheme="majorBidi"/>
        </w:rPr>
        <w:t>are</w:t>
      </w:r>
      <w:r w:rsidR="00916100">
        <w:rPr>
          <w:rFonts w:eastAsiaTheme="majorEastAsia" w:cstheme="majorBidi"/>
        </w:rPr>
        <w:t xml:space="preserve"> increasing over time. </w:t>
      </w:r>
    </w:p>
    <w:p w14:paraId="6BFFDB1D" w14:textId="77777777" w:rsidR="00DC57D2" w:rsidRDefault="00DC57D2">
      <w:pPr>
        <w:spacing w:line="276" w:lineRule="auto"/>
        <w:rPr>
          <w:rFonts w:eastAsiaTheme="majorEastAsia" w:cstheme="majorBidi"/>
          <w:b/>
          <w:bCs/>
          <w:sz w:val="32"/>
          <w:szCs w:val="32"/>
        </w:rPr>
      </w:pPr>
      <w:r>
        <w:br w:type="page"/>
      </w:r>
    </w:p>
    <w:p w14:paraId="3555DFBA" w14:textId="3C1E2861" w:rsidR="00591512" w:rsidRDefault="00AB3733" w:rsidP="00F73113">
      <w:pPr>
        <w:pStyle w:val="Heading1"/>
      </w:pPr>
      <w:r>
        <w:lastRenderedPageBreak/>
        <w:t>D</w:t>
      </w:r>
      <w:r w:rsidR="007346C7" w:rsidRPr="005E22C2">
        <w:t>iscussion</w:t>
      </w:r>
    </w:p>
    <w:p w14:paraId="79B87B99" w14:textId="4A5F4700" w:rsidR="00F37921" w:rsidRDefault="00F37921" w:rsidP="00C46EA5">
      <w:r>
        <w:t xml:space="preserve">In the October 2019 evolocumab DUSC review, utilisation was </w:t>
      </w:r>
      <w:r w:rsidR="004F3A92">
        <w:t>greater</w:t>
      </w:r>
      <w:r>
        <w:t xml:space="preserve"> than estimated for HoFH, whereas in the June 2021 evolocumab DUSC review, utilisation was </w:t>
      </w:r>
      <w:r w:rsidR="004F3A92">
        <w:t>lower</w:t>
      </w:r>
      <w:r>
        <w:t xml:space="preserve"> than estimated for HeFH. </w:t>
      </w:r>
    </w:p>
    <w:p w14:paraId="1C0BAC26" w14:textId="5B5B8D7C" w:rsidR="00B265A8" w:rsidRPr="00F37921" w:rsidRDefault="00F37921" w:rsidP="00C46EA5">
      <w:r>
        <w:t xml:space="preserve">As shown in Table </w:t>
      </w:r>
      <w:r w:rsidR="004145FD">
        <w:t>9</w:t>
      </w:r>
      <w:r>
        <w:t>, u</w:t>
      </w:r>
      <w:r w:rsidR="00B265A8">
        <w:t xml:space="preserve">tilisation of evolocumab for non-FH was </w:t>
      </w:r>
      <w:r w:rsidR="004F3A92">
        <w:t>lower</w:t>
      </w:r>
      <w:r w:rsidR="00B265A8">
        <w:t xml:space="preserve"> than</w:t>
      </w:r>
      <w:r>
        <w:t xml:space="preserve"> estimated, </w:t>
      </w:r>
      <w:r w:rsidR="00B265A8">
        <w:t xml:space="preserve">with a greater decrease in the number of prescriptions supplied compared to the number of patients treated. </w:t>
      </w:r>
      <w:r w:rsidR="00D502D7">
        <w:t>Despite this</w:t>
      </w:r>
      <w:r w:rsidR="00B265A8">
        <w:t xml:space="preserve">, analysis of utilisation of ezetimibe </w:t>
      </w:r>
      <w:r w:rsidR="00B265A8" w:rsidRPr="00905161">
        <w:rPr>
          <w:rFonts w:cstheme="minorHAnsi"/>
          <w:bCs/>
        </w:rPr>
        <w:t>+/- statin</w:t>
      </w:r>
      <w:r w:rsidR="00B265A8">
        <w:rPr>
          <w:rFonts w:cstheme="minorHAnsi"/>
          <w:bCs/>
        </w:rPr>
        <w:t>s ha</w:t>
      </w:r>
      <w:r w:rsidR="00CC1B0A">
        <w:rPr>
          <w:rFonts w:cstheme="minorHAnsi"/>
          <w:bCs/>
        </w:rPr>
        <w:t>d</w:t>
      </w:r>
      <w:r w:rsidR="00B265A8">
        <w:rPr>
          <w:rFonts w:cstheme="minorHAnsi"/>
          <w:bCs/>
        </w:rPr>
        <w:t xml:space="preserve"> increased over tim</w:t>
      </w:r>
      <w:r w:rsidR="00D502D7">
        <w:rPr>
          <w:rFonts w:cstheme="minorHAnsi"/>
          <w:bCs/>
        </w:rPr>
        <w:t>e</w:t>
      </w:r>
      <w:r w:rsidR="00B265A8">
        <w:rPr>
          <w:rFonts w:cstheme="minorHAnsi"/>
          <w:bCs/>
        </w:rPr>
        <w:t xml:space="preserve">. </w:t>
      </w:r>
    </w:p>
    <w:p w14:paraId="385A2A92" w14:textId="2BA91677" w:rsidR="00C46EA5" w:rsidRDefault="00C46EA5" w:rsidP="00C46EA5">
      <w:r>
        <w:t xml:space="preserve">A large growth in evolocumab was observed from 2020Q2 onwards, likely due to the extension of listing to include </w:t>
      </w:r>
      <w:r w:rsidR="00E07573">
        <w:t>non-FH</w:t>
      </w:r>
      <w:r>
        <w:t xml:space="preserve">, and the change in restriction level </w:t>
      </w:r>
      <w:r w:rsidR="00642F5F">
        <w:t>for the continuing listings from</w:t>
      </w:r>
      <w:r>
        <w:t xml:space="preserve"> Authority Required to Authority Required (Streamlined). Despite the </w:t>
      </w:r>
      <w:r w:rsidR="00455701">
        <w:t xml:space="preserve">PBS </w:t>
      </w:r>
      <w:r>
        <w:t xml:space="preserve">item codes for the </w:t>
      </w:r>
      <w:r w:rsidR="00E07573">
        <w:t>non-FH</w:t>
      </w:r>
      <w:r>
        <w:t xml:space="preserve"> listing being the same as those of HoFH, the majority of evolocumab utilisation could be distinguished through authority and streamline codes</w:t>
      </w:r>
      <w:r w:rsidR="00CE6759">
        <w:t xml:space="preserve"> (Figure 4)</w:t>
      </w:r>
      <w:r>
        <w:t xml:space="preserve">. </w:t>
      </w:r>
      <w:r w:rsidR="00CE6759">
        <w:t xml:space="preserve">There was a greater proportion of patients consistently </w:t>
      </w:r>
      <w:r w:rsidR="00244AB6">
        <w:t xml:space="preserve">supplied evolocumab </w:t>
      </w:r>
      <w:r w:rsidR="00B7092E">
        <w:t xml:space="preserve">for the same indication according to </w:t>
      </w:r>
      <w:r w:rsidR="00CE6759">
        <w:t xml:space="preserve">item code (80.8%) compared to authority or streamlined code (70.5%) in 2021. </w:t>
      </w:r>
      <w:r>
        <w:t xml:space="preserve"> </w:t>
      </w:r>
    </w:p>
    <w:p w14:paraId="69840395" w14:textId="6FADCE9E" w:rsidR="0052334B" w:rsidRDefault="0052334B" w:rsidP="00F1132C">
      <w:r>
        <w:t>As shown in Figure</w:t>
      </w:r>
      <w:r w:rsidR="00455701">
        <w:t>s</w:t>
      </w:r>
      <w:r>
        <w:t xml:space="preserve"> 9 and 11, in 2021 the majority (72.7%) of patients who initiated treatment with evolocumab were treated by cardiologists. This was also observed across indications (Figure 9) and remoteness</w:t>
      </w:r>
      <w:r w:rsidR="00411413">
        <w:t xml:space="preserve"> areas (Figure 11)</w:t>
      </w:r>
      <w:r>
        <w:t xml:space="preserve">. These </w:t>
      </w:r>
      <w:r w:rsidR="00244AB6">
        <w:t xml:space="preserve">findings </w:t>
      </w:r>
      <w:r>
        <w:t xml:space="preserve">correspond with </w:t>
      </w:r>
      <w:r w:rsidR="00244AB6">
        <w:t xml:space="preserve">the </w:t>
      </w:r>
      <w:r w:rsidR="00C46EA5">
        <w:t xml:space="preserve">treatment criteria outlined in the </w:t>
      </w:r>
      <w:r>
        <w:t>evo</w:t>
      </w:r>
      <w:r w:rsidR="00C46EA5">
        <w:t>lo</w:t>
      </w:r>
      <w:r>
        <w:t xml:space="preserve">cumab restriction which states </w:t>
      </w:r>
      <w:r w:rsidR="00C46EA5">
        <w:t xml:space="preserve">initiating evolocumab treatment requires treatment by a specialist physician. </w:t>
      </w:r>
    </w:p>
    <w:p w14:paraId="0782BF3C" w14:textId="5C99C564" w:rsidR="00525D49" w:rsidRDefault="00525D49" w:rsidP="00F1132C">
      <w:r>
        <w:t xml:space="preserve">At its July 2022 meeting, the PBAC recommended extending </w:t>
      </w:r>
      <w:r w:rsidRPr="008A63D2">
        <w:t>the existing PBS listings for evolocumab for hypercholesterolaemia to include patients who have a</w:t>
      </w:r>
      <w:r w:rsidR="00D502D7">
        <w:t xml:space="preserve"> </w:t>
      </w:r>
      <w:r w:rsidRPr="008A63D2">
        <w:t xml:space="preserve">LDL-C level between 1.8 and 2.6 mmol/L despite optimised treatment with statins and ezetimibe, and to allow initial prescribing by any medical practitioner in consultation with a specialist physician. </w:t>
      </w:r>
      <w:r>
        <w:t>These changes were implemented in December 2022</w:t>
      </w:r>
      <w:r w:rsidR="00B15388">
        <w:t>.</w:t>
      </w:r>
      <w:r>
        <w:t xml:space="preserve"> </w:t>
      </w:r>
      <w:r w:rsidR="00B15388">
        <w:t>A</w:t>
      </w:r>
      <w:r>
        <w:t xml:space="preserve">s the data analysis period ended in September 2022, the impact of these changes </w:t>
      </w:r>
      <w:r w:rsidR="00B15388">
        <w:t xml:space="preserve">was </w:t>
      </w:r>
      <w:r>
        <w:t xml:space="preserve">not included as part of the review. </w:t>
      </w:r>
    </w:p>
    <w:p w14:paraId="556D064C" w14:textId="77777777" w:rsidR="004113C7" w:rsidRDefault="004113C7" w:rsidP="004113C7">
      <w:pPr>
        <w:pStyle w:val="Heading1"/>
      </w:pPr>
      <w:r>
        <w:t>DUSC consideration</w:t>
      </w:r>
    </w:p>
    <w:p w14:paraId="33CF02BB" w14:textId="77777777" w:rsidR="00367932" w:rsidRPr="00367932" w:rsidRDefault="00367932" w:rsidP="00367932">
      <w:pPr>
        <w:contextualSpacing/>
      </w:pPr>
      <w:r w:rsidRPr="00367932">
        <w:t xml:space="preserve">DUSC noted evolocumab utilisation for non-FH was lower than estimated. DUSC considered the impact of the COVID-19 pandemic and barriers to patient access on utilisation. </w:t>
      </w:r>
    </w:p>
    <w:p w14:paraId="27A88BEA" w14:textId="77777777" w:rsidR="00367932" w:rsidRPr="00367932" w:rsidRDefault="00367932" w:rsidP="00367932">
      <w:pPr>
        <w:contextualSpacing/>
      </w:pPr>
    </w:p>
    <w:p w14:paraId="080C4A88" w14:textId="3B6FBA9F" w:rsidR="00367932" w:rsidRPr="00367932" w:rsidRDefault="00367932" w:rsidP="00367932">
      <w:pPr>
        <w:contextualSpacing/>
      </w:pPr>
      <w:r w:rsidRPr="00367932">
        <w:t xml:space="preserve">DUSC noted the restriction changes since PBS listing of evolocumab and noted the restriction changes that occurred in December 2022 were not included as part of the review. DUSC noted </w:t>
      </w:r>
      <w:r w:rsidR="00B15388">
        <w:t xml:space="preserve">the </w:t>
      </w:r>
      <w:r w:rsidRPr="00367932">
        <w:t>LDL-</w:t>
      </w:r>
      <w:r w:rsidR="00B15388">
        <w:t>C</w:t>
      </w:r>
      <w:r w:rsidRPr="00367932">
        <w:t xml:space="preserve"> criteri</w:t>
      </w:r>
      <w:r w:rsidR="00B15388">
        <w:t>on</w:t>
      </w:r>
      <w:r w:rsidRPr="00367932">
        <w:t xml:space="preserve"> in the PBS listing was revised from 3.3 mmol/L to 2.6</w:t>
      </w:r>
      <w:r w:rsidR="00B15388">
        <w:t> </w:t>
      </w:r>
      <w:r w:rsidRPr="00367932">
        <w:t xml:space="preserve">mmol/L in November 2021 and revised to 1.8 mmol/L in December 2022. DUSC noted that as </w:t>
      </w:r>
      <w:r w:rsidR="00B15388">
        <w:t xml:space="preserve">the </w:t>
      </w:r>
      <w:r w:rsidRPr="00367932">
        <w:t>LDL-</w:t>
      </w:r>
      <w:r w:rsidR="00B15388">
        <w:t>C</w:t>
      </w:r>
      <w:r w:rsidRPr="00367932">
        <w:t xml:space="preserve"> criterion had been revised several times since PBS listing, there was potential for clinicians to be unaware of the lowered LDL-</w:t>
      </w:r>
      <w:r w:rsidR="00B15388">
        <w:t>C</w:t>
      </w:r>
      <w:r w:rsidRPr="00367932">
        <w:t xml:space="preserve"> threshold. DUSC noted initial prescribing was extended to any medical practitioner in consultation with a specialist physician in December 2022. The Pre-Sub-Committee Response (PSCR) raised that, “GPs, in </w:t>
      </w:r>
      <w:r w:rsidRPr="00367932">
        <w:lastRenderedPageBreak/>
        <w:t xml:space="preserve">consultation with a specialist, would be able to initiate evolocumab and the lower than estimated utilisation may be indicative of challenges with patient access. GP initiation was only introduced in December 2022.” </w:t>
      </w:r>
    </w:p>
    <w:p w14:paraId="5A93F190" w14:textId="77777777" w:rsidR="00367932" w:rsidRPr="00367932" w:rsidRDefault="00367932" w:rsidP="00367932">
      <w:pPr>
        <w:contextualSpacing/>
      </w:pPr>
    </w:p>
    <w:p w14:paraId="78A6F6F4" w14:textId="5466BD2E" w:rsidR="00367932" w:rsidRDefault="00367932" w:rsidP="00367932">
      <w:pPr>
        <w:contextualSpacing/>
        <w:rPr>
          <w:i/>
          <w:iCs/>
        </w:rPr>
      </w:pPr>
      <w:r w:rsidRPr="00367932">
        <w:t xml:space="preserve">DUSC noted that although the PBS item codes for the non-FH listing were the same as those </w:t>
      </w:r>
      <w:r w:rsidR="00B15388">
        <w:t xml:space="preserve">for </w:t>
      </w:r>
      <w:proofErr w:type="spellStart"/>
      <w:r w:rsidRPr="00367932">
        <w:t>HoFH</w:t>
      </w:r>
      <w:proofErr w:type="spellEnd"/>
      <w:r w:rsidRPr="00367932">
        <w:t>, the majority of evolocumab utilisation could be distinguished through Authority and Streamlined codes. DUSC noted a greater proportion of patients were consistently supplied evolocumab for the same indication according to item code (80.8%) compared to authority or streamlined code (70.5%) in 2021. DUSC considered inconsistency in indication was likely due to human error associated with prescribing software. DUSC noted the complexities in navigating the presentation of restriction and the corresponding item codes in the prescribing software</w:t>
      </w:r>
      <w:r>
        <w:rPr>
          <w:i/>
          <w:iCs/>
        </w:rPr>
        <w:t xml:space="preserve">. </w:t>
      </w:r>
    </w:p>
    <w:p w14:paraId="16218B08" w14:textId="77777777" w:rsidR="004113C7" w:rsidRDefault="004113C7" w:rsidP="004113C7">
      <w:pPr>
        <w:pStyle w:val="Heading1"/>
      </w:pPr>
      <w:r>
        <w:t>DUSC actions</w:t>
      </w:r>
    </w:p>
    <w:p w14:paraId="52377560" w14:textId="77777777" w:rsidR="00367932" w:rsidRPr="00367932" w:rsidRDefault="00367932" w:rsidP="00367932">
      <w:pPr>
        <w:rPr>
          <w:iCs/>
        </w:rPr>
      </w:pPr>
      <w:r w:rsidRPr="00367932">
        <w:rPr>
          <w:iCs/>
        </w:rPr>
        <w:t xml:space="preserve">DUSC requested that the report be provided to the PBAC for consideration. </w:t>
      </w:r>
    </w:p>
    <w:p w14:paraId="57249F13" w14:textId="77777777" w:rsidR="004113C7" w:rsidRDefault="004113C7" w:rsidP="004113C7">
      <w:pPr>
        <w:pStyle w:val="Heading1"/>
      </w:pPr>
      <w:r w:rsidRPr="0092516A">
        <w:t>Context for analysis</w:t>
      </w:r>
    </w:p>
    <w:p w14:paraId="32F78DA5" w14:textId="0119F95F" w:rsidR="004113C7" w:rsidRDefault="004113C7" w:rsidP="004113C7">
      <w:r>
        <w:t>The DUSC is a Sub Committee of the PBAC. The DUSC assesses estimates on projected usage and financial cost of medicines.</w:t>
      </w:r>
    </w:p>
    <w:p w14:paraId="5E01C270" w14:textId="77777777" w:rsidR="004113C7" w:rsidRDefault="004113C7" w:rsidP="004113C7">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48D382E" w14:textId="77777777" w:rsidR="004113C7" w:rsidRDefault="004113C7" w:rsidP="004113C7">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8B0E8FF" w14:textId="77777777" w:rsidR="004113C7" w:rsidRDefault="004113C7" w:rsidP="004113C7">
      <w:r>
        <w:t>The utilisation analysis report was provided to the pharmaceutical sponsors of each drug and comments on the report were provided to DUSC prior to its consideration of the analysis.</w:t>
      </w:r>
    </w:p>
    <w:p w14:paraId="75E73F86" w14:textId="77777777" w:rsidR="004113C7" w:rsidRDefault="004113C7" w:rsidP="004113C7">
      <w:pPr>
        <w:pStyle w:val="Heading1"/>
      </w:pPr>
      <w:r>
        <w:t>Sponsor</w:t>
      </w:r>
      <w:r w:rsidRPr="0092516A">
        <w:t>s</w:t>
      </w:r>
      <w:r>
        <w:t>’</w:t>
      </w:r>
      <w:r w:rsidRPr="0092516A">
        <w:t xml:space="preserve"> comments</w:t>
      </w:r>
    </w:p>
    <w:p w14:paraId="53C40D3D" w14:textId="6E91CB84" w:rsidR="004F3A92" w:rsidRDefault="004F3A92" w:rsidP="004113C7">
      <w:r>
        <w:t xml:space="preserve">Amgen Australia Limited: </w:t>
      </w:r>
      <w:r w:rsidR="0053219F">
        <w:t xml:space="preserve">The sponsor has no comment. </w:t>
      </w:r>
    </w:p>
    <w:p w14:paraId="66821CA4" w14:textId="77777777" w:rsidR="00257FD9" w:rsidRDefault="00257FD9">
      <w:pPr>
        <w:spacing w:line="276" w:lineRule="auto"/>
        <w:rPr>
          <w:rFonts w:eastAsiaTheme="majorEastAsia" w:cstheme="majorBidi"/>
          <w:b/>
          <w:bCs/>
          <w:sz w:val="32"/>
          <w:szCs w:val="32"/>
        </w:rPr>
      </w:pPr>
      <w:r>
        <w:br w:type="page"/>
      </w:r>
    </w:p>
    <w:p w14:paraId="28395926" w14:textId="5B159857" w:rsidR="004113C7" w:rsidRDefault="004113C7" w:rsidP="004113C7">
      <w:pPr>
        <w:pStyle w:val="Heading1"/>
      </w:pPr>
      <w:r w:rsidRPr="00A4020E">
        <w:lastRenderedPageBreak/>
        <w:t>Disclaimer</w:t>
      </w:r>
    </w:p>
    <w:p w14:paraId="3B1DD255" w14:textId="77777777" w:rsidR="004113C7" w:rsidRDefault="004113C7" w:rsidP="004113C7">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021AE452" w14:textId="77777777" w:rsidR="004113C7" w:rsidRDefault="004113C7" w:rsidP="004113C7">
      <w:r>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5CB5BE4E" w14:textId="77777777" w:rsidR="004113C7" w:rsidRDefault="004113C7" w:rsidP="004113C7">
      <w:r>
        <w:t xml:space="preserve">To the extent provided by law, the Department of Health and Aged Care makes no warranties or representations as to accuracy or completeness of information contained in this report. </w:t>
      </w:r>
    </w:p>
    <w:p w14:paraId="4352B019" w14:textId="77777777" w:rsidR="004113C7" w:rsidRDefault="004113C7" w:rsidP="004113C7">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76402B24" w14:textId="77777777" w:rsidR="00455701" w:rsidRDefault="00455701">
      <w:pPr>
        <w:spacing w:line="276" w:lineRule="auto"/>
      </w:pPr>
      <w:r>
        <w:br w:type="page"/>
      </w:r>
    </w:p>
    <w:p w14:paraId="7C4E4AB9" w14:textId="7B22EBF8" w:rsidR="002C6E0C" w:rsidRDefault="002C6E0C" w:rsidP="00F73113">
      <w:pPr>
        <w:pStyle w:val="Heading1"/>
      </w:pPr>
      <w:r>
        <w:lastRenderedPageBreak/>
        <w:t>Appendices</w:t>
      </w:r>
    </w:p>
    <w:p w14:paraId="4F3B5216" w14:textId="19AB699D" w:rsidR="00E572AF" w:rsidRDefault="00E572AF" w:rsidP="00E572AF">
      <w:pPr>
        <w:pStyle w:val="Heading2"/>
      </w:pPr>
      <w:r w:rsidRPr="005E22C2">
        <w:t>A</w:t>
      </w:r>
      <w:r>
        <w:t xml:space="preserve">ppendix A: Evolocumab PBS restrictions as at </w:t>
      </w:r>
      <w:r w:rsidR="0055336B">
        <w:t>December</w:t>
      </w:r>
      <w:r>
        <w:t xml:space="preserve"> 2022 </w:t>
      </w:r>
    </w:p>
    <w:p w14:paraId="61C6E7C2" w14:textId="77777777" w:rsidR="002B7C6B" w:rsidRPr="00240227" w:rsidRDefault="002B7C6B" w:rsidP="002B7C6B">
      <w:r>
        <w:t>In the initial treatment phase, a</w:t>
      </w:r>
      <w:r w:rsidRPr="00240227">
        <w:t>ll indications (familial homozygous and heterozygous hypercholesterol</w:t>
      </w:r>
      <w:r>
        <w:t>a</w:t>
      </w:r>
      <w:r w:rsidRPr="00240227">
        <w:t>emia and non-familial hypercholesterol</w:t>
      </w:r>
      <w:r>
        <w:t>a</w:t>
      </w:r>
      <w:r w:rsidRPr="00240227">
        <w:t>emia)</w:t>
      </w:r>
      <w:r>
        <w:t xml:space="preserve"> are Authority Required listings and</w:t>
      </w:r>
      <w:r w:rsidRPr="00240227">
        <w:t xml:space="preserve"> require: </w:t>
      </w:r>
    </w:p>
    <w:p w14:paraId="26B5D55F" w14:textId="77777777" w:rsidR="002B7C6B" w:rsidRPr="002B7C6B" w:rsidRDefault="002B7C6B" w:rsidP="001D5142">
      <w:pPr>
        <w:pStyle w:val="ListParagraph"/>
        <w:numPr>
          <w:ilvl w:val="0"/>
          <w:numId w:val="13"/>
        </w:numPr>
        <w:spacing w:after="0"/>
        <w:rPr>
          <w:b/>
          <w:bCs/>
        </w:rPr>
      </w:pPr>
      <w:r w:rsidRPr="002B7C6B">
        <w:rPr>
          <w:b/>
          <w:bCs/>
        </w:rPr>
        <w:t xml:space="preserve">Clinical criteria: </w:t>
      </w:r>
    </w:p>
    <w:p w14:paraId="28C75376" w14:textId="77777777" w:rsidR="002B7C6B" w:rsidRPr="009122EB" w:rsidRDefault="002B7C6B" w:rsidP="001D5142">
      <w:pPr>
        <w:pStyle w:val="ListParagraph"/>
        <w:numPr>
          <w:ilvl w:val="0"/>
          <w:numId w:val="14"/>
        </w:numPr>
        <w:spacing w:after="0"/>
      </w:pPr>
      <w:r w:rsidRPr="009122EB">
        <w:t>The treatment must be in conjunction with dietary therapy and exercise,</w:t>
      </w:r>
      <w:r>
        <w:t xml:space="preserve"> </w:t>
      </w:r>
      <w:r w:rsidRPr="009122EB">
        <w:t xml:space="preserve">AND </w:t>
      </w:r>
    </w:p>
    <w:p w14:paraId="01D9A752" w14:textId="77777777" w:rsidR="002B7C6B" w:rsidRPr="009122EB" w:rsidRDefault="002B7C6B" w:rsidP="001D5142">
      <w:pPr>
        <w:pStyle w:val="ListParagraph"/>
        <w:numPr>
          <w:ilvl w:val="0"/>
          <w:numId w:val="14"/>
        </w:numPr>
        <w:spacing w:after="0"/>
      </w:pPr>
      <w:r w:rsidRPr="009122EB">
        <w:t xml:space="preserve">Patient must have been treated with the maximum recommended dose of atorvastatin, AND </w:t>
      </w:r>
    </w:p>
    <w:p w14:paraId="15F492EA" w14:textId="5C806DC1" w:rsidR="002B7C6B" w:rsidRPr="00E572AF" w:rsidRDefault="002B7C6B" w:rsidP="001D5142">
      <w:pPr>
        <w:pStyle w:val="NormalWeb"/>
        <w:numPr>
          <w:ilvl w:val="0"/>
          <w:numId w:val="14"/>
        </w:numPr>
        <w:shd w:val="clear" w:color="auto" w:fill="FFFFFF"/>
        <w:spacing w:before="240" w:beforeAutospacing="0" w:after="0" w:afterAutospacing="0" w:line="300" w:lineRule="atLeast"/>
        <w:rPr>
          <w:rFonts w:asciiTheme="minorHAnsi" w:hAnsiTheme="minorHAnsi" w:cstheme="minorHAnsi"/>
          <w:color w:val="222222"/>
        </w:rPr>
      </w:pPr>
      <w:r w:rsidRPr="00E572AF">
        <w:rPr>
          <w:rFonts w:asciiTheme="minorHAnsi" w:hAnsiTheme="minorHAnsi" w:cstheme="minorHAnsi"/>
          <w:color w:val="222222"/>
        </w:rPr>
        <w:t>Patient must have been treated with the maximum recommended dose of atorvastatin (80 mg daily) or rosuvastatin (40 mg daily) according to the TGA</w:t>
      </w:r>
      <w:r w:rsidR="00B15388">
        <w:rPr>
          <w:rFonts w:asciiTheme="minorHAnsi" w:hAnsiTheme="minorHAnsi" w:cstheme="minorHAnsi"/>
          <w:color w:val="222222"/>
        </w:rPr>
        <w:noBreakHyphen/>
      </w:r>
      <w:r w:rsidRPr="00E572AF">
        <w:rPr>
          <w:rFonts w:asciiTheme="minorHAnsi" w:hAnsiTheme="minorHAnsi" w:cstheme="minorHAnsi"/>
          <w:color w:val="222222"/>
        </w:rPr>
        <w:t>approved Product Information or the maximum tolerated dose of atorvastatin or rosuvastatin for at least 12 consecutive weeks in conjunction with dietary therapy and exercise; OR</w:t>
      </w:r>
    </w:p>
    <w:p w14:paraId="62B4CF3C" w14:textId="77777777" w:rsidR="002B7C6B" w:rsidRPr="00E572AF" w:rsidRDefault="002B7C6B" w:rsidP="001D5142">
      <w:pPr>
        <w:pStyle w:val="NormalWeb"/>
        <w:numPr>
          <w:ilvl w:val="0"/>
          <w:numId w:val="14"/>
        </w:numPr>
        <w:shd w:val="clear" w:color="auto" w:fill="FFFFFF"/>
        <w:spacing w:before="240" w:beforeAutospacing="0" w:after="0" w:afterAutospacing="0" w:line="300" w:lineRule="atLeast"/>
        <w:rPr>
          <w:rFonts w:asciiTheme="minorHAnsi" w:hAnsiTheme="minorHAnsi" w:cstheme="minorHAnsi"/>
          <w:color w:val="222222"/>
        </w:rPr>
      </w:pPr>
      <w:r w:rsidRPr="00E572AF">
        <w:rPr>
          <w:rFonts w:asciiTheme="minorHAnsi" w:hAnsiTheme="minorHAnsi" w:cstheme="minorHAnsi"/>
          <w:color w:val="222222"/>
        </w:rPr>
        <w:t>Patient must have developed clinically important product-related adverse events necessitating withdrawal of statin treatment to trials of each of atorvastatin and rosuvastatin; OR</w:t>
      </w:r>
    </w:p>
    <w:p w14:paraId="4D7F126E" w14:textId="77777777" w:rsidR="002B7C6B" w:rsidRDefault="002B7C6B" w:rsidP="001D5142">
      <w:pPr>
        <w:pStyle w:val="NormalWeb"/>
        <w:numPr>
          <w:ilvl w:val="0"/>
          <w:numId w:val="14"/>
        </w:numPr>
        <w:shd w:val="clear" w:color="auto" w:fill="FFFFFF"/>
        <w:spacing w:before="240" w:beforeAutospacing="0" w:after="0" w:afterAutospacing="0" w:line="300" w:lineRule="atLeast"/>
        <w:rPr>
          <w:rFonts w:asciiTheme="minorHAnsi" w:hAnsiTheme="minorHAnsi" w:cstheme="minorHAnsi"/>
          <w:color w:val="222222"/>
        </w:rPr>
      </w:pPr>
      <w:r w:rsidRPr="00E572AF">
        <w:rPr>
          <w:rFonts w:asciiTheme="minorHAnsi" w:hAnsiTheme="minorHAnsi" w:cstheme="minorHAnsi"/>
          <w:color w:val="222222"/>
        </w:rPr>
        <w:t>Patient must be contraindicated to treatment with a HMG CoA reductase inhibitor (statin) as defined in the TGA-approved Product Information.</w:t>
      </w:r>
    </w:p>
    <w:p w14:paraId="72398715" w14:textId="10CFA761" w:rsidR="00A7538B" w:rsidRDefault="002B7C6B" w:rsidP="001D5142">
      <w:pPr>
        <w:pStyle w:val="NormalWeb"/>
        <w:numPr>
          <w:ilvl w:val="0"/>
          <w:numId w:val="13"/>
        </w:numPr>
        <w:shd w:val="clear" w:color="auto" w:fill="FFFFFF"/>
        <w:spacing w:before="240" w:beforeAutospacing="0" w:after="0" w:afterAutospacing="0" w:line="300" w:lineRule="atLeast"/>
        <w:rPr>
          <w:rFonts w:asciiTheme="minorHAnsi" w:hAnsiTheme="minorHAnsi" w:cstheme="minorHAnsi"/>
          <w:color w:val="222222"/>
        </w:rPr>
      </w:pPr>
      <w:r w:rsidRPr="002B7C6B">
        <w:rPr>
          <w:rFonts w:asciiTheme="minorHAnsi" w:hAnsiTheme="minorHAnsi" w:cstheme="minorHAnsi"/>
          <w:b/>
          <w:bCs/>
          <w:color w:val="222222"/>
        </w:rPr>
        <w:t>Treatment criteria:</w:t>
      </w:r>
      <w:r>
        <w:rPr>
          <w:rFonts w:asciiTheme="minorHAnsi" w:hAnsiTheme="minorHAnsi" w:cstheme="minorHAnsi"/>
          <w:color w:val="222222"/>
        </w:rPr>
        <w:t xml:space="preserve"> Must be treated by a specialist physician</w:t>
      </w:r>
      <w:r w:rsidR="00FC4D7B">
        <w:rPr>
          <w:rFonts w:asciiTheme="minorHAnsi" w:hAnsiTheme="minorHAnsi" w:cstheme="minorHAnsi"/>
          <w:color w:val="222222"/>
        </w:rPr>
        <w:t xml:space="preserve"> OR by a physician who has consulted a specialist physician. </w:t>
      </w:r>
    </w:p>
    <w:p w14:paraId="0954E70B" w14:textId="19304A52" w:rsidR="00642F5F" w:rsidRDefault="00642F5F" w:rsidP="00642F5F">
      <w:pPr>
        <w:pStyle w:val="NormalWeb"/>
        <w:shd w:val="clear" w:color="auto" w:fill="FFFFFF"/>
        <w:spacing w:before="240" w:beforeAutospacing="0" w:after="0" w:afterAutospacing="0" w:line="300" w:lineRule="atLeast"/>
        <w:rPr>
          <w:rFonts w:asciiTheme="minorHAnsi" w:hAnsiTheme="minorHAnsi" w:cstheme="minorHAnsi"/>
          <w:color w:val="222222"/>
        </w:rPr>
      </w:pPr>
    </w:p>
    <w:p w14:paraId="6C9FDD8A" w14:textId="4C02E859" w:rsidR="00642F5F" w:rsidRDefault="00642F5F" w:rsidP="00642F5F">
      <w:pPr>
        <w:pStyle w:val="NormalWeb"/>
        <w:shd w:val="clear" w:color="auto" w:fill="FFFFFF"/>
        <w:spacing w:before="240" w:beforeAutospacing="0" w:after="0" w:afterAutospacing="0" w:line="300" w:lineRule="atLeast"/>
        <w:rPr>
          <w:rFonts w:asciiTheme="minorHAnsi" w:hAnsiTheme="minorHAnsi" w:cstheme="minorHAnsi"/>
          <w:color w:val="222222"/>
        </w:rPr>
      </w:pPr>
    </w:p>
    <w:p w14:paraId="269889DB" w14:textId="44ED6323" w:rsidR="00642F5F" w:rsidRDefault="00642F5F" w:rsidP="00642F5F">
      <w:pPr>
        <w:pStyle w:val="NormalWeb"/>
        <w:shd w:val="clear" w:color="auto" w:fill="FFFFFF"/>
        <w:spacing w:before="240" w:beforeAutospacing="0" w:after="0" w:afterAutospacing="0" w:line="300" w:lineRule="atLeast"/>
        <w:rPr>
          <w:rFonts w:asciiTheme="minorHAnsi" w:hAnsiTheme="minorHAnsi" w:cstheme="minorHAnsi"/>
          <w:color w:val="222222"/>
        </w:rPr>
      </w:pPr>
    </w:p>
    <w:p w14:paraId="6201019E" w14:textId="5BA7E450" w:rsidR="00642F5F" w:rsidRDefault="00642F5F" w:rsidP="00642F5F">
      <w:pPr>
        <w:pStyle w:val="NormalWeb"/>
        <w:shd w:val="clear" w:color="auto" w:fill="FFFFFF"/>
        <w:spacing w:before="240" w:beforeAutospacing="0" w:after="0" w:afterAutospacing="0" w:line="300" w:lineRule="atLeast"/>
        <w:rPr>
          <w:rFonts w:asciiTheme="minorHAnsi" w:hAnsiTheme="minorHAnsi" w:cstheme="minorHAnsi"/>
          <w:color w:val="222222"/>
        </w:rPr>
      </w:pPr>
    </w:p>
    <w:p w14:paraId="52EEA9B4" w14:textId="28F133A9" w:rsidR="00642F5F" w:rsidRDefault="00642F5F" w:rsidP="00642F5F">
      <w:pPr>
        <w:pStyle w:val="NormalWeb"/>
        <w:shd w:val="clear" w:color="auto" w:fill="FFFFFF"/>
        <w:spacing w:before="240" w:beforeAutospacing="0" w:after="0" w:afterAutospacing="0" w:line="300" w:lineRule="atLeast"/>
        <w:rPr>
          <w:rFonts w:asciiTheme="minorHAnsi" w:hAnsiTheme="minorHAnsi" w:cstheme="minorHAnsi"/>
          <w:color w:val="222222"/>
        </w:rPr>
      </w:pPr>
    </w:p>
    <w:p w14:paraId="4857A8FE" w14:textId="65FB06DE" w:rsidR="00642F5F" w:rsidRDefault="00642F5F" w:rsidP="00642F5F">
      <w:pPr>
        <w:pStyle w:val="NormalWeb"/>
        <w:shd w:val="clear" w:color="auto" w:fill="FFFFFF"/>
        <w:spacing w:before="240" w:beforeAutospacing="0" w:after="0" w:afterAutospacing="0" w:line="300" w:lineRule="atLeast"/>
        <w:rPr>
          <w:rFonts w:asciiTheme="minorHAnsi" w:hAnsiTheme="minorHAnsi" w:cstheme="minorHAnsi"/>
          <w:color w:val="222222"/>
        </w:rPr>
      </w:pPr>
    </w:p>
    <w:p w14:paraId="53D7CAEF" w14:textId="189127DD" w:rsidR="00642F5F" w:rsidRDefault="00642F5F" w:rsidP="00642F5F">
      <w:pPr>
        <w:pStyle w:val="NormalWeb"/>
        <w:shd w:val="clear" w:color="auto" w:fill="FFFFFF"/>
        <w:spacing w:before="240" w:beforeAutospacing="0" w:after="0" w:afterAutospacing="0" w:line="300" w:lineRule="atLeast"/>
        <w:rPr>
          <w:rFonts w:asciiTheme="minorHAnsi" w:hAnsiTheme="minorHAnsi" w:cstheme="minorHAnsi"/>
          <w:color w:val="222222"/>
        </w:rPr>
      </w:pPr>
    </w:p>
    <w:p w14:paraId="13B3187D" w14:textId="77777777" w:rsidR="00642F5F" w:rsidRDefault="00642F5F" w:rsidP="00642F5F">
      <w:pPr>
        <w:pStyle w:val="NormalWeb"/>
        <w:shd w:val="clear" w:color="auto" w:fill="FFFFFF"/>
        <w:spacing w:before="240" w:beforeAutospacing="0" w:after="0" w:afterAutospacing="0" w:line="300" w:lineRule="atLeast"/>
        <w:rPr>
          <w:rFonts w:asciiTheme="minorHAnsi" w:hAnsiTheme="minorHAnsi" w:cstheme="minorHAnsi"/>
          <w:color w:val="222222"/>
        </w:rPr>
      </w:pPr>
    </w:p>
    <w:p w14:paraId="54809E94" w14:textId="562FF971" w:rsidR="000F1338" w:rsidRPr="001B707A" w:rsidRDefault="001B707A" w:rsidP="001B707A">
      <w:pPr>
        <w:pStyle w:val="Tabletitle"/>
        <w:keepNext/>
      </w:pPr>
      <w:r>
        <w:lastRenderedPageBreak/>
        <w:t xml:space="preserve">Table </w:t>
      </w:r>
      <w:r w:rsidR="00244AB6">
        <w:t>A.1</w:t>
      </w:r>
      <w:r>
        <w:t xml:space="preserve">: Differences in clinical criteria between HoFH, HeFH and </w:t>
      </w:r>
      <w:r w:rsidR="00E07573">
        <w:t>Non-FH</w:t>
      </w:r>
    </w:p>
    <w:tbl>
      <w:tblPr>
        <w:tblStyle w:val="TableGrid"/>
        <w:tblW w:w="0" w:type="auto"/>
        <w:tblLook w:val="04A0" w:firstRow="1" w:lastRow="0" w:firstColumn="1" w:lastColumn="0" w:noHBand="0" w:noVBand="1"/>
      </w:tblPr>
      <w:tblGrid>
        <w:gridCol w:w="1049"/>
        <w:gridCol w:w="7898"/>
      </w:tblGrid>
      <w:tr w:rsidR="002B7C6B" w:rsidRPr="002B7C6B" w14:paraId="57E0205D" w14:textId="77777777" w:rsidTr="001B707A">
        <w:tc>
          <w:tcPr>
            <w:tcW w:w="988" w:type="dxa"/>
            <w:shd w:val="clear" w:color="auto" w:fill="BFBFBF" w:themeFill="background1" w:themeFillShade="BF"/>
          </w:tcPr>
          <w:p w14:paraId="73CCD56C" w14:textId="53FB2671" w:rsidR="002B7C6B" w:rsidRPr="00A7538B" w:rsidRDefault="00A7538B" w:rsidP="00FC1D2C">
            <w:pPr>
              <w:pStyle w:val="NormalWeb"/>
              <w:spacing w:before="60" w:beforeAutospacing="0" w:after="60" w:afterAutospacing="0" w:line="300" w:lineRule="atLeast"/>
              <w:rPr>
                <w:rFonts w:asciiTheme="minorHAnsi" w:hAnsiTheme="minorHAnsi" w:cstheme="minorHAnsi"/>
                <w:b/>
                <w:bCs/>
                <w:color w:val="222222"/>
                <w:sz w:val="20"/>
                <w:szCs w:val="20"/>
              </w:rPr>
            </w:pPr>
            <w:r w:rsidRPr="00A7538B">
              <w:rPr>
                <w:rFonts w:asciiTheme="minorHAnsi" w:hAnsiTheme="minorHAnsi" w:cstheme="minorHAnsi"/>
                <w:b/>
                <w:bCs/>
                <w:color w:val="222222"/>
                <w:sz w:val="20"/>
                <w:szCs w:val="20"/>
              </w:rPr>
              <w:t xml:space="preserve">Indication </w:t>
            </w:r>
          </w:p>
        </w:tc>
        <w:tc>
          <w:tcPr>
            <w:tcW w:w="7959" w:type="dxa"/>
            <w:shd w:val="clear" w:color="auto" w:fill="BFBFBF" w:themeFill="background1" w:themeFillShade="BF"/>
          </w:tcPr>
          <w:p w14:paraId="142483C7" w14:textId="11F68470" w:rsidR="002B7C6B" w:rsidRPr="00A7538B" w:rsidRDefault="00A7538B" w:rsidP="00FC1D2C">
            <w:pPr>
              <w:pStyle w:val="NormalWeb"/>
              <w:spacing w:before="60" w:beforeAutospacing="0" w:after="60" w:afterAutospacing="0" w:line="300" w:lineRule="atLeast"/>
              <w:rPr>
                <w:rFonts w:asciiTheme="minorHAnsi" w:hAnsiTheme="minorHAnsi" w:cstheme="minorHAnsi"/>
                <w:b/>
                <w:bCs/>
                <w:color w:val="222222"/>
                <w:sz w:val="20"/>
                <w:szCs w:val="20"/>
              </w:rPr>
            </w:pPr>
            <w:r w:rsidRPr="00A7538B">
              <w:rPr>
                <w:rFonts w:asciiTheme="minorHAnsi" w:hAnsiTheme="minorHAnsi" w:cstheme="minorHAnsi"/>
                <w:b/>
                <w:bCs/>
                <w:color w:val="222222"/>
                <w:sz w:val="20"/>
                <w:szCs w:val="20"/>
              </w:rPr>
              <w:t>Clinical criteria</w:t>
            </w:r>
          </w:p>
        </w:tc>
      </w:tr>
      <w:tr w:rsidR="002B7C6B" w:rsidRPr="002B7C6B" w14:paraId="34B5BD2E" w14:textId="77777777" w:rsidTr="001B707A">
        <w:tc>
          <w:tcPr>
            <w:tcW w:w="988" w:type="dxa"/>
          </w:tcPr>
          <w:p w14:paraId="4C467D08" w14:textId="7D2C52E9" w:rsidR="002B7C6B" w:rsidRPr="00754AD0" w:rsidRDefault="001B707A" w:rsidP="00FC1D2C">
            <w:pPr>
              <w:pStyle w:val="NormalWeb"/>
              <w:spacing w:before="60" w:beforeAutospacing="0" w:after="60" w:afterAutospacing="0" w:line="300" w:lineRule="atLeast"/>
              <w:rPr>
                <w:rFonts w:asciiTheme="minorHAnsi" w:hAnsiTheme="minorHAnsi" w:cstheme="minorHAnsi"/>
                <w:color w:val="222222"/>
                <w:sz w:val="20"/>
                <w:szCs w:val="20"/>
              </w:rPr>
            </w:pPr>
            <w:r w:rsidRPr="00754AD0">
              <w:rPr>
                <w:rFonts w:asciiTheme="minorHAnsi" w:hAnsiTheme="minorHAnsi" w:cstheme="minorHAnsi"/>
                <w:color w:val="222222"/>
                <w:sz w:val="20"/>
                <w:szCs w:val="20"/>
              </w:rPr>
              <w:t>HoFH</w:t>
            </w:r>
          </w:p>
        </w:tc>
        <w:tc>
          <w:tcPr>
            <w:tcW w:w="7959" w:type="dxa"/>
          </w:tcPr>
          <w:p w14:paraId="4EAA03B5" w14:textId="77777777" w:rsidR="002B7C6B" w:rsidRPr="002B7C6B" w:rsidRDefault="002B7C6B" w:rsidP="00FC1D2C">
            <w:pPr>
              <w:pStyle w:val="NormalWeb"/>
              <w:numPr>
                <w:ilvl w:val="0"/>
                <w:numId w:val="13"/>
              </w:numPr>
              <w:shd w:val="clear" w:color="auto" w:fill="FFFFFF"/>
              <w:spacing w:before="60" w:beforeAutospacing="0" w:after="60" w:afterAutospacing="0"/>
              <w:rPr>
                <w:rFonts w:asciiTheme="minorHAnsi" w:hAnsiTheme="minorHAnsi" w:cstheme="minorHAnsi"/>
                <w:color w:val="222222"/>
                <w:sz w:val="20"/>
                <w:szCs w:val="20"/>
              </w:rPr>
            </w:pPr>
            <w:r w:rsidRPr="002B7C6B">
              <w:rPr>
                <w:rFonts w:asciiTheme="minorHAnsi" w:hAnsiTheme="minorHAnsi" w:cstheme="minorHAnsi"/>
                <w:color w:val="222222"/>
                <w:sz w:val="20"/>
                <w:szCs w:val="20"/>
              </w:rPr>
              <w:t>The condition must have been confirmed by genetic testing; OR</w:t>
            </w:r>
          </w:p>
          <w:p w14:paraId="394C89FA" w14:textId="77777777" w:rsidR="002B7C6B" w:rsidRPr="002B7C6B" w:rsidRDefault="002B7C6B" w:rsidP="00FC1D2C">
            <w:pPr>
              <w:pStyle w:val="NormalWeb"/>
              <w:numPr>
                <w:ilvl w:val="0"/>
                <w:numId w:val="5"/>
              </w:numPr>
              <w:shd w:val="clear" w:color="auto" w:fill="FFFFFF"/>
              <w:spacing w:before="60" w:beforeAutospacing="0" w:after="60" w:afterAutospacing="0"/>
              <w:rPr>
                <w:rFonts w:asciiTheme="minorHAnsi" w:hAnsiTheme="minorHAnsi" w:cstheme="minorHAnsi"/>
                <w:color w:val="222222"/>
                <w:sz w:val="20"/>
                <w:szCs w:val="20"/>
              </w:rPr>
            </w:pPr>
            <w:r w:rsidRPr="002B7C6B">
              <w:rPr>
                <w:rFonts w:asciiTheme="minorHAnsi" w:hAnsiTheme="minorHAnsi" w:cstheme="minorHAnsi"/>
                <w:color w:val="222222"/>
                <w:sz w:val="20"/>
                <w:szCs w:val="20"/>
              </w:rPr>
              <w:t xml:space="preserve">The condition must have been confirmed by a Dutch Lipid Clinic Network Score of at least 7, </w:t>
            </w:r>
            <w:r w:rsidRPr="002B7C6B">
              <w:rPr>
                <w:rFonts w:asciiTheme="minorHAnsi" w:hAnsiTheme="minorHAnsi" w:cstheme="minorHAnsi"/>
                <w:b/>
                <w:bCs/>
                <w:color w:val="222222"/>
                <w:sz w:val="20"/>
                <w:szCs w:val="20"/>
                <w:bdr w:val="none" w:sz="0" w:space="0" w:color="auto" w:frame="1"/>
              </w:rPr>
              <w:t>AND</w:t>
            </w:r>
          </w:p>
          <w:p w14:paraId="47376F4D" w14:textId="38D75E61" w:rsidR="002B7C6B" w:rsidRPr="002B7C6B" w:rsidRDefault="002B7C6B" w:rsidP="00FC1D2C">
            <w:pPr>
              <w:pStyle w:val="NormalWeb"/>
              <w:numPr>
                <w:ilvl w:val="0"/>
                <w:numId w:val="5"/>
              </w:numPr>
              <w:shd w:val="clear" w:color="auto" w:fill="FFFFFF"/>
              <w:spacing w:before="60" w:beforeAutospacing="0" w:after="60" w:afterAutospacing="0"/>
              <w:rPr>
                <w:rFonts w:asciiTheme="minorHAnsi" w:hAnsiTheme="minorHAnsi" w:cstheme="minorHAnsi"/>
                <w:color w:val="222222"/>
                <w:sz w:val="20"/>
                <w:szCs w:val="20"/>
              </w:rPr>
            </w:pPr>
            <w:r w:rsidRPr="002B7C6B">
              <w:rPr>
                <w:rFonts w:asciiTheme="minorHAnsi" w:hAnsiTheme="minorHAnsi" w:cstheme="minorHAnsi"/>
                <w:color w:val="222222"/>
                <w:sz w:val="20"/>
                <w:szCs w:val="20"/>
              </w:rPr>
              <w:t>Patient must have an LDL cholesterol level in excess of 2.6 millimoles per litre,</w:t>
            </w:r>
          </w:p>
        </w:tc>
      </w:tr>
      <w:tr w:rsidR="002B7C6B" w:rsidRPr="002B7C6B" w14:paraId="5A52EEE6" w14:textId="77777777" w:rsidTr="001B707A">
        <w:tc>
          <w:tcPr>
            <w:tcW w:w="988" w:type="dxa"/>
          </w:tcPr>
          <w:p w14:paraId="3B27703E" w14:textId="5D26902D" w:rsidR="002B7C6B" w:rsidRPr="00754AD0" w:rsidRDefault="001B707A" w:rsidP="00FC1D2C">
            <w:pPr>
              <w:pStyle w:val="NormalWeb"/>
              <w:spacing w:before="60" w:beforeAutospacing="0" w:after="60" w:afterAutospacing="0" w:line="300" w:lineRule="atLeast"/>
              <w:rPr>
                <w:rFonts w:asciiTheme="minorHAnsi" w:hAnsiTheme="minorHAnsi" w:cstheme="minorHAnsi"/>
                <w:color w:val="222222"/>
                <w:sz w:val="20"/>
                <w:szCs w:val="20"/>
              </w:rPr>
            </w:pPr>
            <w:r w:rsidRPr="00754AD0">
              <w:rPr>
                <w:rFonts w:asciiTheme="minorHAnsi" w:hAnsiTheme="minorHAnsi" w:cstheme="minorHAnsi"/>
                <w:color w:val="222222"/>
                <w:sz w:val="20"/>
                <w:szCs w:val="20"/>
              </w:rPr>
              <w:t>HeFH</w:t>
            </w:r>
          </w:p>
        </w:tc>
        <w:tc>
          <w:tcPr>
            <w:tcW w:w="7959" w:type="dxa"/>
          </w:tcPr>
          <w:p w14:paraId="6C99ACCB" w14:textId="77777777" w:rsidR="002B7C6B" w:rsidRPr="002B7C6B" w:rsidRDefault="002B7C6B" w:rsidP="00FC1D2C">
            <w:pPr>
              <w:numPr>
                <w:ilvl w:val="0"/>
                <w:numId w:val="6"/>
              </w:numPr>
              <w:spacing w:before="60" w:after="60"/>
              <w:rPr>
                <w:rFonts w:eastAsia="Times New Roman" w:cstheme="minorHAnsi"/>
                <w:color w:val="222222"/>
                <w:sz w:val="20"/>
                <w:szCs w:val="20"/>
              </w:rPr>
            </w:pPr>
            <w:r w:rsidRPr="002B7C6B">
              <w:rPr>
                <w:rFonts w:eastAsia="Times New Roman" w:cstheme="minorHAnsi"/>
                <w:color w:val="222222"/>
                <w:sz w:val="20"/>
                <w:szCs w:val="20"/>
              </w:rPr>
              <w:t>The condition must have been confirmed by genetic testing; OR</w:t>
            </w:r>
          </w:p>
          <w:p w14:paraId="5E86E373" w14:textId="77777777" w:rsidR="002B7C6B" w:rsidRPr="002B7C6B" w:rsidRDefault="002B7C6B" w:rsidP="00FC1D2C">
            <w:pPr>
              <w:numPr>
                <w:ilvl w:val="0"/>
                <w:numId w:val="6"/>
              </w:numPr>
              <w:spacing w:before="60" w:after="60"/>
              <w:rPr>
                <w:rFonts w:eastAsia="Times New Roman" w:cstheme="minorHAnsi"/>
                <w:color w:val="222222"/>
                <w:sz w:val="20"/>
                <w:szCs w:val="20"/>
              </w:rPr>
            </w:pPr>
            <w:r w:rsidRPr="002B7C6B">
              <w:rPr>
                <w:rFonts w:eastAsia="Times New Roman" w:cstheme="minorHAnsi"/>
                <w:color w:val="222222"/>
                <w:sz w:val="20"/>
                <w:szCs w:val="20"/>
              </w:rPr>
              <w:t xml:space="preserve">The condition must have been confirmed by a Dutch Lipid Clinic Network Score of at least 6, </w:t>
            </w:r>
            <w:r w:rsidRPr="002B7C6B">
              <w:rPr>
                <w:rFonts w:eastAsia="Times New Roman" w:cstheme="minorHAnsi"/>
                <w:b/>
                <w:bCs/>
                <w:color w:val="222222"/>
                <w:sz w:val="20"/>
                <w:szCs w:val="20"/>
                <w:bdr w:val="none" w:sz="0" w:space="0" w:color="auto" w:frame="1"/>
              </w:rPr>
              <w:t>AND</w:t>
            </w:r>
          </w:p>
          <w:p w14:paraId="77D0AEC8" w14:textId="2DAE0FF7" w:rsidR="002B7C6B" w:rsidRPr="002B7C6B" w:rsidRDefault="002B7C6B" w:rsidP="00FC1D2C">
            <w:pPr>
              <w:numPr>
                <w:ilvl w:val="0"/>
                <w:numId w:val="7"/>
              </w:numPr>
              <w:spacing w:before="60" w:after="60"/>
              <w:rPr>
                <w:rFonts w:eastAsia="Times New Roman" w:cstheme="minorHAnsi"/>
                <w:color w:val="222222"/>
                <w:sz w:val="20"/>
                <w:szCs w:val="20"/>
              </w:rPr>
            </w:pPr>
            <w:r w:rsidRPr="002B7C6B">
              <w:rPr>
                <w:rFonts w:eastAsia="Times New Roman" w:cstheme="minorHAnsi"/>
                <w:color w:val="222222"/>
                <w:sz w:val="20"/>
                <w:szCs w:val="20"/>
              </w:rPr>
              <w:t xml:space="preserve">Patient must have an LDL cholesterol level in excess of </w:t>
            </w:r>
            <w:r w:rsidR="00FC4D7B">
              <w:rPr>
                <w:rFonts w:eastAsia="Times New Roman" w:cstheme="minorHAnsi"/>
                <w:color w:val="222222"/>
                <w:sz w:val="20"/>
                <w:szCs w:val="20"/>
              </w:rPr>
              <w:t>1.8</w:t>
            </w:r>
            <w:r w:rsidRPr="002B7C6B">
              <w:rPr>
                <w:rFonts w:eastAsia="Times New Roman" w:cstheme="minorHAnsi"/>
                <w:color w:val="222222"/>
                <w:sz w:val="20"/>
                <w:szCs w:val="20"/>
              </w:rPr>
              <w:t xml:space="preserve"> millimoles per litre in the presence of symptomatic atherosclerotic cardiovascular disease; OR</w:t>
            </w:r>
          </w:p>
          <w:p w14:paraId="1BCE201A" w14:textId="77777777" w:rsidR="002B7C6B" w:rsidRPr="002B7C6B" w:rsidRDefault="002B7C6B" w:rsidP="00FC1D2C">
            <w:pPr>
              <w:numPr>
                <w:ilvl w:val="0"/>
                <w:numId w:val="7"/>
              </w:numPr>
              <w:spacing w:before="60" w:after="60"/>
              <w:rPr>
                <w:rFonts w:eastAsia="Times New Roman" w:cstheme="minorHAnsi"/>
                <w:color w:val="222222"/>
                <w:sz w:val="20"/>
                <w:szCs w:val="20"/>
              </w:rPr>
            </w:pPr>
            <w:r w:rsidRPr="002B7C6B">
              <w:rPr>
                <w:rFonts w:eastAsia="Times New Roman" w:cstheme="minorHAnsi"/>
                <w:color w:val="222222"/>
                <w:sz w:val="20"/>
                <w:szCs w:val="20"/>
              </w:rPr>
              <w:t xml:space="preserve">Patient must have an LDL cholesterol level in excess of 5 millimoles per litre, </w:t>
            </w:r>
            <w:r w:rsidRPr="002B7C6B">
              <w:rPr>
                <w:rFonts w:eastAsia="Times New Roman" w:cstheme="minorHAnsi"/>
                <w:b/>
                <w:bCs/>
                <w:color w:val="222222"/>
                <w:sz w:val="20"/>
                <w:szCs w:val="20"/>
                <w:bdr w:val="none" w:sz="0" w:space="0" w:color="auto" w:frame="1"/>
              </w:rPr>
              <w:t>AND</w:t>
            </w:r>
          </w:p>
          <w:p w14:paraId="1CC9DBB4" w14:textId="77777777" w:rsidR="002B7C6B" w:rsidRPr="002B7C6B" w:rsidRDefault="002B7C6B" w:rsidP="00FC1D2C">
            <w:pPr>
              <w:numPr>
                <w:ilvl w:val="0"/>
                <w:numId w:val="8"/>
              </w:numPr>
              <w:spacing w:before="60" w:after="60"/>
              <w:rPr>
                <w:rFonts w:eastAsia="Times New Roman" w:cstheme="minorHAnsi"/>
                <w:color w:val="222222"/>
                <w:sz w:val="20"/>
                <w:szCs w:val="20"/>
              </w:rPr>
            </w:pPr>
            <w:r w:rsidRPr="002B7C6B">
              <w:rPr>
                <w:rFonts w:eastAsia="Times New Roman" w:cstheme="minorHAnsi"/>
                <w:color w:val="222222"/>
                <w:sz w:val="20"/>
                <w:szCs w:val="20"/>
              </w:rPr>
              <w:t xml:space="preserve">Patient must have been treated with ezetimibe for at least 12 consecutive weeks in conjunction with a statin (if tolerated), dietary therapy and exercise, </w:t>
            </w:r>
            <w:r w:rsidRPr="002B7C6B">
              <w:rPr>
                <w:rFonts w:eastAsia="Times New Roman" w:cstheme="minorHAnsi"/>
                <w:b/>
                <w:bCs/>
                <w:color w:val="222222"/>
                <w:sz w:val="20"/>
                <w:szCs w:val="20"/>
                <w:bdr w:val="none" w:sz="0" w:space="0" w:color="auto" w:frame="1"/>
              </w:rPr>
              <w:t>AND</w:t>
            </w:r>
          </w:p>
          <w:p w14:paraId="7309CEE4" w14:textId="6AAA27E8" w:rsidR="002B7C6B" w:rsidRPr="002B7C6B" w:rsidRDefault="002B7C6B" w:rsidP="00FC1D2C">
            <w:pPr>
              <w:numPr>
                <w:ilvl w:val="0"/>
                <w:numId w:val="8"/>
              </w:numPr>
              <w:spacing w:before="60" w:after="60"/>
              <w:rPr>
                <w:rFonts w:eastAsia="Times New Roman" w:cstheme="minorHAnsi"/>
                <w:color w:val="222222"/>
                <w:sz w:val="20"/>
                <w:szCs w:val="20"/>
              </w:rPr>
            </w:pPr>
            <w:r w:rsidRPr="002B7C6B">
              <w:rPr>
                <w:rFonts w:cstheme="minorHAnsi"/>
                <w:color w:val="222222"/>
                <w:sz w:val="20"/>
                <w:szCs w:val="20"/>
              </w:rPr>
              <w:t>Patient must not be receiving concomitant PBS-subsidised treatment with another drug that belongs to the same pharmacological class as this drug, for this PBS indication.</w:t>
            </w:r>
          </w:p>
        </w:tc>
      </w:tr>
      <w:tr w:rsidR="002B7C6B" w:rsidRPr="002B7C6B" w14:paraId="7C551993" w14:textId="77777777" w:rsidTr="001B707A">
        <w:trPr>
          <w:trHeight w:val="3965"/>
        </w:trPr>
        <w:tc>
          <w:tcPr>
            <w:tcW w:w="988" w:type="dxa"/>
          </w:tcPr>
          <w:p w14:paraId="3AA3C0F3" w14:textId="1D314A8D" w:rsidR="002B7C6B" w:rsidRPr="002B7C6B" w:rsidRDefault="002B7C6B" w:rsidP="00FC1D2C">
            <w:pPr>
              <w:pStyle w:val="NormalWeb"/>
              <w:spacing w:before="60" w:beforeAutospacing="0" w:after="60" w:afterAutospacing="0" w:line="300" w:lineRule="atLeast"/>
              <w:rPr>
                <w:rFonts w:asciiTheme="minorHAnsi" w:hAnsiTheme="minorHAnsi" w:cstheme="minorHAnsi"/>
                <w:color w:val="222222"/>
                <w:sz w:val="20"/>
                <w:szCs w:val="20"/>
              </w:rPr>
            </w:pPr>
            <w:r w:rsidRPr="002B7C6B">
              <w:rPr>
                <w:rFonts w:asciiTheme="minorHAnsi" w:hAnsiTheme="minorHAnsi" w:cstheme="minorHAnsi"/>
                <w:b/>
                <w:bCs/>
                <w:iCs/>
                <w:sz w:val="20"/>
                <w:szCs w:val="20"/>
              </w:rPr>
              <w:t>Non-</w:t>
            </w:r>
            <w:r w:rsidR="001B707A">
              <w:rPr>
                <w:rFonts w:asciiTheme="minorHAnsi" w:hAnsiTheme="minorHAnsi" w:cstheme="minorHAnsi"/>
                <w:b/>
                <w:bCs/>
                <w:iCs/>
                <w:sz w:val="20"/>
                <w:szCs w:val="20"/>
              </w:rPr>
              <w:t>FH</w:t>
            </w:r>
          </w:p>
        </w:tc>
        <w:tc>
          <w:tcPr>
            <w:tcW w:w="7959" w:type="dxa"/>
          </w:tcPr>
          <w:p w14:paraId="3F7A6491" w14:textId="77777777" w:rsidR="002B7C6B" w:rsidRPr="002B7C6B" w:rsidRDefault="002B7C6B" w:rsidP="00FC1D2C">
            <w:pPr>
              <w:numPr>
                <w:ilvl w:val="0"/>
                <w:numId w:val="9"/>
              </w:numPr>
              <w:spacing w:before="60" w:after="60"/>
              <w:rPr>
                <w:rFonts w:eastAsia="Times New Roman" w:cstheme="minorHAnsi"/>
                <w:color w:val="222222"/>
                <w:sz w:val="20"/>
                <w:szCs w:val="20"/>
              </w:rPr>
            </w:pPr>
            <w:r w:rsidRPr="002B7C6B">
              <w:rPr>
                <w:rFonts w:eastAsia="Times New Roman" w:cstheme="minorHAnsi"/>
                <w:color w:val="222222"/>
                <w:sz w:val="20"/>
                <w:szCs w:val="20"/>
              </w:rPr>
              <w:t xml:space="preserve">Patient must not be receiving concomitant PBS-subsidised treatment with another drug that belongs to the same pharmacological class as this drug, </w:t>
            </w:r>
            <w:r w:rsidRPr="002B7C6B">
              <w:rPr>
                <w:rFonts w:eastAsia="Times New Roman" w:cstheme="minorHAnsi"/>
                <w:b/>
                <w:bCs/>
                <w:color w:val="222222"/>
                <w:sz w:val="20"/>
                <w:szCs w:val="20"/>
                <w:bdr w:val="none" w:sz="0" w:space="0" w:color="auto" w:frame="1"/>
              </w:rPr>
              <w:t>AND</w:t>
            </w:r>
          </w:p>
          <w:p w14:paraId="5570E212" w14:textId="77777777" w:rsidR="002B7C6B" w:rsidRPr="002B7C6B" w:rsidRDefault="002B7C6B" w:rsidP="00FC1D2C">
            <w:pPr>
              <w:numPr>
                <w:ilvl w:val="0"/>
                <w:numId w:val="10"/>
              </w:numPr>
              <w:spacing w:before="60" w:after="60"/>
              <w:rPr>
                <w:rFonts w:eastAsia="Times New Roman" w:cstheme="minorHAnsi"/>
                <w:color w:val="222222"/>
                <w:sz w:val="20"/>
                <w:szCs w:val="20"/>
              </w:rPr>
            </w:pPr>
            <w:r w:rsidRPr="002B7C6B">
              <w:rPr>
                <w:rFonts w:eastAsia="Times New Roman" w:cstheme="minorHAnsi"/>
                <w:color w:val="222222"/>
                <w:sz w:val="20"/>
                <w:szCs w:val="20"/>
              </w:rPr>
              <w:t xml:space="preserve">Patient must have symptomatic atherosclerotic cardiovascular disease, </w:t>
            </w:r>
            <w:r w:rsidRPr="002B7C6B">
              <w:rPr>
                <w:rFonts w:eastAsia="Times New Roman" w:cstheme="minorHAnsi"/>
                <w:b/>
                <w:bCs/>
                <w:color w:val="222222"/>
                <w:sz w:val="20"/>
                <w:szCs w:val="20"/>
                <w:bdr w:val="none" w:sz="0" w:space="0" w:color="auto" w:frame="1"/>
              </w:rPr>
              <w:t>AND</w:t>
            </w:r>
          </w:p>
          <w:p w14:paraId="669DACBF" w14:textId="5BF74F62" w:rsidR="002B7C6B" w:rsidRPr="002B7C6B" w:rsidRDefault="002B7C6B" w:rsidP="00FC1D2C">
            <w:pPr>
              <w:numPr>
                <w:ilvl w:val="0"/>
                <w:numId w:val="11"/>
              </w:numPr>
              <w:spacing w:before="60" w:after="60"/>
              <w:rPr>
                <w:rFonts w:eastAsia="Times New Roman" w:cstheme="minorHAnsi"/>
                <w:color w:val="222222"/>
                <w:sz w:val="20"/>
                <w:szCs w:val="20"/>
              </w:rPr>
            </w:pPr>
            <w:r w:rsidRPr="002B7C6B">
              <w:rPr>
                <w:rFonts w:eastAsia="Times New Roman" w:cstheme="minorHAnsi"/>
                <w:color w:val="222222"/>
                <w:sz w:val="20"/>
                <w:szCs w:val="20"/>
              </w:rPr>
              <w:t xml:space="preserve">Patient must have an LDL cholesterol level in excess of </w:t>
            </w:r>
            <w:r w:rsidR="00FC4D7B">
              <w:rPr>
                <w:rFonts w:eastAsia="Times New Roman" w:cstheme="minorHAnsi"/>
                <w:color w:val="222222"/>
                <w:sz w:val="20"/>
                <w:szCs w:val="20"/>
              </w:rPr>
              <w:t>1.8</w:t>
            </w:r>
            <w:r w:rsidRPr="002B7C6B">
              <w:rPr>
                <w:rFonts w:eastAsia="Times New Roman" w:cstheme="minorHAnsi"/>
                <w:color w:val="222222"/>
                <w:sz w:val="20"/>
                <w:szCs w:val="20"/>
              </w:rPr>
              <w:t xml:space="preserve"> millimoles per litre, </w:t>
            </w:r>
            <w:r w:rsidRPr="002B7C6B">
              <w:rPr>
                <w:rFonts w:eastAsia="Times New Roman" w:cstheme="minorHAnsi"/>
                <w:b/>
                <w:bCs/>
                <w:color w:val="222222"/>
                <w:sz w:val="20"/>
                <w:szCs w:val="20"/>
                <w:bdr w:val="none" w:sz="0" w:space="0" w:color="auto" w:frame="1"/>
              </w:rPr>
              <w:t>AND</w:t>
            </w:r>
          </w:p>
          <w:p w14:paraId="49F8FDEB" w14:textId="77777777" w:rsidR="002B7C6B" w:rsidRPr="002B7C6B" w:rsidRDefault="002B7C6B" w:rsidP="00FC1D2C">
            <w:pPr>
              <w:numPr>
                <w:ilvl w:val="0"/>
                <w:numId w:val="12"/>
              </w:numPr>
              <w:spacing w:before="60" w:after="60"/>
              <w:rPr>
                <w:rFonts w:eastAsia="Times New Roman" w:cstheme="minorHAnsi"/>
                <w:color w:val="222222"/>
                <w:sz w:val="20"/>
                <w:szCs w:val="20"/>
              </w:rPr>
            </w:pPr>
            <w:r w:rsidRPr="002B7C6B">
              <w:rPr>
                <w:rFonts w:eastAsia="Times New Roman" w:cstheme="minorHAnsi"/>
                <w:color w:val="222222"/>
                <w:sz w:val="20"/>
                <w:szCs w:val="20"/>
              </w:rPr>
              <w:t>Patient must have atherosclerotic disease in two or more vascular territories (coronary, cerebrovascular or peripheral vascular territories); OR</w:t>
            </w:r>
          </w:p>
          <w:p w14:paraId="7031F4BD" w14:textId="77777777" w:rsidR="002B7C6B" w:rsidRPr="002B7C6B" w:rsidRDefault="002B7C6B" w:rsidP="00FC1D2C">
            <w:pPr>
              <w:numPr>
                <w:ilvl w:val="0"/>
                <w:numId w:val="12"/>
              </w:numPr>
              <w:spacing w:before="60" w:after="60"/>
              <w:rPr>
                <w:rFonts w:eastAsia="Times New Roman" w:cstheme="minorHAnsi"/>
                <w:color w:val="222222"/>
                <w:sz w:val="20"/>
                <w:szCs w:val="20"/>
              </w:rPr>
            </w:pPr>
            <w:r w:rsidRPr="002B7C6B">
              <w:rPr>
                <w:rFonts w:eastAsia="Times New Roman" w:cstheme="minorHAnsi"/>
                <w:color w:val="222222"/>
                <w:sz w:val="20"/>
                <w:szCs w:val="20"/>
              </w:rPr>
              <w:t>Patient must have severe multi-vessel coronary heart disease defined as at least 50% stenosis in at least two large vessels; OR</w:t>
            </w:r>
          </w:p>
          <w:p w14:paraId="4786E4BB" w14:textId="77777777" w:rsidR="002B7C6B" w:rsidRPr="002B7C6B" w:rsidRDefault="002B7C6B" w:rsidP="00FC1D2C">
            <w:pPr>
              <w:numPr>
                <w:ilvl w:val="0"/>
                <w:numId w:val="12"/>
              </w:numPr>
              <w:spacing w:before="60" w:after="60"/>
              <w:rPr>
                <w:rFonts w:eastAsia="Times New Roman" w:cstheme="minorHAnsi"/>
                <w:color w:val="222222"/>
                <w:sz w:val="20"/>
                <w:szCs w:val="20"/>
              </w:rPr>
            </w:pPr>
            <w:r w:rsidRPr="002B7C6B">
              <w:rPr>
                <w:rFonts w:eastAsia="Times New Roman" w:cstheme="minorHAnsi"/>
                <w:color w:val="222222"/>
                <w:sz w:val="20"/>
                <w:szCs w:val="20"/>
              </w:rPr>
              <w:t>Patient must have had at least two major cardiovascular events (i.e. myocardial infarction, unstable angina, stroke or unplanned revascularisation) in the previous 5 years; OR</w:t>
            </w:r>
          </w:p>
          <w:p w14:paraId="1D01AD55" w14:textId="77777777" w:rsidR="002B7C6B" w:rsidRPr="002B7C6B" w:rsidRDefault="002B7C6B" w:rsidP="00FC1D2C">
            <w:pPr>
              <w:numPr>
                <w:ilvl w:val="0"/>
                <w:numId w:val="12"/>
              </w:numPr>
              <w:spacing w:before="60" w:after="60"/>
              <w:rPr>
                <w:rFonts w:eastAsia="Times New Roman" w:cstheme="minorHAnsi"/>
                <w:color w:val="222222"/>
                <w:sz w:val="20"/>
                <w:szCs w:val="20"/>
              </w:rPr>
            </w:pPr>
            <w:r w:rsidRPr="002B7C6B">
              <w:rPr>
                <w:rFonts w:eastAsia="Times New Roman" w:cstheme="minorHAnsi"/>
                <w:color w:val="222222"/>
                <w:sz w:val="20"/>
                <w:szCs w:val="20"/>
              </w:rPr>
              <w:t>Patient must have diabetes mellitus with microalbuminuria; OR</w:t>
            </w:r>
          </w:p>
          <w:p w14:paraId="64634FB9" w14:textId="77777777" w:rsidR="002B7C6B" w:rsidRPr="002B7C6B" w:rsidRDefault="002B7C6B" w:rsidP="00FC1D2C">
            <w:pPr>
              <w:numPr>
                <w:ilvl w:val="0"/>
                <w:numId w:val="12"/>
              </w:numPr>
              <w:spacing w:before="60" w:after="60"/>
              <w:rPr>
                <w:rFonts w:eastAsia="Times New Roman" w:cstheme="minorHAnsi"/>
                <w:color w:val="222222"/>
                <w:sz w:val="20"/>
                <w:szCs w:val="20"/>
              </w:rPr>
            </w:pPr>
            <w:r w:rsidRPr="002B7C6B">
              <w:rPr>
                <w:rFonts w:eastAsia="Times New Roman" w:cstheme="minorHAnsi"/>
                <w:color w:val="222222"/>
                <w:sz w:val="20"/>
                <w:szCs w:val="20"/>
              </w:rPr>
              <w:t>Patient must have diabetes mellitus and be aged 60 years or more; OR</w:t>
            </w:r>
          </w:p>
          <w:p w14:paraId="50F64EBD" w14:textId="77777777" w:rsidR="002B7C6B" w:rsidRPr="002B7C6B" w:rsidRDefault="002B7C6B" w:rsidP="00FC1D2C">
            <w:pPr>
              <w:numPr>
                <w:ilvl w:val="0"/>
                <w:numId w:val="12"/>
              </w:numPr>
              <w:spacing w:before="60" w:after="60"/>
              <w:rPr>
                <w:rFonts w:eastAsia="Times New Roman" w:cstheme="minorHAnsi"/>
                <w:color w:val="222222"/>
                <w:sz w:val="20"/>
                <w:szCs w:val="20"/>
              </w:rPr>
            </w:pPr>
            <w:r w:rsidRPr="002B7C6B">
              <w:rPr>
                <w:rFonts w:eastAsia="Times New Roman" w:cstheme="minorHAnsi"/>
                <w:color w:val="222222"/>
                <w:sz w:val="20"/>
                <w:szCs w:val="20"/>
              </w:rPr>
              <w:t>Patient must be an Aboriginal or Torres Strait Islander with diabetes mellitus; OR</w:t>
            </w:r>
          </w:p>
          <w:p w14:paraId="31B4975C" w14:textId="77777777" w:rsidR="00A7538B" w:rsidRPr="00A7538B" w:rsidRDefault="002B7C6B" w:rsidP="00FC1D2C">
            <w:pPr>
              <w:numPr>
                <w:ilvl w:val="0"/>
                <w:numId w:val="12"/>
              </w:numPr>
              <w:spacing w:before="60" w:after="60"/>
              <w:rPr>
                <w:rFonts w:eastAsia="Times New Roman" w:cstheme="minorHAnsi"/>
                <w:color w:val="222222"/>
                <w:sz w:val="20"/>
                <w:szCs w:val="20"/>
              </w:rPr>
            </w:pPr>
            <w:r w:rsidRPr="002B7C6B">
              <w:rPr>
                <w:rFonts w:eastAsia="Times New Roman" w:cstheme="minorHAnsi"/>
                <w:color w:val="222222"/>
                <w:sz w:val="20"/>
                <w:szCs w:val="20"/>
              </w:rPr>
              <w:t xml:space="preserve">Patient must have a Thrombolysis in Myocardial Infarction (TIMI) risk score for secondary prevention of 4 or higher, </w:t>
            </w:r>
            <w:r w:rsidRPr="002B7C6B">
              <w:rPr>
                <w:rFonts w:eastAsia="Times New Roman" w:cstheme="minorHAnsi"/>
                <w:b/>
                <w:bCs/>
                <w:color w:val="222222"/>
                <w:sz w:val="20"/>
                <w:szCs w:val="20"/>
                <w:bdr w:val="none" w:sz="0" w:space="0" w:color="auto" w:frame="1"/>
              </w:rPr>
              <w:t>AND</w:t>
            </w:r>
          </w:p>
          <w:p w14:paraId="372E0A7C" w14:textId="29F83276" w:rsidR="002B7C6B" w:rsidRPr="00A7538B" w:rsidRDefault="002B7C6B" w:rsidP="00FC1D2C">
            <w:pPr>
              <w:numPr>
                <w:ilvl w:val="0"/>
                <w:numId w:val="12"/>
              </w:numPr>
              <w:spacing w:before="60" w:after="60"/>
              <w:rPr>
                <w:rFonts w:eastAsia="Times New Roman" w:cstheme="minorHAnsi"/>
                <w:color w:val="222222"/>
                <w:sz w:val="20"/>
                <w:szCs w:val="20"/>
              </w:rPr>
            </w:pPr>
            <w:r w:rsidRPr="00A7538B">
              <w:rPr>
                <w:rFonts w:cstheme="minorHAnsi"/>
                <w:color w:val="222222"/>
                <w:sz w:val="20"/>
                <w:szCs w:val="20"/>
              </w:rPr>
              <w:t>Patient must have been treated with ezetimibe for at least 12 consecutive weeks in conjunction with a statin (if tolerated), dietary therapy and exercise.</w:t>
            </w:r>
          </w:p>
        </w:tc>
      </w:tr>
    </w:tbl>
    <w:p w14:paraId="4C928D1A" w14:textId="77777777" w:rsidR="00BC4B98" w:rsidRDefault="002B7C6B" w:rsidP="002B7C6B">
      <w:pPr>
        <w:pStyle w:val="NormalWeb"/>
        <w:shd w:val="clear" w:color="auto" w:fill="FFFFFF"/>
        <w:spacing w:before="240" w:beforeAutospacing="0" w:after="0" w:afterAutospacing="0" w:line="300" w:lineRule="atLeast"/>
        <w:rPr>
          <w:rFonts w:asciiTheme="minorHAnsi" w:hAnsiTheme="minorHAnsi" w:cstheme="minorHAnsi"/>
        </w:rPr>
      </w:pPr>
      <w:r>
        <w:rPr>
          <w:rFonts w:asciiTheme="minorHAnsi" w:hAnsiTheme="minorHAnsi" w:cstheme="minorHAnsi"/>
          <w:color w:val="222222"/>
        </w:rPr>
        <w:t xml:space="preserve">In the continuing treatment phase, </w:t>
      </w:r>
      <w:r w:rsidRPr="00423590">
        <w:rPr>
          <w:rFonts w:asciiTheme="minorHAnsi" w:hAnsiTheme="minorHAnsi" w:cstheme="minorHAnsi"/>
        </w:rPr>
        <w:t xml:space="preserve">all indications (familial homozygous and heterozygous hypercholesterolaemia and non-familial hypercholesterolaemia) </w:t>
      </w:r>
      <w:r>
        <w:rPr>
          <w:rFonts w:asciiTheme="minorHAnsi" w:hAnsiTheme="minorHAnsi" w:cstheme="minorHAnsi"/>
        </w:rPr>
        <w:t>are Authority Required (STREAMLINED) listings</w:t>
      </w:r>
      <w:r w:rsidR="00BC4B98">
        <w:rPr>
          <w:rFonts w:asciiTheme="minorHAnsi" w:hAnsiTheme="minorHAnsi" w:cstheme="minorHAnsi"/>
        </w:rPr>
        <w:t xml:space="preserve">. </w:t>
      </w:r>
    </w:p>
    <w:p w14:paraId="64A6427B" w14:textId="3F3A6E90" w:rsidR="002B7C6B" w:rsidRDefault="00BC4B98" w:rsidP="00642F5F">
      <w:pPr>
        <w:pStyle w:val="NormalWeb"/>
        <w:shd w:val="clear" w:color="auto" w:fill="FFFFFF"/>
        <w:spacing w:before="240" w:beforeAutospacing="0" w:after="0" w:afterAutospacing="0"/>
      </w:pPr>
      <w:r>
        <w:rPr>
          <w:rFonts w:asciiTheme="minorHAnsi" w:hAnsiTheme="minorHAnsi" w:cstheme="minorHAnsi"/>
        </w:rPr>
        <w:t xml:space="preserve">For familial homozygous </w:t>
      </w:r>
      <w:r w:rsidRPr="00423590">
        <w:rPr>
          <w:rFonts w:asciiTheme="minorHAnsi" w:hAnsiTheme="minorHAnsi" w:cstheme="minorHAnsi"/>
        </w:rPr>
        <w:t>hypercholesterolaemia</w:t>
      </w:r>
      <w:r>
        <w:rPr>
          <w:rFonts w:asciiTheme="minorHAnsi" w:hAnsiTheme="minorHAnsi" w:cstheme="minorHAnsi"/>
        </w:rPr>
        <w:t>, the clinical criteria requires</w:t>
      </w:r>
      <w:r w:rsidR="002B7C6B" w:rsidRPr="00240227">
        <w:t>:</w:t>
      </w:r>
    </w:p>
    <w:p w14:paraId="79AD6740" w14:textId="77777777" w:rsidR="00BC4B98" w:rsidRDefault="002B7C6B" w:rsidP="00642F5F">
      <w:pPr>
        <w:pStyle w:val="NormalWeb"/>
        <w:numPr>
          <w:ilvl w:val="0"/>
          <w:numId w:val="13"/>
        </w:numPr>
        <w:shd w:val="clear" w:color="auto" w:fill="FFFFFF"/>
        <w:spacing w:before="240" w:beforeAutospacing="0" w:after="0" w:afterAutospacing="0"/>
        <w:rPr>
          <w:rFonts w:asciiTheme="minorHAnsi" w:hAnsiTheme="minorHAnsi" w:cstheme="minorHAnsi"/>
          <w:color w:val="222222"/>
        </w:rPr>
      </w:pPr>
      <w:r>
        <w:rPr>
          <w:rFonts w:asciiTheme="minorHAnsi" w:hAnsiTheme="minorHAnsi" w:cstheme="minorHAnsi"/>
          <w:color w:val="222222"/>
        </w:rPr>
        <w:t>P</w:t>
      </w:r>
      <w:r w:rsidRPr="00EB75B7">
        <w:rPr>
          <w:rFonts w:asciiTheme="minorHAnsi" w:hAnsiTheme="minorHAnsi" w:cstheme="minorHAnsi"/>
          <w:color w:val="222222"/>
        </w:rPr>
        <w:t>atient must have previously received PBS-subsidised treatment with this drug for this condition,</w:t>
      </w:r>
      <w:r>
        <w:rPr>
          <w:rFonts w:asciiTheme="minorHAnsi" w:hAnsiTheme="minorHAnsi" w:cstheme="minorHAnsi"/>
          <w:color w:val="222222"/>
        </w:rPr>
        <w:t xml:space="preserve"> </w:t>
      </w:r>
      <w:r w:rsidRPr="00BC4B98">
        <w:rPr>
          <w:rFonts w:asciiTheme="minorHAnsi" w:hAnsiTheme="minorHAnsi" w:cstheme="minorHAnsi"/>
          <w:b/>
          <w:bCs/>
          <w:color w:val="222222"/>
          <w:bdr w:val="none" w:sz="0" w:space="0" w:color="auto" w:frame="1"/>
        </w:rPr>
        <w:t>AND</w:t>
      </w:r>
    </w:p>
    <w:p w14:paraId="245A3D51" w14:textId="20CD2912" w:rsidR="008968B6" w:rsidRPr="00BC4B98" w:rsidRDefault="002B7C6B" w:rsidP="00642F5F">
      <w:pPr>
        <w:pStyle w:val="NormalWeb"/>
        <w:numPr>
          <w:ilvl w:val="0"/>
          <w:numId w:val="13"/>
        </w:numPr>
        <w:shd w:val="clear" w:color="auto" w:fill="FFFFFF"/>
        <w:spacing w:before="240" w:beforeAutospacing="0" w:after="0" w:afterAutospacing="0"/>
        <w:rPr>
          <w:rFonts w:asciiTheme="minorHAnsi" w:hAnsiTheme="minorHAnsi" w:cstheme="minorHAnsi"/>
          <w:color w:val="222222"/>
        </w:rPr>
      </w:pPr>
      <w:r w:rsidRPr="00BC4B98">
        <w:rPr>
          <w:rFonts w:asciiTheme="minorHAnsi" w:hAnsiTheme="minorHAnsi" w:cstheme="minorHAnsi"/>
          <w:color w:val="222222"/>
        </w:rPr>
        <w:t>The treatment must be in conjunction with dietary therapy and exercise.</w:t>
      </w:r>
    </w:p>
    <w:p w14:paraId="788FA690" w14:textId="2D3E2FF2" w:rsidR="00BC4B98" w:rsidRPr="00BC4B98" w:rsidRDefault="00BC4B98" w:rsidP="00642F5F">
      <w:pPr>
        <w:rPr>
          <w:rFonts w:cstheme="minorHAnsi"/>
        </w:rPr>
      </w:pPr>
      <w:r>
        <w:lastRenderedPageBreak/>
        <w:t xml:space="preserve">For familial heterozygous and non-familial </w:t>
      </w:r>
      <w:r w:rsidRPr="00423590">
        <w:rPr>
          <w:rFonts w:cstheme="minorHAnsi"/>
        </w:rPr>
        <w:t>hypercholesterolaemia</w:t>
      </w:r>
      <w:r>
        <w:rPr>
          <w:rFonts w:cstheme="minorHAnsi"/>
        </w:rPr>
        <w:t xml:space="preserve">, the clinical criteria </w:t>
      </w:r>
      <w:proofErr w:type="gramStart"/>
      <w:r>
        <w:rPr>
          <w:rFonts w:cstheme="minorHAnsi"/>
        </w:rPr>
        <w:t>requires</w:t>
      </w:r>
      <w:proofErr w:type="gramEnd"/>
      <w:r>
        <w:rPr>
          <w:rFonts w:cstheme="minorHAnsi"/>
        </w:rPr>
        <w:t xml:space="preserve">: </w:t>
      </w:r>
    </w:p>
    <w:p w14:paraId="39F5CA50" w14:textId="79A590A6" w:rsidR="00BC4B98" w:rsidRPr="00BC4B98" w:rsidRDefault="00BC4B98" w:rsidP="00642F5F">
      <w:pPr>
        <w:pStyle w:val="NormalWeb"/>
        <w:numPr>
          <w:ilvl w:val="0"/>
          <w:numId w:val="13"/>
        </w:numPr>
        <w:shd w:val="clear" w:color="auto" w:fill="FFFFFF"/>
        <w:spacing w:before="240" w:beforeAutospacing="0" w:after="0" w:afterAutospacing="0"/>
        <w:rPr>
          <w:rFonts w:asciiTheme="minorHAnsi" w:hAnsiTheme="minorHAnsi" w:cstheme="minorHAnsi"/>
          <w:color w:val="222222"/>
        </w:rPr>
      </w:pPr>
      <w:r>
        <w:rPr>
          <w:rFonts w:asciiTheme="minorHAnsi" w:hAnsiTheme="minorHAnsi" w:cstheme="minorHAnsi"/>
          <w:color w:val="222222"/>
        </w:rPr>
        <w:t>P</w:t>
      </w:r>
      <w:r w:rsidRPr="00EB75B7">
        <w:rPr>
          <w:rFonts w:asciiTheme="minorHAnsi" w:hAnsiTheme="minorHAnsi" w:cstheme="minorHAnsi"/>
          <w:color w:val="222222"/>
        </w:rPr>
        <w:t>atient must have previously received PBS-subsidised treatment with this drug for this condition,</w:t>
      </w:r>
      <w:r>
        <w:rPr>
          <w:rFonts w:asciiTheme="minorHAnsi" w:hAnsiTheme="minorHAnsi" w:cstheme="minorHAnsi"/>
          <w:color w:val="222222"/>
        </w:rPr>
        <w:t xml:space="preserve"> </w:t>
      </w:r>
      <w:r>
        <w:rPr>
          <w:rFonts w:asciiTheme="minorHAnsi" w:hAnsiTheme="minorHAnsi" w:cstheme="minorHAnsi"/>
          <w:color w:val="222222"/>
          <w:bdr w:val="none" w:sz="0" w:space="0" w:color="auto" w:frame="1"/>
        </w:rPr>
        <w:t xml:space="preserve">OR </w:t>
      </w:r>
    </w:p>
    <w:p w14:paraId="7CB8F444" w14:textId="77777777" w:rsidR="00BC4B98" w:rsidRDefault="00BC4B98" w:rsidP="00642F5F">
      <w:pPr>
        <w:pStyle w:val="NormalWeb"/>
        <w:numPr>
          <w:ilvl w:val="0"/>
          <w:numId w:val="13"/>
        </w:numPr>
        <w:shd w:val="clear" w:color="auto" w:fill="FFFFFF"/>
        <w:spacing w:before="240" w:beforeAutospacing="0" w:after="0" w:afterAutospacing="0"/>
        <w:rPr>
          <w:rFonts w:asciiTheme="minorHAnsi" w:hAnsiTheme="minorHAnsi" w:cstheme="minorHAnsi"/>
          <w:color w:val="222222"/>
        </w:rPr>
      </w:pPr>
      <w:r>
        <w:rPr>
          <w:rFonts w:asciiTheme="minorHAnsi" w:hAnsiTheme="minorHAnsi" w:cstheme="minorHAnsi"/>
          <w:color w:val="222222"/>
        </w:rPr>
        <w:t>P</w:t>
      </w:r>
      <w:r w:rsidRPr="00EB75B7">
        <w:rPr>
          <w:rFonts w:asciiTheme="minorHAnsi" w:hAnsiTheme="minorHAnsi" w:cstheme="minorHAnsi"/>
          <w:color w:val="222222"/>
        </w:rPr>
        <w:t>atient must have previously received PBS-subsidised treatment with this drug for this condition,</w:t>
      </w:r>
      <w:r>
        <w:rPr>
          <w:rFonts w:asciiTheme="minorHAnsi" w:hAnsiTheme="minorHAnsi" w:cstheme="minorHAnsi"/>
          <w:color w:val="222222"/>
        </w:rPr>
        <w:t xml:space="preserve"> </w:t>
      </w:r>
    </w:p>
    <w:p w14:paraId="70A39922" w14:textId="4F3699D9" w:rsidR="00BC4B98" w:rsidRPr="00BC4B98" w:rsidRDefault="00BC4B98" w:rsidP="00642F5F">
      <w:pPr>
        <w:pStyle w:val="NormalWeb"/>
        <w:shd w:val="clear" w:color="auto" w:fill="FFFFFF"/>
        <w:spacing w:before="240" w:beforeAutospacing="0" w:after="0" w:afterAutospacing="0"/>
        <w:ind w:left="720"/>
        <w:rPr>
          <w:rFonts w:asciiTheme="minorHAnsi" w:hAnsiTheme="minorHAnsi" w:cstheme="minorHAnsi"/>
          <w:b/>
          <w:bCs/>
          <w:color w:val="222222"/>
        </w:rPr>
      </w:pPr>
      <w:r w:rsidRPr="00BC4B98">
        <w:rPr>
          <w:rFonts w:asciiTheme="minorHAnsi" w:hAnsiTheme="minorHAnsi" w:cstheme="minorHAnsi"/>
          <w:b/>
          <w:bCs/>
          <w:color w:val="222222"/>
          <w:bdr w:val="none" w:sz="0" w:space="0" w:color="auto" w:frame="1"/>
        </w:rPr>
        <w:t>AND</w:t>
      </w:r>
    </w:p>
    <w:p w14:paraId="5137780D" w14:textId="4EDC61B1" w:rsidR="00545A70" w:rsidRPr="00545A70" w:rsidRDefault="00BC4B98" w:rsidP="00642F5F">
      <w:pPr>
        <w:pStyle w:val="NormalWeb"/>
        <w:numPr>
          <w:ilvl w:val="0"/>
          <w:numId w:val="13"/>
        </w:numPr>
        <w:shd w:val="clear" w:color="auto" w:fill="FFFFFF"/>
        <w:spacing w:before="240" w:beforeAutospacing="0" w:after="0" w:afterAutospacing="0"/>
        <w:rPr>
          <w:rFonts w:asciiTheme="minorHAnsi" w:hAnsiTheme="minorHAnsi" w:cstheme="minorHAnsi"/>
          <w:color w:val="222222"/>
        </w:rPr>
      </w:pPr>
      <w:r w:rsidRPr="00BC4B98">
        <w:rPr>
          <w:rFonts w:asciiTheme="minorHAnsi" w:hAnsiTheme="minorHAnsi" w:cstheme="minorHAnsi"/>
          <w:color w:val="222222"/>
        </w:rPr>
        <w:t>The treatment must be in conjunction with dietary therapy and exercise.</w:t>
      </w:r>
    </w:p>
    <w:p w14:paraId="4B6DCC93" w14:textId="2BCB2EB6" w:rsidR="00E509E9" w:rsidRPr="00257FD9" w:rsidRDefault="00545A70" w:rsidP="00257FD9">
      <w:pPr>
        <w:pStyle w:val="NormalWeb"/>
        <w:numPr>
          <w:ilvl w:val="0"/>
          <w:numId w:val="13"/>
        </w:numPr>
        <w:shd w:val="clear" w:color="auto" w:fill="FFFFFF"/>
        <w:spacing w:before="240" w:beforeAutospacing="0" w:after="0" w:afterAutospacing="0"/>
        <w:rPr>
          <w:rFonts w:asciiTheme="minorHAnsi" w:hAnsiTheme="minorHAnsi" w:cstheme="minorHAnsi"/>
          <w:color w:val="222222"/>
        </w:rPr>
      </w:pPr>
      <w:r w:rsidRPr="00257FD9">
        <w:rPr>
          <w:rFonts w:asciiTheme="minorHAnsi" w:hAnsiTheme="minorHAnsi" w:cstheme="minorHAnsi"/>
          <w:color w:val="222222"/>
        </w:rPr>
        <w:t xml:space="preserve">Patient must not </w:t>
      </w:r>
      <w:r w:rsidR="00711DAB" w:rsidRPr="00257FD9">
        <w:rPr>
          <w:rFonts w:asciiTheme="minorHAnsi" w:hAnsiTheme="minorHAnsi" w:cstheme="minorHAnsi"/>
          <w:color w:val="222222"/>
        </w:rPr>
        <w:t xml:space="preserve">be </w:t>
      </w:r>
      <w:r w:rsidRPr="00257FD9">
        <w:rPr>
          <w:rFonts w:asciiTheme="minorHAnsi" w:hAnsiTheme="minorHAnsi" w:cstheme="minorHAnsi"/>
          <w:color w:val="222222"/>
        </w:rPr>
        <w:t xml:space="preserve">receiving concomitant PBS-subsidised treatment with another drug that belongs to the same pharmacological class as this drug, for this PBS indication. </w:t>
      </w:r>
    </w:p>
    <w:p w14:paraId="27E28A4E" w14:textId="77777777" w:rsidR="00E509E9" w:rsidRPr="006775F1" w:rsidDel="00EE2BBB" w:rsidRDefault="00E509E9" w:rsidP="00E509E9">
      <w:bookmarkStart w:id="0" w:name="_Hlk117087167"/>
      <w:r w:rsidRPr="00FB5E9A">
        <w:t>For definitions of symptomatic atherosclerotic cardiovascular disease, clinically important</w:t>
      </w:r>
      <w:r>
        <w:t xml:space="preserve"> product-related adverse events and for</w:t>
      </w:r>
      <w:r w:rsidRPr="006775F1" w:rsidDel="00EE2BBB">
        <w:t xml:space="preserve"> </w:t>
      </w:r>
      <w:r w:rsidDel="00EE2BBB">
        <w:t xml:space="preserve">details of the current PBS listing refer to the </w:t>
      </w:r>
      <w:hyperlink r:id="rId36" w:history="1">
        <w:r w:rsidRPr="00645D51" w:rsidDel="00EE2BBB">
          <w:rPr>
            <w:rStyle w:val="Hyperlink"/>
          </w:rPr>
          <w:t>PBS website</w:t>
        </w:r>
      </w:hyperlink>
      <w:r w:rsidDel="00EE2BBB">
        <w:rPr>
          <w:rStyle w:val="Hyperlink"/>
        </w:rPr>
        <w:t>.</w:t>
      </w:r>
    </w:p>
    <w:bookmarkEnd w:id="0"/>
    <w:p w14:paraId="6CC1D1E7" w14:textId="4E4DFC0B" w:rsidR="00E509E9" w:rsidRPr="00BC4B98" w:rsidRDefault="00E509E9" w:rsidP="00E509E9">
      <w:pPr>
        <w:sectPr w:rsidR="00E509E9" w:rsidRPr="00BC4B98" w:rsidSect="00240314">
          <w:headerReference w:type="even" r:id="rId37"/>
          <w:headerReference w:type="default" r:id="rId38"/>
          <w:footerReference w:type="even" r:id="rId39"/>
          <w:footerReference w:type="default" r:id="rId40"/>
          <w:headerReference w:type="first" r:id="rId41"/>
          <w:footerReference w:type="first" r:id="rId42"/>
          <w:pgSz w:w="11906" w:h="16838"/>
          <w:pgMar w:top="1644" w:right="1361" w:bottom="1644" w:left="1588" w:header="709" w:footer="709" w:gutter="0"/>
          <w:cols w:space="708"/>
          <w:docGrid w:linePitch="360"/>
        </w:sectPr>
      </w:pPr>
    </w:p>
    <w:p w14:paraId="6D54ECE9" w14:textId="09FF8794" w:rsidR="00FC3408" w:rsidRDefault="00FC3408" w:rsidP="00FC3408">
      <w:pPr>
        <w:pStyle w:val="Heading2"/>
      </w:pPr>
      <w:r w:rsidRPr="005E22C2">
        <w:lastRenderedPageBreak/>
        <w:t>A</w:t>
      </w:r>
      <w:r>
        <w:t xml:space="preserve">ppendix B: Summary of PBAC considerations for evolocumab </w:t>
      </w:r>
    </w:p>
    <w:tbl>
      <w:tblPr>
        <w:tblStyle w:val="TableGrid"/>
        <w:tblW w:w="13462" w:type="dxa"/>
        <w:tblLayout w:type="fixed"/>
        <w:tblLook w:val="04A0" w:firstRow="1" w:lastRow="0" w:firstColumn="1" w:lastColumn="0" w:noHBand="0" w:noVBand="1"/>
        <w:tblCaption w:val="PBAC considerations"/>
        <w:tblDescription w:val="Relevant aspects of consideration by the Pharmaceutical Benefits Advisory Committee (PBAC)"/>
      </w:tblPr>
      <w:tblGrid>
        <w:gridCol w:w="1129"/>
        <w:gridCol w:w="2127"/>
        <w:gridCol w:w="10206"/>
      </w:tblGrid>
      <w:tr w:rsidR="009C6C11" w:rsidRPr="00A35800" w:rsidDel="00EE2BBB" w14:paraId="565EC5C9" w14:textId="77777777" w:rsidTr="008968B6">
        <w:trPr>
          <w:trHeight w:val="108"/>
          <w:tblHeader/>
        </w:trPr>
        <w:tc>
          <w:tcPr>
            <w:tcW w:w="1129" w:type="dxa"/>
            <w:shd w:val="clear" w:color="auto" w:fill="BFBFBF" w:themeFill="background1" w:themeFillShade="BF"/>
          </w:tcPr>
          <w:p w14:paraId="6E1430C0" w14:textId="77777777" w:rsidR="009C6C11" w:rsidRPr="008A51F9" w:rsidDel="00EE2BBB" w:rsidRDefault="009C6C11" w:rsidP="00593BB3">
            <w:pPr>
              <w:pStyle w:val="Tableheading"/>
              <w:spacing w:beforeLines="60" w:before="144" w:afterLines="60" w:after="144"/>
              <w:jc w:val="left"/>
              <w:rPr>
                <w:rFonts w:cstheme="minorHAnsi"/>
                <w:sz w:val="20"/>
                <w:szCs w:val="20"/>
              </w:rPr>
            </w:pPr>
            <w:r>
              <w:rPr>
                <w:rFonts w:cstheme="minorHAnsi"/>
                <w:sz w:val="20"/>
                <w:szCs w:val="20"/>
              </w:rPr>
              <w:t xml:space="preserve">PBAC </w:t>
            </w:r>
            <w:r w:rsidRPr="008A51F9">
              <w:rPr>
                <w:rFonts w:cstheme="minorHAnsi"/>
                <w:sz w:val="20"/>
                <w:szCs w:val="20"/>
              </w:rPr>
              <w:t>Meeting</w:t>
            </w:r>
          </w:p>
        </w:tc>
        <w:tc>
          <w:tcPr>
            <w:tcW w:w="2127" w:type="dxa"/>
            <w:shd w:val="clear" w:color="auto" w:fill="BFBFBF" w:themeFill="background1" w:themeFillShade="BF"/>
          </w:tcPr>
          <w:p w14:paraId="179F2D6A" w14:textId="77777777" w:rsidR="009C6C11" w:rsidRPr="008A51F9" w:rsidDel="00EE2BBB" w:rsidRDefault="009C6C11" w:rsidP="00593BB3">
            <w:pPr>
              <w:pStyle w:val="Tableheading"/>
              <w:spacing w:beforeLines="60" w:before="144" w:afterLines="60" w:after="144"/>
              <w:rPr>
                <w:rFonts w:cstheme="minorHAnsi"/>
                <w:sz w:val="20"/>
                <w:szCs w:val="20"/>
              </w:rPr>
            </w:pPr>
            <w:r w:rsidRPr="008A51F9">
              <w:rPr>
                <w:rFonts w:cstheme="minorHAnsi"/>
                <w:sz w:val="20"/>
                <w:szCs w:val="20"/>
              </w:rPr>
              <w:t>Indication Considered</w:t>
            </w:r>
          </w:p>
        </w:tc>
        <w:tc>
          <w:tcPr>
            <w:tcW w:w="10206" w:type="dxa"/>
            <w:shd w:val="clear" w:color="auto" w:fill="BFBFBF" w:themeFill="background1" w:themeFillShade="BF"/>
          </w:tcPr>
          <w:p w14:paraId="509DF221" w14:textId="77777777" w:rsidR="009C6C11" w:rsidRPr="008A51F9" w:rsidDel="00EE2BBB" w:rsidRDefault="009C6C11" w:rsidP="00593BB3">
            <w:pPr>
              <w:pStyle w:val="Tableheading"/>
              <w:spacing w:beforeLines="60" w:before="144" w:afterLines="60" w:after="144"/>
              <w:rPr>
                <w:rFonts w:cstheme="minorHAnsi"/>
                <w:sz w:val="20"/>
                <w:szCs w:val="20"/>
              </w:rPr>
            </w:pPr>
            <w:r w:rsidRPr="008A51F9">
              <w:rPr>
                <w:rFonts w:cstheme="minorHAnsi"/>
                <w:sz w:val="20"/>
                <w:szCs w:val="20"/>
              </w:rPr>
              <w:t>Outcome</w:t>
            </w:r>
          </w:p>
        </w:tc>
      </w:tr>
      <w:tr w:rsidR="009C6C11" w:rsidRPr="00A35800" w:rsidDel="00EE2BBB" w14:paraId="7BDC646A" w14:textId="77777777" w:rsidTr="008968B6">
        <w:trPr>
          <w:trHeight w:val="552"/>
        </w:trPr>
        <w:tc>
          <w:tcPr>
            <w:tcW w:w="1129" w:type="dxa"/>
            <w:shd w:val="clear" w:color="auto" w:fill="auto"/>
          </w:tcPr>
          <w:p w14:paraId="0CD69C25" w14:textId="77777777" w:rsidR="009C6C11" w:rsidRPr="008A51F9" w:rsidRDefault="009C6C11" w:rsidP="00593BB3">
            <w:pPr>
              <w:spacing w:beforeLines="60" w:before="144" w:afterLines="60" w:after="144"/>
              <w:rPr>
                <w:rFonts w:eastAsia="Times New Roman" w:cstheme="minorHAnsi"/>
                <w:sz w:val="20"/>
                <w:szCs w:val="20"/>
              </w:rPr>
            </w:pPr>
            <w:r w:rsidRPr="004449A7">
              <w:rPr>
                <w:rFonts w:eastAsia="Times New Roman" w:cstheme="minorHAnsi"/>
                <w:sz w:val="20"/>
                <w:szCs w:val="20"/>
              </w:rPr>
              <w:t>March 2015</w:t>
            </w:r>
          </w:p>
          <w:p w14:paraId="2030EF0A" w14:textId="77777777" w:rsidR="009C6C11" w:rsidRPr="008A51F9" w:rsidDel="00EE2BBB" w:rsidRDefault="009C6C11" w:rsidP="00593BB3">
            <w:pPr>
              <w:pStyle w:val="Tablewriting"/>
              <w:spacing w:beforeLines="60" w:before="144" w:afterLines="60" w:after="144"/>
              <w:rPr>
                <w:rFonts w:cstheme="minorHAnsi"/>
              </w:rPr>
            </w:pPr>
          </w:p>
        </w:tc>
        <w:tc>
          <w:tcPr>
            <w:tcW w:w="2127" w:type="dxa"/>
            <w:shd w:val="clear" w:color="auto" w:fill="auto"/>
          </w:tcPr>
          <w:p w14:paraId="104F23EF" w14:textId="77777777" w:rsidR="009C6C11" w:rsidRPr="008A51F9" w:rsidDel="00EE2BBB" w:rsidRDefault="009C6C11" w:rsidP="00593BB3">
            <w:pPr>
              <w:spacing w:beforeLines="60" w:before="144" w:afterLines="60" w:after="144"/>
              <w:rPr>
                <w:rFonts w:cstheme="minorHAnsi"/>
                <w:sz w:val="20"/>
                <w:szCs w:val="20"/>
              </w:rPr>
            </w:pPr>
            <w:r w:rsidRPr="008A51F9">
              <w:rPr>
                <w:rFonts w:cstheme="minorHAnsi"/>
                <w:sz w:val="20"/>
                <w:szCs w:val="20"/>
              </w:rPr>
              <w:t>Hypercholesterolaemia</w:t>
            </w:r>
          </w:p>
        </w:tc>
        <w:tc>
          <w:tcPr>
            <w:tcW w:w="10206" w:type="dxa"/>
            <w:shd w:val="clear" w:color="auto" w:fill="auto"/>
          </w:tcPr>
          <w:p w14:paraId="752B2C1B" w14:textId="3887444D" w:rsidR="00AE12A8" w:rsidRPr="00AE12A8" w:rsidRDefault="00AE12A8" w:rsidP="00593BB3">
            <w:pPr>
              <w:spacing w:beforeLines="60" w:before="144" w:afterLines="60" w:after="144"/>
              <w:rPr>
                <w:sz w:val="20"/>
                <w:szCs w:val="20"/>
              </w:rPr>
            </w:pPr>
            <w:r w:rsidRPr="00AE12A8">
              <w:rPr>
                <w:sz w:val="20"/>
                <w:szCs w:val="20"/>
              </w:rPr>
              <w:t xml:space="preserve">The submission sought to open a dialogue regarding the potential future listing of </w:t>
            </w:r>
            <w:proofErr w:type="spellStart"/>
            <w:r w:rsidRPr="00AE12A8">
              <w:rPr>
                <w:sz w:val="20"/>
                <w:szCs w:val="20"/>
              </w:rPr>
              <w:t>evolocumab</w:t>
            </w:r>
            <w:proofErr w:type="spellEnd"/>
            <w:r w:rsidRPr="00AE12A8">
              <w:rPr>
                <w:sz w:val="20"/>
                <w:szCs w:val="20"/>
              </w:rPr>
              <w:t xml:space="preserve"> on the PBS for the treatment of hypercholesterolaemia. </w:t>
            </w:r>
          </w:p>
          <w:p w14:paraId="7941E3E6" w14:textId="77777777" w:rsidR="00AE12A8" w:rsidRPr="00AE12A8" w:rsidRDefault="00AE12A8" w:rsidP="00593BB3">
            <w:pPr>
              <w:spacing w:beforeLines="60" w:before="144" w:afterLines="60" w:after="144"/>
              <w:rPr>
                <w:sz w:val="20"/>
                <w:szCs w:val="20"/>
              </w:rPr>
            </w:pPr>
            <w:r w:rsidRPr="00AE12A8">
              <w:rPr>
                <w:sz w:val="20"/>
                <w:szCs w:val="20"/>
              </w:rPr>
              <w:t xml:space="preserve">The submission was considered by DUSC. DUSC considered the main issues were: </w:t>
            </w:r>
          </w:p>
          <w:p w14:paraId="6FD0D488" w14:textId="77777777" w:rsidR="00AE12A8" w:rsidRPr="00AE12A8" w:rsidRDefault="00AE12A8" w:rsidP="00593BB3">
            <w:pPr>
              <w:pStyle w:val="ListParagraph"/>
              <w:numPr>
                <w:ilvl w:val="0"/>
                <w:numId w:val="2"/>
              </w:numPr>
              <w:spacing w:beforeLines="60" w:before="144" w:afterLines="60" w:after="144"/>
              <w:rPr>
                <w:sz w:val="20"/>
                <w:szCs w:val="20"/>
              </w:rPr>
            </w:pPr>
            <w:r w:rsidRPr="00AE12A8">
              <w:rPr>
                <w:sz w:val="20"/>
                <w:szCs w:val="20"/>
              </w:rPr>
              <w:t xml:space="preserve">The market share approach, based on ezetimibe utilisation, underestimated the population eligible for evolocumab. </w:t>
            </w:r>
          </w:p>
          <w:p w14:paraId="3976477D" w14:textId="77777777" w:rsidR="00AE12A8" w:rsidRPr="00AE12A8" w:rsidRDefault="00AE12A8" w:rsidP="00593BB3">
            <w:pPr>
              <w:pStyle w:val="ListParagraph"/>
              <w:numPr>
                <w:ilvl w:val="0"/>
                <w:numId w:val="2"/>
              </w:numPr>
              <w:spacing w:beforeLines="60" w:before="144" w:afterLines="60" w:after="144"/>
              <w:rPr>
                <w:sz w:val="20"/>
                <w:szCs w:val="20"/>
              </w:rPr>
            </w:pPr>
            <w:r w:rsidRPr="00AE12A8">
              <w:rPr>
                <w:sz w:val="20"/>
                <w:szCs w:val="20"/>
              </w:rPr>
              <w:t xml:space="preserve">Changing clinical practice, including increased assessment of cardiovascular risk or more widespread treatment to target cholesterol levels, could result in many more patients being treated with evolocumab. Given the high prevalence of dyslipidaemia and the proposed price of evolocumab, small changes in practice could have a large budget impact. </w:t>
            </w:r>
          </w:p>
          <w:p w14:paraId="42D373E9" w14:textId="3E9189A0" w:rsidR="00AE12A8" w:rsidRDefault="00AE12A8" w:rsidP="00593BB3">
            <w:pPr>
              <w:pStyle w:val="ListParagraph"/>
              <w:numPr>
                <w:ilvl w:val="0"/>
                <w:numId w:val="2"/>
              </w:numPr>
              <w:spacing w:beforeLines="60" w:before="144" w:afterLines="60" w:after="144"/>
              <w:rPr>
                <w:sz w:val="20"/>
                <w:szCs w:val="20"/>
              </w:rPr>
            </w:pPr>
            <w:r w:rsidRPr="00AE12A8">
              <w:rPr>
                <w:sz w:val="20"/>
                <w:szCs w:val="20"/>
              </w:rPr>
              <w:t xml:space="preserve">Significant potential for use beyond the restriction by patients who are not achieving target cholesterol levels, but who would not qualify for </w:t>
            </w:r>
            <w:proofErr w:type="spellStart"/>
            <w:r w:rsidRPr="00AE12A8">
              <w:rPr>
                <w:sz w:val="20"/>
                <w:szCs w:val="20"/>
              </w:rPr>
              <w:t>evolocumab</w:t>
            </w:r>
            <w:proofErr w:type="spellEnd"/>
            <w:r w:rsidRPr="00AE12A8">
              <w:rPr>
                <w:sz w:val="20"/>
                <w:szCs w:val="20"/>
              </w:rPr>
              <w:t xml:space="preserve"> treatment under the proposed restriction. </w:t>
            </w:r>
          </w:p>
          <w:p w14:paraId="6129106E" w14:textId="38540AED" w:rsidR="008968B6" w:rsidRPr="008A51F9" w:rsidRDefault="009C6C11" w:rsidP="00593BB3">
            <w:pPr>
              <w:snapToGrid w:val="0"/>
              <w:spacing w:beforeLines="60" w:before="144" w:afterLines="60" w:after="144"/>
              <w:rPr>
                <w:rFonts w:cstheme="minorHAnsi"/>
                <w:sz w:val="20"/>
                <w:szCs w:val="20"/>
                <w:lang w:val="en-US"/>
              </w:rPr>
            </w:pPr>
            <w:r w:rsidRPr="008A51F9">
              <w:rPr>
                <w:rFonts w:cstheme="minorHAnsi"/>
                <w:sz w:val="20"/>
                <w:szCs w:val="20"/>
                <w:lang w:val="en-US"/>
              </w:rPr>
              <w:t xml:space="preserve">The PBAC rejected the request to list evolocumab for the treatment of hypercholesterolaemia </w:t>
            </w:r>
            <w:proofErr w:type="gramStart"/>
            <w:r w:rsidRPr="008A51F9">
              <w:rPr>
                <w:rFonts w:cstheme="minorHAnsi"/>
                <w:sz w:val="20"/>
                <w:szCs w:val="20"/>
                <w:lang w:val="en-US"/>
              </w:rPr>
              <w:t>on the basis of</w:t>
            </w:r>
            <w:proofErr w:type="gramEnd"/>
            <w:r w:rsidRPr="008A51F9">
              <w:rPr>
                <w:rFonts w:cstheme="minorHAnsi"/>
                <w:sz w:val="20"/>
                <w:szCs w:val="20"/>
                <w:lang w:val="en-US"/>
              </w:rPr>
              <w:t xml:space="preserve"> unestablished clinical place in therapy and the uncertainty surrounding its use in clinical practice.</w:t>
            </w:r>
          </w:p>
          <w:p w14:paraId="5E36EAD9" w14:textId="607FBC0B" w:rsidR="00642F5F" w:rsidRPr="00AE12A8" w:rsidDel="00EE2BBB" w:rsidRDefault="00AE12A8" w:rsidP="00593BB3">
            <w:pPr>
              <w:spacing w:beforeLines="60" w:before="144" w:afterLines="60" w:after="144"/>
              <w:rPr>
                <w:sz w:val="20"/>
                <w:szCs w:val="20"/>
              </w:rPr>
            </w:pPr>
            <w:r w:rsidRPr="00AE12A8">
              <w:rPr>
                <w:sz w:val="20"/>
                <w:szCs w:val="20"/>
              </w:rPr>
              <w:t xml:space="preserve">For further details refer to the </w:t>
            </w:r>
            <w:hyperlink r:id="rId43" w:history="1">
              <w:r w:rsidRPr="00AE12A8">
                <w:rPr>
                  <w:rStyle w:val="Hyperlink"/>
                  <w:sz w:val="20"/>
                  <w:szCs w:val="20"/>
                </w:rPr>
                <w:t>Public Summary Document</w:t>
              </w:r>
            </w:hyperlink>
            <w:r w:rsidRPr="00AE12A8">
              <w:rPr>
                <w:sz w:val="20"/>
                <w:szCs w:val="20"/>
              </w:rPr>
              <w:t xml:space="preserve"> from the March 2015 PBAC meeting.</w:t>
            </w:r>
          </w:p>
        </w:tc>
      </w:tr>
      <w:tr w:rsidR="009C6C11" w:rsidRPr="00A35800" w:rsidDel="00EE2BBB" w14:paraId="6440D58F" w14:textId="77777777" w:rsidTr="008968B6">
        <w:trPr>
          <w:trHeight w:val="70"/>
        </w:trPr>
        <w:tc>
          <w:tcPr>
            <w:tcW w:w="1129" w:type="dxa"/>
            <w:shd w:val="clear" w:color="auto" w:fill="auto"/>
          </w:tcPr>
          <w:p w14:paraId="510531B0" w14:textId="77777777" w:rsidR="009C6C11" w:rsidRPr="008A51F9" w:rsidRDefault="009C6C11" w:rsidP="00593BB3">
            <w:pPr>
              <w:spacing w:beforeLines="60" w:before="144" w:afterLines="60" w:after="144"/>
              <w:rPr>
                <w:rFonts w:eastAsia="Times New Roman" w:cstheme="minorHAnsi"/>
                <w:sz w:val="20"/>
                <w:szCs w:val="20"/>
              </w:rPr>
            </w:pPr>
            <w:r w:rsidRPr="004449A7">
              <w:rPr>
                <w:rFonts w:eastAsia="Times New Roman" w:cstheme="minorHAnsi"/>
                <w:sz w:val="20"/>
                <w:szCs w:val="20"/>
              </w:rPr>
              <w:t>March 2016</w:t>
            </w:r>
          </w:p>
          <w:p w14:paraId="4F501E74" w14:textId="77777777" w:rsidR="009C6C11" w:rsidRPr="008A51F9" w:rsidDel="00EE2BBB" w:rsidRDefault="009C6C11" w:rsidP="00593BB3">
            <w:pPr>
              <w:pStyle w:val="Tablewriting"/>
              <w:spacing w:beforeLines="60" w:before="144" w:afterLines="60" w:after="144"/>
              <w:rPr>
                <w:rFonts w:cstheme="minorHAnsi"/>
              </w:rPr>
            </w:pPr>
          </w:p>
        </w:tc>
        <w:tc>
          <w:tcPr>
            <w:tcW w:w="2127" w:type="dxa"/>
            <w:shd w:val="clear" w:color="auto" w:fill="auto"/>
          </w:tcPr>
          <w:p w14:paraId="4FAD2919" w14:textId="6D8DCFCF" w:rsidR="009C6C11" w:rsidRPr="008A51F9" w:rsidDel="00EE2BBB" w:rsidRDefault="000F1338" w:rsidP="00593BB3">
            <w:pPr>
              <w:pStyle w:val="Tablewriting"/>
              <w:spacing w:beforeLines="60" w:before="144" w:afterLines="60" w:after="144"/>
              <w:rPr>
                <w:rFonts w:cstheme="minorHAnsi"/>
              </w:rPr>
            </w:pPr>
            <w:r>
              <w:rPr>
                <w:rFonts w:cstheme="minorHAnsi"/>
              </w:rPr>
              <w:t>FH</w:t>
            </w:r>
          </w:p>
        </w:tc>
        <w:tc>
          <w:tcPr>
            <w:tcW w:w="10206" w:type="dxa"/>
            <w:shd w:val="clear" w:color="auto" w:fill="auto"/>
          </w:tcPr>
          <w:p w14:paraId="799A338D" w14:textId="35A722B2" w:rsidR="00AE12A8" w:rsidRPr="00AE12A8" w:rsidRDefault="00AE12A8" w:rsidP="00593BB3">
            <w:pPr>
              <w:spacing w:beforeLines="60" w:before="144" w:afterLines="60" w:after="144"/>
              <w:rPr>
                <w:sz w:val="20"/>
                <w:szCs w:val="20"/>
              </w:rPr>
            </w:pPr>
            <w:r w:rsidRPr="00AE12A8">
              <w:rPr>
                <w:sz w:val="20"/>
                <w:szCs w:val="20"/>
              </w:rPr>
              <w:t>The resubmission requested a Section 85 Authority Required PBS listing for evolocumab for the treatment of familial hypercholesterolaemia</w:t>
            </w:r>
            <w:r w:rsidR="00006A3F">
              <w:rPr>
                <w:sz w:val="20"/>
                <w:szCs w:val="20"/>
              </w:rPr>
              <w:t xml:space="preserve"> (FH)</w:t>
            </w:r>
            <w:r w:rsidRPr="00AE12A8">
              <w:rPr>
                <w:sz w:val="20"/>
                <w:szCs w:val="20"/>
              </w:rPr>
              <w:t xml:space="preserve">. This resubmission was not considered by DUSC. </w:t>
            </w:r>
          </w:p>
          <w:p w14:paraId="5A427259" w14:textId="58BF26A9" w:rsidR="008968B6" w:rsidRPr="00AE12A8" w:rsidRDefault="00AE12A8" w:rsidP="00593BB3">
            <w:pPr>
              <w:spacing w:beforeLines="60" w:before="144" w:afterLines="60" w:after="144"/>
              <w:rPr>
                <w:sz w:val="20"/>
                <w:szCs w:val="20"/>
              </w:rPr>
            </w:pPr>
            <w:r w:rsidRPr="00AE12A8">
              <w:rPr>
                <w:sz w:val="20"/>
                <w:szCs w:val="20"/>
              </w:rPr>
              <w:t>The PBAC recommended the Section 85 Authority Required listing of evolocumab for homozygous familial hypercholesterolaemia</w:t>
            </w:r>
            <w:r w:rsidR="00006A3F">
              <w:rPr>
                <w:sz w:val="20"/>
                <w:szCs w:val="20"/>
              </w:rPr>
              <w:t xml:space="preserve"> (HoFH)</w:t>
            </w:r>
            <w:r w:rsidRPr="00AE12A8">
              <w:rPr>
                <w:sz w:val="20"/>
                <w:szCs w:val="20"/>
              </w:rPr>
              <w:t xml:space="preserve">. In making this recommendation, the PBAC considered that the </w:t>
            </w:r>
            <w:r w:rsidR="00006A3F">
              <w:rPr>
                <w:sz w:val="20"/>
                <w:szCs w:val="20"/>
              </w:rPr>
              <w:t>HoFH</w:t>
            </w:r>
            <w:r w:rsidR="00006A3F" w:rsidRPr="00AE12A8">
              <w:rPr>
                <w:sz w:val="20"/>
                <w:szCs w:val="20"/>
              </w:rPr>
              <w:t xml:space="preserve"> </w:t>
            </w:r>
            <w:r w:rsidRPr="00AE12A8">
              <w:rPr>
                <w:sz w:val="20"/>
                <w:szCs w:val="20"/>
              </w:rPr>
              <w:t xml:space="preserve">population represent a small, definable, patient group, in whom there is a high level of clinical need. </w:t>
            </w:r>
          </w:p>
          <w:p w14:paraId="40244692" w14:textId="67EAD902" w:rsidR="00AE12A8" w:rsidRPr="00AE12A8" w:rsidRDefault="00AE12A8" w:rsidP="00593BB3">
            <w:pPr>
              <w:spacing w:beforeLines="60" w:before="144" w:afterLines="60" w:after="144"/>
              <w:rPr>
                <w:sz w:val="20"/>
                <w:szCs w:val="20"/>
              </w:rPr>
            </w:pPr>
            <w:r w:rsidRPr="00AE12A8">
              <w:rPr>
                <w:sz w:val="20"/>
                <w:szCs w:val="20"/>
              </w:rPr>
              <w:t xml:space="preserve">The PBAC considered that the submission’s estimates of usage in the </w:t>
            </w:r>
            <w:r w:rsidR="00006A3F">
              <w:rPr>
                <w:sz w:val="20"/>
                <w:szCs w:val="20"/>
              </w:rPr>
              <w:t>HoFH</w:t>
            </w:r>
            <w:r w:rsidR="00006A3F" w:rsidRPr="00AE12A8">
              <w:rPr>
                <w:sz w:val="20"/>
                <w:szCs w:val="20"/>
              </w:rPr>
              <w:t xml:space="preserve"> </w:t>
            </w:r>
            <w:r w:rsidRPr="00AE12A8">
              <w:rPr>
                <w:sz w:val="20"/>
                <w:szCs w:val="20"/>
              </w:rPr>
              <w:t>population were more reliable than the estimates for the heterozygous FH</w:t>
            </w:r>
            <w:r w:rsidR="00006A3F">
              <w:rPr>
                <w:sz w:val="20"/>
                <w:szCs w:val="20"/>
              </w:rPr>
              <w:t xml:space="preserve"> (HeFH)</w:t>
            </w:r>
            <w:r w:rsidRPr="00AE12A8">
              <w:rPr>
                <w:sz w:val="20"/>
                <w:szCs w:val="20"/>
              </w:rPr>
              <w:t xml:space="preserve"> population, as there are likely to be less undiagnosed </w:t>
            </w:r>
            <w:r w:rsidR="00006A3F">
              <w:rPr>
                <w:sz w:val="20"/>
                <w:szCs w:val="20"/>
              </w:rPr>
              <w:t>HoFH</w:t>
            </w:r>
            <w:r w:rsidR="00006A3F" w:rsidRPr="00AE12A8">
              <w:rPr>
                <w:sz w:val="20"/>
                <w:szCs w:val="20"/>
              </w:rPr>
              <w:t xml:space="preserve"> </w:t>
            </w:r>
            <w:r w:rsidRPr="00AE12A8">
              <w:rPr>
                <w:sz w:val="20"/>
                <w:szCs w:val="20"/>
              </w:rPr>
              <w:t xml:space="preserve">patients. The PBAC recommended a risk‐sharing arrangement (RSA) that should include a cap based on the number of patients treated. </w:t>
            </w:r>
          </w:p>
          <w:p w14:paraId="410E7F92" w14:textId="7E2C1453" w:rsidR="009C6C11" w:rsidRPr="008A51F9" w:rsidDel="00EE2BBB" w:rsidRDefault="00AE12A8" w:rsidP="00593BB3">
            <w:pPr>
              <w:spacing w:beforeLines="60" w:before="144" w:afterLines="60" w:after="144"/>
            </w:pPr>
            <w:r w:rsidRPr="00AE12A8">
              <w:rPr>
                <w:sz w:val="20"/>
                <w:szCs w:val="20"/>
              </w:rPr>
              <w:t xml:space="preserve">For further details refer to the </w:t>
            </w:r>
            <w:hyperlink r:id="rId44" w:history="1">
              <w:r w:rsidRPr="00AE12A8">
                <w:rPr>
                  <w:rStyle w:val="Hyperlink"/>
                  <w:sz w:val="20"/>
                  <w:szCs w:val="20"/>
                </w:rPr>
                <w:t>Public Summary Document</w:t>
              </w:r>
            </w:hyperlink>
            <w:r w:rsidRPr="00AE12A8">
              <w:rPr>
                <w:sz w:val="20"/>
                <w:szCs w:val="20"/>
              </w:rPr>
              <w:t xml:space="preserve"> from the March 2016 PBAC meeting.</w:t>
            </w:r>
          </w:p>
        </w:tc>
      </w:tr>
      <w:tr w:rsidR="009C6C11" w:rsidRPr="00A35800" w:rsidDel="00EE2BBB" w14:paraId="7771986D" w14:textId="77777777" w:rsidTr="008318D1">
        <w:trPr>
          <w:trHeight w:val="941"/>
        </w:trPr>
        <w:tc>
          <w:tcPr>
            <w:tcW w:w="1129" w:type="dxa"/>
            <w:shd w:val="clear" w:color="auto" w:fill="auto"/>
          </w:tcPr>
          <w:p w14:paraId="264DC0C4" w14:textId="77777777" w:rsidR="009C6C11" w:rsidRPr="008A51F9" w:rsidRDefault="009C6C11" w:rsidP="00593BB3">
            <w:pPr>
              <w:spacing w:beforeLines="60" w:before="144" w:afterLines="60" w:after="144" w:line="276" w:lineRule="auto"/>
              <w:rPr>
                <w:rFonts w:eastAsia="Times New Roman" w:cstheme="minorHAnsi"/>
                <w:sz w:val="20"/>
                <w:szCs w:val="20"/>
              </w:rPr>
            </w:pPr>
            <w:r w:rsidRPr="004449A7">
              <w:rPr>
                <w:rFonts w:eastAsia="Times New Roman" w:cstheme="minorHAnsi"/>
                <w:sz w:val="20"/>
                <w:szCs w:val="20"/>
              </w:rPr>
              <w:lastRenderedPageBreak/>
              <w:t>July 2017</w:t>
            </w:r>
            <w:r w:rsidRPr="008A51F9">
              <w:rPr>
                <w:rFonts w:eastAsia="Times New Roman" w:cstheme="minorHAnsi"/>
                <w:sz w:val="20"/>
                <w:szCs w:val="20"/>
              </w:rPr>
              <w:t xml:space="preserve"> </w:t>
            </w:r>
          </w:p>
        </w:tc>
        <w:tc>
          <w:tcPr>
            <w:tcW w:w="2127" w:type="dxa"/>
            <w:shd w:val="clear" w:color="auto" w:fill="auto"/>
          </w:tcPr>
          <w:p w14:paraId="0FE8F5AC" w14:textId="02A8AC67" w:rsidR="009C6C11" w:rsidRPr="008A51F9" w:rsidRDefault="000F1338" w:rsidP="00593BB3">
            <w:pPr>
              <w:pStyle w:val="Tablewriting"/>
              <w:spacing w:beforeLines="60" w:before="144" w:afterLines="60" w:after="144"/>
              <w:rPr>
                <w:rFonts w:cstheme="minorHAnsi"/>
              </w:rPr>
            </w:pPr>
            <w:r>
              <w:rPr>
                <w:rFonts w:cstheme="minorHAnsi"/>
              </w:rPr>
              <w:t>HoFH</w:t>
            </w:r>
            <w:r w:rsidR="009C6C11">
              <w:rPr>
                <w:rFonts w:cstheme="minorHAnsi"/>
              </w:rPr>
              <w:t xml:space="preserve"> (listing of Injection 420 </w:t>
            </w:r>
            <w:r w:rsidR="009C6C11" w:rsidRPr="008A51F9">
              <w:rPr>
                <w:rFonts w:cstheme="minorHAnsi"/>
              </w:rPr>
              <w:t>mg in 3.5 mL single dose autoinjector)</w:t>
            </w:r>
          </w:p>
        </w:tc>
        <w:tc>
          <w:tcPr>
            <w:tcW w:w="10206" w:type="dxa"/>
            <w:shd w:val="clear" w:color="auto" w:fill="auto"/>
          </w:tcPr>
          <w:p w14:paraId="53417A16" w14:textId="29AC11D8" w:rsidR="003B44EB" w:rsidRDefault="009C6C11" w:rsidP="00593BB3">
            <w:pPr>
              <w:spacing w:beforeLines="60" w:before="144" w:afterLines="60" w:after="144"/>
              <w:rPr>
                <w:rFonts w:cstheme="minorHAnsi"/>
                <w:sz w:val="20"/>
                <w:szCs w:val="20"/>
              </w:rPr>
            </w:pPr>
            <w:r w:rsidRPr="008A51F9">
              <w:rPr>
                <w:rFonts w:cstheme="minorHAnsi"/>
                <w:sz w:val="20"/>
                <w:szCs w:val="20"/>
              </w:rPr>
              <w:t xml:space="preserve">The PBAC recommended the listing of the new strength of evolocumab for the treatment of </w:t>
            </w:r>
            <w:r w:rsidR="000F1338">
              <w:rPr>
                <w:rFonts w:cstheme="minorHAnsi"/>
                <w:sz w:val="20"/>
                <w:szCs w:val="20"/>
              </w:rPr>
              <w:t>HoFH</w:t>
            </w:r>
            <w:r w:rsidRPr="008A51F9">
              <w:rPr>
                <w:rFonts w:cstheme="minorHAnsi"/>
                <w:sz w:val="20"/>
                <w:szCs w:val="20"/>
              </w:rPr>
              <w:t>. The PBAC accepted that this additional form of evolocumab would provide patients with an alternative dosing schedule to the currently listed form at no additional cost to the Government.</w:t>
            </w:r>
          </w:p>
          <w:p w14:paraId="7725927C" w14:textId="1DBE09C6" w:rsidR="00642F5F" w:rsidRPr="008A51F9" w:rsidRDefault="003B44EB" w:rsidP="00593BB3">
            <w:pPr>
              <w:spacing w:beforeLines="60" w:before="144" w:afterLines="60" w:after="144"/>
              <w:rPr>
                <w:rFonts w:cstheme="minorHAnsi"/>
                <w:sz w:val="20"/>
                <w:szCs w:val="20"/>
              </w:rPr>
            </w:pPr>
            <w:r w:rsidRPr="00AE12A8">
              <w:rPr>
                <w:sz w:val="20"/>
                <w:szCs w:val="20"/>
              </w:rPr>
              <w:t xml:space="preserve">For further details refer to the </w:t>
            </w:r>
            <w:hyperlink r:id="rId45" w:history="1">
              <w:r w:rsidRPr="003B44EB">
                <w:rPr>
                  <w:rStyle w:val="Hyperlink"/>
                  <w:sz w:val="20"/>
                  <w:szCs w:val="20"/>
                </w:rPr>
                <w:t>Public Summary Document</w:t>
              </w:r>
            </w:hyperlink>
            <w:r w:rsidRPr="00AE12A8">
              <w:rPr>
                <w:sz w:val="20"/>
                <w:szCs w:val="20"/>
              </w:rPr>
              <w:t xml:space="preserve"> from the </w:t>
            </w:r>
            <w:r>
              <w:rPr>
                <w:sz w:val="20"/>
                <w:szCs w:val="20"/>
              </w:rPr>
              <w:t>July 2017</w:t>
            </w:r>
            <w:r w:rsidRPr="00AE12A8">
              <w:rPr>
                <w:sz w:val="20"/>
                <w:szCs w:val="20"/>
              </w:rPr>
              <w:t xml:space="preserve"> PBAC meeting.</w:t>
            </w:r>
          </w:p>
        </w:tc>
      </w:tr>
      <w:tr w:rsidR="009C6C11" w:rsidRPr="00A35800" w:rsidDel="00EE2BBB" w14:paraId="303AC890" w14:textId="77777777" w:rsidTr="008968B6">
        <w:trPr>
          <w:trHeight w:val="546"/>
        </w:trPr>
        <w:tc>
          <w:tcPr>
            <w:tcW w:w="1129" w:type="dxa"/>
            <w:shd w:val="clear" w:color="auto" w:fill="auto"/>
          </w:tcPr>
          <w:p w14:paraId="5BF197B0" w14:textId="77777777" w:rsidR="009C6C11" w:rsidRPr="0041706F" w:rsidRDefault="009C6C11" w:rsidP="00593BB3">
            <w:pPr>
              <w:spacing w:beforeLines="60" w:before="144" w:afterLines="60" w:after="144"/>
              <w:rPr>
                <w:rFonts w:eastAsia="Times New Roman" w:cstheme="minorHAnsi"/>
                <w:sz w:val="20"/>
                <w:szCs w:val="20"/>
              </w:rPr>
            </w:pPr>
            <w:r w:rsidRPr="004449A7">
              <w:rPr>
                <w:rFonts w:eastAsia="Times New Roman" w:cstheme="minorHAnsi"/>
                <w:sz w:val="20"/>
                <w:szCs w:val="20"/>
              </w:rPr>
              <w:t>November 2017</w:t>
            </w:r>
            <w:r w:rsidRPr="0041706F">
              <w:rPr>
                <w:rFonts w:eastAsia="Times New Roman" w:cstheme="minorHAnsi"/>
                <w:sz w:val="20"/>
                <w:szCs w:val="20"/>
              </w:rPr>
              <w:t xml:space="preserve"> </w:t>
            </w:r>
          </w:p>
          <w:p w14:paraId="5E553226" w14:textId="77777777" w:rsidR="009C6C11" w:rsidRDefault="009C6C11" w:rsidP="00593BB3">
            <w:pPr>
              <w:spacing w:beforeLines="60" w:before="144" w:afterLines="60" w:after="144" w:line="276" w:lineRule="auto"/>
              <w:rPr>
                <w:rFonts w:eastAsia="Times New Roman" w:cstheme="minorHAnsi"/>
                <w:sz w:val="20"/>
                <w:szCs w:val="20"/>
              </w:rPr>
            </w:pPr>
          </w:p>
        </w:tc>
        <w:tc>
          <w:tcPr>
            <w:tcW w:w="2127" w:type="dxa"/>
            <w:shd w:val="clear" w:color="auto" w:fill="auto"/>
          </w:tcPr>
          <w:p w14:paraId="0571B546" w14:textId="7E5AF3F1" w:rsidR="009C6C11" w:rsidRPr="008A51F9" w:rsidRDefault="000F1338" w:rsidP="00593BB3">
            <w:pPr>
              <w:pStyle w:val="Tablewriting"/>
              <w:spacing w:beforeLines="60" w:before="144" w:afterLines="60" w:after="144"/>
              <w:rPr>
                <w:rFonts w:cstheme="minorHAnsi"/>
              </w:rPr>
            </w:pPr>
            <w:r>
              <w:rPr>
                <w:rFonts w:cstheme="minorHAnsi"/>
              </w:rPr>
              <w:t>FH</w:t>
            </w:r>
            <w:r w:rsidR="009C6C11" w:rsidRPr="007F33D6">
              <w:rPr>
                <w:rFonts w:cstheme="minorHAnsi"/>
              </w:rPr>
              <w:t xml:space="preserve"> </w:t>
            </w:r>
            <w:r w:rsidR="009C6C11">
              <w:rPr>
                <w:rFonts w:cstheme="minorHAnsi"/>
              </w:rPr>
              <w:t>(extension of the listing to</w:t>
            </w:r>
            <w:r w:rsidR="009C6C11" w:rsidRPr="007F33D6">
              <w:rPr>
                <w:rFonts w:cstheme="minorHAnsi"/>
              </w:rPr>
              <w:t xml:space="preserve"> include the treatment of </w:t>
            </w:r>
            <w:r w:rsidR="009C6C11">
              <w:rPr>
                <w:rFonts w:cstheme="minorHAnsi"/>
              </w:rPr>
              <w:t>HeFH)</w:t>
            </w:r>
            <w:r w:rsidR="009C6C11" w:rsidRPr="008A51F9">
              <w:rPr>
                <w:rFonts w:cstheme="minorHAnsi"/>
              </w:rPr>
              <w:t>/</w:t>
            </w:r>
            <w:r w:rsidR="009C6C11">
              <w:rPr>
                <w:rFonts w:cstheme="minorHAnsi"/>
              </w:rPr>
              <w:t xml:space="preserve"> </w:t>
            </w:r>
            <w:r w:rsidR="009C6C11" w:rsidRPr="008A51F9">
              <w:rPr>
                <w:rFonts w:cstheme="minorHAnsi"/>
              </w:rPr>
              <w:t>hypercholesterolaemia with symptomatic atherosclerotic cardiovascular disease (ASCVD) who do not have underlying FH</w:t>
            </w:r>
          </w:p>
        </w:tc>
        <w:tc>
          <w:tcPr>
            <w:tcW w:w="10206" w:type="dxa"/>
            <w:shd w:val="clear" w:color="auto" w:fill="auto"/>
          </w:tcPr>
          <w:p w14:paraId="55002E22" w14:textId="3CA501B4" w:rsidR="008968B6" w:rsidRPr="00AE12A8" w:rsidRDefault="00AE12A8" w:rsidP="00593BB3">
            <w:pPr>
              <w:spacing w:beforeLines="60" w:before="144" w:afterLines="60" w:after="144"/>
              <w:rPr>
                <w:sz w:val="20"/>
                <w:szCs w:val="20"/>
              </w:rPr>
            </w:pPr>
            <w:r w:rsidRPr="00AE12A8">
              <w:rPr>
                <w:sz w:val="20"/>
                <w:szCs w:val="20"/>
              </w:rPr>
              <w:t xml:space="preserve">The resubmission requested an extension of the current Section 85 (Authority Required) listing for evolocumab to include the treatment of </w:t>
            </w:r>
            <w:r w:rsidR="000F1338">
              <w:rPr>
                <w:sz w:val="20"/>
                <w:szCs w:val="20"/>
              </w:rPr>
              <w:t>HeFH</w:t>
            </w:r>
            <w:r w:rsidRPr="00AE12A8">
              <w:rPr>
                <w:sz w:val="20"/>
                <w:szCs w:val="20"/>
              </w:rPr>
              <w:t xml:space="preserve"> (patients with atherosclerotic disease or very high LDL-c levels). This resubmission was considered by DUSC. The resubmission used epidemiological (FH with ASCVD, FH with very high LDL-c) and market share (non-FH with ASCVD) approaches to estimate the utilisation/financial implications associated with the PBS listing of </w:t>
            </w:r>
            <w:proofErr w:type="spellStart"/>
            <w:r w:rsidRPr="00AE12A8">
              <w:rPr>
                <w:sz w:val="20"/>
                <w:szCs w:val="20"/>
              </w:rPr>
              <w:t>evolocumab</w:t>
            </w:r>
            <w:proofErr w:type="spellEnd"/>
            <w:r w:rsidRPr="00AE12A8">
              <w:rPr>
                <w:sz w:val="20"/>
                <w:szCs w:val="20"/>
              </w:rPr>
              <w:t>.</w:t>
            </w:r>
          </w:p>
          <w:p w14:paraId="1C442F68" w14:textId="213F24C5" w:rsidR="00AE12A8" w:rsidRPr="00AE12A8" w:rsidRDefault="00AE12A8" w:rsidP="00593BB3">
            <w:pPr>
              <w:spacing w:beforeLines="60" w:before="144" w:afterLines="60" w:after="144"/>
              <w:rPr>
                <w:sz w:val="20"/>
                <w:szCs w:val="20"/>
              </w:rPr>
            </w:pPr>
            <w:r w:rsidRPr="00AE12A8">
              <w:rPr>
                <w:sz w:val="20"/>
                <w:szCs w:val="20"/>
              </w:rPr>
              <w:t xml:space="preserve">The PBAC deferred making a recommendation to extend the PBS listing of evolocumab for patients with </w:t>
            </w:r>
            <w:r w:rsidR="000F1338">
              <w:rPr>
                <w:sz w:val="20"/>
                <w:szCs w:val="20"/>
              </w:rPr>
              <w:t xml:space="preserve">FH </w:t>
            </w:r>
            <w:r w:rsidRPr="00AE12A8">
              <w:rPr>
                <w:sz w:val="20"/>
                <w:szCs w:val="20"/>
              </w:rPr>
              <w:t>in order to address the residual uncertainty with the economic model following revisions provided in the pre-PBAC response. The PBAC did not recommend the listing of evolocumab for patients with non-</w:t>
            </w:r>
            <w:r w:rsidR="000F1338">
              <w:rPr>
                <w:sz w:val="20"/>
                <w:szCs w:val="20"/>
              </w:rPr>
              <w:t xml:space="preserve">FH </w:t>
            </w:r>
            <w:r w:rsidRPr="00AE12A8">
              <w:rPr>
                <w:sz w:val="20"/>
                <w:szCs w:val="20"/>
              </w:rPr>
              <w:t xml:space="preserve">with atherosclerotic disease </w:t>
            </w:r>
            <w:proofErr w:type="gramStart"/>
            <w:r w:rsidRPr="00AE12A8">
              <w:rPr>
                <w:sz w:val="20"/>
                <w:szCs w:val="20"/>
              </w:rPr>
              <w:t>on the basis of</w:t>
            </w:r>
            <w:proofErr w:type="gramEnd"/>
            <w:r w:rsidRPr="00AE12A8">
              <w:rPr>
                <w:sz w:val="20"/>
                <w:szCs w:val="20"/>
              </w:rPr>
              <w:t xml:space="preserve"> a high incremental cost effectiveness ratio and high and uncertain patient population numbers.</w:t>
            </w:r>
          </w:p>
          <w:p w14:paraId="29D01ED0" w14:textId="55B06F6B" w:rsidR="009C6C11" w:rsidRPr="00AE12A8" w:rsidRDefault="00AE12A8" w:rsidP="00593BB3">
            <w:pPr>
              <w:spacing w:beforeLines="60" w:before="144" w:afterLines="60" w:after="144"/>
            </w:pPr>
            <w:r w:rsidRPr="00AE12A8">
              <w:rPr>
                <w:sz w:val="20"/>
                <w:szCs w:val="20"/>
              </w:rPr>
              <w:t xml:space="preserve">For further details refer to the </w:t>
            </w:r>
            <w:hyperlink r:id="rId46" w:history="1">
              <w:r w:rsidRPr="00AE12A8">
                <w:rPr>
                  <w:rStyle w:val="Hyperlink"/>
                  <w:sz w:val="20"/>
                  <w:szCs w:val="20"/>
                </w:rPr>
                <w:t>Public Summary Document</w:t>
              </w:r>
            </w:hyperlink>
            <w:r w:rsidRPr="00AE12A8">
              <w:rPr>
                <w:sz w:val="20"/>
                <w:szCs w:val="20"/>
              </w:rPr>
              <w:t xml:space="preserve"> from the November 2017 PBAC meeting.</w:t>
            </w:r>
          </w:p>
        </w:tc>
      </w:tr>
      <w:tr w:rsidR="009C6C11" w:rsidRPr="00A35800" w:rsidDel="00EE2BBB" w14:paraId="735DBC34" w14:textId="77777777" w:rsidTr="008968B6">
        <w:trPr>
          <w:trHeight w:val="546"/>
        </w:trPr>
        <w:tc>
          <w:tcPr>
            <w:tcW w:w="1129" w:type="dxa"/>
          </w:tcPr>
          <w:p w14:paraId="5A2CFC3A" w14:textId="77777777" w:rsidR="009C6C11" w:rsidRPr="0041706F" w:rsidRDefault="009C6C11" w:rsidP="00593BB3">
            <w:pPr>
              <w:spacing w:beforeLines="60" w:before="144" w:afterLines="60" w:after="144"/>
              <w:rPr>
                <w:rFonts w:eastAsia="Times New Roman" w:cstheme="minorHAnsi"/>
                <w:sz w:val="20"/>
                <w:szCs w:val="20"/>
              </w:rPr>
            </w:pPr>
            <w:r w:rsidRPr="004449A7">
              <w:rPr>
                <w:rFonts w:eastAsia="Times New Roman" w:cstheme="minorHAnsi"/>
                <w:sz w:val="20"/>
                <w:szCs w:val="20"/>
              </w:rPr>
              <w:t>March 2018</w:t>
            </w:r>
          </w:p>
        </w:tc>
        <w:tc>
          <w:tcPr>
            <w:tcW w:w="2127" w:type="dxa"/>
          </w:tcPr>
          <w:p w14:paraId="0AD51497" w14:textId="74ACEE77" w:rsidR="009C6C11" w:rsidRPr="008A51F9" w:rsidRDefault="000D7CB8" w:rsidP="00593BB3">
            <w:pPr>
              <w:pStyle w:val="Tablewriting"/>
              <w:spacing w:beforeLines="60" w:before="144" w:afterLines="60" w:after="144"/>
              <w:rPr>
                <w:rFonts w:cstheme="minorHAnsi"/>
              </w:rPr>
            </w:pPr>
            <w:r>
              <w:rPr>
                <w:rFonts w:cstheme="minorHAnsi"/>
              </w:rPr>
              <w:t>FH</w:t>
            </w:r>
            <w:r w:rsidR="009C6C11" w:rsidRPr="008A51F9">
              <w:rPr>
                <w:rFonts w:cstheme="minorHAnsi"/>
              </w:rPr>
              <w:t xml:space="preserve"> </w:t>
            </w:r>
          </w:p>
        </w:tc>
        <w:tc>
          <w:tcPr>
            <w:tcW w:w="10206" w:type="dxa"/>
          </w:tcPr>
          <w:p w14:paraId="4CA1E5D5" w14:textId="661C55BA" w:rsidR="008968B6" w:rsidRPr="00AE12A8" w:rsidRDefault="00AE12A8" w:rsidP="00593BB3">
            <w:pPr>
              <w:spacing w:beforeLines="60" w:before="144" w:afterLines="60" w:after="144"/>
              <w:rPr>
                <w:sz w:val="20"/>
                <w:szCs w:val="20"/>
              </w:rPr>
            </w:pPr>
            <w:r w:rsidRPr="00AE12A8">
              <w:rPr>
                <w:sz w:val="20"/>
                <w:szCs w:val="20"/>
              </w:rPr>
              <w:t xml:space="preserve">The minor resubmission sought an Authority Required listing for treatment of patients with FH and either symptomatic atherosclerotic cardiovascular disease (ASCVD) or FH with very high LDL-c. </w:t>
            </w:r>
          </w:p>
          <w:p w14:paraId="2C265452" w14:textId="6811B468" w:rsidR="00AE12A8" w:rsidRPr="00AE12A8" w:rsidRDefault="00AE12A8" w:rsidP="00593BB3">
            <w:pPr>
              <w:spacing w:beforeLines="60" w:before="144" w:afterLines="60" w:after="144"/>
              <w:rPr>
                <w:sz w:val="20"/>
                <w:szCs w:val="20"/>
              </w:rPr>
            </w:pPr>
            <w:r w:rsidRPr="00AE12A8">
              <w:rPr>
                <w:sz w:val="20"/>
                <w:szCs w:val="20"/>
              </w:rPr>
              <w:t xml:space="preserve">The PBAC recommended extending the PBS listing for evolocumab for patients with </w:t>
            </w:r>
            <w:r w:rsidR="000F1338">
              <w:rPr>
                <w:sz w:val="20"/>
                <w:szCs w:val="20"/>
              </w:rPr>
              <w:t xml:space="preserve">FH </w:t>
            </w:r>
            <w:r w:rsidRPr="00AE12A8">
              <w:rPr>
                <w:sz w:val="20"/>
                <w:szCs w:val="20"/>
              </w:rPr>
              <w:t xml:space="preserve">to include patients with </w:t>
            </w:r>
            <w:r w:rsidR="000F1338">
              <w:rPr>
                <w:sz w:val="20"/>
                <w:szCs w:val="20"/>
              </w:rPr>
              <w:t>He</w:t>
            </w:r>
            <w:r w:rsidRPr="00AE12A8">
              <w:rPr>
                <w:sz w:val="20"/>
                <w:szCs w:val="20"/>
              </w:rPr>
              <w:t xml:space="preserve">FH, under certain conditions. The PBAC accepted that both the </w:t>
            </w:r>
            <w:r w:rsidR="000F1338">
              <w:rPr>
                <w:sz w:val="20"/>
                <w:szCs w:val="20"/>
              </w:rPr>
              <w:t>HeFH</w:t>
            </w:r>
            <w:r w:rsidRPr="00AE12A8">
              <w:rPr>
                <w:sz w:val="20"/>
                <w:szCs w:val="20"/>
              </w:rPr>
              <w:t xml:space="preserve"> and </w:t>
            </w:r>
            <w:r w:rsidR="000F1338">
              <w:rPr>
                <w:sz w:val="20"/>
                <w:szCs w:val="20"/>
              </w:rPr>
              <w:t>HoFH</w:t>
            </w:r>
            <w:r w:rsidRPr="00AE12A8">
              <w:rPr>
                <w:sz w:val="20"/>
                <w:szCs w:val="20"/>
              </w:rPr>
              <w:t xml:space="preserve"> populations are high risk, and that the use of evolocumab could be extended to include the </w:t>
            </w:r>
            <w:r w:rsidR="000F1338">
              <w:rPr>
                <w:sz w:val="20"/>
                <w:szCs w:val="20"/>
              </w:rPr>
              <w:t>HeFH</w:t>
            </w:r>
            <w:r w:rsidRPr="00AE12A8">
              <w:rPr>
                <w:sz w:val="20"/>
                <w:szCs w:val="20"/>
              </w:rPr>
              <w:t xml:space="preserve"> population as it would be an effective and safe therapy following failed treatment with statins and ezetimibe. The PBAC considered that the revised economic model, reduced </w:t>
            </w:r>
            <w:proofErr w:type="gramStart"/>
            <w:r w:rsidRPr="00AE12A8">
              <w:rPr>
                <w:sz w:val="20"/>
                <w:szCs w:val="20"/>
              </w:rPr>
              <w:t>price</w:t>
            </w:r>
            <w:proofErr w:type="gramEnd"/>
            <w:r w:rsidRPr="00AE12A8">
              <w:rPr>
                <w:sz w:val="20"/>
                <w:szCs w:val="20"/>
              </w:rPr>
              <w:t xml:space="preserve"> and other arrangements proposed in the resubmission addressed the outstanding issues raised by the PBAC from the November 2017 submission.</w:t>
            </w:r>
          </w:p>
          <w:p w14:paraId="2B839E54" w14:textId="0A42F2F2" w:rsidR="00642F5F" w:rsidRPr="00AE12A8" w:rsidRDefault="00AE12A8" w:rsidP="00593BB3">
            <w:pPr>
              <w:spacing w:beforeLines="60" w:before="144" w:afterLines="60" w:after="144"/>
            </w:pPr>
            <w:r w:rsidRPr="00AE12A8">
              <w:rPr>
                <w:sz w:val="20"/>
                <w:szCs w:val="20"/>
              </w:rPr>
              <w:t xml:space="preserve">For further details refer to the </w:t>
            </w:r>
            <w:hyperlink r:id="rId47" w:history="1">
              <w:r w:rsidRPr="00AE12A8">
                <w:rPr>
                  <w:rStyle w:val="Hyperlink"/>
                  <w:sz w:val="20"/>
                  <w:szCs w:val="20"/>
                </w:rPr>
                <w:t>Public Summary Document</w:t>
              </w:r>
            </w:hyperlink>
            <w:r w:rsidRPr="00AE12A8">
              <w:rPr>
                <w:sz w:val="20"/>
                <w:szCs w:val="20"/>
              </w:rPr>
              <w:t xml:space="preserve"> from the March 2018 PBAC meeting.</w:t>
            </w:r>
          </w:p>
        </w:tc>
      </w:tr>
      <w:tr w:rsidR="009C6C11" w:rsidRPr="00A35800" w:rsidDel="00EE2BBB" w14:paraId="4E1118DF" w14:textId="77777777" w:rsidTr="00257FD9">
        <w:trPr>
          <w:cantSplit/>
          <w:trHeight w:val="546"/>
        </w:trPr>
        <w:tc>
          <w:tcPr>
            <w:tcW w:w="1129" w:type="dxa"/>
          </w:tcPr>
          <w:p w14:paraId="6E09FFDD" w14:textId="77777777" w:rsidR="009C6C11" w:rsidRPr="0041706F" w:rsidRDefault="009C6C11" w:rsidP="00593BB3">
            <w:pPr>
              <w:spacing w:beforeLines="60" w:before="144" w:afterLines="60" w:after="144"/>
              <w:rPr>
                <w:rFonts w:eastAsia="Times New Roman" w:cstheme="minorHAnsi"/>
                <w:sz w:val="20"/>
                <w:szCs w:val="20"/>
              </w:rPr>
            </w:pPr>
            <w:r w:rsidRPr="004449A7">
              <w:rPr>
                <w:rFonts w:eastAsia="Times New Roman" w:cstheme="minorHAnsi"/>
                <w:sz w:val="20"/>
                <w:szCs w:val="20"/>
              </w:rPr>
              <w:lastRenderedPageBreak/>
              <w:t>July 2018</w:t>
            </w:r>
            <w:r w:rsidRPr="0041706F">
              <w:rPr>
                <w:rFonts w:eastAsia="Times New Roman" w:cstheme="minorHAnsi"/>
                <w:sz w:val="20"/>
                <w:szCs w:val="20"/>
              </w:rPr>
              <w:t xml:space="preserve"> </w:t>
            </w:r>
          </w:p>
          <w:p w14:paraId="10A9AD8F" w14:textId="77777777" w:rsidR="009C6C11" w:rsidRPr="0041706F" w:rsidRDefault="009C6C11" w:rsidP="00593BB3">
            <w:pPr>
              <w:spacing w:beforeLines="60" w:before="144" w:afterLines="60" w:after="144"/>
              <w:rPr>
                <w:rFonts w:eastAsia="Times New Roman" w:cstheme="minorHAnsi"/>
                <w:sz w:val="20"/>
                <w:szCs w:val="20"/>
              </w:rPr>
            </w:pPr>
          </w:p>
        </w:tc>
        <w:tc>
          <w:tcPr>
            <w:tcW w:w="2127" w:type="dxa"/>
          </w:tcPr>
          <w:p w14:paraId="58740C8E" w14:textId="49E1AF76" w:rsidR="009C6C11" w:rsidRPr="008A51F9" w:rsidRDefault="009C6C11" w:rsidP="00593BB3">
            <w:pPr>
              <w:spacing w:beforeLines="60" w:before="144" w:afterLines="60" w:after="144"/>
              <w:rPr>
                <w:rFonts w:eastAsia="Times New Roman" w:cstheme="minorHAnsi"/>
                <w:sz w:val="20"/>
                <w:szCs w:val="20"/>
              </w:rPr>
            </w:pPr>
            <w:r w:rsidRPr="008A51F9">
              <w:rPr>
                <w:rFonts w:eastAsia="Times New Roman" w:cstheme="minorHAnsi"/>
                <w:sz w:val="20"/>
                <w:szCs w:val="20"/>
              </w:rPr>
              <w:t>Non-</w:t>
            </w:r>
            <w:r w:rsidR="000D7CB8">
              <w:rPr>
                <w:rFonts w:eastAsia="Times New Roman" w:cstheme="minorHAnsi"/>
                <w:sz w:val="20"/>
                <w:szCs w:val="20"/>
              </w:rPr>
              <w:t>FH</w:t>
            </w:r>
            <w:r w:rsidRPr="008A51F9">
              <w:rPr>
                <w:rFonts w:eastAsia="Times New Roman" w:cstheme="minorHAnsi"/>
                <w:sz w:val="20"/>
                <w:szCs w:val="20"/>
              </w:rPr>
              <w:t xml:space="preserve"> with atherosclerotic disease. </w:t>
            </w:r>
          </w:p>
          <w:p w14:paraId="771299F8" w14:textId="77777777" w:rsidR="009C6C11" w:rsidRPr="008A51F9" w:rsidRDefault="009C6C11" w:rsidP="00593BB3">
            <w:pPr>
              <w:pStyle w:val="Tablewriting"/>
              <w:spacing w:beforeLines="60" w:before="144" w:afterLines="60" w:after="144"/>
              <w:rPr>
                <w:rFonts w:cstheme="minorHAnsi"/>
              </w:rPr>
            </w:pPr>
          </w:p>
        </w:tc>
        <w:tc>
          <w:tcPr>
            <w:tcW w:w="10206" w:type="dxa"/>
          </w:tcPr>
          <w:p w14:paraId="2C56AA41" w14:textId="60E1CDE5" w:rsidR="009C6C11" w:rsidRDefault="009C6C11" w:rsidP="00593BB3">
            <w:pPr>
              <w:spacing w:beforeLines="60" w:before="144" w:afterLines="60" w:after="144"/>
              <w:rPr>
                <w:rFonts w:cstheme="minorHAnsi"/>
                <w:sz w:val="20"/>
                <w:szCs w:val="20"/>
              </w:rPr>
            </w:pPr>
            <w:r w:rsidRPr="008A51F9">
              <w:rPr>
                <w:rFonts w:cstheme="minorHAnsi"/>
                <w:sz w:val="20"/>
                <w:szCs w:val="20"/>
              </w:rPr>
              <w:t xml:space="preserve">The PBAC did not recommend the listing of evolocumab for patients with </w:t>
            </w:r>
            <w:r w:rsidR="000F1338">
              <w:rPr>
                <w:rFonts w:cstheme="minorHAnsi"/>
                <w:sz w:val="20"/>
                <w:szCs w:val="20"/>
              </w:rPr>
              <w:t>non-FH</w:t>
            </w:r>
            <w:r w:rsidRPr="008A51F9">
              <w:rPr>
                <w:rFonts w:cstheme="minorHAnsi"/>
                <w:sz w:val="20"/>
                <w:szCs w:val="20"/>
              </w:rPr>
              <w:t xml:space="preserve"> with atherosclerotic disease on the basis of an inadequately defined patient population, an uncertain incremental cost-effectiveness ratio (ICER) and high and uncertain patient population numbers. The PBAC considered that this population required more refined eligibility criteria in the proposed PBS listing given the very high financial estimates.</w:t>
            </w:r>
          </w:p>
          <w:p w14:paraId="6DA9900D" w14:textId="77777777" w:rsidR="003B44EB" w:rsidRDefault="003B44EB" w:rsidP="00593BB3">
            <w:pPr>
              <w:spacing w:beforeLines="60" w:before="144" w:afterLines="60" w:after="144"/>
              <w:rPr>
                <w:rFonts w:cstheme="minorHAnsi"/>
                <w:sz w:val="20"/>
                <w:szCs w:val="20"/>
              </w:rPr>
            </w:pPr>
          </w:p>
          <w:p w14:paraId="1FA9BF00" w14:textId="5FA8328E" w:rsidR="003B44EB" w:rsidRPr="008A51F9" w:rsidRDefault="003B44EB" w:rsidP="00593BB3">
            <w:pPr>
              <w:spacing w:beforeLines="60" w:before="144" w:afterLines="60" w:after="144"/>
              <w:rPr>
                <w:rFonts w:cstheme="minorHAnsi"/>
                <w:sz w:val="20"/>
                <w:szCs w:val="20"/>
              </w:rPr>
            </w:pPr>
            <w:r w:rsidRPr="00AE12A8">
              <w:rPr>
                <w:sz w:val="20"/>
                <w:szCs w:val="20"/>
              </w:rPr>
              <w:t xml:space="preserve">For further details refer to the </w:t>
            </w:r>
            <w:hyperlink r:id="rId48" w:history="1">
              <w:r w:rsidRPr="00D543AD">
                <w:rPr>
                  <w:rStyle w:val="Hyperlink"/>
                  <w:sz w:val="20"/>
                  <w:szCs w:val="20"/>
                </w:rPr>
                <w:t>Public Summary Document</w:t>
              </w:r>
            </w:hyperlink>
            <w:r w:rsidRPr="00AE12A8">
              <w:rPr>
                <w:sz w:val="20"/>
                <w:szCs w:val="20"/>
              </w:rPr>
              <w:t xml:space="preserve"> from the </w:t>
            </w:r>
            <w:r w:rsidR="00D543AD">
              <w:rPr>
                <w:sz w:val="20"/>
                <w:szCs w:val="20"/>
              </w:rPr>
              <w:t>July 2018</w:t>
            </w:r>
            <w:r w:rsidRPr="00AE12A8">
              <w:rPr>
                <w:sz w:val="20"/>
                <w:szCs w:val="20"/>
              </w:rPr>
              <w:t xml:space="preserve"> PBAC meeting.</w:t>
            </w:r>
          </w:p>
        </w:tc>
      </w:tr>
      <w:tr w:rsidR="009C6C11" w:rsidRPr="00A35800" w:rsidDel="00EE2BBB" w14:paraId="21A1951A" w14:textId="77777777" w:rsidTr="008968B6">
        <w:trPr>
          <w:trHeight w:val="546"/>
        </w:trPr>
        <w:tc>
          <w:tcPr>
            <w:tcW w:w="1129" w:type="dxa"/>
          </w:tcPr>
          <w:p w14:paraId="00F413DC" w14:textId="77777777" w:rsidR="009C6C11" w:rsidRPr="0041706F" w:rsidRDefault="009C6C11" w:rsidP="00593BB3">
            <w:pPr>
              <w:spacing w:beforeLines="60" w:before="144" w:afterLines="60" w:after="144"/>
              <w:rPr>
                <w:rFonts w:eastAsia="Times New Roman" w:cstheme="minorHAnsi"/>
                <w:sz w:val="20"/>
                <w:szCs w:val="20"/>
              </w:rPr>
            </w:pPr>
            <w:r w:rsidRPr="004449A7">
              <w:rPr>
                <w:rFonts w:eastAsia="Times New Roman" w:cstheme="minorHAnsi"/>
                <w:sz w:val="20"/>
                <w:szCs w:val="20"/>
              </w:rPr>
              <w:t>July 2019</w:t>
            </w:r>
          </w:p>
        </w:tc>
        <w:tc>
          <w:tcPr>
            <w:tcW w:w="2127" w:type="dxa"/>
          </w:tcPr>
          <w:p w14:paraId="2EAA812A" w14:textId="77777777" w:rsidR="009C6C11" w:rsidRPr="008A51F9" w:rsidRDefault="009C6C11" w:rsidP="00593BB3">
            <w:pPr>
              <w:spacing w:beforeLines="60" w:before="144" w:afterLines="60" w:after="144"/>
              <w:rPr>
                <w:rFonts w:eastAsia="Times New Roman" w:cstheme="minorHAnsi"/>
                <w:sz w:val="20"/>
                <w:szCs w:val="20"/>
              </w:rPr>
            </w:pPr>
            <w:r w:rsidRPr="0087144E">
              <w:rPr>
                <w:rFonts w:eastAsia="Times New Roman" w:cstheme="minorHAnsi"/>
                <w:sz w:val="20"/>
                <w:szCs w:val="20"/>
              </w:rPr>
              <w:t>Hypercholesterolaemia</w:t>
            </w:r>
          </w:p>
        </w:tc>
        <w:tc>
          <w:tcPr>
            <w:tcW w:w="10206" w:type="dxa"/>
          </w:tcPr>
          <w:p w14:paraId="0CADB59D" w14:textId="5CADE219" w:rsidR="009C6C11" w:rsidRDefault="009C6C11" w:rsidP="00593BB3">
            <w:pPr>
              <w:spacing w:beforeLines="60" w:before="144" w:afterLines="60" w:after="144"/>
              <w:rPr>
                <w:rFonts w:eastAsia="Times New Roman" w:cstheme="minorHAnsi"/>
                <w:sz w:val="20"/>
                <w:szCs w:val="20"/>
              </w:rPr>
            </w:pPr>
            <w:r w:rsidRPr="0087144E">
              <w:rPr>
                <w:rFonts w:eastAsia="Times New Roman" w:cstheme="minorHAnsi"/>
                <w:sz w:val="20"/>
                <w:szCs w:val="20"/>
              </w:rPr>
              <w:t xml:space="preserve">The PBAC deferred making a recommendation on the listing of </w:t>
            </w:r>
            <w:proofErr w:type="spellStart"/>
            <w:r w:rsidRPr="0087144E">
              <w:rPr>
                <w:rFonts w:eastAsia="Times New Roman" w:cstheme="minorHAnsi"/>
                <w:sz w:val="20"/>
                <w:szCs w:val="20"/>
              </w:rPr>
              <w:t>evolocumab</w:t>
            </w:r>
            <w:proofErr w:type="spellEnd"/>
            <w:r>
              <w:rPr>
                <w:rFonts w:eastAsia="Times New Roman" w:cstheme="minorHAnsi"/>
                <w:sz w:val="20"/>
                <w:szCs w:val="20"/>
              </w:rPr>
              <w:t xml:space="preserve"> </w:t>
            </w:r>
            <w:r w:rsidRPr="0087144E">
              <w:rPr>
                <w:rFonts w:eastAsia="Times New Roman" w:cstheme="minorHAnsi"/>
                <w:sz w:val="20"/>
                <w:szCs w:val="20"/>
              </w:rPr>
              <w:t xml:space="preserve">for the treatment of </w:t>
            </w:r>
            <w:r w:rsidR="000F1338">
              <w:rPr>
                <w:rFonts w:eastAsia="Times New Roman" w:cstheme="minorHAnsi"/>
                <w:sz w:val="20"/>
                <w:szCs w:val="20"/>
              </w:rPr>
              <w:t>non-FH</w:t>
            </w:r>
            <w:r w:rsidRPr="0087144E">
              <w:rPr>
                <w:rFonts w:eastAsia="Times New Roman" w:cstheme="minorHAnsi"/>
                <w:sz w:val="20"/>
                <w:szCs w:val="20"/>
              </w:rPr>
              <w:t xml:space="preserve"> </w:t>
            </w:r>
            <w:r>
              <w:rPr>
                <w:rFonts w:eastAsia="Times New Roman" w:cstheme="minorHAnsi"/>
                <w:sz w:val="20"/>
                <w:szCs w:val="20"/>
              </w:rPr>
              <w:t xml:space="preserve">in patients </w:t>
            </w:r>
            <w:r w:rsidRPr="0087144E">
              <w:rPr>
                <w:rFonts w:eastAsia="Times New Roman" w:cstheme="minorHAnsi"/>
                <w:sz w:val="20"/>
                <w:szCs w:val="20"/>
              </w:rPr>
              <w:t>with ASCVD and additional high-risk factors.</w:t>
            </w:r>
            <w:r>
              <w:rPr>
                <w:rFonts w:eastAsia="Times New Roman" w:cstheme="minorHAnsi"/>
                <w:sz w:val="20"/>
                <w:szCs w:val="20"/>
              </w:rPr>
              <w:t xml:space="preserve"> </w:t>
            </w:r>
          </w:p>
          <w:p w14:paraId="7F1CF523" w14:textId="77777777" w:rsidR="009C6C11" w:rsidRPr="0087144E" w:rsidRDefault="009C6C11" w:rsidP="00593BB3">
            <w:pPr>
              <w:spacing w:beforeLines="60" w:before="144" w:afterLines="60" w:after="144"/>
              <w:rPr>
                <w:rFonts w:eastAsia="Times New Roman" w:cstheme="minorHAnsi"/>
                <w:sz w:val="20"/>
                <w:szCs w:val="20"/>
              </w:rPr>
            </w:pPr>
            <w:r w:rsidRPr="0087144E">
              <w:rPr>
                <w:rFonts w:eastAsia="Times New Roman" w:cstheme="minorHAnsi"/>
                <w:sz w:val="20"/>
                <w:szCs w:val="20"/>
              </w:rPr>
              <w:t>The PBAC also deferred making a recom</w:t>
            </w:r>
            <w:r>
              <w:rPr>
                <w:rFonts w:eastAsia="Times New Roman" w:cstheme="minorHAnsi"/>
                <w:sz w:val="20"/>
                <w:szCs w:val="20"/>
              </w:rPr>
              <w:t xml:space="preserve">mendation on the resubmission’s </w:t>
            </w:r>
            <w:r w:rsidRPr="0087144E">
              <w:rPr>
                <w:rFonts w:eastAsia="Times New Roman" w:cstheme="minorHAnsi"/>
                <w:sz w:val="20"/>
                <w:szCs w:val="20"/>
              </w:rPr>
              <w:t>request to extend the existing familial hyperc</w:t>
            </w:r>
            <w:r>
              <w:rPr>
                <w:rFonts w:eastAsia="Times New Roman" w:cstheme="minorHAnsi"/>
                <w:sz w:val="20"/>
                <w:szCs w:val="20"/>
              </w:rPr>
              <w:t xml:space="preserve">holesterolaemia listing in </w:t>
            </w:r>
            <w:r w:rsidRPr="0087144E">
              <w:rPr>
                <w:rFonts w:eastAsia="Times New Roman" w:cstheme="minorHAnsi"/>
                <w:sz w:val="20"/>
                <w:szCs w:val="20"/>
              </w:rPr>
              <w:t>the ASCVD population to include patients with low-density lipoprotein (LDL)</w:t>
            </w:r>
          </w:p>
          <w:p w14:paraId="4F7AE78D" w14:textId="15C7AECE" w:rsidR="00D543AD" w:rsidRDefault="009C6C11" w:rsidP="00593BB3">
            <w:pPr>
              <w:spacing w:beforeLines="60" w:before="144" w:afterLines="60" w:after="144"/>
              <w:rPr>
                <w:rFonts w:eastAsia="Times New Roman" w:cstheme="minorHAnsi"/>
                <w:sz w:val="20"/>
                <w:szCs w:val="20"/>
              </w:rPr>
            </w:pPr>
            <w:r w:rsidRPr="0087144E">
              <w:rPr>
                <w:rFonts w:eastAsia="Times New Roman" w:cstheme="minorHAnsi"/>
                <w:sz w:val="20"/>
                <w:szCs w:val="20"/>
              </w:rPr>
              <w:t>levels between 2.6 mmol/L and 3.3 mmol/L.</w:t>
            </w:r>
          </w:p>
          <w:p w14:paraId="14F54D42" w14:textId="652A87FE" w:rsidR="00642F5F" w:rsidRPr="0087144E" w:rsidRDefault="00D543AD" w:rsidP="00593BB3">
            <w:pPr>
              <w:spacing w:beforeLines="60" w:before="144" w:afterLines="60" w:after="144"/>
              <w:rPr>
                <w:rFonts w:eastAsia="Times New Roman" w:cstheme="minorHAnsi"/>
                <w:sz w:val="20"/>
                <w:szCs w:val="20"/>
              </w:rPr>
            </w:pPr>
            <w:r w:rsidRPr="00AE12A8">
              <w:rPr>
                <w:sz w:val="20"/>
                <w:szCs w:val="20"/>
              </w:rPr>
              <w:t xml:space="preserve">For further details refer to the </w:t>
            </w:r>
            <w:hyperlink r:id="rId49" w:history="1">
              <w:r w:rsidRPr="00D543AD">
                <w:rPr>
                  <w:rStyle w:val="Hyperlink"/>
                  <w:sz w:val="20"/>
                  <w:szCs w:val="20"/>
                </w:rPr>
                <w:t>Public Summary Document</w:t>
              </w:r>
            </w:hyperlink>
            <w:r w:rsidRPr="00AE12A8">
              <w:rPr>
                <w:sz w:val="20"/>
                <w:szCs w:val="20"/>
              </w:rPr>
              <w:t xml:space="preserve"> from the </w:t>
            </w:r>
            <w:r>
              <w:rPr>
                <w:sz w:val="20"/>
                <w:szCs w:val="20"/>
              </w:rPr>
              <w:t xml:space="preserve">July 2019 </w:t>
            </w:r>
            <w:r w:rsidRPr="00AE12A8">
              <w:rPr>
                <w:sz w:val="20"/>
                <w:szCs w:val="20"/>
              </w:rPr>
              <w:t>PBAC meeting.</w:t>
            </w:r>
          </w:p>
        </w:tc>
      </w:tr>
      <w:tr w:rsidR="009C6C11" w:rsidRPr="00A35800" w:rsidDel="00EE2BBB" w14:paraId="77032C73" w14:textId="77777777" w:rsidTr="008968B6">
        <w:trPr>
          <w:trHeight w:val="546"/>
        </w:trPr>
        <w:tc>
          <w:tcPr>
            <w:tcW w:w="1129" w:type="dxa"/>
          </w:tcPr>
          <w:p w14:paraId="4EE1BBCB" w14:textId="77777777" w:rsidR="009C6C11" w:rsidRPr="004449A7" w:rsidRDefault="009C6C11" w:rsidP="00593BB3">
            <w:pPr>
              <w:spacing w:beforeLines="60" w:before="144" w:afterLines="60" w:after="144"/>
              <w:rPr>
                <w:rFonts w:eastAsia="Times New Roman" w:cstheme="minorHAnsi"/>
                <w:sz w:val="20"/>
                <w:szCs w:val="20"/>
              </w:rPr>
            </w:pPr>
            <w:r>
              <w:rPr>
                <w:rFonts w:eastAsia="Times New Roman" w:cstheme="minorHAnsi"/>
                <w:sz w:val="20"/>
                <w:szCs w:val="20"/>
              </w:rPr>
              <w:t>November 2019</w:t>
            </w:r>
          </w:p>
        </w:tc>
        <w:tc>
          <w:tcPr>
            <w:tcW w:w="2127" w:type="dxa"/>
          </w:tcPr>
          <w:p w14:paraId="03471A71" w14:textId="263924B9" w:rsidR="009C6C11" w:rsidRPr="0087144E" w:rsidRDefault="009C6C11" w:rsidP="00593BB3">
            <w:pPr>
              <w:spacing w:beforeLines="60" w:before="144" w:afterLines="60" w:after="144"/>
              <w:rPr>
                <w:rFonts w:eastAsia="Times New Roman" w:cstheme="minorHAnsi"/>
                <w:sz w:val="20"/>
                <w:szCs w:val="20"/>
              </w:rPr>
            </w:pPr>
            <w:r w:rsidRPr="008A51F9">
              <w:rPr>
                <w:rFonts w:eastAsia="Times New Roman" w:cstheme="minorHAnsi"/>
                <w:sz w:val="20"/>
                <w:szCs w:val="20"/>
              </w:rPr>
              <w:t>Non-</w:t>
            </w:r>
            <w:r w:rsidR="000F1338">
              <w:rPr>
                <w:rFonts w:eastAsia="Times New Roman" w:cstheme="minorHAnsi"/>
                <w:sz w:val="20"/>
                <w:szCs w:val="20"/>
              </w:rPr>
              <w:t>FH</w:t>
            </w:r>
            <w:r w:rsidRPr="008A51F9">
              <w:rPr>
                <w:rFonts w:eastAsia="Times New Roman" w:cstheme="minorHAnsi"/>
                <w:sz w:val="20"/>
                <w:szCs w:val="20"/>
              </w:rPr>
              <w:t xml:space="preserve"> </w:t>
            </w:r>
            <w:r>
              <w:rPr>
                <w:rFonts w:eastAsia="Times New Roman" w:cstheme="minorHAnsi"/>
                <w:sz w:val="20"/>
                <w:szCs w:val="20"/>
              </w:rPr>
              <w:t xml:space="preserve">with atherosclerotic disease and an extension for </w:t>
            </w:r>
            <w:r w:rsidR="000F1338">
              <w:rPr>
                <w:rFonts w:eastAsia="Times New Roman" w:cstheme="minorHAnsi"/>
                <w:sz w:val="20"/>
                <w:szCs w:val="20"/>
              </w:rPr>
              <w:t xml:space="preserve">FH </w:t>
            </w:r>
            <w:r>
              <w:rPr>
                <w:rFonts w:eastAsia="Times New Roman" w:cstheme="minorHAnsi"/>
                <w:sz w:val="20"/>
                <w:szCs w:val="20"/>
              </w:rPr>
              <w:t xml:space="preserve">to include patients </w:t>
            </w:r>
            <w:r w:rsidRPr="00895499">
              <w:rPr>
                <w:rFonts w:eastAsia="Times New Roman" w:cstheme="minorHAnsi"/>
                <w:sz w:val="20"/>
                <w:szCs w:val="20"/>
              </w:rPr>
              <w:t xml:space="preserve">with symptomatic ASCVD or </w:t>
            </w:r>
            <w:r w:rsidR="000F1338">
              <w:rPr>
                <w:rFonts w:eastAsia="Times New Roman" w:cstheme="minorHAnsi"/>
                <w:sz w:val="20"/>
                <w:szCs w:val="20"/>
              </w:rPr>
              <w:t>Ho</w:t>
            </w:r>
            <w:r w:rsidRPr="00895499">
              <w:rPr>
                <w:rFonts w:eastAsia="Times New Roman" w:cstheme="minorHAnsi"/>
                <w:sz w:val="20"/>
                <w:szCs w:val="20"/>
              </w:rPr>
              <w:t>FH who have an LDL level</w:t>
            </w:r>
            <w:r>
              <w:rPr>
                <w:rFonts w:eastAsia="Times New Roman" w:cstheme="minorHAnsi"/>
                <w:sz w:val="20"/>
                <w:szCs w:val="20"/>
              </w:rPr>
              <w:t xml:space="preserve"> </w:t>
            </w:r>
            <w:r w:rsidRPr="00895499">
              <w:rPr>
                <w:rFonts w:eastAsia="Times New Roman" w:cstheme="minorHAnsi"/>
                <w:sz w:val="20"/>
                <w:szCs w:val="20"/>
              </w:rPr>
              <w:t>between 2.6 and 3.3 mmol/L despite optimised treatment with statins and</w:t>
            </w:r>
            <w:r>
              <w:rPr>
                <w:rFonts w:eastAsia="Times New Roman" w:cstheme="minorHAnsi"/>
                <w:sz w:val="20"/>
                <w:szCs w:val="20"/>
              </w:rPr>
              <w:t xml:space="preserve"> </w:t>
            </w:r>
            <w:r w:rsidRPr="00895499">
              <w:rPr>
                <w:rFonts w:eastAsia="Times New Roman" w:cstheme="minorHAnsi"/>
                <w:sz w:val="20"/>
                <w:szCs w:val="20"/>
              </w:rPr>
              <w:t>ezetimibe.</w:t>
            </w:r>
          </w:p>
        </w:tc>
        <w:tc>
          <w:tcPr>
            <w:tcW w:w="10206" w:type="dxa"/>
          </w:tcPr>
          <w:p w14:paraId="4EDB3C87" w14:textId="5252C4A3" w:rsidR="00AE12A8" w:rsidRPr="00AE12A8" w:rsidRDefault="00AE12A8" w:rsidP="00593BB3">
            <w:pPr>
              <w:spacing w:beforeLines="60" w:before="144" w:afterLines="60" w:after="144"/>
              <w:rPr>
                <w:sz w:val="20"/>
                <w:szCs w:val="20"/>
              </w:rPr>
            </w:pPr>
            <w:r w:rsidRPr="00AE12A8">
              <w:rPr>
                <w:sz w:val="20"/>
                <w:szCs w:val="20"/>
              </w:rPr>
              <w:t>The minor resubmission sought an Authority Required listing for evolocumab for the treatment of non-FH in patients with atherosclerotic cardiovascular disease (ASCVD) and additional high-risk factors. The minor resubmission also sought an extension of the current Authority Required listing of evolocumab for the treatment of FH to include patients with symptomatic ASCVD or homozygous FH who have an LDL level between 2.6 and 3.3 mmol/L despite optimised treatment with statins and ezetimibe.</w:t>
            </w:r>
          </w:p>
          <w:p w14:paraId="4BADEDD8" w14:textId="77777777" w:rsidR="00AE12A8" w:rsidRPr="00AE12A8" w:rsidRDefault="00AE12A8" w:rsidP="00593BB3">
            <w:pPr>
              <w:spacing w:beforeLines="60" w:before="144" w:afterLines="60" w:after="144"/>
              <w:rPr>
                <w:rFonts w:eastAsia="Times New Roman" w:cstheme="minorHAnsi"/>
                <w:sz w:val="20"/>
                <w:szCs w:val="20"/>
              </w:rPr>
            </w:pPr>
            <w:r w:rsidRPr="00AE12A8">
              <w:rPr>
                <w:sz w:val="20"/>
                <w:szCs w:val="20"/>
              </w:rPr>
              <w:t>The PBAC recommended the Authority Required listing of evolocumab, but on the basis</w:t>
            </w:r>
            <w:r w:rsidRPr="00AE12A8">
              <w:rPr>
                <w:rFonts w:eastAsia="Times New Roman" w:cstheme="minorHAnsi"/>
                <w:sz w:val="20"/>
                <w:szCs w:val="20"/>
              </w:rPr>
              <w:t xml:space="preserve"> that it be available only in the circumstances where use is restricted to the treatment of:</w:t>
            </w:r>
          </w:p>
          <w:p w14:paraId="6A8A5966" w14:textId="3C0BAFF7" w:rsidR="00AE12A8" w:rsidRPr="00AE12A8" w:rsidRDefault="00AE12A8" w:rsidP="00593BB3">
            <w:pPr>
              <w:pStyle w:val="ListParagraph"/>
              <w:numPr>
                <w:ilvl w:val="0"/>
                <w:numId w:val="3"/>
              </w:numPr>
              <w:spacing w:beforeLines="60" w:before="144" w:afterLines="60" w:after="144"/>
              <w:rPr>
                <w:rFonts w:eastAsia="Times New Roman" w:cstheme="minorHAnsi"/>
                <w:sz w:val="20"/>
                <w:szCs w:val="20"/>
              </w:rPr>
            </w:pPr>
            <w:r w:rsidRPr="00AE12A8">
              <w:rPr>
                <w:rFonts w:eastAsia="Times New Roman" w:cstheme="minorHAnsi"/>
                <w:sz w:val="20"/>
                <w:szCs w:val="20"/>
              </w:rPr>
              <w:t>non-FH in patients with atherosclerotic cardiovascular disease (ASCVD), who have an LDL level greater than 2.6 mmol/L and additional high-risk factors; and</w:t>
            </w:r>
          </w:p>
          <w:p w14:paraId="58948767" w14:textId="5E79924B" w:rsidR="00AE12A8" w:rsidRPr="00AE12A8" w:rsidRDefault="000F1338" w:rsidP="00593BB3">
            <w:pPr>
              <w:pStyle w:val="ListParagraph"/>
              <w:numPr>
                <w:ilvl w:val="0"/>
                <w:numId w:val="3"/>
              </w:numPr>
              <w:spacing w:beforeLines="60" w:before="144" w:afterLines="60" w:after="144"/>
              <w:rPr>
                <w:sz w:val="20"/>
                <w:szCs w:val="20"/>
              </w:rPr>
            </w:pPr>
            <w:r>
              <w:rPr>
                <w:rFonts w:eastAsia="Times New Roman" w:cstheme="minorHAnsi"/>
                <w:sz w:val="20"/>
                <w:szCs w:val="20"/>
              </w:rPr>
              <w:t xml:space="preserve">FH </w:t>
            </w:r>
            <w:r w:rsidR="00AE12A8" w:rsidRPr="00AE12A8">
              <w:rPr>
                <w:rFonts w:eastAsia="Times New Roman" w:cstheme="minorHAnsi"/>
                <w:sz w:val="20"/>
                <w:szCs w:val="20"/>
              </w:rPr>
              <w:t>in patients with symptomatic ASCVD or homozygous FH (</w:t>
            </w:r>
            <w:r w:rsidR="00781881">
              <w:rPr>
                <w:rFonts w:eastAsia="Times New Roman" w:cstheme="minorHAnsi"/>
                <w:sz w:val="20"/>
                <w:szCs w:val="20"/>
              </w:rPr>
              <w:t>H</w:t>
            </w:r>
            <w:r w:rsidR="00AE12A8" w:rsidRPr="00AE12A8">
              <w:rPr>
                <w:rFonts w:eastAsia="Times New Roman" w:cstheme="minorHAnsi"/>
                <w:sz w:val="20"/>
                <w:szCs w:val="20"/>
              </w:rPr>
              <w:t>oFH), who have an LDL level between 2.6 and 3.3 mmol/L.</w:t>
            </w:r>
          </w:p>
          <w:p w14:paraId="05430428" w14:textId="58B9DA60" w:rsidR="009C6C11" w:rsidRPr="00AE12A8" w:rsidRDefault="00AE12A8" w:rsidP="00593BB3">
            <w:pPr>
              <w:spacing w:beforeLines="60" w:before="144" w:afterLines="60" w:after="144"/>
            </w:pPr>
            <w:r w:rsidRPr="00AE12A8">
              <w:rPr>
                <w:sz w:val="20"/>
                <w:szCs w:val="20"/>
              </w:rPr>
              <w:t xml:space="preserve">For further details refer to the </w:t>
            </w:r>
            <w:hyperlink r:id="rId50" w:history="1">
              <w:r w:rsidRPr="00AE12A8">
                <w:rPr>
                  <w:rStyle w:val="Hyperlink"/>
                  <w:sz w:val="20"/>
                  <w:szCs w:val="20"/>
                </w:rPr>
                <w:t>Public Summary Document</w:t>
              </w:r>
            </w:hyperlink>
            <w:r w:rsidRPr="00AE12A8">
              <w:rPr>
                <w:sz w:val="20"/>
                <w:szCs w:val="20"/>
              </w:rPr>
              <w:t xml:space="preserve"> from the November 2019 PBAC meeting.</w:t>
            </w:r>
          </w:p>
        </w:tc>
      </w:tr>
      <w:tr w:rsidR="009C6C11" w:rsidRPr="00A35800" w:rsidDel="00EE2BBB" w14:paraId="39797E11" w14:textId="77777777" w:rsidTr="008968B6">
        <w:trPr>
          <w:trHeight w:val="546"/>
        </w:trPr>
        <w:tc>
          <w:tcPr>
            <w:tcW w:w="1129" w:type="dxa"/>
          </w:tcPr>
          <w:p w14:paraId="4FCD2147" w14:textId="77777777" w:rsidR="009C6C11" w:rsidRDefault="009C6C11" w:rsidP="00593BB3">
            <w:pPr>
              <w:spacing w:beforeLines="60" w:before="144" w:afterLines="60" w:after="144"/>
              <w:rPr>
                <w:rFonts w:eastAsia="Times New Roman" w:cstheme="minorHAnsi"/>
                <w:sz w:val="20"/>
                <w:szCs w:val="20"/>
              </w:rPr>
            </w:pPr>
            <w:r>
              <w:rPr>
                <w:rFonts w:eastAsia="Times New Roman" w:cstheme="minorHAnsi"/>
                <w:sz w:val="20"/>
                <w:szCs w:val="20"/>
              </w:rPr>
              <w:lastRenderedPageBreak/>
              <w:t>November 2020</w:t>
            </w:r>
          </w:p>
        </w:tc>
        <w:tc>
          <w:tcPr>
            <w:tcW w:w="2127" w:type="dxa"/>
          </w:tcPr>
          <w:p w14:paraId="0B82710B" w14:textId="0A3715A6" w:rsidR="009C6C11" w:rsidRPr="008A51F9" w:rsidRDefault="000D7CB8" w:rsidP="00593BB3">
            <w:pPr>
              <w:spacing w:beforeLines="60" w:before="144" w:afterLines="60" w:after="144"/>
              <w:rPr>
                <w:rFonts w:eastAsia="Times New Roman" w:cstheme="minorHAnsi"/>
                <w:sz w:val="20"/>
                <w:szCs w:val="20"/>
              </w:rPr>
            </w:pPr>
            <w:r>
              <w:rPr>
                <w:rFonts w:eastAsia="Times New Roman" w:cstheme="minorHAnsi"/>
                <w:sz w:val="20"/>
                <w:szCs w:val="20"/>
              </w:rPr>
              <w:t>All listings</w:t>
            </w:r>
          </w:p>
        </w:tc>
        <w:tc>
          <w:tcPr>
            <w:tcW w:w="10206" w:type="dxa"/>
          </w:tcPr>
          <w:p w14:paraId="4B228BE3" w14:textId="77777777" w:rsidR="00AE12A8" w:rsidRPr="00AE12A8" w:rsidRDefault="00AE12A8" w:rsidP="00593BB3">
            <w:pPr>
              <w:spacing w:beforeLines="60" w:before="144" w:afterLines="60" w:after="144"/>
              <w:rPr>
                <w:rFonts w:eastAsia="Times New Roman" w:cstheme="minorHAnsi"/>
                <w:sz w:val="20"/>
                <w:szCs w:val="20"/>
              </w:rPr>
            </w:pPr>
            <w:r w:rsidRPr="00AE12A8">
              <w:rPr>
                <w:rFonts w:eastAsia="Times New Roman" w:cstheme="minorHAnsi"/>
                <w:sz w:val="20"/>
                <w:szCs w:val="20"/>
              </w:rPr>
              <w:t>The minor submission requested an amendment to the Authority Required listings of evolocumab for all indications to allow general practitioners (GPs) to initiate treatment, but only after having consulted a specialist.</w:t>
            </w:r>
          </w:p>
          <w:p w14:paraId="2BEB62AD" w14:textId="3FCEE351" w:rsidR="00AE12A8" w:rsidRPr="00AE12A8" w:rsidRDefault="00AE12A8" w:rsidP="00593BB3">
            <w:pPr>
              <w:spacing w:beforeLines="60" w:before="144" w:afterLines="60" w:after="144"/>
              <w:rPr>
                <w:sz w:val="20"/>
                <w:szCs w:val="20"/>
              </w:rPr>
            </w:pPr>
            <w:r w:rsidRPr="00AE12A8">
              <w:rPr>
                <w:rFonts w:eastAsia="Times New Roman" w:cstheme="minorHAnsi"/>
                <w:sz w:val="20"/>
                <w:szCs w:val="20"/>
              </w:rPr>
              <w:t>The PBAC did not recommend an amendment to the Authority Required listings of evolocumab for all indications to allow GPs to initiate treatment after having consulted a specialist. The PBAC advised that “Must be treated by a specialist physician” for initiation of treatment should remain for all indications, consistent with its previous advice.</w:t>
            </w:r>
          </w:p>
          <w:p w14:paraId="26377B14" w14:textId="1F472C14" w:rsidR="00642F5F" w:rsidRPr="00AE12A8" w:rsidRDefault="00AE12A8" w:rsidP="00593BB3">
            <w:pPr>
              <w:spacing w:beforeLines="60" w:before="144" w:afterLines="60" w:after="144"/>
            </w:pPr>
            <w:r w:rsidRPr="00AE12A8">
              <w:rPr>
                <w:sz w:val="20"/>
                <w:szCs w:val="20"/>
              </w:rPr>
              <w:t xml:space="preserve">For further details refer to the </w:t>
            </w:r>
            <w:hyperlink r:id="rId51" w:history="1">
              <w:r w:rsidRPr="00AE12A8">
                <w:rPr>
                  <w:rStyle w:val="Hyperlink"/>
                  <w:sz w:val="20"/>
                  <w:szCs w:val="20"/>
                </w:rPr>
                <w:t>Public Summary Document</w:t>
              </w:r>
            </w:hyperlink>
            <w:r w:rsidRPr="00AE12A8">
              <w:rPr>
                <w:sz w:val="20"/>
                <w:szCs w:val="20"/>
              </w:rPr>
              <w:t xml:space="preserve"> from the November 2020 PBAC meeting.</w:t>
            </w:r>
          </w:p>
        </w:tc>
      </w:tr>
      <w:tr w:rsidR="00D543AD" w:rsidRPr="00A35800" w:rsidDel="00EE2BBB" w14:paraId="39FF9F6B" w14:textId="77777777" w:rsidTr="008968B6">
        <w:trPr>
          <w:trHeight w:val="546"/>
        </w:trPr>
        <w:tc>
          <w:tcPr>
            <w:tcW w:w="1129" w:type="dxa"/>
          </w:tcPr>
          <w:p w14:paraId="236E3FCB" w14:textId="5D44967A" w:rsidR="00D543AD" w:rsidRDefault="00D543AD" w:rsidP="00593BB3">
            <w:pPr>
              <w:spacing w:beforeLines="60" w:before="144" w:afterLines="60" w:after="144"/>
              <w:rPr>
                <w:rFonts w:eastAsia="Times New Roman" w:cstheme="minorHAnsi"/>
                <w:sz w:val="20"/>
                <w:szCs w:val="20"/>
              </w:rPr>
            </w:pPr>
            <w:r>
              <w:rPr>
                <w:rFonts w:eastAsia="Times New Roman" w:cstheme="minorHAnsi"/>
                <w:sz w:val="20"/>
                <w:szCs w:val="20"/>
              </w:rPr>
              <w:t xml:space="preserve">March 2021 </w:t>
            </w:r>
          </w:p>
        </w:tc>
        <w:tc>
          <w:tcPr>
            <w:tcW w:w="2127" w:type="dxa"/>
          </w:tcPr>
          <w:p w14:paraId="579210C2" w14:textId="05FE5CB4" w:rsidR="00D543AD" w:rsidRDefault="000D7CB8" w:rsidP="00593BB3">
            <w:pPr>
              <w:spacing w:beforeLines="60" w:before="144" w:afterLines="60" w:after="144"/>
              <w:rPr>
                <w:rFonts w:eastAsia="Times New Roman" w:cstheme="minorHAnsi"/>
                <w:sz w:val="20"/>
                <w:szCs w:val="20"/>
              </w:rPr>
            </w:pPr>
            <w:r>
              <w:rPr>
                <w:rFonts w:eastAsia="Times New Roman" w:cstheme="minorHAnsi"/>
                <w:sz w:val="20"/>
                <w:szCs w:val="20"/>
              </w:rPr>
              <w:t>All listings</w:t>
            </w:r>
          </w:p>
        </w:tc>
        <w:tc>
          <w:tcPr>
            <w:tcW w:w="10206" w:type="dxa"/>
          </w:tcPr>
          <w:p w14:paraId="5E44FAC3" w14:textId="673A92E5" w:rsidR="003F54F4" w:rsidRPr="00D543AD" w:rsidRDefault="00D543AD" w:rsidP="00593BB3">
            <w:pPr>
              <w:spacing w:beforeLines="60" w:before="144" w:afterLines="60" w:after="144"/>
              <w:rPr>
                <w:sz w:val="20"/>
                <w:szCs w:val="20"/>
              </w:rPr>
            </w:pPr>
            <w:r w:rsidRPr="00D543AD">
              <w:rPr>
                <w:sz w:val="20"/>
                <w:szCs w:val="20"/>
              </w:rPr>
              <w:t>The submission provided notification that the existing evolocumab 420 mg/3.5 mL injection (cartridge presentation) is to be phased out and replaced with a modified automated mini-doser (AMD) that will shorten the injection time from 9 minutes to 5 minutes, herein referred to as the 9-minute AMD device and 5-minute AMD device respectively. No changes to the listed drug were otherwise proposed.</w:t>
            </w:r>
          </w:p>
          <w:p w14:paraId="1F86F734" w14:textId="2CE4BD6D" w:rsidR="00D543AD" w:rsidRPr="00D543AD" w:rsidRDefault="00D543AD" w:rsidP="00593BB3">
            <w:pPr>
              <w:spacing w:beforeLines="60" w:before="144" w:afterLines="60" w:after="144"/>
              <w:rPr>
                <w:sz w:val="20"/>
                <w:szCs w:val="20"/>
              </w:rPr>
            </w:pPr>
            <w:r w:rsidRPr="00D543AD">
              <w:rPr>
                <w:sz w:val="20"/>
                <w:szCs w:val="20"/>
              </w:rPr>
              <w:t>The PBAC held no objections to the planned discontinuation of the existing evolocumab 420 mg/3.5 mL injection (cartridge presentation) and its replacement with an updated product whereby the modified automated mini-doser (AMD) will shorten the injection time from 9 minutes to 5 minutes.</w:t>
            </w:r>
          </w:p>
          <w:p w14:paraId="008F363D" w14:textId="03390984" w:rsidR="00D543AD" w:rsidRDefault="00D543AD" w:rsidP="00593BB3">
            <w:pPr>
              <w:spacing w:beforeLines="60" w:before="144" w:afterLines="60" w:after="144"/>
              <w:rPr>
                <w:sz w:val="20"/>
                <w:szCs w:val="20"/>
              </w:rPr>
            </w:pPr>
            <w:r w:rsidRPr="00D543AD">
              <w:rPr>
                <w:sz w:val="20"/>
                <w:szCs w:val="20"/>
              </w:rPr>
              <w:t>The PBAC noted there have been no changes to the drug or cartridge container with</w:t>
            </w:r>
            <w:r w:rsidR="003F54F4">
              <w:rPr>
                <w:sz w:val="20"/>
                <w:szCs w:val="20"/>
              </w:rPr>
              <w:t xml:space="preserve"> </w:t>
            </w:r>
            <w:r w:rsidRPr="00D543AD">
              <w:rPr>
                <w:sz w:val="20"/>
                <w:szCs w:val="20"/>
              </w:rPr>
              <w:t xml:space="preserve">the design change, and that the legal instruments enacting the current PBS listings of evolocumab 420 mg/3.5 mL injection do not require any amendments. The PBAC therefore recommended no changes to the existing </w:t>
            </w:r>
            <w:proofErr w:type="spellStart"/>
            <w:r w:rsidRPr="00D543AD">
              <w:rPr>
                <w:sz w:val="20"/>
                <w:szCs w:val="20"/>
              </w:rPr>
              <w:t>evolocumab</w:t>
            </w:r>
            <w:proofErr w:type="spellEnd"/>
            <w:r w:rsidRPr="00D543AD">
              <w:rPr>
                <w:sz w:val="20"/>
                <w:szCs w:val="20"/>
              </w:rPr>
              <w:t xml:space="preserve"> listings.</w:t>
            </w:r>
          </w:p>
          <w:p w14:paraId="1999BD4B" w14:textId="1B4CD33A" w:rsidR="00D543AD" w:rsidRPr="00B35303" w:rsidRDefault="00D543AD" w:rsidP="00593BB3">
            <w:pPr>
              <w:spacing w:beforeLines="60" w:before="144" w:afterLines="60" w:after="144"/>
              <w:rPr>
                <w:sz w:val="20"/>
                <w:szCs w:val="20"/>
              </w:rPr>
            </w:pPr>
            <w:r w:rsidRPr="00AE12A8">
              <w:rPr>
                <w:sz w:val="20"/>
                <w:szCs w:val="20"/>
              </w:rPr>
              <w:t xml:space="preserve">For further details refer to the </w:t>
            </w:r>
            <w:hyperlink r:id="rId52" w:history="1">
              <w:r w:rsidRPr="00D543AD">
                <w:rPr>
                  <w:rStyle w:val="Hyperlink"/>
                  <w:sz w:val="20"/>
                  <w:szCs w:val="20"/>
                </w:rPr>
                <w:t>Public Summary Document</w:t>
              </w:r>
            </w:hyperlink>
            <w:r w:rsidRPr="00AE12A8">
              <w:rPr>
                <w:sz w:val="20"/>
                <w:szCs w:val="20"/>
              </w:rPr>
              <w:t xml:space="preserve"> from the </w:t>
            </w:r>
            <w:r>
              <w:rPr>
                <w:sz w:val="20"/>
                <w:szCs w:val="20"/>
              </w:rPr>
              <w:t>March 2021</w:t>
            </w:r>
            <w:r w:rsidRPr="00AE12A8">
              <w:rPr>
                <w:sz w:val="20"/>
                <w:szCs w:val="20"/>
              </w:rPr>
              <w:t xml:space="preserve"> PBAC meeting.</w:t>
            </w:r>
          </w:p>
        </w:tc>
      </w:tr>
      <w:tr w:rsidR="009C6C11" w:rsidRPr="00A35800" w:rsidDel="00EE2BBB" w14:paraId="3D415A7A" w14:textId="77777777" w:rsidTr="008968B6">
        <w:trPr>
          <w:trHeight w:val="546"/>
        </w:trPr>
        <w:tc>
          <w:tcPr>
            <w:tcW w:w="1129" w:type="dxa"/>
          </w:tcPr>
          <w:p w14:paraId="080C6804" w14:textId="4652E288" w:rsidR="009C6C11" w:rsidRDefault="00B35303" w:rsidP="00593BB3">
            <w:pPr>
              <w:spacing w:beforeLines="60" w:before="144" w:afterLines="60" w:after="144"/>
              <w:rPr>
                <w:rFonts w:eastAsia="Times New Roman" w:cstheme="minorHAnsi"/>
                <w:sz w:val="20"/>
                <w:szCs w:val="20"/>
              </w:rPr>
            </w:pPr>
            <w:r>
              <w:rPr>
                <w:rFonts w:eastAsia="Times New Roman" w:cstheme="minorHAnsi"/>
                <w:sz w:val="20"/>
                <w:szCs w:val="20"/>
              </w:rPr>
              <w:t xml:space="preserve">July 2022 </w:t>
            </w:r>
          </w:p>
        </w:tc>
        <w:tc>
          <w:tcPr>
            <w:tcW w:w="2127" w:type="dxa"/>
          </w:tcPr>
          <w:p w14:paraId="5EFF130E" w14:textId="782BB185" w:rsidR="009C6C11" w:rsidRDefault="000D7CB8" w:rsidP="00593BB3">
            <w:pPr>
              <w:spacing w:beforeLines="60" w:before="144" w:afterLines="60" w:after="144"/>
              <w:rPr>
                <w:rFonts w:eastAsia="Times New Roman" w:cstheme="minorHAnsi"/>
                <w:sz w:val="20"/>
                <w:szCs w:val="20"/>
              </w:rPr>
            </w:pPr>
            <w:r>
              <w:rPr>
                <w:rFonts w:eastAsia="Times New Roman" w:cstheme="minorHAnsi"/>
                <w:sz w:val="20"/>
                <w:szCs w:val="20"/>
              </w:rPr>
              <w:t>All listings</w:t>
            </w:r>
            <w:r w:rsidR="00B35303">
              <w:rPr>
                <w:rFonts w:eastAsia="Times New Roman" w:cstheme="minorHAnsi"/>
                <w:sz w:val="20"/>
                <w:szCs w:val="20"/>
              </w:rPr>
              <w:t xml:space="preserve"> </w:t>
            </w:r>
          </w:p>
        </w:tc>
        <w:tc>
          <w:tcPr>
            <w:tcW w:w="10206" w:type="dxa"/>
          </w:tcPr>
          <w:p w14:paraId="41C1C2E1" w14:textId="08201C77" w:rsidR="000F1338" w:rsidRDefault="00B35303" w:rsidP="00593BB3">
            <w:pPr>
              <w:spacing w:beforeLines="60" w:before="144" w:afterLines="60" w:after="144"/>
              <w:rPr>
                <w:sz w:val="20"/>
                <w:szCs w:val="20"/>
              </w:rPr>
            </w:pPr>
            <w:r w:rsidRPr="00B35303">
              <w:rPr>
                <w:sz w:val="20"/>
                <w:szCs w:val="20"/>
              </w:rPr>
              <w:t xml:space="preserve">The PBAC recommended extending the existing PBS listings for evolocumab for hypercholesterolaemia, to include patients who have a low density lipoprotein cholesterol (LDL-C) level between 1.8 and 2.6 mmol/L despite optimised treatment with statins and ezetimibe, and to allow initial prescribing by any medical practitioner in consultation with a specialist physician. The PBAC was satisfied that evolocumab provides, for some patients, a significant improvement in efficacy over optimised background treatment, in the extended population. The PBAC advised that the expanded LDL-C criteria were consistent with current international clinical guidelines and the expanded prescriber criteria would reduce current equity and access issues associated with initiation only by specialists. </w:t>
            </w:r>
          </w:p>
          <w:p w14:paraId="7A8AE35D" w14:textId="430E4399" w:rsidR="000F1338" w:rsidRPr="0029418E" w:rsidRDefault="000F1338" w:rsidP="00593BB3">
            <w:pPr>
              <w:spacing w:beforeLines="60" w:before="144" w:afterLines="60" w:after="144"/>
              <w:rPr>
                <w:sz w:val="20"/>
                <w:szCs w:val="20"/>
              </w:rPr>
            </w:pPr>
            <w:r>
              <w:rPr>
                <w:sz w:val="20"/>
                <w:szCs w:val="20"/>
              </w:rPr>
              <w:t xml:space="preserve">For further details refer to the </w:t>
            </w:r>
            <w:hyperlink r:id="rId53" w:history="1">
              <w:r w:rsidRPr="0029418E">
                <w:rPr>
                  <w:rStyle w:val="Hyperlink"/>
                  <w:sz w:val="20"/>
                  <w:szCs w:val="20"/>
                </w:rPr>
                <w:t>Public Summary Document</w:t>
              </w:r>
            </w:hyperlink>
            <w:r>
              <w:rPr>
                <w:sz w:val="20"/>
                <w:szCs w:val="20"/>
              </w:rPr>
              <w:t xml:space="preserve"> from the July 2022 PBAC meeting. </w:t>
            </w:r>
          </w:p>
        </w:tc>
      </w:tr>
    </w:tbl>
    <w:p w14:paraId="30F7386A" w14:textId="7753421E" w:rsidR="00336816" w:rsidRPr="0033504C" w:rsidRDefault="00336816" w:rsidP="00AE12A8">
      <w:pPr>
        <w:spacing w:line="276" w:lineRule="auto"/>
      </w:pPr>
    </w:p>
    <w:sectPr w:rsidR="00336816" w:rsidRPr="0033504C" w:rsidSect="008968B6">
      <w:pgSz w:w="16838" w:h="11906" w:orient="landscape"/>
      <w:pgMar w:top="1588" w:right="1644" w:bottom="136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2FAD" w14:textId="77777777" w:rsidR="00D66A7B" w:rsidRDefault="00D66A7B" w:rsidP="00A35800">
      <w:r>
        <w:separator/>
      </w:r>
    </w:p>
  </w:endnote>
  <w:endnote w:type="continuationSeparator" w:id="0">
    <w:p w14:paraId="02F9CB87" w14:textId="77777777" w:rsidR="00D66A7B" w:rsidRDefault="00D66A7B"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2CAB2576" w:rsidR="000E72C6" w:rsidRPr="000E72C6" w:rsidRDefault="004113C7" w:rsidP="000E72C6">
            <w:pPr>
              <w:pStyle w:val="Footer"/>
              <w:jc w:val="center"/>
              <w:rPr>
                <w:i/>
                <w:sz w:val="20"/>
              </w:rPr>
            </w:pPr>
            <w:r>
              <w:rPr>
                <w:i/>
                <w:sz w:val="20"/>
              </w:rPr>
              <w:t>Public Release Document, February 2023 DUSC Meeting</w:t>
            </w:r>
          </w:p>
          <w:p w14:paraId="10292A9A" w14:textId="3BE3B247"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F0A4E">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F0A4E">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9DA9" w14:textId="77777777" w:rsidR="00D66A7B" w:rsidRDefault="00D66A7B" w:rsidP="00A35800">
      <w:r>
        <w:separator/>
      </w:r>
    </w:p>
  </w:footnote>
  <w:footnote w:type="continuationSeparator" w:id="0">
    <w:p w14:paraId="329495EF" w14:textId="77777777" w:rsidR="00D66A7B" w:rsidRDefault="00D66A7B" w:rsidP="00A35800">
      <w:r>
        <w:continuationSeparator/>
      </w:r>
    </w:p>
  </w:footnote>
  <w:footnote w:id="1">
    <w:p w14:paraId="112D62D0" w14:textId="613D143C" w:rsidR="00006A3F" w:rsidRDefault="00006A3F" w:rsidP="00006A3F">
      <w:pPr>
        <w:pStyle w:val="FootnoteText"/>
      </w:pPr>
      <w:r>
        <w:rPr>
          <w:rStyle w:val="FootnoteReference"/>
        </w:rPr>
        <w:footnoteRef/>
      </w:r>
      <w:r>
        <w:t xml:space="preserve"> </w:t>
      </w:r>
      <w:r w:rsidRPr="00E6006F">
        <w:t>Familial Hypercholesterolaemia Australasia Network</w:t>
      </w:r>
      <w:r>
        <w:t xml:space="preserve">. Accessed on </w:t>
      </w:r>
      <w:r w:rsidR="00EA52A1">
        <w:t>20 October 2022</w:t>
      </w:r>
      <w:r>
        <w:t xml:space="preserve">, Available from: </w:t>
      </w:r>
      <w:r w:rsidRPr="00E6006F">
        <w:t>https://www.athero.org.au/fh/</w:t>
      </w:r>
    </w:p>
  </w:footnote>
  <w:footnote w:id="2">
    <w:p w14:paraId="42B9190E" w14:textId="1752A3D0" w:rsidR="00EA52A1" w:rsidRDefault="00EA52A1">
      <w:pPr>
        <w:pStyle w:val="FootnoteText"/>
      </w:pPr>
      <w:r>
        <w:rPr>
          <w:rStyle w:val="FootnoteReference"/>
        </w:rPr>
        <w:footnoteRef/>
      </w:r>
      <w:r>
        <w:t xml:space="preserve"> Repatha(evolocumab). Australian Approved Product Information. Sydney: Amgen Australia Pty Ltd. Approved 9 December 2015, updated 16 March 2022. Available from &lt;https://www.tga.gov.au/product-information-pi.&gt;</w:t>
      </w:r>
    </w:p>
  </w:footnote>
  <w:footnote w:id="3">
    <w:p w14:paraId="1C42C378" w14:textId="0FC1E56D" w:rsidR="00404126" w:rsidRPr="00BC5AE2" w:rsidRDefault="00404126" w:rsidP="00404126">
      <w:pPr>
        <w:pStyle w:val="FootnoteText"/>
        <w:rPr>
          <w:sz w:val="20"/>
        </w:rPr>
      </w:pPr>
      <w:r w:rsidRPr="00BC5AE2">
        <w:rPr>
          <w:rStyle w:val="FootnoteReference"/>
          <w:sz w:val="20"/>
        </w:rPr>
        <w:footnoteRef/>
      </w:r>
      <w:r w:rsidRPr="00BC5AE2">
        <w:rPr>
          <w:sz w:val="20"/>
        </w:rPr>
        <w:t xml:space="preserve"> PBS statistics</w:t>
      </w:r>
      <w:r>
        <w:rPr>
          <w:sz w:val="20"/>
        </w:rPr>
        <w:t>. Australian Government Services Australia Medicare. Canberra. Available from &lt;</w:t>
      </w:r>
      <w:hyperlink r:id="rId1" w:history="1">
        <w:r>
          <w:rPr>
            <w:rStyle w:val="Hyperlink"/>
            <w:sz w:val="20"/>
          </w:rPr>
          <w:t>http://www.medicareaustralia.gov.au/provider/pbs/stats.jsp</w:t>
        </w:r>
      </w:hyperlink>
      <w:r>
        <w:rPr>
          <w:sz w:val="20"/>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878" w14:textId="77777777" w:rsidR="00DD188C" w:rsidRDefault="00DD1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F15D" w14:textId="77777777" w:rsidR="00FB77FA" w:rsidRDefault="00FB7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7C54" w14:textId="77777777" w:rsidR="00DD188C" w:rsidRDefault="00DD1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48A7"/>
    <w:multiLevelType w:val="hybridMultilevel"/>
    <w:tmpl w:val="E63E9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E1932"/>
    <w:multiLevelType w:val="multilevel"/>
    <w:tmpl w:val="B104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F0363"/>
    <w:multiLevelType w:val="multilevel"/>
    <w:tmpl w:val="2F0C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806B9"/>
    <w:multiLevelType w:val="hybridMultilevel"/>
    <w:tmpl w:val="17D8FE96"/>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C077AB"/>
    <w:multiLevelType w:val="multilevel"/>
    <w:tmpl w:val="56B4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15530"/>
    <w:multiLevelType w:val="hybridMultilevel"/>
    <w:tmpl w:val="B2CE3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350D5C"/>
    <w:multiLevelType w:val="hybridMultilevel"/>
    <w:tmpl w:val="8750A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F5269E"/>
    <w:multiLevelType w:val="hybridMultilevel"/>
    <w:tmpl w:val="684478A6"/>
    <w:lvl w:ilvl="0" w:tplc="4E00BE38">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9D836D1"/>
    <w:multiLevelType w:val="hybridMultilevel"/>
    <w:tmpl w:val="58B23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347232"/>
    <w:multiLevelType w:val="hybridMultilevel"/>
    <w:tmpl w:val="6EB22B86"/>
    <w:lvl w:ilvl="0" w:tplc="4E00BE38">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3603E7C"/>
    <w:multiLevelType w:val="multilevel"/>
    <w:tmpl w:val="A600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54091"/>
    <w:multiLevelType w:val="hybridMultilevel"/>
    <w:tmpl w:val="79728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B4139A"/>
    <w:multiLevelType w:val="multilevel"/>
    <w:tmpl w:val="541C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97B9E"/>
    <w:multiLevelType w:val="hybridMultilevel"/>
    <w:tmpl w:val="486EFC50"/>
    <w:lvl w:ilvl="0" w:tplc="4E00BE38">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826579C"/>
    <w:multiLevelType w:val="hybridMultilevel"/>
    <w:tmpl w:val="7E540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393789"/>
    <w:multiLevelType w:val="multilevel"/>
    <w:tmpl w:val="8CA0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80EB7"/>
    <w:multiLevelType w:val="hybridMultilevel"/>
    <w:tmpl w:val="082CC3BE"/>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3B387F"/>
    <w:multiLevelType w:val="multilevel"/>
    <w:tmpl w:val="375C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49614F"/>
    <w:multiLevelType w:val="multilevel"/>
    <w:tmpl w:val="DDE6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8"/>
  </w:num>
  <w:num w:numId="4">
    <w:abstractNumId w:val="6"/>
  </w:num>
  <w:num w:numId="5">
    <w:abstractNumId w:val="4"/>
  </w:num>
  <w:num w:numId="6">
    <w:abstractNumId w:val="1"/>
  </w:num>
  <w:num w:numId="7">
    <w:abstractNumId w:val="17"/>
  </w:num>
  <w:num w:numId="8">
    <w:abstractNumId w:val="15"/>
  </w:num>
  <w:num w:numId="9">
    <w:abstractNumId w:val="2"/>
  </w:num>
  <w:num w:numId="10">
    <w:abstractNumId w:val="12"/>
  </w:num>
  <w:num w:numId="11">
    <w:abstractNumId w:val="10"/>
  </w:num>
  <w:num w:numId="12">
    <w:abstractNumId w:val="18"/>
  </w:num>
  <w:num w:numId="13">
    <w:abstractNumId w:val="3"/>
  </w:num>
  <w:num w:numId="14">
    <w:abstractNumId w:val="7"/>
  </w:num>
  <w:num w:numId="15">
    <w:abstractNumId w:val="13"/>
  </w:num>
  <w:num w:numId="16">
    <w:abstractNumId w:val="5"/>
  </w:num>
  <w:num w:numId="17">
    <w:abstractNumId w:val="9"/>
  </w:num>
  <w:num w:numId="18">
    <w:abstractNumId w:val="1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1814"/>
    <w:rsid w:val="000040DE"/>
    <w:rsid w:val="00005F68"/>
    <w:rsid w:val="00006A3F"/>
    <w:rsid w:val="00007E85"/>
    <w:rsid w:val="00012889"/>
    <w:rsid w:val="00013465"/>
    <w:rsid w:val="00013D0E"/>
    <w:rsid w:val="00020598"/>
    <w:rsid w:val="000226B3"/>
    <w:rsid w:val="00022C3C"/>
    <w:rsid w:val="00024549"/>
    <w:rsid w:val="00033911"/>
    <w:rsid w:val="00035CAB"/>
    <w:rsid w:val="000426A5"/>
    <w:rsid w:val="000544B6"/>
    <w:rsid w:val="000604AF"/>
    <w:rsid w:val="00065598"/>
    <w:rsid w:val="00065734"/>
    <w:rsid w:val="000678C9"/>
    <w:rsid w:val="00067F73"/>
    <w:rsid w:val="00073BF2"/>
    <w:rsid w:val="000779D7"/>
    <w:rsid w:val="00080219"/>
    <w:rsid w:val="00085613"/>
    <w:rsid w:val="00086C11"/>
    <w:rsid w:val="000878A1"/>
    <w:rsid w:val="00094DCF"/>
    <w:rsid w:val="000A1FA9"/>
    <w:rsid w:val="000A3AE6"/>
    <w:rsid w:val="000A3F5E"/>
    <w:rsid w:val="000A4CEC"/>
    <w:rsid w:val="000A6CFD"/>
    <w:rsid w:val="000B0982"/>
    <w:rsid w:val="000B3884"/>
    <w:rsid w:val="000B796C"/>
    <w:rsid w:val="000C46BB"/>
    <w:rsid w:val="000C4C6B"/>
    <w:rsid w:val="000C4D9D"/>
    <w:rsid w:val="000C6B24"/>
    <w:rsid w:val="000C7C4B"/>
    <w:rsid w:val="000C7D8B"/>
    <w:rsid w:val="000D113C"/>
    <w:rsid w:val="000D44AB"/>
    <w:rsid w:val="000D7959"/>
    <w:rsid w:val="000D7CB8"/>
    <w:rsid w:val="000E2A42"/>
    <w:rsid w:val="000E485D"/>
    <w:rsid w:val="000E72C6"/>
    <w:rsid w:val="000F1338"/>
    <w:rsid w:val="000F1893"/>
    <w:rsid w:val="000F1E83"/>
    <w:rsid w:val="000F2F51"/>
    <w:rsid w:val="00103657"/>
    <w:rsid w:val="001078B4"/>
    <w:rsid w:val="00113CF8"/>
    <w:rsid w:val="00113D74"/>
    <w:rsid w:val="00117C5C"/>
    <w:rsid w:val="00123F0B"/>
    <w:rsid w:val="00124068"/>
    <w:rsid w:val="001310AE"/>
    <w:rsid w:val="001420B3"/>
    <w:rsid w:val="001460C4"/>
    <w:rsid w:val="0014633B"/>
    <w:rsid w:val="00147FA0"/>
    <w:rsid w:val="0015284B"/>
    <w:rsid w:val="0015691C"/>
    <w:rsid w:val="001621F7"/>
    <w:rsid w:val="001624D7"/>
    <w:rsid w:val="00164864"/>
    <w:rsid w:val="001742D9"/>
    <w:rsid w:val="001769E6"/>
    <w:rsid w:val="00177B86"/>
    <w:rsid w:val="00182585"/>
    <w:rsid w:val="00191182"/>
    <w:rsid w:val="00191382"/>
    <w:rsid w:val="00192AE8"/>
    <w:rsid w:val="0019664D"/>
    <w:rsid w:val="001A6103"/>
    <w:rsid w:val="001B2502"/>
    <w:rsid w:val="001B3B51"/>
    <w:rsid w:val="001B5D37"/>
    <w:rsid w:val="001B707A"/>
    <w:rsid w:val="001C0C18"/>
    <w:rsid w:val="001C1EC1"/>
    <w:rsid w:val="001C2940"/>
    <w:rsid w:val="001C2D2C"/>
    <w:rsid w:val="001C4016"/>
    <w:rsid w:val="001C548D"/>
    <w:rsid w:val="001C6A5D"/>
    <w:rsid w:val="001D5142"/>
    <w:rsid w:val="001E1502"/>
    <w:rsid w:val="001E31A6"/>
    <w:rsid w:val="001E42C7"/>
    <w:rsid w:val="001E4CAB"/>
    <w:rsid w:val="001E5555"/>
    <w:rsid w:val="001E6EE7"/>
    <w:rsid w:val="001F0A4E"/>
    <w:rsid w:val="001F23C9"/>
    <w:rsid w:val="001F2F3E"/>
    <w:rsid w:val="001F4906"/>
    <w:rsid w:val="001F7C4A"/>
    <w:rsid w:val="00202502"/>
    <w:rsid w:val="0020578A"/>
    <w:rsid w:val="00207631"/>
    <w:rsid w:val="0021082F"/>
    <w:rsid w:val="00212D25"/>
    <w:rsid w:val="00214013"/>
    <w:rsid w:val="00220F94"/>
    <w:rsid w:val="00220FC1"/>
    <w:rsid w:val="00222E9A"/>
    <w:rsid w:val="00226B44"/>
    <w:rsid w:val="0023179D"/>
    <w:rsid w:val="00235F31"/>
    <w:rsid w:val="00237171"/>
    <w:rsid w:val="002379A9"/>
    <w:rsid w:val="00240227"/>
    <w:rsid w:val="00240314"/>
    <w:rsid w:val="0024302C"/>
    <w:rsid w:val="002432F4"/>
    <w:rsid w:val="00244AB6"/>
    <w:rsid w:val="00247FF7"/>
    <w:rsid w:val="00252C51"/>
    <w:rsid w:val="0025389D"/>
    <w:rsid w:val="00254E02"/>
    <w:rsid w:val="00257FD9"/>
    <w:rsid w:val="0026265F"/>
    <w:rsid w:val="0026642A"/>
    <w:rsid w:val="002666B2"/>
    <w:rsid w:val="00275193"/>
    <w:rsid w:val="0028673D"/>
    <w:rsid w:val="00286C3A"/>
    <w:rsid w:val="002930F5"/>
    <w:rsid w:val="0029418E"/>
    <w:rsid w:val="002A06B7"/>
    <w:rsid w:val="002A183C"/>
    <w:rsid w:val="002A53F3"/>
    <w:rsid w:val="002B58AA"/>
    <w:rsid w:val="002B6D77"/>
    <w:rsid w:val="002B7C6B"/>
    <w:rsid w:val="002C077B"/>
    <w:rsid w:val="002C6E0C"/>
    <w:rsid w:val="002D144A"/>
    <w:rsid w:val="002E19A3"/>
    <w:rsid w:val="002E212B"/>
    <w:rsid w:val="002E3337"/>
    <w:rsid w:val="002E5007"/>
    <w:rsid w:val="002E64C8"/>
    <w:rsid w:val="002E6D03"/>
    <w:rsid w:val="002E77E3"/>
    <w:rsid w:val="002F49A8"/>
    <w:rsid w:val="002F4F13"/>
    <w:rsid w:val="002F5E66"/>
    <w:rsid w:val="002F61CA"/>
    <w:rsid w:val="0030010D"/>
    <w:rsid w:val="00302074"/>
    <w:rsid w:val="00310DA6"/>
    <w:rsid w:val="00320BA3"/>
    <w:rsid w:val="003242EE"/>
    <w:rsid w:val="0033504C"/>
    <w:rsid w:val="00336816"/>
    <w:rsid w:val="003370D0"/>
    <w:rsid w:val="00337355"/>
    <w:rsid w:val="003402E4"/>
    <w:rsid w:val="00340F95"/>
    <w:rsid w:val="0034353A"/>
    <w:rsid w:val="0034422F"/>
    <w:rsid w:val="003531ED"/>
    <w:rsid w:val="00360B9A"/>
    <w:rsid w:val="00367932"/>
    <w:rsid w:val="00371380"/>
    <w:rsid w:val="00374139"/>
    <w:rsid w:val="0039017F"/>
    <w:rsid w:val="00394198"/>
    <w:rsid w:val="0039456F"/>
    <w:rsid w:val="00394AEE"/>
    <w:rsid w:val="003A104C"/>
    <w:rsid w:val="003A4341"/>
    <w:rsid w:val="003A6026"/>
    <w:rsid w:val="003B0852"/>
    <w:rsid w:val="003B3518"/>
    <w:rsid w:val="003B44EB"/>
    <w:rsid w:val="003B5162"/>
    <w:rsid w:val="003B7EFE"/>
    <w:rsid w:val="003C2D98"/>
    <w:rsid w:val="003C389E"/>
    <w:rsid w:val="003D3A96"/>
    <w:rsid w:val="003D3B9C"/>
    <w:rsid w:val="003E26A8"/>
    <w:rsid w:val="003F29C9"/>
    <w:rsid w:val="003F54F4"/>
    <w:rsid w:val="00402C0F"/>
    <w:rsid w:val="00404126"/>
    <w:rsid w:val="00404F03"/>
    <w:rsid w:val="00405934"/>
    <w:rsid w:val="004113C7"/>
    <w:rsid w:val="00411413"/>
    <w:rsid w:val="00412051"/>
    <w:rsid w:val="004145FD"/>
    <w:rsid w:val="0041744F"/>
    <w:rsid w:val="00423590"/>
    <w:rsid w:val="00423B94"/>
    <w:rsid w:val="00425E68"/>
    <w:rsid w:val="0043306D"/>
    <w:rsid w:val="004363D5"/>
    <w:rsid w:val="00437067"/>
    <w:rsid w:val="004442EB"/>
    <w:rsid w:val="00452F64"/>
    <w:rsid w:val="00455701"/>
    <w:rsid w:val="00463731"/>
    <w:rsid w:val="0046400A"/>
    <w:rsid w:val="00467B25"/>
    <w:rsid w:val="00481108"/>
    <w:rsid w:val="00483B7F"/>
    <w:rsid w:val="0049042B"/>
    <w:rsid w:val="00495473"/>
    <w:rsid w:val="004A458E"/>
    <w:rsid w:val="004A727C"/>
    <w:rsid w:val="004B23E7"/>
    <w:rsid w:val="004B306F"/>
    <w:rsid w:val="004B4AFC"/>
    <w:rsid w:val="004C12EF"/>
    <w:rsid w:val="004C3186"/>
    <w:rsid w:val="004C5042"/>
    <w:rsid w:val="004C69B2"/>
    <w:rsid w:val="004D0052"/>
    <w:rsid w:val="004D3793"/>
    <w:rsid w:val="004D5533"/>
    <w:rsid w:val="004D571B"/>
    <w:rsid w:val="004E3723"/>
    <w:rsid w:val="004E4422"/>
    <w:rsid w:val="004E6291"/>
    <w:rsid w:val="004F0F0E"/>
    <w:rsid w:val="004F3A92"/>
    <w:rsid w:val="004F3C6C"/>
    <w:rsid w:val="00503998"/>
    <w:rsid w:val="0050623B"/>
    <w:rsid w:val="005067A7"/>
    <w:rsid w:val="00512FDF"/>
    <w:rsid w:val="005145C0"/>
    <w:rsid w:val="00523181"/>
    <w:rsid w:val="0052334B"/>
    <w:rsid w:val="00524D13"/>
    <w:rsid w:val="00525D49"/>
    <w:rsid w:val="0053219F"/>
    <w:rsid w:val="00533851"/>
    <w:rsid w:val="005339F6"/>
    <w:rsid w:val="00533F4F"/>
    <w:rsid w:val="0053578E"/>
    <w:rsid w:val="005363F5"/>
    <w:rsid w:val="00545A70"/>
    <w:rsid w:val="0055336B"/>
    <w:rsid w:val="00553EDE"/>
    <w:rsid w:val="00560312"/>
    <w:rsid w:val="00562FE8"/>
    <w:rsid w:val="00564CA9"/>
    <w:rsid w:val="00572F9C"/>
    <w:rsid w:val="0057345C"/>
    <w:rsid w:val="00576B18"/>
    <w:rsid w:val="00587724"/>
    <w:rsid w:val="005903CF"/>
    <w:rsid w:val="00591512"/>
    <w:rsid w:val="00593BB3"/>
    <w:rsid w:val="005A1A5B"/>
    <w:rsid w:val="005A4322"/>
    <w:rsid w:val="005A454B"/>
    <w:rsid w:val="005A46A3"/>
    <w:rsid w:val="005A55FB"/>
    <w:rsid w:val="005B19D1"/>
    <w:rsid w:val="005B2D91"/>
    <w:rsid w:val="005B48B4"/>
    <w:rsid w:val="005B492D"/>
    <w:rsid w:val="005C6661"/>
    <w:rsid w:val="005C694E"/>
    <w:rsid w:val="005C6E3B"/>
    <w:rsid w:val="005D3F91"/>
    <w:rsid w:val="005D474B"/>
    <w:rsid w:val="005E085C"/>
    <w:rsid w:val="005E147D"/>
    <w:rsid w:val="005E22C2"/>
    <w:rsid w:val="005E57BB"/>
    <w:rsid w:val="005F0017"/>
    <w:rsid w:val="006014F1"/>
    <w:rsid w:val="006110B7"/>
    <w:rsid w:val="00611569"/>
    <w:rsid w:val="0061357B"/>
    <w:rsid w:val="00614A7D"/>
    <w:rsid w:val="0062473B"/>
    <w:rsid w:val="00625351"/>
    <w:rsid w:val="0063631C"/>
    <w:rsid w:val="0063757B"/>
    <w:rsid w:val="006377CE"/>
    <w:rsid w:val="00642F5F"/>
    <w:rsid w:val="00647A7C"/>
    <w:rsid w:val="006537D9"/>
    <w:rsid w:val="006646C0"/>
    <w:rsid w:val="00664A48"/>
    <w:rsid w:val="00664FF8"/>
    <w:rsid w:val="00665DEF"/>
    <w:rsid w:val="00666BB0"/>
    <w:rsid w:val="006714CF"/>
    <w:rsid w:val="00671666"/>
    <w:rsid w:val="00675BB1"/>
    <w:rsid w:val="00676913"/>
    <w:rsid w:val="006775F1"/>
    <w:rsid w:val="0068741F"/>
    <w:rsid w:val="00692AA7"/>
    <w:rsid w:val="006968B7"/>
    <w:rsid w:val="0069732B"/>
    <w:rsid w:val="00697FEC"/>
    <w:rsid w:val="006A088C"/>
    <w:rsid w:val="006A175F"/>
    <w:rsid w:val="006A44F5"/>
    <w:rsid w:val="006B4537"/>
    <w:rsid w:val="006B5F85"/>
    <w:rsid w:val="006B6929"/>
    <w:rsid w:val="006B709B"/>
    <w:rsid w:val="006C077E"/>
    <w:rsid w:val="006C227A"/>
    <w:rsid w:val="006C54AF"/>
    <w:rsid w:val="006D3AD9"/>
    <w:rsid w:val="006E0181"/>
    <w:rsid w:val="00700C0E"/>
    <w:rsid w:val="00705DAD"/>
    <w:rsid w:val="00710B9C"/>
    <w:rsid w:val="00711DAB"/>
    <w:rsid w:val="00716E0D"/>
    <w:rsid w:val="0071753F"/>
    <w:rsid w:val="007247B9"/>
    <w:rsid w:val="00727D85"/>
    <w:rsid w:val="00733893"/>
    <w:rsid w:val="007346C7"/>
    <w:rsid w:val="00736041"/>
    <w:rsid w:val="007408C7"/>
    <w:rsid w:val="00744C83"/>
    <w:rsid w:val="007465DA"/>
    <w:rsid w:val="00752454"/>
    <w:rsid w:val="00752C7F"/>
    <w:rsid w:val="00754AD0"/>
    <w:rsid w:val="007556AF"/>
    <w:rsid w:val="00776598"/>
    <w:rsid w:val="00781881"/>
    <w:rsid w:val="00782C1E"/>
    <w:rsid w:val="0078547F"/>
    <w:rsid w:val="00792948"/>
    <w:rsid w:val="00794D86"/>
    <w:rsid w:val="00796E84"/>
    <w:rsid w:val="007A3ADE"/>
    <w:rsid w:val="007A5733"/>
    <w:rsid w:val="007A5774"/>
    <w:rsid w:val="007B0612"/>
    <w:rsid w:val="007B0653"/>
    <w:rsid w:val="007B1877"/>
    <w:rsid w:val="007B6432"/>
    <w:rsid w:val="007C7772"/>
    <w:rsid w:val="007C7CBB"/>
    <w:rsid w:val="007F02EB"/>
    <w:rsid w:val="007F2645"/>
    <w:rsid w:val="007F42CD"/>
    <w:rsid w:val="00801E74"/>
    <w:rsid w:val="008026E6"/>
    <w:rsid w:val="0080485E"/>
    <w:rsid w:val="00806E09"/>
    <w:rsid w:val="008117AD"/>
    <w:rsid w:val="008142B4"/>
    <w:rsid w:val="00814584"/>
    <w:rsid w:val="008318D1"/>
    <w:rsid w:val="00831EEB"/>
    <w:rsid w:val="00832324"/>
    <w:rsid w:val="00835337"/>
    <w:rsid w:val="00843892"/>
    <w:rsid w:val="00846DCD"/>
    <w:rsid w:val="00851D85"/>
    <w:rsid w:val="00853920"/>
    <w:rsid w:val="00860CCB"/>
    <w:rsid w:val="00860FD9"/>
    <w:rsid w:val="00862AE7"/>
    <w:rsid w:val="00873796"/>
    <w:rsid w:val="008740A3"/>
    <w:rsid w:val="00876F92"/>
    <w:rsid w:val="00881BA7"/>
    <w:rsid w:val="00882640"/>
    <w:rsid w:val="00891D57"/>
    <w:rsid w:val="0089297B"/>
    <w:rsid w:val="008968B6"/>
    <w:rsid w:val="008A45A3"/>
    <w:rsid w:val="008A63D2"/>
    <w:rsid w:val="008C36CA"/>
    <w:rsid w:val="008C76D0"/>
    <w:rsid w:val="008E3F8C"/>
    <w:rsid w:val="008F6D82"/>
    <w:rsid w:val="00901F29"/>
    <w:rsid w:val="00902FD0"/>
    <w:rsid w:val="00905161"/>
    <w:rsid w:val="009053D3"/>
    <w:rsid w:val="0090549F"/>
    <w:rsid w:val="00905D90"/>
    <w:rsid w:val="0090691F"/>
    <w:rsid w:val="009122EB"/>
    <w:rsid w:val="00916100"/>
    <w:rsid w:val="009163DF"/>
    <w:rsid w:val="00917466"/>
    <w:rsid w:val="0093111F"/>
    <w:rsid w:val="00935689"/>
    <w:rsid w:val="00937BE5"/>
    <w:rsid w:val="0095303B"/>
    <w:rsid w:val="009533FC"/>
    <w:rsid w:val="00954C5E"/>
    <w:rsid w:val="009608E1"/>
    <w:rsid w:val="009663B6"/>
    <w:rsid w:val="00972BB3"/>
    <w:rsid w:val="00973DA7"/>
    <w:rsid w:val="00974A47"/>
    <w:rsid w:val="009777E2"/>
    <w:rsid w:val="00980286"/>
    <w:rsid w:val="00990DCF"/>
    <w:rsid w:val="00992A3F"/>
    <w:rsid w:val="0099488B"/>
    <w:rsid w:val="009A4CD6"/>
    <w:rsid w:val="009A537C"/>
    <w:rsid w:val="009A6035"/>
    <w:rsid w:val="009B4CFB"/>
    <w:rsid w:val="009C0886"/>
    <w:rsid w:val="009C19EE"/>
    <w:rsid w:val="009C1AE4"/>
    <w:rsid w:val="009C28D0"/>
    <w:rsid w:val="009C35F2"/>
    <w:rsid w:val="009C6C11"/>
    <w:rsid w:val="009C71FF"/>
    <w:rsid w:val="009C7782"/>
    <w:rsid w:val="009D1ED5"/>
    <w:rsid w:val="009D3530"/>
    <w:rsid w:val="009D4C13"/>
    <w:rsid w:val="009E21A7"/>
    <w:rsid w:val="009E4D97"/>
    <w:rsid w:val="009E7C2B"/>
    <w:rsid w:val="009F1D0D"/>
    <w:rsid w:val="009F23A3"/>
    <w:rsid w:val="009F3A36"/>
    <w:rsid w:val="00A103ED"/>
    <w:rsid w:val="00A1066B"/>
    <w:rsid w:val="00A120F8"/>
    <w:rsid w:val="00A13C60"/>
    <w:rsid w:val="00A15134"/>
    <w:rsid w:val="00A21128"/>
    <w:rsid w:val="00A24349"/>
    <w:rsid w:val="00A256B6"/>
    <w:rsid w:val="00A341A3"/>
    <w:rsid w:val="00A35800"/>
    <w:rsid w:val="00A51309"/>
    <w:rsid w:val="00A51DEE"/>
    <w:rsid w:val="00A52918"/>
    <w:rsid w:val="00A547B3"/>
    <w:rsid w:val="00A64E7D"/>
    <w:rsid w:val="00A70E82"/>
    <w:rsid w:val="00A7538B"/>
    <w:rsid w:val="00A84CAD"/>
    <w:rsid w:val="00A90E50"/>
    <w:rsid w:val="00A95FA5"/>
    <w:rsid w:val="00A96D92"/>
    <w:rsid w:val="00AB199C"/>
    <w:rsid w:val="00AB3733"/>
    <w:rsid w:val="00AB588C"/>
    <w:rsid w:val="00AB7897"/>
    <w:rsid w:val="00AB7C6C"/>
    <w:rsid w:val="00AC4241"/>
    <w:rsid w:val="00AC5054"/>
    <w:rsid w:val="00AC7B25"/>
    <w:rsid w:val="00AE12A8"/>
    <w:rsid w:val="00AE4BAC"/>
    <w:rsid w:val="00B034FC"/>
    <w:rsid w:val="00B0456D"/>
    <w:rsid w:val="00B05310"/>
    <w:rsid w:val="00B072BE"/>
    <w:rsid w:val="00B10255"/>
    <w:rsid w:val="00B10A0B"/>
    <w:rsid w:val="00B15388"/>
    <w:rsid w:val="00B20639"/>
    <w:rsid w:val="00B22854"/>
    <w:rsid w:val="00B265A8"/>
    <w:rsid w:val="00B30D85"/>
    <w:rsid w:val="00B30DC2"/>
    <w:rsid w:val="00B3417B"/>
    <w:rsid w:val="00B352BC"/>
    <w:rsid w:val="00B35303"/>
    <w:rsid w:val="00B35A4A"/>
    <w:rsid w:val="00B35ED1"/>
    <w:rsid w:val="00B453CF"/>
    <w:rsid w:val="00B47C63"/>
    <w:rsid w:val="00B52CDC"/>
    <w:rsid w:val="00B57C68"/>
    <w:rsid w:val="00B62D7E"/>
    <w:rsid w:val="00B63FD7"/>
    <w:rsid w:val="00B645B9"/>
    <w:rsid w:val="00B7092E"/>
    <w:rsid w:val="00B7146F"/>
    <w:rsid w:val="00B727A0"/>
    <w:rsid w:val="00B746C3"/>
    <w:rsid w:val="00B816D9"/>
    <w:rsid w:val="00B87ED6"/>
    <w:rsid w:val="00B90526"/>
    <w:rsid w:val="00B9120F"/>
    <w:rsid w:val="00B9216C"/>
    <w:rsid w:val="00B924A4"/>
    <w:rsid w:val="00B92EEB"/>
    <w:rsid w:val="00B958C3"/>
    <w:rsid w:val="00BA42AD"/>
    <w:rsid w:val="00BA55B7"/>
    <w:rsid w:val="00BB0D1A"/>
    <w:rsid w:val="00BB1D3B"/>
    <w:rsid w:val="00BB2B22"/>
    <w:rsid w:val="00BB4F81"/>
    <w:rsid w:val="00BC354F"/>
    <w:rsid w:val="00BC35ED"/>
    <w:rsid w:val="00BC4B98"/>
    <w:rsid w:val="00BD3449"/>
    <w:rsid w:val="00BD520F"/>
    <w:rsid w:val="00BD7762"/>
    <w:rsid w:val="00BE04A0"/>
    <w:rsid w:val="00BE205A"/>
    <w:rsid w:val="00BE3802"/>
    <w:rsid w:val="00BF238E"/>
    <w:rsid w:val="00BF2F4A"/>
    <w:rsid w:val="00BF339B"/>
    <w:rsid w:val="00BF544D"/>
    <w:rsid w:val="00C0076F"/>
    <w:rsid w:val="00C0301C"/>
    <w:rsid w:val="00C050B6"/>
    <w:rsid w:val="00C05BF3"/>
    <w:rsid w:val="00C10F12"/>
    <w:rsid w:val="00C12385"/>
    <w:rsid w:val="00C245EA"/>
    <w:rsid w:val="00C24E0D"/>
    <w:rsid w:val="00C256F6"/>
    <w:rsid w:val="00C3097E"/>
    <w:rsid w:val="00C343FD"/>
    <w:rsid w:val="00C35ECC"/>
    <w:rsid w:val="00C361A8"/>
    <w:rsid w:val="00C41246"/>
    <w:rsid w:val="00C42DCF"/>
    <w:rsid w:val="00C44860"/>
    <w:rsid w:val="00C45E5F"/>
    <w:rsid w:val="00C46291"/>
    <w:rsid w:val="00C46EA5"/>
    <w:rsid w:val="00C63412"/>
    <w:rsid w:val="00C67F50"/>
    <w:rsid w:val="00C714D0"/>
    <w:rsid w:val="00C875A6"/>
    <w:rsid w:val="00C90EF4"/>
    <w:rsid w:val="00C93CB7"/>
    <w:rsid w:val="00CA015A"/>
    <w:rsid w:val="00CA16C1"/>
    <w:rsid w:val="00CA52E0"/>
    <w:rsid w:val="00CB4242"/>
    <w:rsid w:val="00CC07E0"/>
    <w:rsid w:val="00CC1AA3"/>
    <w:rsid w:val="00CC1B0A"/>
    <w:rsid w:val="00CC50F6"/>
    <w:rsid w:val="00CD4486"/>
    <w:rsid w:val="00CD52BA"/>
    <w:rsid w:val="00CE6759"/>
    <w:rsid w:val="00CF5E22"/>
    <w:rsid w:val="00CF70F1"/>
    <w:rsid w:val="00CF7E29"/>
    <w:rsid w:val="00D06A44"/>
    <w:rsid w:val="00D10C2E"/>
    <w:rsid w:val="00D11C5E"/>
    <w:rsid w:val="00D14F3A"/>
    <w:rsid w:val="00D151EB"/>
    <w:rsid w:val="00D245ED"/>
    <w:rsid w:val="00D300E0"/>
    <w:rsid w:val="00D35E8D"/>
    <w:rsid w:val="00D360C6"/>
    <w:rsid w:val="00D366CA"/>
    <w:rsid w:val="00D374CD"/>
    <w:rsid w:val="00D400C7"/>
    <w:rsid w:val="00D41749"/>
    <w:rsid w:val="00D47D9B"/>
    <w:rsid w:val="00D502D7"/>
    <w:rsid w:val="00D5311A"/>
    <w:rsid w:val="00D543AD"/>
    <w:rsid w:val="00D56011"/>
    <w:rsid w:val="00D63B35"/>
    <w:rsid w:val="00D650CE"/>
    <w:rsid w:val="00D66A7B"/>
    <w:rsid w:val="00D71719"/>
    <w:rsid w:val="00D71C58"/>
    <w:rsid w:val="00D75F10"/>
    <w:rsid w:val="00D776DA"/>
    <w:rsid w:val="00D8758B"/>
    <w:rsid w:val="00D942B3"/>
    <w:rsid w:val="00D94863"/>
    <w:rsid w:val="00DA52E9"/>
    <w:rsid w:val="00DA7243"/>
    <w:rsid w:val="00DA7D09"/>
    <w:rsid w:val="00DB538C"/>
    <w:rsid w:val="00DB6538"/>
    <w:rsid w:val="00DC2630"/>
    <w:rsid w:val="00DC49E9"/>
    <w:rsid w:val="00DC55E4"/>
    <w:rsid w:val="00DC57D2"/>
    <w:rsid w:val="00DC7D71"/>
    <w:rsid w:val="00DD188C"/>
    <w:rsid w:val="00DD29A3"/>
    <w:rsid w:val="00DD451C"/>
    <w:rsid w:val="00DD48EE"/>
    <w:rsid w:val="00DD5DAE"/>
    <w:rsid w:val="00DD66D6"/>
    <w:rsid w:val="00DE0B96"/>
    <w:rsid w:val="00DE10B9"/>
    <w:rsid w:val="00DE7337"/>
    <w:rsid w:val="00DF094F"/>
    <w:rsid w:val="00DF0B13"/>
    <w:rsid w:val="00DF297D"/>
    <w:rsid w:val="00DF2EB8"/>
    <w:rsid w:val="00DF4A94"/>
    <w:rsid w:val="00DF6003"/>
    <w:rsid w:val="00E00095"/>
    <w:rsid w:val="00E066C3"/>
    <w:rsid w:val="00E07573"/>
    <w:rsid w:val="00E103FE"/>
    <w:rsid w:val="00E10D8C"/>
    <w:rsid w:val="00E1353A"/>
    <w:rsid w:val="00E1564B"/>
    <w:rsid w:val="00E208A0"/>
    <w:rsid w:val="00E21717"/>
    <w:rsid w:val="00E25B49"/>
    <w:rsid w:val="00E371EA"/>
    <w:rsid w:val="00E4788E"/>
    <w:rsid w:val="00E509E9"/>
    <w:rsid w:val="00E572AF"/>
    <w:rsid w:val="00E64429"/>
    <w:rsid w:val="00E677DD"/>
    <w:rsid w:val="00E67F15"/>
    <w:rsid w:val="00E7594B"/>
    <w:rsid w:val="00E8260F"/>
    <w:rsid w:val="00E86BC7"/>
    <w:rsid w:val="00EA33A0"/>
    <w:rsid w:val="00EA52A1"/>
    <w:rsid w:val="00EB4688"/>
    <w:rsid w:val="00EB6C07"/>
    <w:rsid w:val="00EB75B7"/>
    <w:rsid w:val="00EC028D"/>
    <w:rsid w:val="00EC1F69"/>
    <w:rsid w:val="00EC614E"/>
    <w:rsid w:val="00EC7317"/>
    <w:rsid w:val="00ED0E30"/>
    <w:rsid w:val="00ED1F64"/>
    <w:rsid w:val="00ED4456"/>
    <w:rsid w:val="00ED633B"/>
    <w:rsid w:val="00EE2BBB"/>
    <w:rsid w:val="00EE478C"/>
    <w:rsid w:val="00EE7E57"/>
    <w:rsid w:val="00EF4554"/>
    <w:rsid w:val="00EF66E9"/>
    <w:rsid w:val="00F05658"/>
    <w:rsid w:val="00F1132C"/>
    <w:rsid w:val="00F15DD5"/>
    <w:rsid w:val="00F167A9"/>
    <w:rsid w:val="00F17D4B"/>
    <w:rsid w:val="00F23139"/>
    <w:rsid w:val="00F37921"/>
    <w:rsid w:val="00F40812"/>
    <w:rsid w:val="00F43AE9"/>
    <w:rsid w:val="00F44999"/>
    <w:rsid w:val="00F452E2"/>
    <w:rsid w:val="00F52C14"/>
    <w:rsid w:val="00F5557B"/>
    <w:rsid w:val="00F66CD5"/>
    <w:rsid w:val="00F67A9A"/>
    <w:rsid w:val="00F70F4E"/>
    <w:rsid w:val="00F711B8"/>
    <w:rsid w:val="00F73113"/>
    <w:rsid w:val="00F73382"/>
    <w:rsid w:val="00F75FC4"/>
    <w:rsid w:val="00F8104C"/>
    <w:rsid w:val="00F82AAC"/>
    <w:rsid w:val="00F85981"/>
    <w:rsid w:val="00F85AA4"/>
    <w:rsid w:val="00F87263"/>
    <w:rsid w:val="00F92E28"/>
    <w:rsid w:val="00F93725"/>
    <w:rsid w:val="00F938BF"/>
    <w:rsid w:val="00FA1155"/>
    <w:rsid w:val="00FA4890"/>
    <w:rsid w:val="00FB036E"/>
    <w:rsid w:val="00FB0383"/>
    <w:rsid w:val="00FB49F3"/>
    <w:rsid w:val="00FB6C26"/>
    <w:rsid w:val="00FB77FA"/>
    <w:rsid w:val="00FC1D2C"/>
    <w:rsid w:val="00FC3408"/>
    <w:rsid w:val="00FC3C70"/>
    <w:rsid w:val="00FC4003"/>
    <w:rsid w:val="00FC4A73"/>
    <w:rsid w:val="00FC4D7B"/>
    <w:rsid w:val="00FC559C"/>
    <w:rsid w:val="00FC7F0D"/>
    <w:rsid w:val="00FE2F66"/>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B9C"/>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aliases w:val="Table Title"/>
    <w:basedOn w:val="DefaultParagraphFont"/>
    <w:uiPriority w:val="99"/>
    <w:unhideWhenUsed/>
    <w:qFormat/>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aliases w:val="Summary box"/>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UnresolvedMention">
    <w:name w:val="Unresolved Mention"/>
    <w:basedOn w:val="DefaultParagraphFont"/>
    <w:uiPriority w:val="99"/>
    <w:semiHidden/>
    <w:unhideWhenUsed/>
    <w:rsid w:val="00B35303"/>
    <w:rPr>
      <w:color w:val="605E5C"/>
      <w:shd w:val="clear" w:color="auto" w:fill="E1DFDD"/>
    </w:rPr>
  </w:style>
  <w:style w:type="paragraph" w:styleId="NormalWeb">
    <w:name w:val="Normal (Web)"/>
    <w:basedOn w:val="Normal"/>
    <w:uiPriority w:val="99"/>
    <w:unhideWhenUsed/>
    <w:rsid w:val="00E572AF"/>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D5DAE"/>
    <w:rPr>
      <w:color w:val="800080" w:themeColor="followedHyperlink"/>
      <w:u w:val="single"/>
    </w:rPr>
  </w:style>
  <w:style w:type="paragraph" w:styleId="Revision">
    <w:name w:val="Revision"/>
    <w:hidden/>
    <w:uiPriority w:val="99"/>
    <w:semiHidden/>
    <w:rsid w:val="0040593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5927">
      <w:bodyDiv w:val="1"/>
      <w:marLeft w:val="0"/>
      <w:marRight w:val="0"/>
      <w:marTop w:val="0"/>
      <w:marBottom w:val="0"/>
      <w:divBdr>
        <w:top w:val="none" w:sz="0" w:space="0" w:color="auto"/>
        <w:left w:val="none" w:sz="0" w:space="0" w:color="auto"/>
        <w:bottom w:val="none" w:sz="0" w:space="0" w:color="auto"/>
        <w:right w:val="none" w:sz="0" w:space="0" w:color="auto"/>
      </w:divBdr>
    </w:div>
    <w:div w:id="75517053">
      <w:bodyDiv w:val="1"/>
      <w:marLeft w:val="0"/>
      <w:marRight w:val="0"/>
      <w:marTop w:val="0"/>
      <w:marBottom w:val="0"/>
      <w:divBdr>
        <w:top w:val="none" w:sz="0" w:space="0" w:color="auto"/>
        <w:left w:val="none" w:sz="0" w:space="0" w:color="auto"/>
        <w:bottom w:val="none" w:sz="0" w:space="0" w:color="auto"/>
        <w:right w:val="none" w:sz="0" w:space="0" w:color="auto"/>
      </w:divBdr>
    </w:div>
    <w:div w:id="158236542">
      <w:bodyDiv w:val="1"/>
      <w:marLeft w:val="0"/>
      <w:marRight w:val="0"/>
      <w:marTop w:val="0"/>
      <w:marBottom w:val="0"/>
      <w:divBdr>
        <w:top w:val="none" w:sz="0" w:space="0" w:color="auto"/>
        <w:left w:val="none" w:sz="0" w:space="0" w:color="auto"/>
        <w:bottom w:val="none" w:sz="0" w:space="0" w:color="auto"/>
        <w:right w:val="none" w:sz="0" w:space="0" w:color="auto"/>
      </w:divBdr>
    </w:div>
    <w:div w:id="214242909">
      <w:bodyDiv w:val="1"/>
      <w:marLeft w:val="0"/>
      <w:marRight w:val="0"/>
      <w:marTop w:val="0"/>
      <w:marBottom w:val="0"/>
      <w:divBdr>
        <w:top w:val="none" w:sz="0" w:space="0" w:color="auto"/>
        <w:left w:val="none" w:sz="0" w:space="0" w:color="auto"/>
        <w:bottom w:val="none" w:sz="0" w:space="0" w:color="auto"/>
        <w:right w:val="none" w:sz="0" w:space="0" w:color="auto"/>
      </w:divBdr>
    </w:div>
    <w:div w:id="224879245">
      <w:bodyDiv w:val="1"/>
      <w:marLeft w:val="0"/>
      <w:marRight w:val="0"/>
      <w:marTop w:val="0"/>
      <w:marBottom w:val="0"/>
      <w:divBdr>
        <w:top w:val="none" w:sz="0" w:space="0" w:color="auto"/>
        <w:left w:val="none" w:sz="0" w:space="0" w:color="auto"/>
        <w:bottom w:val="none" w:sz="0" w:space="0" w:color="auto"/>
        <w:right w:val="none" w:sz="0" w:space="0" w:color="auto"/>
      </w:divBdr>
    </w:div>
    <w:div w:id="244924688">
      <w:bodyDiv w:val="1"/>
      <w:marLeft w:val="0"/>
      <w:marRight w:val="0"/>
      <w:marTop w:val="0"/>
      <w:marBottom w:val="0"/>
      <w:divBdr>
        <w:top w:val="none" w:sz="0" w:space="0" w:color="auto"/>
        <w:left w:val="none" w:sz="0" w:space="0" w:color="auto"/>
        <w:bottom w:val="none" w:sz="0" w:space="0" w:color="auto"/>
        <w:right w:val="none" w:sz="0" w:space="0" w:color="auto"/>
      </w:divBdr>
    </w:div>
    <w:div w:id="279411883">
      <w:bodyDiv w:val="1"/>
      <w:marLeft w:val="0"/>
      <w:marRight w:val="0"/>
      <w:marTop w:val="0"/>
      <w:marBottom w:val="0"/>
      <w:divBdr>
        <w:top w:val="none" w:sz="0" w:space="0" w:color="auto"/>
        <w:left w:val="none" w:sz="0" w:space="0" w:color="auto"/>
        <w:bottom w:val="none" w:sz="0" w:space="0" w:color="auto"/>
        <w:right w:val="none" w:sz="0" w:space="0" w:color="auto"/>
      </w:divBdr>
    </w:div>
    <w:div w:id="381485742">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06135980">
      <w:bodyDiv w:val="1"/>
      <w:marLeft w:val="0"/>
      <w:marRight w:val="0"/>
      <w:marTop w:val="0"/>
      <w:marBottom w:val="0"/>
      <w:divBdr>
        <w:top w:val="none" w:sz="0" w:space="0" w:color="auto"/>
        <w:left w:val="none" w:sz="0" w:space="0" w:color="auto"/>
        <w:bottom w:val="none" w:sz="0" w:space="0" w:color="auto"/>
        <w:right w:val="none" w:sz="0" w:space="0" w:color="auto"/>
      </w:divBdr>
    </w:div>
    <w:div w:id="695812951">
      <w:bodyDiv w:val="1"/>
      <w:marLeft w:val="0"/>
      <w:marRight w:val="0"/>
      <w:marTop w:val="0"/>
      <w:marBottom w:val="0"/>
      <w:divBdr>
        <w:top w:val="none" w:sz="0" w:space="0" w:color="auto"/>
        <w:left w:val="none" w:sz="0" w:space="0" w:color="auto"/>
        <w:bottom w:val="none" w:sz="0" w:space="0" w:color="auto"/>
        <w:right w:val="none" w:sz="0" w:space="0" w:color="auto"/>
      </w:divBdr>
    </w:div>
    <w:div w:id="739181028">
      <w:bodyDiv w:val="1"/>
      <w:marLeft w:val="0"/>
      <w:marRight w:val="0"/>
      <w:marTop w:val="0"/>
      <w:marBottom w:val="0"/>
      <w:divBdr>
        <w:top w:val="none" w:sz="0" w:space="0" w:color="auto"/>
        <w:left w:val="none" w:sz="0" w:space="0" w:color="auto"/>
        <w:bottom w:val="none" w:sz="0" w:space="0" w:color="auto"/>
        <w:right w:val="none" w:sz="0" w:space="0" w:color="auto"/>
      </w:divBdr>
    </w:div>
    <w:div w:id="873617452">
      <w:bodyDiv w:val="1"/>
      <w:marLeft w:val="0"/>
      <w:marRight w:val="0"/>
      <w:marTop w:val="0"/>
      <w:marBottom w:val="0"/>
      <w:divBdr>
        <w:top w:val="none" w:sz="0" w:space="0" w:color="auto"/>
        <w:left w:val="none" w:sz="0" w:space="0" w:color="auto"/>
        <w:bottom w:val="none" w:sz="0" w:space="0" w:color="auto"/>
        <w:right w:val="none" w:sz="0" w:space="0" w:color="auto"/>
      </w:divBdr>
    </w:div>
    <w:div w:id="913012758">
      <w:bodyDiv w:val="1"/>
      <w:marLeft w:val="0"/>
      <w:marRight w:val="0"/>
      <w:marTop w:val="0"/>
      <w:marBottom w:val="0"/>
      <w:divBdr>
        <w:top w:val="none" w:sz="0" w:space="0" w:color="auto"/>
        <w:left w:val="none" w:sz="0" w:space="0" w:color="auto"/>
        <w:bottom w:val="none" w:sz="0" w:space="0" w:color="auto"/>
        <w:right w:val="none" w:sz="0" w:space="0" w:color="auto"/>
      </w:divBdr>
      <w:divsChild>
        <w:div w:id="94447270">
          <w:marLeft w:val="0"/>
          <w:marRight w:val="0"/>
          <w:marTop w:val="0"/>
          <w:marBottom w:val="0"/>
          <w:divBdr>
            <w:top w:val="none" w:sz="0" w:space="0" w:color="auto"/>
            <w:left w:val="none" w:sz="0" w:space="0" w:color="auto"/>
            <w:bottom w:val="none" w:sz="0" w:space="0" w:color="auto"/>
            <w:right w:val="none" w:sz="0" w:space="0" w:color="auto"/>
          </w:divBdr>
          <w:divsChild>
            <w:div w:id="17432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7514">
      <w:bodyDiv w:val="1"/>
      <w:marLeft w:val="0"/>
      <w:marRight w:val="0"/>
      <w:marTop w:val="0"/>
      <w:marBottom w:val="0"/>
      <w:divBdr>
        <w:top w:val="none" w:sz="0" w:space="0" w:color="auto"/>
        <w:left w:val="none" w:sz="0" w:space="0" w:color="auto"/>
        <w:bottom w:val="none" w:sz="0" w:space="0" w:color="auto"/>
        <w:right w:val="none" w:sz="0" w:space="0" w:color="auto"/>
      </w:divBdr>
    </w:div>
    <w:div w:id="1104112429">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61891386">
      <w:bodyDiv w:val="1"/>
      <w:marLeft w:val="0"/>
      <w:marRight w:val="0"/>
      <w:marTop w:val="0"/>
      <w:marBottom w:val="0"/>
      <w:divBdr>
        <w:top w:val="none" w:sz="0" w:space="0" w:color="auto"/>
        <w:left w:val="none" w:sz="0" w:space="0" w:color="auto"/>
        <w:bottom w:val="none" w:sz="0" w:space="0" w:color="auto"/>
        <w:right w:val="none" w:sz="0" w:space="0" w:color="auto"/>
      </w:divBdr>
    </w:div>
    <w:div w:id="1227227208">
      <w:bodyDiv w:val="1"/>
      <w:marLeft w:val="0"/>
      <w:marRight w:val="0"/>
      <w:marTop w:val="0"/>
      <w:marBottom w:val="0"/>
      <w:divBdr>
        <w:top w:val="none" w:sz="0" w:space="0" w:color="auto"/>
        <w:left w:val="none" w:sz="0" w:space="0" w:color="auto"/>
        <w:bottom w:val="none" w:sz="0" w:space="0" w:color="auto"/>
        <w:right w:val="none" w:sz="0" w:space="0" w:color="auto"/>
      </w:divBdr>
    </w:div>
    <w:div w:id="1272857112">
      <w:bodyDiv w:val="1"/>
      <w:marLeft w:val="0"/>
      <w:marRight w:val="0"/>
      <w:marTop w:val="0"/>
      <w:marBottom w:val="0"/>
      <w:divBdr>
        <w:top w:val="none" w:sz="0" w:space="0" w:color="auto"/>
        <w:left w:val="none" w:sz="0" w:space="0" w:color="auto"/>
        <w:bottom w:val="none" w:sz="0" w:space="0" w:color="auto"/>
        <w:right w:val="none" w:sz="0" w:space="0" w:color="auto"/>
      </w:divBdr>
    </w:div>
    <w:div w:id="1344629777">
      <w:bodyDiv w:val="1"/>
      <w:marLeft w:val="0"/>
      <w:marRight w:val="0"/>
      <w:marTop w:val="0"/>
      <w:marBottom w:val="0"/>
      <w:divBdr>
        <w:top w:val="none" w:sz="0" w:space="0" w:color="auto"/>
        <w:left w:val="none" w:sz="0" w:space="0" w:color="auto"/>
        <w:bottom w:val="none" w:sz="0" w:space="0" w:color="auto"/>
        <w:right w:val="none" w:sz="0" w:space="0" w:color="auto"/>
      </w:divBdr>
    </w:div>
    <w:div w:id="1347248472">
      <w:bodyDiv w:val="1"/>
      <w:marLeft w:val="0"/>
      <w:marRight w:val="0"/>
      <w:marTop w:val="0"/>
      <w:marBottom w:val="0"/>
      <w:divBdr>
        <w:top w:val="none" w:sz="0" w:space="0" w:color="auto"/>
        <w:left w:val="none" w:sz="0" w:space="0" w:color="auto"/>
        <w:bottom w:val="none" w:sz="0" w:space="0" w:color="auto"/>
        <w:right w:val="none" w:sz="0" w:space="0" w:color="auto"/>
      </w:divBdr>
    </w:div>
    <w:div w:id="1404990298">
      <w:bodyDiv w:val="1"/>
      <w:marLeft w:val="0"/>
      <w:marRight w:val="0"/>
      <w:marTop w:val="0"/>
      <w:marBottom w:val="0"/>
      <w:divBdr>
        <w:top w:val="none" w:sz="0" w:space="0" w:color="auto"/>
        <w:left w:val="none" w:sz="0" w:space="0" w:color="auto"/>
        <w:bottom w:val="none" w:sz="0" w:space="0" w:color="auto"/>
        <w:right w:val="none" w:sz="0" w:space="0" w:color="auto"/>
      </w:divBdr>
    </w:div>
    <w:div w:id="1584415796">
      <w:bodyDiv w:val="1"/>
      <w:marLeft w:val="0"/>
      <w:marRight w:val="0"/>
      <w:marTop w:val="0"/>
      <w:marBottom w:val="0"/>
      <w:divBdr>
        <w:top w:val="none" w:sz="0" w:space="0" w:color="auto"/>
        <w:left w:val="none" w:sz="0" w:space="0" w:color="auto"/>
        <w:bottom w:val="none" w:sz="0" w:space="0" w:color="auto"/>
        <w:right w:val="none" w:sz="0" w:space="0" w:color="auto"/>
      </w:divBdr>
    </w:div>
    <w:div w:id="1609511342">
      <w:bodyDiv w:val="1"/>
      <w:marLeft w:val="0"/>
      <w:marRight w:val="0"/>
      <w:marTop w:val="0"/>
      <w:marBottom w:val="0"/>
      <w:divBdr>
        <w:top w:val="none" w:sz="0" w:space="0" w:color="auto"/>
        <w:left w:val="none" w:sz="0" w:space="0" w:color="auto"/>
        <w:bottom w:val="none" w:sz="0" w:space="0" w:color="auto"/>
        <w:right w:val="none" w:sz="0" w:space="0" w:color="auto"/>
      </w:divBdr>
    </w:div>
    <w:div w:id="1657606838">
      <w:bodyDiv w:val="1"/>
      <w:marLeft w:val="0"/>
      <w:marRight w:val="0"/>
      <w:marTop w:val="0"/>
      <w:marBottom w:val="0"/>
      <w:divBdr>
        <w:top w:val="none" w:sz="0" w:space="0" w:color="auto"/>
        <w:left w:val="none" w:sz="0" w:space="0" w:color="auto"/>
        <w:bottom w:val="none" w:sz="0" w:space="0" w:color="auto"/>
        <w:right w:val="none" w:sz="0" w:space="0" w:color="auto"/>
      </w:divBdr>
    </w:div>
    <w:div w:id="1805390736">
      <w:bodyDiv w:val="1"/>
      <w:marLeft w:val="0"/>
      <w:marRight w:val="0"/>
      <w:marTop w:val="0"/>
      <w:marBottom w:val="0"/>
      <w:divBdr>
        <w:top w:val="none" w:sz="0" w:space="0" w:color="auto"/>
        <w:left w:val="none" w:sz="0" w:space="0" w:color="auto"/>
        <w:bottom w:val="none" w:sz="0" w:space="0" w:color="auto"/>
        <w:right w:val="none" w:sz="0" w:space="0" w:color="auto"/>
      </w:divBdr>
    </w:div>
    <w:div w:id="1847743592">
      <w:bodyDiv w:val="1"/>
      <w:marLeft w:val="0"/>
      <w:marRight w:val="0"/>
      <w:marTop w:val="0"/>
      <w:marBottom w:val="0"/>
      <w:divBdr>
        <w:top w:val="none" w:sz="0" w:space="0" w:color="auto"/>
        <w:left w:val="none" w:sz="0" w:space="0" w:color="auto"/>
        <w:bottom w:val="none" w:sz="0" w:space="0" w:color="auto"/>
        <w:right w:val="none" w:sz="0" w:space="0" w:color="auto"/>
      </w:divBdr>
    </w:div>
    <w:div w:id="1872955054">
      <w:bodyDiv w:val="1"/>
      <w:marLeft w:val="0"/>
      <w:marRight w:val="0"/>
      <w:marTop w:val="0"/>
      <w:marBottom w:val="0"/>
      <w:divBdr>
        <w:top w:val="none" w:sz="0" w:space="0" w:color="auto"/>
        <w:left w:val="none" w:sz="0" w:space="0" w:color="auto"/>
        <w:bottom w:val="none" w:sz="0" w:space="0" w:color="auto"/>
        <w:right w:val="none" w:sz="0" w:space="0" w:color="auto"/>
      </w:divBdr>
    </w:div>
    <w:div w:id="1882089004">
      <w:bodyDiv w:val="1"/>
      <w:marLeft w:val="0"/>
      <w:marRight w:val="0"/>
      <w:marTop w:val="0"/>
      <w:marBottom w:val="0"/>
      <w:divBdr>
        <w:top w:val="none" w:sz="0" w:space="0" w:color="auto"/>
        <w:left w:val="none" w:sz="0" w:space="0" w:color="auto"/>
        <w:bottom w:val="none" w:sz="0" w:space="0" w:color="auto"/>
        <w:right w:val="none" w:sz="0" w:space="0" w:color="auto"/>
      </w:divBdr>
    </w:div>
    <w:div w:id="19830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gov.au/info/industry/listing/elements/pbac-meetings/psd/2016-03/evolocumab-repatha-psd-03-2016" TargetMode="External"/><Relationship Id="rId18" Type="http://schemas.openxmlformats.org/officeDocument/2006/relationships/hyperlink" Target="https://www.pbs.gov.au/info/industry/listing/elements/pbac-meetings/psd/2019-11/evolocumab-injection-420-mg-in-3-5-ml-single-use-pre-filled-cartridge" TargetMode="External"/><Relationship Id="rId26" Type="http://schemas.openxmlformats.org/officeDocument/2006/relationships/image" Target="media/image1.png"/><Relationship Id="rId39" Type="http://schemas.openxmlformats.org/officeDocument/2006/relationships/footer" Target="footer1.xml"/><Relationship Id="rId21" Type="http://schemas.openxmlformats.org/officeDocument/2006/relationships/hyperlink" Target="https://www.pbs.gov.au/info/industry/listing/participants/public-release-docs/2019-10/evolocumab-for-homozygous-familial-hypercholesterolaemia" TargetMode="External"/><Relationship Id="rId34" Type="http://schemas.openxmlformats.org/officeDocument/2006/relationships/image" Target="media/image4.svg"/><Relationship Id="rId42" Type="http://schemas.openxmlformats.org/officeDocument/2006/relationships/footer" Target="footer3.xml"/><Relationship Id="rId47" Type="http://schemas.openxmlformats.org/officeDocument/2006/relationships/hyperlink" Target="https://www.pbs.gov.au/info/industry/listing/elements/pbac-meetings/psd/2018-03/Evolocumab-psd-march-2018" TargetMode="External"/><Relationship Id="rId50" Type="http://schemas.openxmlformats.org/officeDocument/2006/relationships/hyperlink" Target="https://www.pbs.gov.au/info/industry/listing/elements/pbac-meetings/psd/2019-11/evolocumab-injection-420-mg-in-3-5-ml-single-use-pre-filled-cartridge"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hyperlink" Target="https://www.pbs.gov.au/info/industry/listing/elements/pbac-meetings/psd/2019-11/evolocumab-injection-420-mg-in-3-5-ml-single-use-pre-filled-cartridge" TargetMode="External"/><Relationship Id="rId25" Type="http://schemas.openxmlformats.org/officeDocument/2006/relationships/chart" Target="charts/chart3.xml"/><Relationship Id="rId33" Type="http://schemas.openxmlformats.org/officeDocument/2006/relationships/image" Target="media/image3.png"/><Relationship Id="rId38" Type="http://schemas.openxmlformats.org/officeDocument/2006/relationships/header" Target="header2.xml"/><Relationship Id="rId46" Type="http://schemas.openxmlformats.org/officeDocument/2006/relationships/hyperlink" Target="https://www.pbs.gov.au/info/industry/listing/elements/pbac-meetings/psd/2017-11/evolocumab-psd-november-2017" TargetMode="External"/><Relationship Id="rId2" Type="http://schemas.openxmlformats.org/officeDocument/2006/relationships/numbering" Target="numbering.xml"/><Relationship Id="rId16" Type="http://schemas.openxmlformats.org/officeDocument/2006/relationships/hyperlink" Target="https://www.pbs.gov.au/info/industry/listing/elements/pbac-meetings/psd/2019-11/evolocumab-injection-420-mg-in-3-5-ml-single-use-pre-filled-cartridge" TargetMode="External"/><Relationship Id="rId20" Type="http://schemas.openxmlformats.org/officeDocument/2006/relationships/hyperlink" Target="file:///\\central.health\DFSGroupData\Sites\CO1\CO\PBD\PEB\EVAL\DUSC\DUSC%20Documents\Predicted%20vs%20actual%20usage\pbs.gov.au" TargetMode="External"/><Relationship Id="rId29" Type="http://schemas.openxmlformats.org/officeDocument/2006/relationships/chart" Target="charts/chart5.xml"/><Relationship Id="rId41" Type="http://schemas.openxmlformats.org/officeDocument/2006/relationships/header" Target="header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pbs/home" TargetMode="External"/><Relationship Id="rId24" Type="http://schemas.openxmlformats.org/officeDocument/2006/relationships/chart" Target="charts/chart2.xml"/><Relationship Id="rId32" Type="http://schemas.openxmlformats.org/officeDocument/2006/relationships/chart" Target="charts/chart8.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s://www.pbs.gov.au/info/industry/listing/elements/pbac-meetings/psd/2017-07/evolocumab-psd-july-2017" TargetMode="External"/><Relationship Id="rId53" Type="http://schemas.openxmlformats.org/officeDocument/2006/relationships/hyperlink" Target="https://www.pbs.gov.au/info/industry/listing/elements/pbac-meetings/psd/2022-07/evolocumab-injection-140-mg-in-1-ml-single-use-pre-filled-pen" TargetMode="External"/><Relationship Id="rId5" Type="http://schemas.openxmlformats.org/officeDocument/2006/relationships/webSettings" Target="webSettings.xml"/><Relationship Id="rId15" Type="http://schemas.openxmlformats.org/officeDocument/2006/relationships/hyperlink" Target="https://www.pbs.gov.au/info/industry/listing/elements/pbac-meetings/psd/2018-03/Evolocumab-psd-march-2018" TargetMode="External"/><Relationship Id="rId23" Type="http://schemas.openxmlformats.org/officeDocument/2006/relationships/chart" Target="charts/chart1.xml"/><Relationship Id="rId28" Type="http://schemas.openxmlformats.org/officeDocument/2006/relationships/chart" Target="charts/chart4.xml"/><Relationship Id="rId36" Type="http://schemas.openxmlformats.org/officeDocument/2006/relationships/hyperlink" Target="file:///\\central.health\DFSGroupData\Sites\CO1\CO\PBD\PEB\EVAL\DUSC\DUSC%20Documents\Predicted%20vs%20actual%20usage\pbs.gov.au" TargetMode="External"/><Relationship Id="rId49" Type="http://schemas.openxmlformats.org/officeDocument/2006/relationships/hyperlink" Target="https://www.pbs.gov.au/info/industry/listing/elements/pbac-meetings/psd/2019-07/evolocumab-injection-420-mg-in-3-5-ml-single-use-pre-filled" TargetMode="External"/><Relationship Id="rId10" Type="http://schemas.openxmlformats.org/officeDocument/2006/relationships/hyperlink" Target="http://www.pbs.gov.au/pbs/home" TargetMode="External"/><Relationship Id="rId19" Type="http://schemas.openxmlformats.org/officeDocument/2006/relationships/hyperlink" Target="https://www.pbs.gov.au/info/industry/listing/elements/pbac-meetings/psd/2022-07/evolocumab-injection-140-mg-in-1-ml-single-use-pre-filled-pen" TargetMode="External"/><Relationship Id="rId31" Type="http://schemas.openxmlformats.org/officeDocument/2006/relationships/chart" Target="charts/chart7.xml"/><Relationship Id="rId44" Type="http://schemas.openxmlformats.org/officeDocument/2006/relationships/hyperlink" Target="https://www.pbs.gov.au/info/industry/listing/elements/pbac-meetings/psd/2016-03/evolocumab-repatha-psd-03-2016" TargetMode="External"/><Relationship Id="rId52" Type="http://schemas.openxmlformats.org/officeDocument/2006/relationships/hyperlink" Target="https://www.pbs.gov.au/info/industry/listing/elements/pbac-meetings/psd/2021-03/evolocumab-injection-420-mg-in-3-5-ml-single-use-pre-filled" TargetMode="Externa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info/industry/listing/elements/pbac-meetings/psd/2017-07/evolocumab-psd-july-2017" TargetMode="External"/><Relationship Id="rId22" Type="http://schemas.openxmlformats.org/officeDocument/2006/relationships/hyperlink" Target="https://www.pbs.gov.au/info/industry/listing/participants/public-release-docs/2021-06/evolocumab-for-heterozygous-familial-hypercholesterolaemia%2C" TargetMode="External"/><Relationship Id="rId27" Type="http://schemas.openxmlformats.org/officeDocument/2006/relationships/image" Target="media/image2.svg"/><Relationship Id="rId30" Type="http://schemas.openxmlformats.org/officeDocument/2006/relationships/chart" Target="charts/chart6.xml"/><Relationship Id="rId35" Type="http://schemas.openxmlformats.org/officeDocument/2006/relationships/chart" Target="charts/chart9.xml"/><Relationship Id="rId43" Type="http://schemas.openxmlformats.org/officeDocument/2006/relationships/hyperlink" Target="https://www.pbs.gov.au/info/industry/listing/elements/pbac-meetings/psd/2015-03/evolocumab-injection-repatha-2015-03-psd" TargetMode="External"/><Relationship Id="rId48" Type="http://schemas.openxmlformats.org/officeDocument/2006/relationships/hyperlink" Target="https://www.pbs.gov.au/info/industry/listing/elements/pbac-meetings/psd/2018-07/Evolocumab-psd-july-2018" TargetMode="External"/><Relationship Id="rId8" Type="http://schemas.openxmlformats.org/officeDocument/2006/relationships/hyperlink" Target="http://tga.gov.au/hp/information-medicines-pi.htm" TargetMode="External"/><Relationship Id="rId51" Type="http://schemas.openxmlformats.org/officeDocument/2006/relationships/hyperlink" Target="https://www.pbs.gov.au/info/industry/listing/elements/pbac-meetings/psd/2020-11/evolocumab-injection-140-mg-in-1-ml-single-use-pre-filled"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userenv\Users\User_04\HOMONI\Desktop\Evolocumab%20Feb%202023\evolocumab%20(version%201).xls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04\HOMONI\Desktop\Evolocumab%20Feb%202023\evolocumab%20(version%201).xls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04\HOMONI\Desktop\Evolocumab%20Feb%202023\evolocumab%20(version%201).xlsb.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userenv\Users\User_04\HOMONI\Desktop\Evolocumab%20Feb%202023\evolocumab%20(version%201).xls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userenv\Users\User_04\HOMONI\Desktop\Evolocumab%20Feb%202023\evolocumab%20(version%201).xlsb.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userenv\Users\User_04\HOMONI\Desktop\Evolocumab%20Feb%202023\evolocumab%20(version%201).xlsb.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userenv\Users\User_04\HOMONI\Desktop\Evolocumab%20Feb%202023\evolocumab%20(version%201).xlsb.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userenv\Users\User_04\HOMONI\Desktop\Evolocumab%20Feb%202023\evolocumab%20(version%201).xlsb.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userenv\Users\User_04\HOMONI\Desktop\Previous%20DUSC%20meetings\February%202023\Evolocumab%20Feb%202023\evolocumab%20(version%201).xlsb.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[evolocumab (version 1).xlsb.xlsx]by item code!PivotTable7</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'by item code'!$V$1:$V$2</c:f>
              <c:strCache>
                <c:ptCount val="1"/>
                <c:pt idx="0">
                  <c:v>HoFH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'by item code'!$U$3:$U$27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'by item code'!$V$3:$V$27</c:f>
              <c:numCache>
                <c:formatCode>General</c:formatCode>
                <c:ptCount val="24"/>
                <c:pt idx="0">
                  <c:v>11</c:v>
                </c:pt>
                <c:pt idx="1">
                  <c:v>120</c:v>
                </c:pt>
                <c:pt idx="2">
                  <c:v>433</c:v>
                </c:pt>
                <c:pt idx="3">
                  <c:v>780</c:v>
                </c:pt>
                <c:pt idx="4">
                  <c:v>1074</c:v>
                </c:pt>
                <c:pt idx="5">
                  <c:v>1360</c:v>
                </c:pt>
                <c:pt idx="6">
                  <c:v>1775</c:v>
                </c:pt>
                <c:pt idx="7">
                  <c:v>1963</c:v>
                </c:pt>
                <c:pt idx="8">
                  <c:v>2157</c:v>
                </c:pt>
                <c:pt idx="9">
                  <c:v>2105</c:v>
                </c:pt>
                <c:pt idx="10">
                  <c:v>2269</c:v>
                </c:pt>
                <c:pt idx="11">
                  <c:v>2331</c:v>
                </c:pt>
                <c:pt idx="12">
                  <c:v>2534</c:v>
                </c:pt>
                <c:pt idx="13">
                  <c:v>2678</c:v>
                </c:pt>
                <c:pt idx="14">
                  <c:v>2538</c:v>
                </c:pt>
                <c:pt idx="15">
                  <c:v>2868</c:v>
                </c:pt>
                <c:pt idx="16">
                  <c:v>3189</c:v>
                </c:pt>
                <c:pt idx="17">
                  <c:v>3172</c:v>
                </c:pt>
                <c:pt idx="18">
                  <c:v>3574</c:v>
                </c:pt>
                <c:pt idx="19">
                  <c:v>4036</c:v>
                </c:pt>
                <c:pt idx="20">
                  <c:v>4843</c:v>
                </c:pt>
                <c:pt idx="21">
                  <c:v>4914</c:v>
                </c:pt>
                <c:pt idx="22">
                  <c:v>5508</c:v>
                </c:pt>
                <c:pt idx="23">
                  <c:v>5882</c:v>
                </c:pt>
              </c:numCache>
            </c:numRef>
          </c:val>
          <c:smooth val="0"/>
          <c:extLst>
            <c:ext xmlns:c16="http://schemas.microsoft.com/office/drawing/2014/chart" uri="{C3380CC4-5D6E-409C-BE32-E72D297353CC}">
              <c16:uniqueId val="{00000000-A1CB-41BB-A07F-09E128F8E3B9}"/>
            </c:ext>
          </c:extLst>
        </c:ser>
        <c:ser>
          <c:idx val="1"/>
          <c:order val="1"/>
          <c:tx>
            <c:strRef>
              <c:f>'by item code'!$W$1:$W$2</c:f>
              <c:strCache>
                <c:ptCount val="1"/>
                <c:pt idx="0">
                  <c:v>HeFH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'by item code'!$U$3:$U$27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'by item code'!$W$3:$W$27</c:f>
              <c:numCache>
                <c:formatCode>General</c:formatCode>
                <c:ptCount val="24"/>
                <c:pt idx="8">
                  <c:v>74</c:v>
                </c:pt>
                <c:pt idx="9">
                  <c:v>391</c:v>
                </c:pt>
                <c:pt idx="10">
                  <c:v>710</c:v>
                </c:pt>
                <c:pt idx="11">
                  <c:v>982</c:v>
                </c:pt>
                <c:pt idx="12">
                  <c:v>1312</c:v>
                </c:pt>
                <c:pt idx="13">
                  <c:v>1659</c:v>
                </c:pt>
                <c:pt idx="14">
                  <c:v>536</c:v>
                </c:pt>
              </c:numCache>
            </c:numRef>
          </c:val>
          <c:smooth val="0"/>
          <c:extLst>
            <c:ext xmlns:c16="http://schemas.microsoft.com/office/drawing/2014/chart" uri="{C3380CC4-5D6E-409C-BE32-E72D297353CC}">
              <c16:uniqueId val="{00000001-A1CB-41BB-A07F-09E128F8E3B9}"/>
            </c:ext>
          </c:extLst>
        </c:ser>
        <c:ser>
          <c:idx val="2"/>
          <c:order val="2"/>
          <c:tx>
            <c:strRef>
              <c:f>'by item code'!$X$1:$X$2</c:f>
              <c:strCache>
                <c:ptCount val="1"/>
                <c:pt idx="0">
                  <c:v>HeFH/Non-FH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'by item code'!$U$3:$U$27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'by item code'!$X$3:$X$27</c:f>
              <c:numCache>
                <c:formatCode>General</c:formatCode>
                <c:ptCount val="24"/>
                <c:pt idx="14">
                  <c:v>1615</c:v>
                </c:pt>
                <c:pt idx="15">
                  <c:v>3888</c:v>
                </c:pt>
                <c:pt idx="16">
                  <c:v>5636</c:v>
                </c:pt>
                <c:pt idx="17">
                  <c:v>6297</c:v>
                </c:pt>
                <c:pt idx="18">
                  <c:v>7490</c:v>
                </c:pt>
                <c:pt idx="19">
                  <c:v>8942</c:v>
                </c:pt>
                <c:pt idx="20">
                  <c:v>10129</c:v>
                </c:pt>
                <c:pt idx="21">
                  <c:v>9934</c:v>
                </c:pt>
                <c:pt idx="22">
                  <c:v>11142</c:v>
                </c:pt>
                <c:pt idx="23">
                  <c:v>12295</c:v>
                </c:pt>
              </c:numCache>
            </c:numRef>
          </c:val>
          <c:smooth val="0"/>
          <c:extLst>
            <c:ext xmlns:c16="http://schemas.microsoft.com/office/drawing/2014/chart" uri="{C3380CC4-5D6E-409C-BE32-E72D297353CC}">
              <c16:uniqueId val="{00000002-A1CB-41BB-A07F-09E128F8E3B9}"/>
            </c:ext>
          </c:extLst>
        </c:ser>
        <c:ser>
          <c:idx val="3"/>
          <c:order val="3"/>
          <c:tx>
            <c:strRef>
              <c:f>'by item code'!$Y$1:$Y$2</c:f>
              <c:strCache>
                <c:ptCount val="1"/>
                <c:pt idx="0">
                  <c:v>Total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'by item code'!$U$3:$U$27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'by item code'!$Y$3:$Y$27</c:f>
              <c:numCache>
                <c:formatCode>General</c:formatCode>
                <c:ptCount val="24"/>
                <c:pt idx="0">
                  <c:v>11</c:v>
                </c:pt>
                <c:pt idx="1">
                  <c:v>120</c:v>
                </c:pt>
                <c:pt idx="2">
                  <c:v>433</c:v>
                </c:pt>
                <c:pt idx="3">
                  <c:v>780</c:v>
                </c:pt>
                <c:pt idx="4">
                  <c:v>1074</c:v>
                </c:pt>
                <c:pt idx="5">
                  <c:v>1360</c:v>
                </c:pt>
                <c:pt idx="6">
                  <c:v>1775</c:v>
                </c:pt>
                <c:pt idx="7">
                  <c:v>1963</c:v>
                </c:pt>
                <c:pt idx="8">
                  <c:v>2231</c:v>
                </c:pt>
                <c:pt idx="9">
                  <c:v>2496</c:v>
                </c:pt>
                <c:pt idx="10">
                  <c:v>2979</c:v>
                </c:pt>
                <c:pt idx="11">
                  <c:v>3313</c:v>
                </c:pt>
                <c:pt idx="12">
                  <c:v>3846</c:v>
                </c:pt>
                <c:pt idx="13">
                  <c:v>4337</c:v>
                </c:pt>
                <c:pt idx="14">
                  <c:v>4689</c:v>
                </c:pt>
                <c:pt idx="15">
                  <c:v>6756</c:v>
                </c:pt>
                <c:pt idx="16">
                  <c:v>8825</c:v>
                </c:pt>
                <c:pt idx="17">
                  <c:v>9469</c:v>
                </c:pt>
                <c:pt idx="18">
                  <c:v>11064</c:v>
                </c:pt>
                <c:pt idx="19">
                  <c:v>12978</c:v>
                </c:pt>
                <c:pt idx="20">
                  <c:v>14972</c:v>
                </c:pt>
                <c:pt idx="21">
                  <c:v>14848</c:v>
                </c:pt>
                <c:pt idx="22">
                  <c:v>16650</c:v>
                </c:pt>
                <c:pt idx="23">
                  <c:v>18177</c:v>
                </c:pt>
              </c:numCache>
            </c:numRef>
          </c:val>
          <c:smooth val="0"/>
          <c:extLst>
            <c:ext xmlns:c16="http://schemas.microsoft.com/office/drawing/2014/chart" uri="{C3380CC4-5D6E-409C-BE32-E72D297353CC}">
              <c16:uniqueId val="{00000003-A1CB-41BB-A07F-09E128F8E3B9}"/>
            </c:ext>
          </c:extLst>
        </c:ser>
        <c:dLbls>
          <c:showLegendKey val="0"/>
          <c:showVal val="0"/>
          <c:showCatName val="0"/>
          <c:showSerName val="0"/>
          <c:showPercent val="0"/>
          <c:showBubbleSize val="0"/>
        </c:dLbls>
        <c:marker val="1"/>
        <c:smooth val="0"/>
        <c:axId val="665074352"/>
        <c:axId val="665074680"/>
      </c:lineChart>
      <c:catAx>
        <c:axId val="66507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5074680"/>
        <c:crosses val="autoZero"/>
        <c:auto val="1"/>
        <c:lblAlgn val="ctr"/>
        <c:lblOffset val="100"/>
        <c:noMultiLvlLbl val="0"/>
      </c:catAx>
      <c:valAx>
        <c:axId val="665074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5074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[evolocumab (version 1).xlsb.xlsx]Sheet11!PivotTable10</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Sheet11!$V$1:$V$2</c:f>
              <c:strCache>
                <c:ptCount val="1"/>
                <c:pt idx="0">
                  <c:v>HoFH</c:v>
                </c:pt>
              </c:strCache>
            </c:strRef>
          </c:tx>
          <c:spPr>
            <a:ln w="28575" cap="rnd">
              <a:solidFill>
                <a:schemeClr val="accent1"/>
              </a:solidFill>
              <a:round/>
            </a:ln>
            <a:effectLst/>
          </c:spPr>
          <c:marker>
            <c:symbol val="none"/>
          </c:marker>
          <c:cat>
            <c:strRef>
              <c:f>Sheet11!$U$3:$U$13</c:f>
              <c:strCache>
                <c:ptCount val="10"/>
                <c:pt idx="0">
                  <c:v>2020Q2</c:v>
                </c:pt>
                <c:pt idx="1">
                  <c:v>2020Q3</c:v>
                </c:pt>
                <c:pt idx="2">
                  <c:v>2020Q4</c:v>
                </c:pt>
                <c:pt idx="3">
                  <c:v>2021Q1</c:v>
                </c:pt>
                <c:pt idx="4">
                  <c:v>2021Q2</c:v>
                </c:pt>
                <c:pt idx="5">
                  <c:v>2021Q3</c:v>
                </c:pt>
                <c:pt idx="6">
                  <c:v>2021Q4</c:v>
                </c:pt>
                <c:pt idx="7">
                  <c:v>2022Q1</c:v>
                </c:pt>
                <c:pt idx="8">
                  <c:v>2022Q2</c:v>
                </c:pt>
                <c:pt idx="9">
                  <c:v>2022Q3</c:v>
                </c:pt>
              </c:strCache>
            </c:strRef>
          </c:cat>
          <c:val>
            <c:numRef>
              <c:f>Sheet11!$V$3:$V$13</c:f>
              <c:numCache>
                <c:formatCode>General</c:formatCode>
                <c:ptCount val="10"/>
                <c:pt idx="0">
                  <c:v>156</c:v>
                </c:pt>
                <c:pt idx="1">
                  <c:v>827</c:v>
                </c:pt>
                <c:pt idx="2">
                  <c:v>1656</c:v>
                </c:pt>
                <c:pt idx="3">
                  <c:v>2085</c:v>
                </c:pt>
                <c:pt idx="4">
                  <c:v>2609</c:v>
                </c:pt>
                <c:pt idx="5">
                  <c:v>3022</c:v>
                </c:pt>
                <c:pt idx="6">
                  <c:v>3670</c:v>
                </c:pt>
                <c:pt idx="7">
                  <c:v>3877</c:v>
                </c:pt>
                <c:pt idx="8">
                  <c:v>4401</c:v>
                </c:pt>
                <c:pt idx="9">
                  <c:v>4732</c:v>
                </c:pt>
              </c:numCache>
            </c:numRef>
          </c:val>
          <c:smooth val="0"/>
          <c:extLst>
            <c:ext xmlns:c16="http://schemas.microsoft.com/office/drawing/2014/chart" uri="{C3380CC4-5D6E-409C-BE32-E72D297353CC}">
              <c16:uniqueId val="{00000000-3075-43C3-A07E-BC427BF8EA6E}"/>
            </c:ext>
          </c:extLst>
        </c:ser>
        <c:ser>
          <c:idx val="1"/>
          <c:order val="1"/>
          <c:tx>
            <c:strRef>
              <c:f>Sheet11!$W$1:$W$2</c:f>
              <c:strCache>
                <c:ptCount val="1"/>
                <c:pt idx="0">
                  <c:v>HeFH</c:v>
                </c:pt>
              </c:strCache>
            </c:strRef>
          </c:tx>
          <c:spPr>
            <a:ln w="28575" cap="rnd">
              <a:solidFill>
                <a:schemeClr val="accent2"/>
              </a:solidFill>
              <a:round/>
            </a:ln>
            <a:effectLst/>
          </c:spPr>
          <c:marker>
            <c:symbol val="none"/>
          </c:marker>
          <c:cat>
            <c:strRef>
              <c:f>Sheet11!$U$3:$U$13</c:f>
              <c:strCache>
                <c:ptCount val="10"/>
                <c:pt idx="0">
                  <c:v>2020Q2</c:v>
                </c:pt>
                <c:pt idx="1">
                  <c:v>2020Q3</c:v>
                </c:pt>
                <c:pt idx="2">
                  <c:v>2020Q4</c:v>
                </c:pt>
                <c:pt idx="3">
                  <c:v>2021Q1</c:v>
                </c:pt>
                <c:pt idx="4">
                  <c:v>2021Q2</c:v>
                </c:pt>
                <c:pt idx="5">
                  <c:v>2021Q3</c:v>
                </c:pt>
                <c:pt idx="6">
                  <c:v>2021Q4</c:v>
                </c:pt>
                <c:pt idx="7">
                  <c:v>2022Q1</c:v>
                </c:pt>
                <c:pt idx="8">
                  <c:v>2022Q2</c:v>
                </c:pt>
                <c:pt idx="9">
                  <c:v>2022Q3</c:v>
                </c:pt>
              </c:strCache>
            </c:strRef>
          </c:cat>
          <c:val>
            <c:numRef>
              <c:f>Sheet11!$W$3:$W$13</c:f>
              <c:numCache>
                <c:formatCode>General</c:formatCode>
                <c:ptCount val="10"/>
                <c:pt idx="0">
                  <c:v>104</c:v>
                </c:pt>
                <c:pt idx="1">
                  <c:v>637</c:v>
                </c:pt>
                <c:pt idx="2">
                  <c:v>1382</c:v>
                </c:pt>
                <c:pt idx="3">
                  <c:v>1699</c:v>
                </c:pt>
                <c:pt idx="4">
                  <c:v>2080</c:v>
                </c:pt>
                <c:pt idx="5">
                  <c:v>2435</c:v>
                </c:pt>
                <c:pt idx="6">
                  <c:v>2575</c:v>
                </c:pt>
                <c:pt idx="7">
                  <c:v>2407</c:v>
                </c:pt>
                <c:pt idx="8">
                  <c:v>2745</c:v>
                </c:pt>
                <c:pt idx="9">
                  <c:v>3065</c:v>
                </c:pt>
              </c:numCache>
            </c:numRef>
          </c:val>
          <c:smooth val="0"/>
          <c:extLst>
            <c:ext xmlns:c16="http://schemas.microsoft.com/office/drawing/2014/chart" uri="{C3380CC4-5D6E-409C-BE32-E72D297353CC}">
              <c16:uniqueId val="{00000001-3075-43C3-A07E-BC427BF8EA6E}"/>
            </c:ext>
          </c:extLst>
        </c:ser>
        <c:ser>
          <c:idx val="2"/>
          <c:order val="2"/>
          <c:tx>
            <c:strRef>
              <c:f>Sheet11!$X$1:$X$2</c:f>
              <c:strCache>
                <c:ptCount val="1"/>
                <c:pt idx="0">
                  <c:v>Non-FH</c:v>
                </c:pt>
              </c:strCache>
            </c:strRef>
          </c:tx>
          <c:spPr>
            <a:ln w="28575" cap="rnd">
              <a:solidFill>
                <a:schemeClr val="accent3"/>
              </a:solidFill>
              <a:round/>
            </a:ln>
            <a:effectLst/>
          </c:spPr>
          <c:marker>
            <c:symbol val="none"/>
          </c:marker>
          <c:cat>
            <c:strRef>
              <c:f>Sheet11!$U$3:$U$13</c:f>
              <c:strCache>
                <c:ptCount val="10"/>
                <c:pt idx="0">
                  <c:v>2020Q2</c:v>
                </c:pt>
                <c:pt idx="1">
                  <c:v>2020Q3</c:v>
                </c:pt>
                <c:pt idx="2">
                  <c:v>2020Q4</c:v>
                </c:pt>
                <c:pt idx="3">
                  <c:v>2021Q1</c:v>
                </c:pt>
                <c:pt idx="4">
                  <c:v>2021Q2</c:v>
                </c:pt>
                <c:pt idx="5">
                  <c:v>2021Q3</c:v>
                </c:pt>
                <c:pt idx="6">
                  <c:v>2021Q4</c:v>
                </c:pt>
                <c:pt idx="7">
                  <c:v>2022Q1</c:v>
                </c:pt>
                <c:pt idx="8">
                  <c:v>2022Q2</c:v>
                </c:pt>
                <c:pt idx="9">
                  <c:v>2022Q3</c:v>
                </c:pt>
              </c:strCache>
            </c:strRef>
          </c:cat>
          <c:val>
            <c:numRef>
              <c:f>Sheet11!$X$3:$X$13</c:f>
              <c:numCache>
                <c:formatCode>General</c:formatCode>
                <c:ptCount val="10"/>
                <c:pt idx="0">
                  <c:v>75</c:v>
                </c:pt>
                <c:pt idx="1">
                  <c:v>421</c:v>
                </c:pt>
                <c:pt idx="2">
                  <c:v>1004</c:v>
                </c:pt>
                <c:pt idx="3">
                  <c:v>1653</c:v>
                </c:pt>
                <c:pt idx="4">
                  <c:v>2322</c:v>
                </c:pt>
                <c:pt idx="5">
                  <c:v>3066</c:v>
                </c:pt>
                <c:pt idx="6">
                  <c:v>3917</c:v>
                </c:pt>
                <c:pt idx="7">
                  <c:v>4453</c:v>
                </c:pt>
                <c:pt idx="8">
                  <c:v>5338</c:v>
                </c:pt>
                <c:pt idx="9">
                  <c:v>5979</c:v>
                </c:pt>
              </c:numCache>
            </c:numRef>
          </c:val>
          <c:smooth val="0"/>
          <c:extLst>
            <c:ext xmlns:c16="http://schemas.microsoft.com/office/drawing/2014/chart" uri="{C3380CC4-5D6E-409C-BE32-E72D297353CC}">
              <c16:uniqueId val="{00000002-3075-43C3-A07E-BC427BF8EA6E}"/>
            </c:ext>
          </c:extLst>
        </c:ser>
        <c:ser>
          <c:idx val="3"/>
          <c:order val="3"/>
          <c:tx>
            <c:strRef>
              <c:f>Sheet11!$Y$1:$Y$2</c:f>
              <c:strCache>
                <c:ptCount val="1"/>
                <c:pt idx="0">
                  <c:v>Blank   </c:v>
                </c:pt>
              </c:strCache>
            </c:strRef>
          </c:tx>
          <c:spPr>
            <a:ln w="28575" cap="rnd">
              <a:solidFill>
                <a:schemeClr val="accent5"/>
              </a:solidFill>
              <a:round/>
            </a:ln>
            <a:effectLst/>
          </c:spPr>
          <c:marker>
            <c:symbol val="none"/>
          </c:marker>
          <c:cat>
            <c:strRef>
              <c:f>Sheet11!$U$3:$U$13</c:f>
              <c:strCache>
                <c:ptCount val="10"/>
                <c:pt idx="0">
                  <c:v>2020Q2</c:v>
                </c:pt>
                <c:pt idx="1">
                  <c:v>2020Q3</c:v>
                </c:pt>
                <c:pt idx="2">
                  <c:v>2020Q4</c:v>
                </c:pt>
                <c:pt idx="3">
                  <c:v>2021Q1</c:v>
                </c:pt>
                <c:pt idx="4">
                  <c:v>2021Q2</c:v>
                </c:pt>
                <c:pt idx="5">
                  <c:v>2021Q3</c:v>
                </c:pt>
                <c:pt idx="6">
                  <c:v>2021Q4</c:v>
                </c:pt>
                <c:pt idx="7">
                  <c:v>2022Q1</c:v>
                </c:pt>
                <c:pt idx="8">
                  <c:v>2022Q2</c:v>
                </c:pt>
                <c:pt idx="9">
                  <c:v>2022Q3</c:v>
                </c:pt>
              </c:strCache>
            </c:strRef>
          </c:cat>
          <c:val>
            <c:numRef>
              <c:f>Sheet11!$Y$3:$Y$13</c:f>
              <c:numCache>
                <c:formatCode>General</c:formatCode>
                <c:ptCount val="10"/>
                <c:pt idx="0">
                  <c:v>3067</c:v>
                </c:pt>
                <c:pt idx="1">
                  <c:v>4871</c:v>
                </c:pt>
                <c:pt idx="2">
                  <c:v>4783</c:v>
                </c:pt>
                <c:pt idx="3">
                  <c:v>4032</c:v>
                </c:pt>
                <c:pt idx="4">
                  <c:v>4053</c:v>
                </c:pt>
                <c:pt idx="5">
                  <c:v>4455</c:v>
                </c:pt>
                <c:pt idx="6">
                  <c:v>4810</c:v>
                </c:pt>
                <c:pt idx="7">
                  <c:v>4111</c:v>
                </c:pt>
                <c:pt idx="8">
                  <c:v>4166</c:v>
                </c:pt>
                <c:pt idx="9">
                  <c:v>4401</c:v>
                </c:pt>
              </c:numCache>
            </c:numRef>
          </c:val>
          <c:smooth val="0"/>
          <c:extLst>
            <c:ext xmlns:c16="http://schemas.microsoft.com/office/drawing/2014/chart" uri="{C3380CC4-5D6E-409C-BE32-E72D297353CC}">
              <c16:uniqueId val="{00000003-3075-43C3-A07E-BC427BF8EA6E}"/>
            </c:ext>
          </c:extLst>
        </c:ser>
        <c:ser>
          <c:idx val="4"/>
          <c:order val="4"/>
          <c:tx>
            <c:strRef>
              <c:f>Sheet11!$Z$1:$Z$2</c:f>
              <c:strCache>
                <c:ptCount val="1"/>
                <c:pt idx="0">
                  <c:v>Total</c:v>
                </c:pt>
              </c:strCache>
            </c:strRef>
          </c:tx>
          <c:spPr>
            <a:ln w="28575" cap="rnd">
              <a:solidFill>
                <a:schemeClr val="accent4"/>
              </a:solidFill>
              <a:round/>
            </a:ln>
            <a:effectLst/>
          </c:spPr>
          <c:marker>
            <c:symbol val="none"/>
          </c:marker>
          <c:cat>
            <c:strRef>
              <c:f>Sheet11!$U$3:$U$13</c:f>
              <c:strCache>
                <c:ptCount val="10"/>
                <c:pt idx="0">
                  <c:v>2020Q2</c:v>
                </c:pt>
                <c:pt idx="1">
                  <c:v>2020Q3</c:v>
                </c:pt>
                <c:pt idx="2">
                  <c:v>2020Q4</c:v>
                </c:pt>
                <c:pt idx="3">
                  <c:v>2021Q1</c:v>
                </c:pt>
                <c:pt idx="4">
                  <c:v>2021Q2</c:v>
                </c:pt>
                <c:pt idx="5">
                  <c:v>2021Q3</c:v>
                </c:pt>
                <c:pt idx="6">
                  <c:v>2021Q4</c:v>
                </c:pt>
                <c:pt idx="7">
                  <c:v>2022Q1</c:v>
                </c:pt>
                <c:pt idx="8">
                  <c:v>2022Q2</c:v>
                </c:pt>
                <c:pt idx="9">
                  <c:v>2022Q3</c:v>
                </c:pt>
              </c:strCache>
            </c:strRef>
          </c:cat>
          <c:val>
            <c:numRef>
              <c:f>Sheet11!$Z$3:$Z$13</c:f>
              <c:numCache>
                <c:formatCode>General</c:formatCode>
                <c:ptCount val="10"/>
                <c:pt idx="0">
                  <c:v>3402</c:v>
                </c:pt>
                <c:pt idx="1">
                  <c:v>6756</c:v>
                </c:pt>
                <c:pt idx="2">
                  <c:v>8825</c:v>
                </c:pt>
                <c:pt idx="3">
                  <c:v>9469</c:v>
                </c:pt>
                <c:pt idx="4">
                  <c:v>11064</c:v>
                </c:pt>
                <c:pt idx="5">
                  <c:v>12978</c:v>
                </c:pt>
                <c:pt idx="6">
                  <c:v>14972</c:v>
                </c:pt>
                <c:pt idx="7">
                  <c:v>14848</c:v>
                </c:pt>
                <c:pt idx="8">
                  <c:v>16650</c:v>
                </c:pt>
                <c:pt idx="9">
                  <c:v>18177</c:v>
                </c:pt>
              </c:numCache>
            </c:numRef>
          </c:val>
          <c:smooth val="0"/>
          <c:extLst>
            <c:ext xmlns:c16="http://schemas.microsoft.com/office/drawing/2014/chart" uri="{C3380CC4-5D6E-409C-BE32-E72D297353CC}">
              <c16:uniqueId val="{00000004-3075-43C3-A07E-BC427BF8EA6E}"/>
            </c:ext>
          </c:extLst>
        </c:ser>
        <c:dLbls>
          <c:showLegendKey val="0"/>
          <c:showVal val="0"/>
          <c:showCatName val="0"/>
          <c:showSerName val="0"/>
          <c:showPercent val="0"/>
          <c:showBubbleSize val="0"/>
        </c:dLbls>
        <c:smooth val="0"/>
        <c:axId val="775569776"/>
        <c:axId val="775573056"/>
      </c:lineChart>
      <c:catAx>
        <c:axId val="77556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573056"/>
        <c:crosses val="autoZero"/>
        <c:auto val="1"/>
        <c:lblAlgn val="ctr"/>
        <c:lblOffset val="100"/>
        <c:noMultiLvlLbl val="0"/>
      </c:catAx>
      <c:valAx>
        <c:axId val="775573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569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[evolocumab (version 1).xlsb.xlsx]by auth and str!PivotTable5</c:name>
    <c:fmtId val="-1"/>
  </c:pivotSource>
  <c:chart>
    <c:autoTitleDeleted val="0"/>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'by auth and str'!$V$1:$V$2</c:f>
              <c:strCache>
                <c:ptCount val="1"/>
                <c:pt idx="0">
                  <c:v>HeFH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'by auth and str'!$U$3:$U$27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'by auth and str'!$V$3:$V$27</c:f>
              <c:numCache>
                <c:formatCode>General</c:formatCode>
                <c:ptCount val="24"/>
                <c:pt idx="8">
                  <c:v>58</c:v>
                </c:pt>
                <c:pt idx="9">
                  <c:v>343</c:v>
                </c:pt>
                <c:pt idx="10">
                  <c:v>599</c:v>
                </c:pt>
                <c:pt idx="11">
                  <c:v>901</c:v>
                </c:pt>
                <c:pt idx="12">
                  <c:v>1252</c:v>
                </c:pt>
                <c:pt idx="13">
                  <c:v>1599</c:v>
                </c:pt>
                <c:pt idx="14">
                  <c:v>1711</c:v>
                </c:pt>
                <c:pt idx="15">
                  <c:v>2240</c:v>
                </c:pt>
                <c:pt idx="16">
                  <c:v>2601</c:v>
                </c:pt>
                <c:pt idx="17">
                  <c:v>2666</c:v>
                </c:pt>
                <c:pt idx="18">
                  <c:v>3085</c:v>
                </c:pt>
                <c:pt idx="19">
                  <c:v>3470</c:v>
                </c:pt>
                <c:pt idx="20">
                  <c:v>3674</c:v>
                </c:pt>
                <c:pt idx="21">
                  <c:v>3377</c:v>
                </c:pt>
                <c:pt idx="22">
                  <c:v>3707</c:v>
                </c:pt>
                <c:pt idx="23">
                  <c:v>3999</c:v>
                </c:pt>
              </c:numCache>
            </c:numRef>
          </c:val>
          <c:smooth val="0"/>
          <c:extLst>
            <c:ext xmlns:c16="http://schemas.microsoft.com/office/drawing/2014/chart" uri="{C3380CC4-5D6E-409C-BE32-E72D297353CC}">
              <c16:uniqueId val="{00000000-3364-4CE7-A3A6-DE879BE4DC1B}"/>
            </c:ext>
          </c:extLst>
        </c:ser>
        <c:ser>
          <c:idx val="1"/>
          <c:order val="1"/>
          <c:tx>
            <c:strRef>
              <c:f>'by auth and str'!$W$1:$W$2</c:f>
              <c:strCache>
                <c:ptCount val="1"/>
                <c:pt idx="0">
                  <c:v>HoFH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'by auth and str'!$U$3:$U$27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'by auth and str'!$W$3:$W$27</c:f>
              <c:numCache>
                <c:formatCode>General</c:formatCode>
                <c:ptCount val="24"/>
                <c:pt idx="0">
                  <c:v>10</c:v>
                </c:pt>
                <c:pt idx="1">
                  <c:v>117</c:v>
                </c:pt>
                <c:pt idx="2">
                  <c:v>412</c:v>
                </c:pt>
                <c:pt idx="3">
                  <c:v>758</c:v>
                </c:pt>
                <c:pt idx="4">
                  <c:v>1056</c:v>
                </c:pt>
                <c:pt idx="5">
                  <c:v>1335</c:v>
                </c:pt>
                <c:pt idx="6">
                  <c:v>1737</c:v>
                </c:pt>
                <c:pt idx="7">
                  <c:v>1913</c:v>
                </c:pt>
                <c:pt idx="8">
                  <c:v>2128</c:v>
                </c:pt>
                <c:pt idx="9">
                  <c:v>2102</c:v>
                </c:pt>
                <c:pt idx="10">
                  <c:v>2312</c:v>
                </c:pt>
                <c:pt idx="11">
                  <c:v>2357</c:v>
                </c:pt>
                <c:pt idx="12">
                  <c:v>2545</c:v>
                </c:pt>
                <c:pt idx="13">
                  <c:v>2706</c:v>
                </c:pt>
                <c:pt idx="14">
                  <c:v>2584</c:v>
                </c:pt>
                <c:pt idx="15">
                  <c:v>2844</c:v>
                </c:pt>
                <c:pt idx="16">
                  <c:v>3165</c:v>
                </c:pt>
                <c:pt idx="17">
                  <c:v>3102</c:v>
                </c:pt>
                <c:pt idx="18">
                  <c:v>3452</c:v>
                </c:pt>
                <c:pt idx="19">
                  <c:v>3914</c:v>
                </c:pt>
                <c:pt idx="20">
                  <c:v>4641</c:v>
                </c:pt>
                <c:pt idx="21">
                  <c:v>4732</c:v>
                </c:pt>
                <c:pt idx="22">
                  <c:v>5253</c:v>
                </c:pt>
                <c:pt idx="23">
                  <c:v>5595</c:v>
                </c:pt>
              </c:numCache>
            </c:numRef>
          </c:val>
          <c:smooth val="0"/>
          <c:extLst>
            <c:ext xmlns:c16="http://schemas.microsoft.com/office/drawing/2014/chart" uri="{C3380CC4-5D6E-409C-BE32-E72D297353CC}">
              <c16:uniqueId val="{00000001-3364-4CE7-A3A6-DE879BE4DC1B}"/>
            </c:ext>
          </c:extLst>
        </c:ser>
        <c:ser>
          <c:idx val="2"/>
          <c:order val="2"/>
          <c:tx>
            <c:strRef>
              <c:f>'by auth and str'!$X$1:$X$2</c:f>
              <c:strCache>
                <c:ptCount val="1"/>
                <c:pt idx="0">
                  <c:v>Non-FH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'by auth and str'!$U$3:$U$27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'by auth and str'!$X$3:$X$27</c:f>
              <c:numCache>
                <c:formatCode>General</c:formatCode>
                <c:ptCount val="24"/>
                <c:pt idx="14">
                  <c:v>342</c:v>
                </c:pt>
                <c:pt idx="15">
                  <c:v>1571</c:v>
                </c:pt>
                <c:pt idx="16">
                  <c:v>2933</c:v>
                </c:pt>
                <c:pt idx="17">
                  <c:v>3586</c:v>
                </c:pt>
                <c:pt idx="18">
                  <c:v>4421</c:v>
                </c:pt>
                <c:pt idx="19">
                  <c:v>5452</c:v>
                </c:pt>
                <c:pt idx="20">
                  <c:v>6449</c:v>
                </c:pt>
                <c:pt idx="21">
                  <c:v>6582</c:v>
                </c:pt>
                <c:pt idx="22">
                  <c:v>7526</c:v>
                </c:pt>
                <c:pt idx="23">
                  <c:v>8411</c:v>
                </c:pt>
              </c:numCache>
            </c:numRef>
          </c:val>
          <c:smooth val="0"/>
          <c:extLst>
            <c:ext xmlns:c16="http://schemas.microsoft.com/office/drawing/2014/chart" uri="{C3380CC4-5D6E-409C-BE32-E72D297353CC}">
              <c16:uniqueId val="{00000002-3364-4CE7-A3A6-DE879BE4DC1B}"/>
            </c:ext>
          </c:extLst>
        </c:ser>
        <c:ser>
          <c:idx val="3"/>
          <c:order val="3"/>
          <c:tx>
            <c:strRef>
              <c:f>'by auth and str'!$Y$1:$Y$2</c:f>
              <c:strCache>
                <c:ptCount val="1"/>
                <c:pt idx="0">
                  <c:v>Unknown</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'by auth and str'!$U$3:$U$27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'by auth and str'!$Y$3:$Y$27</c:f>
              <c:numCache>
                <c:formatCode>General</c:formatCode>
                <c:ptCount val="24"/>
                <c:pt idx="0">
                  <c:v>1</c:v>
                </c:pt>
                <c:pt idx="1">
                  <c:v>3</c:v>
                </c:pt>
                <c:pt idx="2">
                  <c:v>21</c:v>
                </c:pt>
                <c:pt idx="3">
                  <c:v>22</c:v>
                </c:pt>
                <c:pt idx="4">
                  <c:v>18</c:v>
                </c:pt>
                <c:pt idx="5">
                  <c:v>25</c:v>
                </c:pt>
                <c:pt idx="6">
                  <c:v>38</c:v>
                </c:pt>
                <c:pt idx="7">
                  <c:v>50</c:v>
                </c:pt>
                <c:pt idx="8">
                  <c:v>45</c:v>
                </c:pt>
                <c:pt idx="9">
                  <c:v>51</c:v>
                </c:pt>
                <c:pt idx="10">
                  <c:v>68</c:v>
                </c:pt>
                <c:pt idx="11">
                  <c:v>55</c:v>
                </c:pt>
                <c:pt idx="12">
                  <c:v>49</c:v>
                </c:pt>
                <c:pt idx="13">
                  <c:v>32</c:v>
                </c:pt>
                <c:pt idx="14">
                  <c:v>52</c:v>
                </c:pt>
                <c:pt idx="15">
                  <c:v>101</c:v>
                </c:pt>
                <c:pt idx="16">
                  <c:v>126</c:v>
                </c:pt>
                <c:pt idx="17">
                  <c:v>115</c:v>
                </c:pt>
                <c:pt idx="18">
                  <c:v>106</c:v>
                </c:pt>
                <c:pt idx="19">
                  <c:v>142</c:v>
                </c:pt>
                <c:pt idx="20">
                  <c:v>208</c:v>
                </c:pt>
                <c:pt idx="21">
                  <c:v>157</c:v>
                </c:pt>
                <c:pt idx="22">
                  <c:v>164</c:v>
                </c:pt>
                <c:pt idx="23">
                  <c:v>172</c:v>
                </c:pt>
              </c:numCache>
            </c:numRef>
          </c:val>
          <c:smooth val="0"/>
          <c:extLst>
            <c:ext xmlns:c16="http://schemas.microsoft.com/office/drawing/2014/chart" uri="{C3380CC4-5D6E-409C-BE32-E72D297353CC}">
              <c16:uniqueId val="{00000003-3364-4CE7-A3A6-DE879BE4DC1B}"/>
            </c:ext>
          </c:extLst>
        </c:ser>
        <c:ser>
          <c:idx val="4"/>
          <c:order val="4"/>
          <c:tx>
            <c:strRef>
              <c:f>'by auth and str'!$Z$1:$Z$2</c:f>
              <c:strCache>
                <c:ptCount val="1"/>
                <c:pt idx="0">
                  <c:v>Total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'by auth and str'!$U$3:$U$27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'by auth and str'!$Z$3:$Z$27</c:f>
              <c:numCache>
                <c:formatCode>General</c:formatCode>
                <c:ptCount val="24"/>
                <c:pt idx="0">
                  <c:v>11</c:v>
                </c:pt>
                <c:pt idx="1">
                  <c:v>120</c:v>
                </c:pt>
                <c:pt idx="2">
                  <c:v>433</c:v>
                </c:pt>
                <c:pt idx="3">
                  <c:v>780</c:v>
                </c:pt>
                <c:pt idx="4">
                  <c:v>1074</c:v>
                </c:pt>
                <c:pt idx="5">
                  <c:v>1360</c:v>
                </c:pt>
                <c:pt idx="6">
                  <c:v>1775</c:v>
                </c:pt>
                <c:pt idx="7">
                  <c:v>1963</c:v>
                </c:pt>
                <c:pt idx="8">
                  <c:v>2231</c:v>
                </c:pt>
                <c:pt idx="9">
                  <c:v>2496</c:v>
                </c:pt>
                <c:pt idx="10">
                  <c:v>2979</c:v>
                </c:pt>
                <c:pt idx="11">
                  <c:v>3313</c:v>
                </c:pt>
                <c:pt idx="12">
                  <c:v>3846</c:v>
                </c:pt>
                <c:pt idx="13">
                  <c:v>4337</c:v>
                </c:pt>
                <c:pt idx="14">
                  <c:v>4689</c:v>
                </c:pt>
                <c:pt idx="15">
                  <c:v>6756</c:v>
                </c:pt>
                <c:pt idx="16">
                  <c:v>8825</c:v>
                </c:pt>
                <c:pt idx="17">
                  <c:v>9469</c:v>
                </c:pt>
                <c:pt idx="18">
                  <c:v>11064</c:v>
                </c:pt>
                <c:pt idx="19">
                  <c:v>12978</c:v>
                </c:pt>
                <c:pt idx="20">
                  <c:v>14972</c:v>
                </c:pt>
                <c:pt idx="21">
                  <c:v>14848</c:v>
                </c:pt>
                <c:pt idx="22">
                  <c:v>16650</c:v>
                </c:pt>
                <c:pt idx="23">
                  <c:v>18177</c:v>
                </c:pt>
              </c:numCache>
            </c:numRef>
          </c:val>
          <c:smooth val="0"/>
          <c:extLst>
            <c:ext xmlns:c16="http://schemas.microsoft.com/office/drawing/2014/chart" uri="{C3380CC4-5D6E-409C-BE32-E72D297353CC}">
              <c16:uniqueId val="{00000004-3364-4CE7-A3A6-DE879BE4DC1B}"/>
            </c:ext>
          </c:extLst>
        </c:ser>
        <c:dLbls>
          <c:showLegendKey val="0"/>
          <c:showVal val="0"/>
          <c:showCatName val="0"/>
          <c:showSerName val="0"/>
          <c:showPercent val="0"/>
          <c:showBubbleSize val="0"/>
        </c:dLbls>
        <c:marker val="1"/>
        <c:smooth val="0"/>
        <c:axId val="666201712"/>
        <c:axId val="666200728"/>
      </c:lineChart>
      <c:catAx>
        <c:axId val="66620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200728"/>
        <c:crosses val="autoZero"/>
        <c:auto val="1"/>
        <c:lblAlgn val="ctr"/>
        <c:lblOffset val="100"/>
        <c:noMultiLvlLbl val="0"/>
      </c:catAx>
      <c:valAx>
        <c:axId val="666200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20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[evolocumab (version 1).xlsb.xlsx]prevalent patients!PivotTable3</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'prevalent patients'!$T$1:$T$2</c:f>
              <c:strCache>
                <c:ptCount val="1"/>
                <c:pt idx="0">
                  <c:v>HeFH</c:v>
                </c:pt>
              </c:strCache>
            </c:strRef>
          </c:tx>
          <c:spPr>
            <a:ln w="28575" cap="rnd">
              <a:solidFill>
                <a:schemeClr val="accent1"/>
              </a:solidFill>
              <a:round/>
            </a:ln>
            <a:effectLst/>
          </c:spPr>
          <c:marker>
            <c:symbol val="none"/>
          </c:marker>
          <c:cat>
            <c:strRef>
              <c:f>'prevalent patients'!$S$3:$S$27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'prevalent patients'!$T$3:$T$27</c:f>
              <c:numCache>
                <c:formatCode>General</c:formatCode>
                <c:ptCount val="24"/>
                <c:pt idx="8">
                  <c:v>46</c:v>
                </c:pt>
                <c:pt idx="9">
                  <c:v>144</c:v>
                </c:pt>
                <c:pt idx="10">
                  <c:v>239</c:v>
                </c:pt>
                <c:pt idx="11">
                  <c:v>343</c:v>
                </c:pt>
                <c:pt idx="12">
                  <c:v>459</c:v>
                </c:pt>
                <c:pt idx="13">
                  <c:v>553</c:v>
                </c:pt>
                <c:pt idx="14">
                  <c:v>696</c:v>
                </c:pt>
                <c:pt idx="15">
                  <c:v>874</c:v>
                </c:pt>
                <c:pt idx="16">
                  <c:v>1005</c:v>
                </c:pt>
                <c:pt idx="17">
                  <c:v>1088</c:v>
                </c:pt>
                <c:pt idx="18">
                  <c:v>1242</c:v>
                </c:pt>
                <c:pt idx="19">
                  <c:v>1392</c:v>
                </c:pt>
                <c:pt idx="20">
                  <c:v>1474</c:v>
                </c:pt>
                <c:pt idx="21">
                  <c:v>1445</c:v>
                </c:pt>
                <c:pt idx="22">
                  <c:v>1518</c:v>
                </c:pt>
                <c:pt idx="23">
                  <c:v>1627</c:v>
                </c:pt>
              </c:numCache>
            </c:numRef>
          </c:val>
          <c:smooth val="0"/>
          <c:extLst>
            <c:ext xmlns:c16="http://schemas.microsoft.com/office/drawing/2014/chart" uri="{C3380CC4-5D6E-409C-BE32-E72D297353CC}">
              <c16:uniqueId val="{00000000-E55A-42B7-A401-71B307396D93}"/>
            </c:ext>
          </c:extLst>
        </c:ser>
        <c:ser>
          <c:idx val="1"/>
          <c:order val="1"/>
          <c:tx>
            <c:strRef>
              <c:f>'prevalent patients'!$U$1:$U$2</c:f>
              <c:strCache>
                <c:ptCount val="1"/>
                <c:pt idx="0">
                  <c:v>HoFH</c:v>
                </c:pt>
              </c:strCache>
            </c:strRef>
          </c:tx>
          <c:spPr>
            <a:ln w="28575" cap="rnd">
              <a:solidFill>
                <a:schemeClr val="accent2"/>
              </a:solidFill>
              <a:round/>
            </a:ln>
            <a:effectLst/>
          </c:spPr>
          <c:marker>
            <c:symbol val="none"/>
          </c:marker>
          <c:cat>
            <c:strRef>
              <c:f>'prevalent patients'!$S$3:$S$27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'prevalent patients'!$U$3:$U$27</c:f>
              <c:numCache>
                <c:formatCode>General</c:formatCode>
                <c:ptCount val="24"/>
                <c:pt idx="0">
                  <c:v>4</c:v>
                </c:pt>
                <c:pt idx="1">
                  <c:v>75</c:v>
                </c:pt>
                <c:pt idx="2">
                  <c:v>229</c:v>
                </c:pt>
                <c:pt idx="3">
                  <c:v>375</c:v>
                </c:pt>
                <c:pt idx="4">
                  <c:v>508</c:v>
                </c:pt>
                <c:pt idx="5">
                  <c:v>673</c:v>
                </c:pt>
                <c:pt idx="6">
                  <c:v>799</c:v>
                </c:pt>
                <c:pt idx="7">
                  <c:v>888</c:v>
                </c:pt>
                <c:pt idx="8">
                  <c:v>971</c:v>
                </c:pt>
                <c:pt idx="9">
                  <c:v>1019</c:v>
                </c:pt>
                <c:pt idx="10">
                  <c:v>1063</c:v>
                </c:pt>
                <c:pt idx="11">
                  <c:v>1106</c:v>
                </c:pt>
                <c:pt idx="12">
                  <c:v>1146</c:v>
                </c:pt>
                <c:pt idx="13">
                  <c:v>1190</c:v>
                </c:pt>
                <c:pt idx="14">
                  <c:v>1256</c:v>
                </c:pt>
                <c:pt idx="15">
                  <c:v>1347</c:v>
                </c:pt>
                <c:pt idx="16">
                  <c:v>1430</c:v>
                </c:pt>
                <c:pt idx="17">
                  <c:v>1519</c:v>
                </c:pt>
                <c:pt idx="18">
                  <c:v>1634</c:v>
                </c:pt>
                <c:pt idx="19">
                  <c:v>1835</c:v>
                </c:pt>
                <c:pt idx="20">
                  <c:v>2099</c:v>
                </c:pt>
                <c:pt idx="21">
                  <c:v>2244</c:v>
                </c:pt>
                <c:pt idx="22">
                  <c:v>2445</c:v>
                </c:pt>
                <c:pt idx="23">
                  <c:v>2565</c:v>
                </c:pt>
              </c:numCache>
            </c:numRef>
          </c:val>
          <c:smooth val="0"/>
          <c:extLst>
            <c:ext xmlns:c16="http://schemas.microsoft.com/office/drawing/2014/chart" uri="{C3380CC4-5D6E-409C-BE32-E72D297353CC}">
              <c16:uniqueId val="{00000001-E55A-42B7-A401-71B307396D93}"/>
            </c:ext>
          </c:extLst>
        </c:ser>
        <c:ser>
          <c:idx val="2"/>
          <c:order val="2"/>
          <c:tx>
            <c:strRef>
              <c:f>'prevalent patients'!$V$1:$V$2</c:f>
              <c:strCache>
                <c:ptCount val="1"/>
                <c:pt idx="0">
                  <c:v>Non-FH</c:v>
                </c:pt>
              </c:strCache>
            </c:strRef>
          </c:tx>
          <c:spPr>
            <a:ln w="28575" cap="rnd">
              <a:solidFill>
                <a:schemeClr val="accent3"/>
              </a:solidFill>
              <a:round/>
            </a:ln>
            <a:effectLst/>
          </c:spPr>
          <c:marker>
            <c:symbol val="none"/>
          </c:marker>
          <c:cat>
            <c:strRef>
              <c:f>'prevalent patients'!$S$3:$S$27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'prevalent patients'!$V$3:$V$27</c:f>
              <c:numCache>
                <c:formatCode>General</c:formatCode>
                <c:ptCount val="24"/>
                <c:pt idx="14">
                  <c:v>216</c:v>
                </c:pt>
                <c:pt idx="15">
                  <c:v>688</c:v>
                </c:pt>
                <c:pt idx="16">
                  <c:v>1165</c:v>
                </c:pt>
                <c:pt idx="17">
                  <c:v>1489</c:v>
                </c:pt>
                <c:pt idx="18">
                  <c:v>1799</c:v>
                </c:pt>
                <c:pt idx="19">
                  <c:v>2154</c:v>
                </c:pt>
                <c:pt idx="20">
                  <c:v>2501</c:v>
                </c:pt>
                <c:pt idx="21">
                  <c:v>2716</c:v>
                </c:pt>
                <c:pt idx="22">
                  <c:v>3003</c:v>
                </c:pt>
                <c:pt idx="23">
                  <c:v>3287</c:v>
                </c:pt>
              </c:numCache>
            </c:numRef>
          </c:val>
          <c:smooth val="0"/>
          <c:extLst>
            <c:ext xmlns:c16="http://schemas.microsoft.com/office/drawing/2014/chart" uri="{C3380CC4-5D6E-409C-BE32-E72D297353CC}">
              <c16:uniqueId val="{00000002-E55A-42B7-A401-71B307396D93}"/>
            </c:ext>
          </c:extLst>
        </c:ser>
        <c:ser>
          <c:idx val="3"/>
          <c:order val="3"/>
          <c:tx>
            <c:strRef>
              <c:f>'prevalent patients'!$W$1:$W$2</c:f>
              <c:strCache>
                <c:ptCount val="1"/>
                <c:pt idx="0">
                  <c:v>Unknown</c:v>
                </c:pt>
              </c:strCache>
            </c:strRef>
          </c:tx>
          <c:spPr>
            <a:ln w="28575" cap="rnd">
              <a:solidFill>
                <a:schemeClr val="accent5"/>
              </a:solidFill>
              <a:round/>
            </a:ln>
            <a:effectLst/>
          </c:spPr>
          <c:marker>
            <c:symbol val="none"/>
          </c:marker>
          <c:cat>
            <c:strRef>
              <c:f>'prevalent patients'!$S$3:$S$27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'prevalent patients'!$W$3:$W$27</c:f>
              <c:numCache>
                <c:formatCode>General</c:formatCode>
                <c:ptCount val="24"/>
                <c:pt idx="0">
                  <c:v>1</c:v>
                </c:pt>
                <c:pt idx="1">
                  <c:v>3</c:v>
                </c:pt>
                <c:pt idx="2">
                  <c:v>10</c:v>
                </c:pt>
                <c:pt idx="3">
                  <c:v>10</c:v>
                </c:pt>
                <c:pt idx="4">
                  <c:v>13</c:v>
                </c:pt>
                <c:pt idx="5">
                  <c:v>13</c:v>
                </c:pt>
                <c:pt idx="6">
                  <c:v>22</c:v>
                </c:pt>
                <c:pt idx="7">
                  <c:v>24</c:v>
                </c:pt>
                <c:pt idx="8">
                  <c:v>25</c:v>
                </c:pt>
                <c:pt idx="9">
                  <c:v>28</c:v>
                </c:pt>
                <c:pt idx="10">
                  <c:v>33</c:v>
                </c:pt>
                <c:pt idx="11">
                  <c:v>27</c:v>
                </c:pt>
                <c:pt idx="12">
                  <c:v>25</c:v>
                </c:pt>
                <c:pt idx="13">
                  <c:v>19</c:v>
                </c:pt>
                <c:pt idx="14">
                  <c:v>32</c:v>
                </c:pt>
                <c:pt idx="15">
                  <c:v>48</c:v>
                </c:pt>
                <c:pt idx="16">
                  <c:v>58</c:v>
                </c:pt>
                <c:pt idx="17">
                  <c:v>57</c:v>
                </c:pt>
                <c:pt idx="18">
                  <c:v>53</c:v>
                </c:pt>
                <c:pt idx="19">
                  <c:v>70</c:v>
                </c:pt>
                <c:pt idx="20">
                  <c:v>94</c:v>
                </c:pt>
                <c:pt idx="21">
                  <c:v>82</c:v>
                </c:pt>
                <c:pt idx="22">
                  <c:v>91</c:v>
                </c:pt>
                <c:pt idx="23">
                  <c:v>81</c:v>
                </c:pt>
              </c:numCache>
            </c:numRef>
          </c:val>
          <c:smooth val="0"/>
          <c:extLst>
            <c:ext xmlns:c16="http://schemas.microsoft.com/office/drawing/2014/chart" uri="{C3380CC4-5D6E-409C-BE32-E72D297353CC}">
              <c16:uniqueId val="{00000003-E55A-42B7-A401-71B307396D93}"/>
            </c:ext>
          </c:extLst>
        </c:ser>
        <c:ser>
          <c:idx val="4"/>
          <c:order val="4"/>
          <c:tx>
            <c:strRef>
              <c:f>'prevalent patients'!$X$1:$X$2</c:f>
              <c:strCache>
                <c:ptCount val="1"/>
                <c:pt idx="0">
                  <c:v>Total </c:v>
                </c:pt>
              </c:strCache>
            </c:strRef>
          </c:tx>
          <c:spPr>
            <a:ln w="28575" cap="rnd">
              <a:solidFill>
                <a:schemeClr val="accent4"/>
              </a:solidFill>
              <a:round/>
            </a:ln>
            <a:effectLst/>
          </c:spPr>
          <c:marker>
            <c:symbol val="none"/>
          </c:marker>
          <c:cat>
            <c:strRef>
              <c:f>'prevalent patients'!$S$3:$S$27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'prevalent patients'!$X$3:$X$27</c:f>
              <c:numCache>
                <c:formatCode>General</c:formatCode>
                <c:ptCount val="24"/>
                <c:pt idx="0">
                  <c:v>5</c:v>
                </c:pt>
                <c:pt idx="1">
                  <c:v>78</c:v>
                </c:pt>
                <c:pt idx="2">
                  <c:v>239</c:v>
                </c:pt>
                <c:pt idx="3">
                  <c:v>385</c:v>
                </c:pt>
                <c:pt idx="4">
                  <c:v>521</c:v>
                </c:pt>
                <c:pt idx="5">
                  <c:v>686</c:v>
                </c:pt>
                <c:pt idx="6">
                  <c:v>821</c:v>
                </c:pt>
                <c:pt idx="7">
                  <c:v>912</c:v>
                </c:pt>
                <c:pt idx="8">
                  <c:v>1042</c:v>
                </c:pt>
                <c:pt idx="9">
                  <c:v>1191</c:v>
                </c:pt>
                <c:pt idx="10">
                  <c:v>1335</c:v>
                </c:pt>
                <c:pt idx="11">
                  <c:v>1476</c:v>
                </c:pt>
                <c:pt idx="12">
                  <c:v>1630</c:v>
                </c:pt>
                <c:pt idx="13">
                  <c:v>1762</c:v>
                </c:pt>
                <c:pt idx="14">
                  <c:v>2200</c:v>
                </c:pt>
                <c:pt idx="15">
                  <c:v>2957</c:v>
                </c:pt>
                <c:pt idx="16">
                  <c:v>3658</c:v>
                </c:pt>
                <c:pt idx="17">
                  <c:v>4153</c:v>
                </c:pt>
                <c:pt idx="18">
                  <c:v>4728</c:v>
                </c:pt>
                <c:pt idx="19">
                  <c:v>5451</c:v>
                </c:pt>
                <c:pt idx="20">
                  <c:v>6168</c:v>
                </c:pt>
                <c:pt idx="21">
                  <c:v>6487</c:v>
                </c:pt>
                <c:pt idx="22">
                  <c:v>7057</c:v>
                </c:pt>
                <c:pt idx="23">
                  <c:v>7560</c:v>
                </c:pt>
              </c:numCache>
            </c:numRef>
          </c:val>
          <c:smooth val="0"/>
          <c:extLst>
            <c:ext xmlns:c16="http://schemas.microsoft.com/office/drawing/2014/chart" uri="{C3380CC4-5D6E-409C-BE32-E72D297353CC}">
              <c16:uniqueId val="{00000004-E55A-42B7-A401-71B307396D93}"/>
            </c:ext>
          </c:extLst>
        </c:ser>
        <c:dLbls>
          <c:showLegendKey val="0"/>
          <c:showVal val="0"/>
          <c:showCatName val="0"/>
          <c:showSerName val="0"/>
          <c:showPercent val="0"/>
          <c:showBubbleSize val="0"/>
        </c:dLbls>
        <c:smooth val="0"/>
        <c:axId val="839791312"/>
        <c:axId val="839791640"/>
      </c:lineChart>
      <c:catAx>
        <c:axId val="83979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791640"/>
        <c:crosses val="autoZero"/>
        <c:auto val="1"/>
        <c:lblAlgn val="ctr"/>
        <c:lblOffset val="100"/>
        <c:noMultiLvlLbl val="0"/>
      </c:catAx>
      <c:valAx>
        <c:axId val="839791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Prevalent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79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[evolocumab (version 1).xlsb.xlsx]initiating patients!PivotTable1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'initiating patients'!$V$1:$V$2</c:f>
              <c:strCache>
                <c:ptCount val="1"/>
                <c:pt idx="0">
                  <c:v>Heterozygous</c:v>
                </c:pt>
              </c:strCache>
            </c:strRef>
          </c:tx>
          <c:spPr>
            <a:ln w="28575" cap="rnd">
              <a:solidFill>
                <a:schemeClr val="accent1"/>
              </a:solidFill>
              <a:round/>
            </a:ln>
            <a:effectLst/>
          </c:spPr>
          <c:marker>
            <c:symbol val="none"/>
          </c:marker>
          <c:cat>
            <c:strRef>
              <c:f>'initiating patients'!$U$3:$U$27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'initiating patients'!$V$3:$V$27</c:f>
              <c:numCache>
                <c:formatCode>General</c:formatCode>
                <c:ptCount val="24"/>
                <c:pt idx="8">
                  <c:v>45</c:v>
                </c:pt>
                <c:pt idx="9">
                  <c:v>93</c:v>
                </c:pt>
                <c:pt idx="10">
                  <c:v>90</c:v>
                </c:pt>
                <c:pt idx="11">
                  <c:v>106</c:v>
                </c:pt>
                <c:pt idx="12">
                  <c:v>118</c:v>
                </c:pt>
                <c:pt idx="13">
                  <c:v>109</c:v>
                </c:pt>
                <c:pt idx="14">
                  <c:v>154</c:v>
                </c:pt>
                <c:pt idx="15">
                  <c:v>172</c:v>
                </c:pt>
                <c:pt idx="16">
                  <c:v>144</c:v>
                </c:pt>
                <c:pt idx="17">
                  <c:v>129</c:v>
                </c:pt>
                <c:pt idx="18">
                  <c:v>137</c:v>
                </c:pt>
                <c:pt idx="19">
                  <c:v>140</c:v>
                </c:pt>
                <c:pt idx="20">
                  <c:v>115</c:v>
                </c:pt>
                <c:pt idx="21">
                  <c:v>107</c:v>
                </c:pt>
                <c:pt idx="22">
                  <c:v>120</c:v>
                </c:pt>
                <c:pt idx="23">
                  <c:v>127</c:v>
                </c:pt>
              </c:numCache>
            </c:numRef>
          </c:val>
          <c:smooth val="0"/>
          <c:extLst>
            <c:ext xmlns:c16="http://schemas.microsoft.com/office/drawing/2014/chart" uri="{C3380CC4-5D6E-409C-BE32-E72D297353CC}">
              <c16:uniqueId val="{00000000-A064-4865-A685-C33011288DA6}"/>
            </c:ext>
          </c:extLst>
        </c:ser>
        <c:ser>
          <c:idx val="1"/>
          <c:order val="1"/>
          <c:tx>
            <c:strRef>
              <c:f>'initiating patients'!$W$1:$W$2</c:f>
              <c:strCache>
                <c:ptCount val="1"/>
                <c:pt idx="0">
                  <c:v>Homozygous</c:v>
                </c:pt>
              </c:strCache>
            </c:strRef>
          </c:tx>
          <c:spPr>
            <a:ln w="28575" cap="rnd">
              <a:solidFill>
                <a:schemeClr val="accent2"/>
              </a:solidFill>
              <a:round/>
            </a:ln>
            <a:effectLst/>
          </c:spPr>
          <c:marker>
            <c:symbol val="none"/>
          </c:marker>
          <c:cat>
            <c:strRef>
              <c:f>'initiating patients'!$U$3:$U$27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'initiating patients'!$W$3:$W$27</c:f>
              <c:numCache>
                <c:formatCode>General</c:formatCode>
                <c:ptCount val="24"/>
                <c:pt idx="0">
                  <c:v>4</c:v>
                </c:pt>
                <c:pt idx="1">
                  <c:v>72</c:v>
                </c:pt>
                <c:pt idx="2">
                  <c:v>160</c:v>
                </c:pt>
                <c:pt idx="3">
                  <c:v>159</c:v>
                </c:pt>
                <c:pt idx="4">
                  <c:v>142</c:v>
                </c:pt>
                <c:pt idx="5">
                  <c:v>189</c:v>
                </c:pt>
                <c:pt idx="6">
                  <c:v>148</c:v>
                </c:pt>
                <c:pt idx="7">
                  <c:v>112</c:v>
                </c:pt>
                <c:pt idx="8">
                  <c:v>104</c:v>
                </c:pt>
                <c:pt idx="9">
                  <c:v>80</c:v>
                </c:pt>
                <c:pt idx="10">
                  <c:v>63</c:v>
                </c:pt>
                <c:pt idx="11">
                  <c:v>71</c:v>
                </c:pt>
                <c:pt idx="12">
                  <c:v>61</c:v>
                </c:pt>
                <c:pt idx="13">
                  <c:v>48</c:v>
                </c:pt>
                <c:pt idx="14">
                  <c:v>88</c:v>
                </c:pt>
                <c:pt idx="15">
                  <c:v>100</c:v>
                </c:pt>
                <c:pt idx="16">
                  <c:v>107</c:v>
                </c:pt>
                <c:pt idx="17">
                  <c:v>90</c:v>
                </c:pt>
                <c:pt idx="18">
                  <c:v>99</c:v>
                </c:pt>
                <c:pt idx="19">
                  <c:v>120</c:v>
                </c:pt>
                <c:pt idx="20">
                  <c:v>124</c:v>
                </c:pt>
                <c:pt idx="21">
                  <c:v>97</c:v>
                </c:pt>
                <c:pt idx="22">
                  <c:v>125</c:v>
                </c:pt>
                <c:pt idx="23">
                  <c:v>115</c:v>
                </c:pt>
              </c:numCache>
            </c:numRef>
          </c:val>
          <c:smooth val="0"/>
          <c:extLst>
            <c:ext xmlns:c16="http://schemas.microsoft.com/office/drawing/2014/chart" uri="{C3380CC4-5D6E-409C-BE32-E72D297353CC}">
              <c16:uniqueId val="{00000001-A064-4865-A685-C33011288DA6}"/>
            </c:ext>
          </c:extLst>
        </c:ser>
        <c:ser>
          <c:idx val="2"/>
          <c:order val="2"/>
          <c:tx>
            <c:strRef>
              <c:f>'initiating patients'!$X$1:$X$2</c:f>
              <c:strCache>
                <c:ptCount val="1"/>
                <c:pt idx="0">
                  <c:v>Non-familial</c:v>
                </c:pt>
              </c:strCache>
            </c:strRef>
          </c:tx>
          <c:spPr>
            <a:ln w="28575" cap="rnd">
              <a:solidFill>
                <a:schemeClr val="accent3"/>
              </a:solidFill>
              <a:round/>
            </a:ln>
            <a:effectLst/>
          </c:spPr>
          <c:marker>
            <c:symbol val="none"/>
          </c:marker>
          <c:cat>
            <c:strRef>
              <c:f>'initiating patients'!$U$3:$U$27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'initiating patients'!$X$3:$X$27</c:f>
              <c:numCache>
                <c:formatCode>General</c:formatCode>
                <c:ptCount val="24"/>
                <c:pt idx="14">
                  <c:v>186</c:v>
                </c:pt>
                <c:pt idx="15">
                  <c:v>396</c:v>
                </c:pt>
                <c:pt idx="16">
                  <c:v>455</c:v>
                </c:pt>
                <c:pt idx="17">
                  <c:v>366</c:v>
                </c:pt>
                <c:pt idx="18">
                  <c:v>417</c:v>
                </c:pt>
                <c:pt idx="19">
                  <c:v>434</c:v>
                </c:pt>
                <c:pt idx="20">
                  <c:v>447</c:v>
                </c:pt>
                <c:pt idx="21">
                  <c:v>386</c:v>
                </c:pt>
                <c:pt idx="22">
                  <c:v>456</c:v>
                </c:pt>
                <c:pt idx="23">
                  <c:v>464</c:v>
                </c:pt>
              </c:numCache>
            </c:numRef>
          </c:val>
          <c:smooth val="0"/>
          <c:extLst>
            <c:ext xmlns:c16="http://schemas.microsoft.com/office/drawing/2014/chart" uri="{C3380CC4-5D6E-409C-BE32-E72D297353CC}">
              <c16:uniqueId val="{00000002-A064-4865-A685-C33011288DA6}"/>
            </c:ext>
          </c:extLst>
        </c:ser>
        <c:ser>
          <c:idx val="3"/>
          <c:order val="3"/>
          <c:tx>
            <c:strRef>
              <c:f>'initiating patients'!$Y$1:$Y$2</c:f>
              <c:strCache>
                <c:ptCount val="1"/>
                <c:pt idx="0">
                  <c:v>Unknown</c:v>
                </c:pt>
              </c:strCache>
            </c:strRef>
          </c:tx>
          <c:spPr>
            <a:ln w="28575" cap="rnd">
              <a:solidFill>
                <a:schemeClr val="accent5"/>
              </a:solidFill>
              <a:round/>
            </a:ln>
            <a:effectLst/>
          </c:spPr>
          <c:marker>
            <c:symbol val="none"/>
          </c:marker>
          <c:cat>
            <c:strRef>
              <c:f>'initiating patients'!$U$3:$U$27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'initiating patients'!$Y$3:$Y$27</c:f>
              <c:numCache>
                <c:formatCode>General</c:formatCode>
                <c:ptCount val="24"/>
                <c:pt idx="0">
                  <c:v>1</c:v>
                </c:pt>
                <c:pt idx="1">
                  <c:v>3</c:v>
                </c:pt>
                <c:pt idx="2">
                  <c:v>7</c:v>
                </c:pt>
                <c:pt idx="3">
                  <c:v>3</c:v>
                </c:pt>
                <c:pt idx="4">
                  <c:v>6</c:v>
                </c:pt>
                <c:pt idx="5">
                  <c:v>4</c:v>
                </c:pt>
                <c:pt idx="6">
                  <c:v>7</c:v>
                </c:pt>
                <c:pt idx="7">
                  <c:v>4</c:v>
                </c:pt>
                <c:pt idx="8">
                  <c:v>9</c:v>
                </c:pt>
                <c:pt idx="9">
                  <c:v>5</c:v>
                </c:pt>
                <c:pt idx="10">
                  <c:v>9</c:v>
                </c:pt>
                <c:pt idx="11">
                  <c:v>7</c:v>
                </c:pt>
                <c:pt idx="12">
                  <c:v>4</c:v>
                </c:pt>
                <c:pt idx="13">
                  <c:v>4</c:v>
                </c:pt>
                <c:pt idx="14">
                  <c:v>6</c:v>
                </c:pt>
                <c:pt idx="15">
                  <c:v>21</c:v>
                </c:pt>
                <c:pt idx="16">
                  <c:v>12</c:v>
                </c:pt>
                <c:pt idx="17">
                  <c:v>9</c:v>
                </c:pt>
                <c:pt idx="18">
                  <c:v>9</c:v>
                </c:pt>
                <c:pt idx="19">
                  <c:v>17</c:v>
                </c:pt>
                <c:pt idx="20">
                  <c:v>26</c:v>
                </c:pt>
                <c:pt idx="21">
                  <c:v>17</c:v>
                </c:pt>
                <c:pt idx="22">
                  <c:v>28</c:v>
                </c:pt>
                <c:pt idx="23">
                  <c:v>15</c:v>
                </c:pt>
              </c:numCache>
            </c:numRef>
          </c:val>
          <c:smooth val="0"/>
          <c:extLst>
            <c:ext xmlns:c16="http://schemas.microsoft.com/office/drawing/2014/chart" uri="{C3380CC4-5D6E-409C-BE32-E72D297353CC}">
              <c16:uniqueId val="{00000003-A064-4865-A685-C33011288DA6}"/>
            </c:ext>
          </c:extLst>
        </c:ser>
        <c:ser>
          <c:idx val="4"/>
          <c:order val="4"/>
          <c:tx>
            <c:strRef>
              <c:f>'initiating patients'!$Z$1:$Z$2</c:f>
              <c:strCache>
                <c:ptCount val="1"/>
                <c:pt idx="0">
                  <c:v>Total </c:v>
                </c:pt>
              </c:strCache>
            </c:strRef>
          </c:tx>
          <c:spPr>
            <a:ln w="28575" cap="rnd">
              <a:solidFill>
                <a:schemeClr val="accent4"/>
              </a:solidFill>
              <a:round/>
            </a:ln>
            <a:effectLst/>
          </c:spPr>
          <c:marker>
            <c:symbol val="none"/>
          </c:marker>
          <c:cat>
            <c:strRef>
              <c:f>'initiating patients'!$U$3:$U$27</c:f>
              <c:strCache>
                <c:ptCount val="24"/>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pt idx="18">
                  <c:v>2021Q2</c:v>
                </c:pt>
                <c:pt idx="19">
                  <c:v>2021Q3</c:v>
                </c:pt>
                <c:pt idx="20">
                  <c:v>2021Q4</c:v>
                </c:pt>
                <c:pt idx="21">
                  <c:v>2022Q1</c:v>
                </c:pt>
                <c:pt idx="22">
                  <c:v>2022Q2</c:v>
                </c:pt>
                <c:pt idx="23">
                  <c:v>2022Q3</c:v>
                </c:pt>
              </c:strCache>
            </c:strRef>
          </c:cat>
          <c:val>
            <c:numRef>
              <c:f>'initiating patients'!$Z$3:$Z$27</c:f>
              <c:numCache>
                <c:formatCode>General</c:formatCode>
                <c:ptCount val="24"/>
                <c:pt idx="0">
                  <c:v>5</c:v>
                </c:pt>
                <c:pt idx="1">
                  <c:v>75</c:v>
                </c:pt>
                <c:pt idx="2">
                  <c:v>167</c:v>
                </c:pt>
                <c:pt idx="3">
                  <c:v>162</c:v>
                </c:pt>
                <c:pt idx="4">
                  <c:v>148</c:v>
                </c:pt>
                <c:pt idx="5">
                  <c:v>193</c:v>
                </c:pt>
                <c:pt idx="6">
                  <c:v>155</c:v>
                </c:pt>
                <c:pt idx="7">
                  <c:v>116</c:v>
                </c:pt>
                <c:pt idx="8">
                  <c:v>158</c:v>
                </c:pt>
                <c:pt idx="9">
                  <c:v>178</c:v>
                </c:pt>
                <c:pt idx="10">
                  <c:v>162</c:v>
                </c:pt>
                <c:pt idx="11">
                  <c:v>184</c:v>
                </c:pt>
                <c:pt idx="12">
                  <c:v>183</c:v>
                </c:pt>
                <c:pt idx="13">
                  <c:v>161</c:v>
                </c:pt>
                <c:pt idx="14">
                  <c:v>434</c:v>
                </c:pt>
                <c:pt idx="15">
                  <c:v>689</c:v>
                </c:pt>
                <c:pt idx="16">
                  <c:v>718</c:v>
                </c:pt>
                <c:pt idx="17">
                  <c:v>594</c:v>
                </c:pt>
                <c:pt idx="18">
                  <c:v>662</c:v>
                </c:pt>
                <c:pt idx="19">
                  <c:v>711</c:v>
                </c:pt>
                <c:pt idx="20">
                  <c:v>712</c:v>
                </c:pt>
                <c:pt idx="21">
                  <c:v>607</c:v>
                </c:pt>
                <c:pt idx="22">
                  <c:v>729</c:v>
                </c:pt>
                <c:pt idx="23">
                  <c:v>721</c:v>
                </c:pt>
              </c:numCache>
            </c:numRef>
          </c:val>
          <c:smooth val="0"/>
          <c:extLst>
            <c:ext xmlns:c16="http://schemas.microsoft.com/office/drawing/2014/chart" uri="{C3380CC4-5D6E-409C-BE32-E72D297353CC}">
              <c16:uniqueId val="{00000004-A064-4865-A685-C33011288DA6}"/>
            </c:ext>
          </c:extLst>
        </c:ser>
        <c:dLbls>
          <c:showLegendKey val="0"/>
          <c:showVal val="0"/>
          <c:showCatName val="0"/>
          <c:showSerName val="0"/>
          <c:showPercent val="0"/>
          <c:showBubbleSize val="0"/>
        </c:dLbls>
        <c:smooth val="0"/>
        <c:axId val="671577920"/>
        <c:axId val="671581200"/>
      </c:lineChart>
      <c:catAx>
        <c:axId val="67157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581200"/>
        <c:crosses val="autoZero"/>
        <c:auto val="1"/>
        <c:lblAlgn val="ctr"/>
        <c:lblOffset val="100"/>
        <c:noMultiLvlLbl val="0"/>
      </c:catAx>
      <c:valAx>
        <c:axId val="671581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577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[evolocumab (version 1).xlsb.xlsx]age initiating!PivotTable9</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'age initiating'!$V$1:$V$2</c:f>
              <c:strCache>
                <c:ptCount val="1"/>
                <c:pt idx="0">
                  <c:v>Female</c:v>
                </c:pt>
              </c:strCache>
            </c:strRef>
          </c:tx>
          <c:spPr>
            <a:solidFill>
              <a:schemeClr val="accent2"/>
            </a:solidFill>
            <a:ln>
              <a:noFill/>
            </a:ln>
            <a:effectLst/>
          </c:spPr>
          <c:invertIfNegative val="0"/>
          <c:cat>
            <c:strRef>
              <c:f>'age initiating'!$U$3:$U$19</c:f>
              <c:strCache>
                <c:ptCount val="16"/>
                <c:pt idx="0">
                  <c:v>0-19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75-79 yrs</c:v>
                </c:pt>
                <c:pt idx="13">
                  <c:v>80-84 yrs</c:v>
                </c:pt>
                <c:pt idx="14">
                  <c:v>85-89 yrs</c:v>
                </c:pt>
                <c:pt idx="15">
                  <c:v>90+ yrs</c:v>
                </c:pt>
              </c:strCache>
            </c:strRef>
          </c:cat>
          <c:val>
            <c:numRef>
              <c:f>'age initiating'!$V$3:$V$19</c:f>
              <c:numCache>
                <c:formatCode>General</c:formatCode>
                <c:ptCount val="16"/>
                <c:pt idx="0">
                  <c:v>10</c:v>
                </c:pt>
                <c:pt idx="1">
                  <c:v>12</c:v>
                </c:pt>
                <c:pt idx="2">
                  <c:v>20</c:v>
                </c:pt>
                <c:pt idx="3">
                  <c:v>30</c:v>
                </c:pt>
                <c:pt idx="4">
                  <c:v>58</c:v>
                </c:pt>
                <c:pt idx="5">
                  <c:v>76</c:v>
                </c:pt>
                <c:pt idx="6">
                  <c:v>150</c:v>
                </c:pt>
                <c:pt idx="7">
                  <c:v>263</c:v>
                </c:pt>
                <c:pt idx="8">
                  <c:v>427</c:v>
                </c:pt>
                <c:pt idx="9">
                  <c:v>601</c:v>
                </c:pt>
                <c:pt idx="10">
                  <c:v>701</c:v>
                </c:pt>
                <c:pt idx="11">
                  <c:v>667</c:v>
                </c:pt>
                <c:pt idx="12">
                  <c:v>418</c:v>
                </c:pt>
                <c:pt idx="13">
                  <c:v>161</c:v>
                </c:pt>
                <c:pt idx="14">
                  <c:v>30</c:v>
                </c:pt>
                <c:pt idx="15">
                  <c:v>5</c:v>
                </c:pt>
              </c:numCache>
            </c:numRef>
          </c:val>
          <c:extLst>
            <c:ext xmlns:c16="http://schemas.microsoft.com/office/drawing/2014/chart" uri="{C3380CC4-5D6E-409C-BE32-E72D297353CC}">
              <c16:uniqueId val="{00000000-0C20-466D-8F8A-898FF48368DC}"/>
            </c:ext>
          </c:extLst>
        </c:ser>
        <c:ser>
          <c:idx val="1"/>
          <c:order val="1"/>
          <c:tx>
            <c:strRef>
              <c:f>'age initiating'!$W$1:$W$2</c:f>
              <c:strCache>
                <c:ptCount val="1"/>
                <c:pt idx="0">
                  <c:v>Male</c:v>
                </c:pt>
              </c:strCache>
            </c:strRef>
          </c:tx>
          <c:spPr>
            <a:solidFill>
              <a:schemeClr val="accent1"/>
            </a:solidFill>
            <a:ln>
              <a:noFill/>
            </a:ln>
            <a:effectLst/>
          </c:spPr>
          <c:invertIfNegative val="0"/>
          <c:cat>
            <c:strRef>
              <c:f>'age initiating'!$U$3:$U$19</c:f>
              <c:strCache>
                <c:ptCount val="16"/>
                <c:pt idx="0">
                  <c:v>0-19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75-79 yrs</c:v>
                </c:pt>
                <c:pt idx="13">
                  <c:v>80-84 yrs</c:v>
                </c:pt>
                <c:pt idx="14">
                  <c:v>85-89 yrs</c:v>
                </c:pt>
                <c:pt idx="15">
                  <c:v>90+ yrs</c:v>
                </c:pt>
              </c:strCache>
            </c:strRef>
          </c:cat>
          <c:val>
            <c:numRef>
              <c:f>'age initiating'!$W$3:$W$19</c:f>
              <c:numCache>
                <c:formatCode>General</c:formatCode>
                <c:ptCount val="16"/>
                <c:pt idx="0">
                  <c:v>9</c:v>
                </c:pt>
                <c:pt idx="1">
                  <c:v>12</c:v>
                </c:pt>
                <c:pt idx="2">
                  <c:v>27</c:v>
                </c:pt>
                <c:pt idx="3">
                  <c:v>57</c:v>
                </c:pt>
                <c:pt idx="4">
                  <c:v>107</c:v>
                </c:pt>
                <c:pt idx="5">
                  <c:v>213</c:v>
                </c:pt>
                <c:pt idx="6">
                  <c:v>352</c:v>
                </c:pt>
                <c:pt idx="7">
                  <c:v>481</c:v>
                </c:pt>
                <c:pt idx="8">
                  <c:v>707</c:v>
                </c:pt>
                <c:pt idx="9">
                  <c:v>808</c:v>
                </c:pt>
                <c:pt idx="10">
                  <c:v>810</c:v>
                </c:pt>
                <c:pt idx="11">
                  <c:v>759</c:v>
                </c:pt>
                <c:pt idx="12">
                  <c:v>459</c:v>
                </c:pt>
                <c:pt idx="13">
                  <c:v>160</c:v>
                </c:pt>
                <c:pt idx="14">
                  <c:v>33</c:v>
                </c:pt>
              </c:numCache>
            </c:numRef>
          </c:val>
          <c:extLst>
            <c:ext xmlns:c16="http://schemas.microsoft.com/office/drawing/2014/chart" uri="{C3380CC4-5D6E-409C-BE32-E72D297353CC}">
              <c16:uniqueId val="{00000001-0C20-466D-8F8A-898FF48368DC}"/>
            </c:ext>
          </c:extLst>
        </c:ser>
        <c:dLbls>
          <c:showLegendKey val="0"/>
          <c:showVal val="0"/>
          <c:showCatName val="0"/>
          <c:showSerName val="0"/>
          <c:showPercent val="0"/>
          <c:showBubbleSize val="0"/>
        </c:dLbls>
        <c:gapWidth val="219"/>
        <c:overlap val="-27"/>
        <c:axId val="844208216"/>
        <c:axId val="844206248"/>
      </c:barChart>
      <c:catAx>
        <c:axId val="844208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206248"/>
        <c:crosses val="autoZero"/>
        <c:auto val="1"/>
        <c:lblAlgn val="ctr"/>
        <c:lblOffset val="100"/>
        <c:noMultiLvlLbl val="0"/>
      </c:catAx>
      <c:valAx>
        <c:axId val="844206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208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[evolocumab (version 1).xlsb.xlsx]age by indication!PivotTable11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'age by indication'!$T$1:$T$2</c:f>
              <c:strCache>
                <c:ptCount val="1"/>
                <c:pt idx="0">
                  <c:v>HeFH</c:v>
                </c:pt>
              </c:strCache>
            </c:strRef>
          </c:tx>
          <c:spPr>
            <a:solidFill>
              <a:schemeClr val="accent1"/>
            </a:solidFill>
            <a:ln>
              <a:noFill/>
            </a:ln>
            <a:effectLst/>
          </c:spPr>
          <c:invertIfNegative val="0"/>
          <c:cat>
            <c:strRef>
              <c:f>'age by indication'!$S$3:$S$19</c:f>
              <c:strCache>
                <c:ptCount val="16"/>
                <c:pt idx="0">
                  <c:v>0-19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75-79 yrs</c:v>
                </c:pt>
                <c:pt idx="13">
                  <c:v>80-84 yrs</c:v>
                </c:pt>
                <c:pt idx="14">
                  <c:v>85-89 yrs</c:v>
                </c:pt>
                <c:pt idx="15">
                  <c:v>90+ yrs</c:v>
                </c:pt>
              </c:strCache>
            </c:strRef>
          </c:cat>
          <c:val>
            <c:numRef>
              <c:f>'age by indication'!$T$3:$T$19</c:f>
              <c:numCache>
                <c:formatCode>General</c:formatCode>
                <c:ptCount val="16"/>
                <c:pt idx="0">
                  <c:v>5</c:v>
                </c:pt>
                <c:pt idx="1">
                  <c:v>6</c:v>
                </c:pt>
                <c:pt idx="2">
                  <c:v>13</c:v>
                </c:pt>
                <c:pt idx="3">
                  <c:v>23</c:v>
                </c:pt>
                <c:pt idx="4">
                  <c:v>47</c:v>
                </c:pt>
                <c:pt idx="5">
                  <c:v>91</c:v>
                </c:pt>
                <c:pt idx="6">
                  <c:v>150</c:v>
                </c:pt>
                <c:pt idx="7">
                  <c:v>183</c:v>
                </c:pt>
                <c:pt idx="8">
                  <c:v>290</c:v>
                </c:pt>
                <c:pt idx="9">
                  <c:v>325</c:v>
                </c:pt>
                <c:pt idx="10">
                  <c:v>318</c:v>
                </c:pt>
                <c:pt idx="11">
                  <c:v>258</c:v>
                </c:pt>
                <c:pt idx="12">
                  <c:v>116</c:v>
                </c:pt>
                <c:pt idx="13">
                  <c:v>38</c:v>
                </c:pt>
                <c:pt idx="14">
                  <c:v>6</c:v>
                </c:pt>
                <c:pt idx="15">
                  <c:v>1</c:v>
                </c:pt>
              </c:numCache>
            </c:numRef>
          </c:val>
          <c:extLst>
            <c:ext xmlns:c16="http://schemas.microsoft.com/office/drawing/2014/chart" uri="{C3380CC4-5D6E-409C-BE32-E72D297353CC}">
              <c16:uniqueId val="{00000000-507E-4FBB-B21E-55809AD0B483}"/>
            </c:ext>
          </c:extLst>
        </c:ser>
        <c:ser>
          <c:idx val="1"/>
          <c:order val="1"/>
          <c:tx>
            <c:strRef>
              <c:f>'age by indication'!$U$1:$U$2</c:f>
              <c:strCache>
                <c:ptCount val="1"/>
                <c:pt idx="0">
                  <c:v>HoFH</c:v>
                </c:pt>
              </c:strCache>
            </c:strRef>
          </c:tx>
          <c:spPr>
            <a:solidFill>
              <a:schemeClr val="accent2"/>
            </a:solidFill>
            <a:ln>
              <a:noFill/>
            </a:ln>
            <a:effectLst/>
          </c:spPr>
          <c:invertIfNegative val="0"/>
          <c:cat>
            <c:strRef>
              <c:f>'age by indication'!$S$3:$S$19</c:f>
              <c:strCache>
                <c:ptCount val="16"/>
                <c:pt idx="0">
                  <c:v>0-19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75-79 yrs</c:v>
                </c:pt>
                <c:pt idx="13">
                  <c:v>80-84 yrs</c:v>
                </c:pt>
                <c:pt idx="14">
                  <c:v>85-89 yrs</c:v>
                </c:pt>
                <c:pt idx="15">
                  <c:v>90+ yrs</c:v>
                </c:pt>
              </c:strCache>
            </c:strRef>
          </c:cat>
          <c:val>
            <c:numRef>
              <c:f>'age by indication'!$U$3:$U$19</c:f>
              <c:numCache>
                <c:formatCode>General</c:formatCode>
                <c:ptCount val="16"/>
                <c:pt idx="0">
                  <c:v>12</c:v>
                </c:pt>
                <c:pt idx="1">
                  <c:v>18</c:v>
                </c:pt>
                <c:pt idx="2">
                  <c:v>28</c:v>
                </c:pt>
                <c:pt idx="3">
                  <c:v>58</c:v>
                </c:pt>
                <c:pt idx="4">
                  <c:v>96</c:v>
                </c:pt>
                <c:pt idx="5">
                  <c:v>141</c:v>
                </c:pt>
                <c:pt idx="6">
                  <c:v>222</c:v>
                </c:pt>
                <c:pt idx="7">
                  <c:v>319</c:v>
                </c:pt>
                <c:pt idx="8">
                  <c:v>419</c:v>
                </c:pt>
                <c:pt idx="9">
                  <c:v>436</c:v>
                </c:pt>
                <c:pt idx="10">
                  <c:v>441</c:v>
                </c:pt>
                <c:pt idx="11">
                  <c:v>340</c:v>
                </c:pt>
                <c:pt idx="12">
                  <c:v>168</c:v>
                </c:pt>
                <c:pt idx="13">
                  <c:v>57</c:v>
                </c:pt>
                <c:pt idx="14">
                  <c:v>5</c:v>
                </c:pt>
              </c:numCache>
            </c:numRef>
          </c:val>
          <c:extLst>
            <c:ext xmlns:c16="http://schemas.microsoft.com/office/drawing/2014/chart" uri="{C3380CC4-5D6E-409C-BE32-E72D297353CC}">
              <c16:uniqueId val="{00000001-507E-4FBB-B21E-55809AD0B483}"/>
            </c:ext>
          </c:extLst>
        </c:ser>
        <c:ser>
          <c:idx val="2"/>
          <c:order val="2"/>
          <c:tx>
            <c:strRef>
              <c:f>'age by indication'!$V$1:$V$2</c:f>
              <c:strCache>
                <c:ptCount val="1"/>
                <c:pt idx="0">
                  <c:v>Non-FH</c:v>
                </c:pt>
              </c:strCache>
            </c:strRef>
          </c:tx>
          <c:spPr>
            <a:solidFill>
              <a:schemeClr val="accent3"/>
            </a:solidFill>
            <a:ln>
              <a:noFill/>
            </a:ln>
            <a:effectLst/>
          </c:spPr>
          <c:invertIfNegative val="0"/>
          <c:cat>
            <c:strRef>
              <c:f>'age by indication'!$S$3:$S$19</c:f>
              <c:strCache>
                <c:ptCount val="16"/>
                <c:pt idx="0">
                  <c:v>0-19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75-79 yrs</c:v>
                </c:pt>
                <c:pt idx="13">
                  <c:v>80-84 yrs</c:v>
                </c:pt>
                <c:pt idx="14">
                  <c:v>85-89 yrs</c:v>
                </c:pt>
                <c:pt idx="15">
                  <c:v>90+ yrs</c:v>
                </c:pt>
              </c:strCache>
            </c:strRef>
          </c:cat>
          <c:val>
            <c:numRef>
              <c:f>'age by indication'!$V$3:$V$19</c:f>
              <c:numCache>
                <c:formatCode>General</c:formatCode>
                <c:ptCount val="16"/>
                <c:pt idx="0">
                  <c:v>1</c:v>
                </c:pt>
                <c:pt idx="2">
                  <c:v>5</c:v>
                </c:pt>
                <c:pt idx="3">
                  <c:v>5</c:v>
                </c:pt>
                <c:pt idx="4">
                  <c:v>21</c:v>
                </c:pt>
                <c:pt idx="5">
                  <c:v>54</c:v>
                </c:pt>
                <c:pt idx="6">
                  <c:v>128</c:v>
                </c:pt>
                <c:pt idx="7">
                  <c:v>240</c:v>
                </c:pt>
                <c:pt idx="8">
                  <c:v>417</c:v>
                </c:pt>
                <c:pt idx="9">
                  <c:v>635</c:v>
                </c:pt>
                <c:pt idx="10">
                  <c:v>741</c:v>
                </c:pt>
                <c:pt idx="11">
                  <c:v>814</c:v>
                </c:pt>
                <c:pt idx="12">
                  <c:v>582</c:v>
                </c:pt>
                <c:pt idx="13">
                  <c:v>220</c:v>
                </c:pt>
                <c:pt idx="14">
                  <c:v>51</c:v>
                </c:pt>
                <c:pt idx="15">
                  <c:v>3</c:v>
                </c:pt>
              </c:numCache>
            </c:numRef>
          </c:val>
          <c:extLst>
            <c:ext xmlns:c16="http://schemas.microsoft.com/office/drawing/2014/chart" uri="{C3380CC4-5D6E-409C-BE32-E72D297353CC}">
              <c16:uniqueId val="{00000002-507E-4FBB-B21E-55809AD0B483}"/>
            </c:ext>
          </c:extLst>
        </c:ser>
        <c:ser>
          <c:idx val="3"/>
          <c:order val="3"/>
          <c:tx>
            <c:strRef>
              <c:f>'age by indication'!$W$1:$W$2</c:f>
              <c:strCache>
                <c:ptCount val="1"/>
                <c:pt idx="0">
                  <c:v>Unknown</c:v>
                </c:pt>
              </c:strCache>
            </c:strRef>
          </c:tx>
          <c:spPr>
            <a:solidFill>
              <a:schemeClr val="accent5"/>
            </a:solidFill>
            <a:ln>
              <a:noFill/>
            </a:ln>
            <a:effectLst/>
          </c:spPr>
          <c:invertIfNegative val="0"/>
          <c:cat>
            <c:strRef>
              <c:f>'age by indication'!$S$3:$S$19</c:f>
              <c:strCache>
                <c:ptCount val="16"/>
                <c:pt idx="0">
                  <c:v>0-19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75-79 yrs</c:v>
                </c:pt>
                <c:pt idx="13">
                  <c:v>80-84 yrs</c:v>
                </c:pt>
                <c:pt idx="14">
                  <c:v>85-89 yrs</c:v>
                </c:pt>
                <c:pt idx="15">
                  <c:v>90+ yrs</c:v>
                </c:pt>
              </c:strCache>
            </c:strRef>
          </c:cat>
          <c:val>
            <c:numRef>
              <c:f>'age by indication'!$W$3:$W$19</c:f>
              <c:numCache>
                <c:formatCode>General</c:formatCode>
                <c:ptCount val="16"/>
                <c:pt idx="0">
                  <c:v>1</c:v>
                </c:pt>
                <c:pt idx="2">
                  <c:v>1</c:v>
                </c:pt>
                <c:pt idx="3">
                  <c:v>1</c:v>
                </c:pt>
                <c:pt idx="4">
                  <c:v>1</c:v>
                </c:pt>
                <c:pt idx="5">
                  <c:v>3</c:v>
                </c:pt>
                <c:pt idx="6">
                  <c:v>2</c:v>
                </c:pt>
                <c:pt idx="7">
                  <c:v>2</c:v>
                </c:pt>
                <c:pt idx="8">
                  <c:v>8</c:v>
                </c:pt>
                <c:pt idx="9">
                  <c:v>13</c:v>
                </c:pt>
                <c:pt idx="10">
                  <c:v>11</c:v>
                </c:pt>
                <c:pt idx="11">
                  <c:v>14</c:v>
                </c:pt>
                <c:pt idx="12">
                  <c:v>11</c:v>
                </c:pt>
                <c:pt idx="13">
                  <c:v>6</c:v>
                </c:pt>
                <c:pt idx="14">
                  <c:v>1</c:v>
                </c:pt>
                <c:pt idx="15">
                  <c:v>1</c:v>
                </c:pt>
              </c:numCache>
            </c:numRef>
          </c:val>
          <c:extLst>
            <c:ext xmlns:c16="http://schemas.microsoft.com/office/drawing/2014/chart" uri="{C3380CC4-5D6E-409C-BE32-E72D297353CC}">
              <c16:uniqueId val="{00000003-507E-4FBB-B21E-55809AD0B483}"/>
            </c:ext>
          </c:extLst>
        </c:ser>
        <c:dLbls>
          <c:showLegendKey val="0"/>
          <c:showVal val="0"/>
          <c:showCatName val="0"/>
          <c:showSerName val="0"/>
          <c:showPercent val="0"/>
          <c:showBubbleSize val="0"/>
        </c:dLbls>
        <c:gapWidth val="219"/>
        <c:overlap val="-27"/>
        <c:axId val="766259592"/>
        <c:axId val="667510792"/>
      </c:barChart>
      <c:catAx>
        <c:axId val="766259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510792"/>
        <c:crosses val="autoZero"/>
        <c:auto val="1"/>
        <c:lblAlgn val="ctr"/>
        <c:lblOffset val="100"/>
        <c:noMultiLvlLbl val="0"/>
      </c:catAx>
      <c:valAx>
        <c:axId val="667510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259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[evolocumab (version 1).xlsb.xlsx]prescriber by indication !PivotTable8</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percentStacked"/>
        <c:varyColors val="0"/>
        <c:ser>
          <c:idx val="0"/>
          <c:order val="0"/>
          <c:tx>
            <c:strRef>
              <c:f>'prescriber by indication '!$V$1:$V$2</c:f>
              <c:strCache>
                <c:ptCount val="1"/>
                <c:pt idx="0">
                  <c:v>Cardiology</c:v>
                </c:pt>
              </c:strCache>
            </c:strRef>
          </c:tx>
          <c:spPr>
            <a:solidFill>
              <a:schemeClr val="accent1"/>
            </a:solidFill>
            <a:ln>
              <a:noFill/>
            </a:ln>
            <a:effectLst/>
          </c:spPr>
          <c:invertIfNegative val="0"/>
          <c:cat>
            <c:strRef>
              <c:f>'prescriber by indication '!$U$3:$U$8</c:f>
              <c:strCache>
                <c:ptCount val="5"/>
                <c:pt idx="0">
                  <c:v>HeFH</c:v>
                </c:pt>
                <c:pt idx="1">
                  <c:v>HoFH</c:v>
                </c:pt>
                <c:pt idx="2">
                  <c:v>Non-FH</c:v>
                </c:pt>
                <c:pt idx="3">
                  <c:v>Unknown</c:v>
                </c:pt>
                <c:pt idx="4">
                  <c:v>Total</c:v>
                </c:pt>
              </c:strCache>
            </c:strRef>
          </c:cat>
          <c:val>
            <c:numRef>
              <c:f>'prescriber by indication '!$V$3:$V$8</c:f>
              <c:numCache>
                <c:formatCode>0.00%</c:formatCode>
                <c:ptCount val="5"/>
                <c:pt idx="0">
                  <c:v>0.65886939571150094</c:v>
                </c:pt>
                <c:pt idx="1">
                  <c:v>0.66992665036674814</c:v>
                </c:pt>
                <c:pt idx="2">
                  <c:v>0.76235146966854284</c:v>
                </c:pt>
                <c:pt idx="3">
                  <c:v>0.74576271186440679</c:v>
                </c:pt>
                <c:pt idx="4">
                  <c:v>0.72674418604651159</c:v>
                </c:pt>
              </c:numCache>
            </c:numRef>
          </c:val>
          <c:extLst>
            <c:ext xmlns:c16="http://schemas.microsoft.com/office/drawing/2014/chart" uri="{C3380CC4-5D6E-409C-BE32-E72D297353CC}">
              <c16:uniqueId val="{00000000-10BA-49D0-89D5-FF63F61DF76F}"/>
            </c:ext>
          </c:extLst>
        </c:ser>
        <c:ser>
          <c:idx val="1"/>
          <c:order val="1"/>
          <c:tx>
            <c:strRef>
              <c:f>'prescriber by indication '!$W$1:$W$2</c:f>
              <c:strCache>
                <c:ptCount val="1"/>
                <c:pt idx="0">
                  <c:v>Endocrinology</c:v>
                </c:pt>
              </c:strCache>
            </c:strRef>
          </c:tx>
          <c:spPr>
            <a:solidFill>
              <a:schemeClr val="accent2"/>
            </a:solidFill>
            <a:ln>
              <a:noFill/>
            </a:ln>
            <a:effectLst/>
          </c:spPr>
          <c:invertIfNegative val="0"/>
          <c:cat>
            <c:strRef>
              <c:f>'prescriber by indication '!$U$3:$U$8</c:f>
              <c:strCache>
                <c:ptCount val="5"/>
                <c:pt idx="0">
                  <c:v>HeFH</c:v>
                </c:pt>
                <c:pt idx="1">
                  <c:v>HoFH</c:v>
                </c:pt>
                <c:pt idx="2">
                  <c:v>Non-FH</c:v>
                </c:pt>
                <c:pt idx="3">
                  <c:v>Unknown</c:v>
                </c:pt>
                <c:pt idx="4">
                  <c:v>Total</c:v>
                </c:pt>
              </c:strCache>
            </c:strRef>
          </c:cat>
          <c:val>
            <c:numRef>
              <c:f>'prescriber by indication '!$W$3:$W$8</c:f>
              <c:numCache>
                <c:formatCode>0.00%</c:formatCode>
                <c:ptCount val="5"/>
                <c:pt idx="0">
                  <c:v>8.3820662768031184E-2</c:v>
                </c:pt>
                <c:pt idx="1">
                  <c:v>5.8679706601466992E-2</c:v>
                </c:pt>
                <c:pt idx="2">
                  <c:v>5.5034396497811132E-2</c:v>
                </c:pt>
                <c:pt idx="3">
                  <c:v>5.0847457627118647E-2</c:v>
                </c:pt>
                <c:pt idx="4">
                  <c:v>6.1240310077519379E-2</c:v>
                </c:pt>
              </c:numCache>
            </c:numRef>
          </c:val>
          <c:extLst>
            <c:ext xmlns:c16="http://schemas.microsoft.com/office/drawing/2014/chart" uri="{C3380CC4-5D6E-409C-BE32-E72D297353CC}">
              <c16:uniqueId val="{00000001-10BA-49D0-89D5-FF63F61DF76F}"/>
            </c:ext>
          </c:extLst>
        </c:ser>
        <c:ser>
          <c:idx val="2"/>
          <c:order val="2"/>
          <c:tx>
            <c:strRef>
              <c:f>'prescriber by indication '!$X$1:$X$2</c:f>
              <c:strCache>
                <c:ptCount val="1"/>
                <c:pt idx="0">
                  <c:v>GP</c:v>
                </c:pt>
              </c:strCache>
            </c:strRef>
          </c:tx>
          <c:spPr>
            <a:solidFill>
              <a:schemeClr val="accent3"/>
            </a:solidFill>
            <a:ln>
              <a:noFill/>
            </a:ln>
            <a:effectLst/>
          </c:spPr>
          <c:invertIfNegative val="0"/>
          <c:cat>
            <c:strRef>
              <c:f>'prescriber by indication '!$U$3:$U$8</c:f>
              <c:strCache>
                <c:ptCount val="5"/>
                <c:pt idx="0">
                  <c:v>HeFH</c:v>
                </c:pt>
                <c:pt idx="1">
                  <c:v>HoFH</c:v>
                </c:pt>
                <c:pt idx="2">
                  <c:v>Non-FH</c:v>
                </c:pt>
                <c:pt idx="3">
                  <c:v>Unknown</c:v>
                </c:pt>
                <c:pt idx="4">
                  <c:v>Total</c:v>
                </c:pt>
              </c:strCache>
            </c:strRef>
          </c:cat>
          <c:val>
            <c:numRef>
              <c:f>'prescriber by indication '!$X$3:$X$8</c:f>
              <c:numCache>
                <c:formatCode>0.00%</c:formatCode>
                <c:ptCount val="5"/>
                <c:pt idx="0">
                  <c:v>6.4327485380116955E-2</c:v>
                </c:pt>
                <c:pt idx="1">
                  <c:v>0.11491442542787286</c:v>
                </c:pt>
                <c:pt idx="2">
                  <c:v>6.5666041275797379E-2</c:v>
                </c:pt>
                <c:pt idx="3">
                  <c:v>0.13559322033898305</c:v>
                </c:pt>
                <c:pt idx="4">
                  <c:v>7.4806201550387599E-2</c:v>
                </c:pt>
              </c:numCache>
            </c:numRef>
          </c:val>
          <c:extLst>
            <c:ext xmlns:c16="http://schemas.microsoft.com/office/drawing/2014/chart" uri="{C3380CC4-5D6E-409C-BE32-E72D297353CC}">
              <c16:uniqueId val="{00000002-10BA-49D0-89D5-FF63F61DF76F}"/>
            </c:ext>
          </c:extLst>
        </c:ser>
        <c:ser>
          <c:idx val="3"/>
          <c:order val="3"/>
          <c:tx>
            <c:strRef>
              <c:f>'prescriber by indication '!$Y$1:$Y$2</c:f>
              <c:strCache>
                <c:ptCount val="1"/>
                <c:pt idx="0">
                  <c:v>Internal Medicine</c:v>
                </c:pt>
              </c:strCache>
            </c:strRef>
          </c:tx>
          <c:spPr>
            <a:solidFill>
              <a:schemeClr val="accent4"/>
            </a:solidFill>
            <a:ln>
              <a:noFill/>
            </a:ln>
            <a:effectLst/>
          </c:spPr>
          <c:invertIfNegative val="0"/>
          <c:cat>
            <c:strRef>
              <c:f>'prescriber by indication '!$U$3:$U$8</c:f>
              <c:strCache>
                <c:ptCount val="5"/>
                <c:pt idx="0">
                  <c:v>HeFH</c:v>
                </c:pt>
                <c:pt idx="1">
                  <c:v>HoFH</c:v>
                </c:pt>
                <c:pt idx="2">
                  <c:v>Non-FH</c:v>
                </c:pt>
                <c:pt idx="3">
                  <c:v>Unknown</c:v>
                </c:pt>
                <c:pt idx="4">
                  <c:v>Total</c:v>
                </c:pt>
              </c:strCache>
            </c:strRef>
          </c:cat>
          <c:val>
            <c:numRef>
              <c:f>'prescriber by indication '!$Y$3:$Y$8</c:f>
              <c:numCache>
                <c:formatCode>0.00%</c:formatCode>
                <c:ptCount val="5"/>
                <c:pt idx="0">
                  <c:v>0.12475633528265107</c:v>
                </c:pt>
                <c:pt idx="1">
                  <c:v>0.10268948655256724</c:v>
                </c:pt>
                <c:pt idx="2">
                  <c:v>8.943089430894309E-2</c:v>
                </c:pt>
                <c:pt idx="3">
                  <c:v>5.0847457627118647E-2</c:v>
                </c:pt>
                <c:pt idx="4">
                  <c:v>9.7674418604651161E-2</c:v>
                </c:pt>
              </c:numCache>
            </c:numRef>
          </c:val>
          <c:extLst>
            <c:ext xmlns:c16="http://schemas.microsoft.com/office/drawing/2014/chart" uri="{C3380CC4-5D6E-409C-BE32-E72D297353CC}">
              <c16:uniqueId val="{00000003-10BA-49D0-89D5-FF63F61DF76F}"/>
            </c:ext>
          </c:extLst>
        </c:ser>
        <c:ser>
          <c:idx val="4"/>
          <c:order val="4"/>
          <c:tx>
            <c:strRef>
              <c:f>'prescriber by indication '!$Z$1:$Z$2</c:f>
              <c:strCache>
                <c:ptCount val="1"/>
                <c:pt idx="0">
                  <c:v>Other</c:v>
                </c:pt>
              </c:strCache>
            </c:strRef>
          </c:tx>
          <c:spPr>
            <a:solidFill>
              <a:schemeClr val="accent5"/>
            </a:solidFill>
            <a:ln>
              <a:noFill/>
            </a:ln>
            <a:effectLst/>
          </c:spPr>
          <c:invertIfNegative val="0"/>
          <c:cat>
            <c:strRef>
              <c:f>'prescriber by indication '!$U$3:$U$8</c:f>
              <c:strCache>
                <c:ptCount val="5"/>
                <c:pt idx="0">
                  <c:v>HeFH</c:v>
                </c:pt>
                <c:pt idx="1">
                  <c:v>HoFH</c:v>
                </c:pt>
                <c:pt idx="2">
                  <c:v>Non-FH</c:v>
                </c:pt>
                <c:pt idx="3">
                  <c:v>Unknown</c:v>
                </c:pt>
                <c:pt idx="4">
                  <c:v>Total</c:v>
                </c:pt>
              </c:strCache>
            </c:strRef>
          </c:cat>
          <c:val>
            <c:numRef>
              <c:f>'prescriber by indication '!$Z$3:$Z$8</c:f>
              <c:numCache>
                <c:formatCode>0.00%</c:formatCode>
                <c:ptCount val="5"/>
                <c:pt idx="0">
                  <c:v>6.8226120857699801E-2</c:v>
                </c:pt>
                <c:pt idx="1">
                  <c:v>5.3789731051344741E-2</c:v>
                </c:pt>
                <c:pt idx="2">
                  <c:v>2.7517198248905566E-2</c:v>
                </c:pt>
                <c:pt idx="3">
                  <c:v>1.6949152542372881E-2</c:v>
                </c:pt>
                <c:pt idx="4">
                  <c:v>3.9534883720930232E-2</c:v>
                </c:pt>
              </c:numCache>
            </c:numRef>
          </c:val>
          <c:extLst>
            <c:ext xmlns:c16="http://schemas.microsoft.com/office/drawing/2014/chart" uri="{C3380CC4-5D6E-409C-BE32-E72D297353CC}">
              <c16:uniqueId val="{00000004-10BA-49D0-89D5-FF63F61DF76F}"/>
            </c:ext>
          </c:extLst>
        </c:ser>
        <c:dLbls>
          <c:showLegendKey val="0"/>
          <c:showVal val="0"/>
          <c:showCatName val="0"/>
          <c:showSerName val="0"/>
          <c:showPercent val="0"/>
          <c:showBubbleSize val="0"/>
        </c:dLbls>
        <c:gapWidth val="150"/>
        <c:overlap val="100"/>
        <c:axId val="38869255"/>
        <c:axId val="38877455"/>
      </c:barChart>
      <c:catAx>
        <c:axId val="38869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77455"/>
        <c:crosses val="autoZero"/>
        <c:auto val="1"/>
        <c:lblAlgn val="ctr"/>
        <c:lblOffset val="100"/>
        <c:noMultiLvlLbl val="0"/>
      </c:catAx>
      <c:valAx>
        <c:axId val="3887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69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[evolocumab (version 1).xlsb.xlsx]prescriber by region v2!PivotTable1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'prescriber by region v2'!$U$1:$U$2</c:f>
              <c:strCache>
                <c:ptCount val="1"/>
                <c:pt idx="0">
                  <c:v>Cardiology</c:v>
                </c:pt>
              </c:strCache>
            </c:strRef>
          </c:tx>
          <c:spPr>
            <a:solidFill>
              <a:schemeClr val="accent1"/>
            </a:solidFill>
            <a:ln>
              <a:noFill/>
            </a:ln>
            <a:effectLst/>
          </c:spPr>
          <c:invertIfNegative val="0"/>
          <c:cat>
            <c:strRef>
              <c:f>'prescriber by region v2'!$T$3:$T$6</c:f>
              <c:strCache>
                <c:ptCount val="3"/>
                <c:pt idx="0">
                  <c:v>Major Cities of Australia</c:v>
                </c:pt>
                <c:pt idx="1">
                  <c:v>Inner Regional Australia</c:v>
                </c:pt>
                <c:pt idx="2">
                  <c:v>Outer Regional Australia</c:v>
                </c:pt>
              </c:strCache>
            </c:strRef>
          </c:cat>
          <c:val>
            <c:numRef>
              <c:f>'prescriber by region v2'!$U$3:$U$6</c:f>
              <c:numCache>
                <c:formatCode>General</c:formatCode>
                <c:ptCount val="3"/>
                <c:pt idx="0">
                  <c:v>1294</c:v>
                </c:pt>
                <c:pt idx="1">
                  <c:v>391</c:v>
                </c:pt>
                <c:pt idx="2">
                  <c:v>146</c:v>
                </c:pt>
              </c:numCache>
            </c:numRef>
          </c:val>
          <c:extLst>
            <c:ext xmlns:c16="http://schemas.microsoft.com/office/drawing/2014/chart" uri="{C3380CC4-5D6E-409C-BE32-E72D297353CC}">
              <c16:uniqueId val="{00000000-DFAD-426B-B32D-EC1DC1645CC6}"/>
            </c:ext>
          </c:extLst>
        </c:ser>
        <c:ser>
          <c:idx val="1"/>
          <c:order val="1"/>
          <c:tx>
            <c:strRef>
              <c:f>'prescriber by region v2'!$V$1:$V$2</c:f>
              <c:strCache>
                <c:ptCount val="1"/>
                <c:pt idx="0">
                  <c:v>Endocrinology</c:v>
                </c:pt>
              </c:strCache>
            </c:strRef>
          </c:tx>
          <c:spPr>
            <a:solidFill>
              <a:schemeClr val="accent2"/>
            </a:solidFill>
            <a:ln>
              <a:noFill/>
            </a:ln>
            <a:effectLst/>
          </c:spPr>
          <c:invertIfNegative val="0"/>
          <c:cat>
            <c:strRef>
              <c:f>'prescriber by region v2'!$T$3:$T$6</c:f>
              <c:strCache>
                <c:ptCount val="3"/>
                <c:pt idx="0">
                  <c:v>Major Cities of Australia</c:v>
                </c:pt>
                <c:pt idx="1">
                  <c:v>Inner Regional Australia</c:v>
                </c:pt>
                <c:pt idx="2">
                  <c:v>Outer Regional Australia</c:v>
                </c:pt>
              </c:strCache>
            </c:strRef>
          </c:cat>
          <c:val>
            <c:numRef>
              <c:f>'prescriber by region v2'!$V$3:$V$6</c:f>
              <c:numCache>
                <c:formatCode>General</c:formatCode>
                <c:ptCount val="3"/>
                <c:pt idx="0">
                  <c:v>135</c:v>
                </c:pt>
                <c:pt idx="1">
                  <c:v>16</c:v>
                </c:pt>
                <c:pt idx="2">
                  <c:v>5</c:v>
                </c:pt>
              </c:numCache>
            </c:numRef>
          </c:val>
          <c:extLst>
            <c:ext xmlns:c16="http://schemas.microsoft.com/office/drawing/2014/chart" uri="{C3380CC4-5D6E-409C-BE32-E72D297353CC}">
              <c16:uniqueId val="{00000001-DFAD-426B-B32D-EC1DC1645CC6}"/>
            </c:ext>
          </c:extLst>
        </c:ser>
        <c:ser>
          <c:idx val="2"/>
          <c:order val="2"/>
          <c:tx>
            <c:strRef>
              <c:f>'prescriber by region v2'!$W$1:$W$2</c:f>
              <c:strCache>
                <c:ptCount val="1"/>
                <c:pt idx="0">
                  <c:v>GP</c:v>
                </c:pt>
              </c:strCache>
            </c:strRef>
          </c:tx>
          <c:spPr>
            <a:solidFill>
              <a:schemeClr val="accent3"/>
            </a:solidFill>
            <a:ln>
              <a:noFill/>
            </a:ln>
            <a:effectLst/>
          </c:spPr>
          <c:invertIfNegative val="0"/>
          <c:cat>
            <c:strRef>
              <c:f>'prescriber by region v2'!$T$3:$T$6</c:f>
              <c:strCache>
                <c:ptCount val="3"/>
                <c:pt idx="0">
                  <c:v>Major Cities of Australia</c:v>
                </c:pt>
                <c:pt idx="1">
                  <c:v>Inner Regional Australia</c:v>
                </c:pt>
                <c:pt idx="2">
                  <c:v>Outer Regional Australia</c:v>
                </c:pt>
              </c:strCache>
            </c:strRef>
          </c:cat>
          <c:val>
            <c:numRef>
              <c:f>'prescriber by region v2'!$W$3:$W$6</c:f>
              <c:numCache>
                <c:formatCode>General</c:formatCode>
                <c:ptCount val="3"/>
                <c:pt idx="0">
                  <c:v>126</c:v>
                </c:pt>
                <c:pt idx="1">
                  <c:v>49</c:v>
                </c:pt>
                <c:pt idx="2">
                  <c:v>13</c:v>
                </c:pt>
              </c:numCache>
            </c:numRef>
          </c:val>
          <c:extLst>
            <c:ext xmlns:c16="http://schemas.microsoft.com/office/drawing/2014/chart" uri="{C3380CC4-5D6E-409C-BE32-E72D297353CC}">
              <c16:uniqueId val="{00000002-DFAD-426B-B32D-EC1DC1645CC6}"/>
            </c:ext>
          </c:extLst>
        </c:ser>
        <c:ser>
          <c:idx val="3"/>
          <c:order val="3"/>
          <c:tx>
            <c:strRef>
              <c:f>'prescriber by region v2'!$X$1:$X$2</c:f>
              <c:strCache>
                <c:ptCount val="1"/>
                <c:pt idx="0">
                  <c:v>Internal Medicine</c:v>
                </c:pt>
              </c:strCache>
            </c:strRef>
          </c:tx>
          <c:spPr>
            <a:solidFill>
              <a:schemeClr val="accent4"/>
            </a:solidFill>
            <a:ln>
              <a:noFill/>
            </a:ln>
            <a:effectLst/>
          </c:spPr>
          <c:invertIfNegative val="0"/>
          <c:cat>
            <c:strRef>
              <c:f>'prescriber by region v2'!$T$3:$T$6</c:f>
              <c:strCache>
                <c:ptCount val="3"/>
                <c:pt idx="0">
                  <c:v>Major Cities of Australia</c:v>
                </c:pt>
                <c:pt idx="1">
                  <c:v>Inner Regional Australia</c:v>
                </c:pt>
                <c:pt idx="2">
                  <c:v>Outer Regional Australia</c:v>
                </c:pt>
              </c:strCache>
            </c:strRef>
          </c:cat>
          <c:val>
            <c:numRef>
              <c:f>'prescriber by region v2'!$X$3:$X$6</c:f>
              <c:numCache>
                <c:formatCode>General</c:formatCode>
                <c:ptCount val="3"/>
                <c:pt idx="0">
                  <c:v>160</c:v>
                </c:pt>
                <c:pt idx="1">
                  <c:v>61</c:v>
                </c:pt>
                <c:pt idx="2">
                  <c:v>24</c:v>
                </c:pt>
              </c:numCache>
            </c:numRef>
          </c:val>
          <c:extLst>
            <c:ext xmlns:c16="http://schemas.microsoft.com/office/drawing/2014/chart" uri="{C3380CC4-5D6E-409C-BE32-E72D297353CC}">
              <c16:uniqueId val="{00000003-DFAD-426B-B32D-EC1DC1645CC6}"/>
            </c:ext>
          </c:extLst>
        </c:ser>
        <c:ser>
          <c:idx val="4"/>
          <c:order val="4"/>
          <c:tx>
            <c:strRef>
              <c:f>'prescriber by region v2'!$Y$1:$Y$2</c:f>
              <c:strCache>
                <c:ptCount val="1"/>
                <c:pt idx="0">
                  <c:v>Pathology</c:v>
                </c:pt>
              </c:strCache>
            </c:strRef>
          </c:tx>
          <c:spPr>
            <a:solidFill>
              <a:schemeClr val="accent5"/>
            </a:solidFill>
            <a:ln>
              <a:noFill/>
            </a:ln>
            <a:effectLst/>
          </c:spPr>
          <c:invertIfNegative val="0"/>
          <c:cat>
            <c:strRef>
              <c:f>'prescriber by region v2'!$T$3:$T$6</c:f>
              <c:strCache>
                <c:ptCount val="3"/>
                <c:pt idx="0">
                  <c:v>Major Cities of Australia</c:v>
                </c:pt>
                <c:pt idx="1">
                  <c:v>Inner Regional Australia</c:v>
                </c:pt>
                <c:pt idx="2">
                  <c:v>Outer Regional Australia</c:v>
                </c:pt>
              </c:strCache>
            </c:strRef>
          </c:cat>
          <c:val>
            <c:numRef>
              <c:f>'prescriber by region v2'!$Y$3:$Y$6</c:f>
              <c:numCache>
                <c:formatCode>General</c:formatCode>
                <c:ptCount val="3"/>
                <c:pt idx="0">
                  <c:v>35</c:v>
                </c:pt>
                <c:pt idx="1">
                  <c:v>5</c:v>
                </c:pt>
              </c:numCache>
            </c:numRef>
          </c:val>
          <c:extLst>
            <c:ext xmlns:c16="http://schemas.microsoft.com/office/drawing/2014/chart" uri="{C3380CC4-5D6E-409C-BE32-E72D297353CC}">
              <c16:uniqueId val="{00000004-DFAD-426B-B32D-EC1DC1645CC6}"/>
            </c:ext>
          </c:extLst>
        </c:ser>
        <c:ser>
          <c:idx val="5"/>
          <c:order val="5"/>
          <c:tx>
            <c:strRef>
              <c:f>'prescriber by region v2'!$Z$1:$Z$2</c:f>
              <c:strCache>
                <c:ptCount val="1"/>
                <c:pt idx="0">
                  <c:v>Other</c:v>
                </c:pt>
              </c:strCache>
            </c:strRef>
          </c:tx>
          <c:spPr>
            <a:solidFill>
              <a:schemeClr val="accent6"/>
            </a:solidFill>
            <a:ln>
              <a:noFill/>
            </a:ln>
            <a:effectLst/>
          </c:spPr>
          <c:invertIfNegative val="0"/>
          <c:cat>
            <c:strRef>
              <c:f>'prescriber by region v2'!$T$3:$T$6</c:f>
              <c:strCache>
                <c:ptCount val="3"/>
                <c:pt idx="0">
                  <c:v>Major Cities of Australia</c:v>
                </c:pt>
                <c:pt idx="1">
                  <c:v>Inner Regional Australia</c:v>
                </c:pt>
                <c:pt idx="2">
                  <c:v>Outer Regional Australia</c:v>
                </c:pt>
              </c:strCache>
            </c:strRef>
          </c:cat>
          <c:val>
            <c:numRef>
              <c:f>'prescriber by region v2'!$Z$3:$Z$6</c:f>
              <c:numCache>
                <c:formatCode>General</c:formatCode>
                <c:ptCount val="3"/>
                <c:pt idx="0">
                  <c:v>40</c:v>
                </c:pt>
                <c:pt idx="1">
                  <c:v>12</c:v>
                </c:pt>
                <c:pt idx="2">
                  <c:v>9</c:v>
                </c:pt>
              </c:numCache>
            </c:numRef>
          </c:val>
          <c:extLst>
            <c:ext xmlns:c16="http://schemas.microsoft.com/office/drawing/2014/chart" uri="{C3380CC4-5D6E-409C-BE32-E72D297353CC}">
              <c16:uniqueId val="{00000005-DFAD-426B-B32D-EC1DC1645CC6}"/>
            </c:ext>
          </c:extLst>
        </c:ser>
        <c:dLbls>
          <c:showLegendKey val="0"/>
          <c:showVal val="0"/>
          <c:showCatName val="0"/>
          <c:showSerName val="0"/>
          <c:showPercent val="0"/>
          <c:showBubbleSize val="0"/>
        </c:dLbls>
        <c:gapWidth val="150"/>
        <c:overlap val="100"/>
        <c:axId val="869612856"/>
        <c:axId val="869616792"/>
      </c:barChart>
      <c:catAx>
        <c:axId val="869612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9616792"/>
        <c:crosses val="autoZero"/>
        <c:auto val="1"/>
        <c:lblAlgn val="ctr"/>
        <c:lblOffset val="100"/>
        <c:noMultiLvlLbl val="0"/>
      </c:catAx>
      <c:valAx>
        <c:axId val="869616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a:t>
                </a:r>
                <a:r>
                  <a:rPr lang="en-AU" baseline="0"/>
                  <a:t> p</a:t>
                </a:r>
                <a:r>
                  <a:rPr lang="en-AU"/>
                  <a:t>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9612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F82B-27DE-4369-A0C3-FBA3FE91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7419</Words>
  <Characters>42290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2023-07-17T00:54:00Z</dcterms:created>
  <dcterms:modified xsi:type="dcterms:W3CDTF">2023-07-17T02:31:00Z</dcterms:modified>
</cp:coreProperties>
</file>