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2.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3.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4.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5.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6.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7.xml" ContentType="application/vnd.openxmlformats-officedocument.drawingml.chart+xml"/>
  <Override PartName="/word/charts/style16.xml" ContentType="application/vnd.ms-office.chartstyle+xml"/>
  <Override PartName="/word/charts/colors1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3C130" w14:textId="0B1BA09C" w:rsidR="00832324" w:rsidRDefault="00BC5E3A" w:rsidP="00F73113">
      <w:pPr>
        <w:pStyle w:val="Title"/>
      </w:pPr>
      <w:r>
        <w:t>Nivolumab as adjuvant treatment of melanoma</w:t>
      </w:r>
      <w:r w:rsidR="00F86518">
        <w:t>:</w:t>
      </w:r>
      <w:r>
        <w:t xml:space="preserve"> </w:t>
      </w:r>
      <w:r w:rsidR="00F86518">
        <w:t xml:space="preserve">24 month </w:t>
      </w:r>
      <w:r>
        <w:t>predicted versus actual analysis and melanoma market review</w:t>
      </w:r>
      <w:r w:rsidR="001C4016">
        <w:t xml:space="preserve"> </w:t>
      </w:r>
    </w:p>
    <w:p w14:paraId="68F00614" w14:textId="799F8740" w:rsidR="00736041" w:rsidRDefault="009053D3" w:rsidP="00F73113">
      <w:pPr>
        <w:pStyle w:val="Title2"/>
      </w:pPr>
      <w:r>
        <w:t>D</w:t>
      </w:r>
      <w:r w:rsidR="00832324" w:rsidRPr="0063631C">
        <w:t xml:space="preserve">rug utilisation sub-committee </w:t>
      </w:r>
      <w:r w:rsidR="00832324">
        <w:t>(DUSC)</w:t>
      </w:r>
    </w:p>
    <w:p w14:paraId="78148839" w14:textId="10BE2BDE" w:rsidR="009053D3" w:rsidRPr="00F73113" w:rsidRDefault="00BC5E3A" w:rsidP="00F73113">
      <w:pPr>
        <w:pStyle w:val="Meetingdate"/>
      </w:pPr>
      <w:r>
        <w:t>September</w:t>
      </w:r>
      <w:r w:rsidR="00D151EB" w:rsidRPr="00F73113">
        <w:t xml:space="preserve"> 20</w:t>
      </w:r>
      <w:r>
        <w:t>22</w:t>
      </w:r>
    </w:p>
    <w:p w14:paraId="1494B8AD" w14:textId="77777777" w:rsidR="005C6661" w:rsidRPr="00CF5E22" w:rsidRDefault="005C6661" w:rsidP="00CF5E22">
      <w:pPr>
        <w:pStyle w:val="Heading2"/>
      </w:pPr>
      <w:r w:rsidRPr="00CF5E22">
        <w:t>Abstract</w:t>
      </w:r>
    </w:p>
    <w:p w14:paraId="287D7939" w14:textId="706E8B9D" w:rsidR="005C6661" w:rsidRDefault="005C6661" w:rsidP="00CF5E22">
      <w:pPr>
        <w:pStyle w:val="Heading3"/>
      </w:pPr>
      <w:r w:rsidRPr="00CF5E22">
        <w:t>Purpose</w:t>
      </w:r>
    </w:p>
    <w:p w14:paraId="5BEF0064" w14:textId="0CD35E63" w:rsidR="00BC5D17" w:rsidRPr="00BC5D17" w:rsidRDefault="00BC5D17" w:rsidP="00BC5D17">
      <w:r w:rsidRPr="00BC5D17">
        <w:t xml:space="preserve">Analysis of the predicted versus actual utilisation of </w:t>
      </w:r>
      <w:r>
        <w:t>nivolumab</w:t>
      </w:r>
      <w:r w:rsidRPr="00BC5D17">
        <w:t xml:space="preserve"> 24 months following its addition to the Pharmaceutical Benefits Scheme (PBS) for the</w:t>
      </w:r>
      <w:r>
        <w:t xml:space="preserve"> adjuvant</w:t>
      </w:r>
      <w:r w:rsidRPr="00BC5D17">
        <w:t xml:space="preserve"> treatment of </w:t>
      </w:r>
      <w:r>
        <w:t>melanoma</w:t>
      </w:r>
      <w:r w:rsidRPr="00BC5D17">
        <w:t xml:space="preserve"> on 1 Ma</w:t>
      </w:r>
      <w:r>
        <w:t>rch</w:t>
      </w:r>
      <w:r w:rsidRPr="00BC5D17">
        <w:t xml:space="preserve"> 20</w:t>
      </w:r>
      <w:r>
        <w:t>20</w:t>
      </w:r>
      <w:r w:rsidRPr="00BC5D17">
        <w:t>.</w:t>
      </w:r>
      <w:r w:rsidR="00D82E51">
        <w:t xml:space="preserve"> A broad </w:t>
      </w:r>
      <w:r w:rsidR="002610E9">
        <w:t>market</w:t>
      </w:r>
      <w:r w:rsidR="0039737D">
        <w:t xml:space="preserve"> </w:t>
      </w:r>
      <w:r w:rsidR="00D82E51">
        <w:t>r</w:t>
      </w:r>
      <w:r w:rsidR="002610E9">
        <w:t>e</w:t>
      </w:r>
      <w:r w:rsidR="00D82E51">
        <w:t xml:space="preserve">view of all medicines used in the treatment of melanoma was also undertaken. </w:t>
      </w:r>
    </w:p>
    <w:p w14:paraId="526743BB" w14:textId="4D4EF2E6" w:rsidR="005C6661" w:rsidRDefault="005C6661" w:rsidP="00CF5E22">
      <w:pPr>
        <w:pStyle w:val="Heading3"/>
      </w:pPr>
      <w:r>
        <w:t>Data Source / methodology</w:t>
      </w:r>
    </w:p>
    <w:p w14:paraId="68C94701" w14:textId="5CAD16F2" w:rsidR="00D82E51" w:rsidRPr="00D82E51" w:rsidRDefault="00D82E51" w:rsidP="00D82E51">
      <w:r w:rsidRPr="00D82E51">
        <w:t>PBS dispensing data was extracted from the PBS data maintained by the Department of Health</w:t>
      </w:r>
      <w:r w:rsidR="00F86518">
        <w:t xml:space="preserve"> and Aged Care</w:t>
      </w:r>
      <w:r w:rsidRPr="00D82E51">
        <w:t>, processed by Services Australia.</w:t>
      </w:r>
    </w:p>
    <w:p w14:paraId="37116A4E" w14:textId="77777777" w:rsidR="00D82E51" w:rsidRDefault="005C6661" w:rsidP="00D82E51">
      <w:pPr>
        <w:pStyle w:val="Heading3"/>
      </w:pPr>
      <w:r>
        <w:t>Key Findings</w:t>
      </w:r>
    </w:p>
    <w:p w14:paraId="7A8BE033" w14:textId="1FF19CC9" w:rsidR="00BC5E3A" w:rsidRPr="00B700FA" w:rsidRDefault="00FC07CC" w:rsidP="00D82E51">
      <w:pPr>
        <w:pStyle w:val="ListParagraph"/>
        <w:numPr>
          <w:ilvl w:val="0"/>
          <w:numId w:val="14"/>
        </w:numPr>
        <w:ind w:left="709" w:hanging="283"/>
        <w:rPr>
          <w:szCs w:val="28"/>
        </w:rPr>
      </w:pPr>
      <w:r w:rsidRPr="00B700FA">
        <w:t>I</w:t>
      </w:r>
      <w:r w:rsidR="00BC5E3A" w:rsidRPr="00B700FA">
        <w:t>n the first year of listing adjuvant nivolumab was utilised by 1,311 patients at a cost of $75 million</w:t>
      </w:r>
      <w:r w:rsidRPr="00B700FA">
        <w:t xml:space="preserve"> (based on published prices)</w:t>
      </w:r>
      <w:r w:rsidR="00BC5E3A" w:rsidRPr="00B700FA">
        <w:t xml:space="preserve"> to the PBS/RPBS </w:t>
      </w:r>
      <w:r w:rsidR="00436170" w:rsidRPr="00B700FA">
        <w:t xml:space="preserve">which was </w:t>
      </w:r>
      <w:r w:rsidR="00F914A9" w:rsidRPr="00F914A9">
        <w:rPr>
          <w:highlight w:val="black"/>
        </w:rPr>
        <w:t>xxxx</w:t>
      </w:r>
      <w:r w:rsidR="00436170" w:rsidRPr="00B700FA">
        <w:t xml:space="preserve"> than predicted.</w:t>
      </w:r>
    </w:p>
    <w:p w14:paraId="23C10186" w14:textId="7F28EDAD" w:rsidR="00BC5E3A" w:rsidRPr="00B700FA" w:rsidRDefault="00FC07CC" w:rsidP="00D82E51">
      <w:pPr>
        <w:pStyle w:val="ListParagraph"/>
        <w:numPr>
          <w:ilvl w:val="0"/>
          <w:numId w:val="14"/>
        </w:numPr>
        <w:ind w:left="709" w:hanging="283"/>
        <w:rPr>
          <w:szCs w:val="28"/>
        </w:rPr>
      </w:pPr>
      <w:r w:rsidRPr="00B700FA">
        <w:t>I</w:t>
      </w:r>
      <w:r w:rsidR="00BC5E3A" w:rsidRPr="00B700FA">
        <w:t>n the second year of listing adjuvant nivolumab was utilised by 1,120 patients at a cost of $62 million</w:t>
      </w:r>
      <w:r w:rsidRPr="00B700FA">
        <w:t xml:space="preserve"> (based on published prices)</w:t>
      </w:r>
      <w:r w:rsidR="00BC5E3A" w:rsidRPr="00B700FA">
        <w:t xml:space="preserve"> to the PBS/RPBS</w:t>
      </w:r>
      <w:r w:rsidR="00436170" w:rsidRPr="00B700FA">
        <w:t xml:space="preserve"> which was </w:t>
      </w:r>
      <w:r w:rsidR="00F914A9" w:rsidRPr="00F914A9">
        <w:rPr>
          <w:highlight w:val="black"/>
        </w:rPr>
        <w:t>xxxx</w:t>
      </w:r>
      <w:r w:rsidR="00436170" w:rsidRPr="00B700FA">
        <w:t xml:space="preserve"> than predicted.</w:t>
      </w:r>
    </w:p>
    <w:p w14:paraId="6FCAA378" w14:textId="3524E9BD" w:rsidR="00436170" w:rsidRPr="00B700FA" w:rsidRDefault="00BC5E3A" w:rsidP="00D82E51">
      <w:pPr>
        <w:pStyle w:val="ListParagraph"/>
        <w:numPr>
          <w:ilvl w:val="0"/>
          <w:numId w:val="14"/>
        </w:numPr>
        <w:ind w:left="709" w:hanging="283"/>
        <w:rPr>
          <w:szCs w:val="28"/>
        </w:rPr>
      </w:pPr>
      <w:r w:rsidRPr="00B700FA">
        <w:t>Patients initiating on adjuvant nivolumab range</w:t>
      </w:r>
      <w:r w:rsidR="00A4148E" w:rsidRPr="00B700FA">
        <w:t>d</w:t>
      </w:r>
      <w:r w:rsidRPr="00B700FA">
        <w:t xml:space="preserve"> between </w:t>
      </w:r>
      <w:r w:rsidR="00436170" w:rsidRPr="00B700FA">
        <w:t>140-190 new patients per quarter.</w:t>
      </w:r>
    </w:p>
    <w:p w14:paraId="32E7E456" w14:textId="77777777" w:rsidR="00436170" w:rsidRPr="00B700FA" w:rsidRDefault="00436170" w:rsidP="00D82E51">
      <w:pPr>
        <w:pStyle w:val="ListParagraph"/>
        <w:numPr>
          <w:ilvl w:val="0"/>
          <w:numId w:val="14"/>
        </w:numPr>
        <w:ind w:left="709" w:hanging="283"/>
        <w:rPr>
          <w:szCs w:val="28"/>
        </w:rPr>
      </w:pPr>
      <w:r w:rsidRPr="00B700FA">
        <w:t>The majority of patients beginning adjuvant nivolumab were males (1,495 since listing) with a median age of 68 years, while females numbered less (719 since listing) with a median age of 66 years.</w:t>
      </w:r>
    </w:p>
    <w:p w14:paraId="6DF71EA1" w14:textId="77777777" w:rsidR="00436170" w:rsidRPr="00B700FA" w:rsidRDefault="00436170" w:rsidP="00D82E51">
      <w:pPr>
        <w:pStyle w:val="ListParagraph"/>
        <w:numPr>
          <w:ilvl w:val="0"/>
          <w:numId w:val="14"/>
        </w:numPr>
        <w:ind w:left="709" w:hanging="283"/>
        <w:rPr>
          <w:szCs w:val="28"/>
        </w:rPr>
      </w:pPr>
      <w:r w:rsidRPr="00B700FA">
        <w:t xml:space="preserve">Rate of prescribing of adjuvant nivolumab was as expected with capital cities and Queensland being the primary locations. </w:t>
      </w:r>
    </w:p>
    <w:p w14:paraId="490B4573" w14:textId="77777777" w:rsidR="00436170" w:rsidRPr="00B700FA" w:rsidRDefault="00436170" w:rsidP="00D82E51">
      <w:pPr>
        <w:pStyle w:val="ListParagraph"/>
        <w:numPr>
          <w:ilvl w:val="0"/>
          <w:numId w:val="14"/>
        </w:numPr>
        <w:ind w:left="709" w:hanging="283"/>
        <w:rPr>
          <w:szCs w:val="28"/>
        </w:rPr>
      </w:pPr>
      <w:r w:rsidRPr="00B700FA">
        <w:t xml:space="preserve">Median time on treatment for adjuvant nivolumab was 231 days with breaks and 211 days without breaks. </w:t>
      </w:r>
    </w:p>
    <w:p w14:paraId="3C49DD91" w14:textId="05E11743" w:rsidR="00436170" w:rsidRPr="00B700FA" w:rsidRDefault="00436170" w:rsidP="00D82E51">
      <w:pPr>
        <w:pStyle w:val="ListParagraph"/>
        <w:numPr>
          <w:ilvl w:val="0"/>
          <w:numId w:val="14"/>
        </w:numPr>
        <w:ind w:left="709" w:hanging="283"/>
        <w:rPr>
          <w:szCs w:val="28"/>
        </w:rPr>
      </w:pPr>
      <w:r w:rsidRPr="00B700FA">
        <w:lastRenderedPageBreak/>
        <w:t>Approximately 75% of supplies of adjuvant nivolumab were at 480</w:t>
      </w:r>
      <w:r w:rsidR="00E42C11" w:rsidRPr="00B700FA">
        <w:t xml:space="preserve"> </w:t>
      </w:r>
      <w:r w:rsidRPr="00B700FA">
        <w:t>mg every four weeks, 20% 240</w:t>
      </w:r>
      <w:r w:rsidR="00E42C11" w:rsidRPr="00B700FA">
        <w:t xml:space="preserve"> </w:t>
      </w:r>
      <w:r w:rsidRPr="00B700FA">
        <w:t xml:space="preserve">mg and 5% was dose reductions or dose by weight.  </w:t>
      </w:r>
    </w:p>
    <w:p w14:paraId="639B8673" w14:textId="77777777" w:rsidR="00436170" w:rsidRPr="00B700FA" w:rsidRDefault="00436170" w:rsidP="00D82E51">
      <w:pPr>
        <w:pStyle w:val="ListParagraph"/>
        <w:numPr>
          <w:ilvl w:val="0"/>
          <w:numId w:val="14"/>
        </w:numPr>
        <w:ind w:left="709" w:hanging="283"/>
        <w:rPr>
          <w:szCs w:val="28"/>
        </w:rPr>
      </w:pPr>
      <w:r w:rsidRPr="00B700FA">
        <w:t xml:space="preserve">The utilisation and expenditure of nivolumab and ipilimumab have increased considerably since restrictions were changed in 2018 and 2019 regarding use in the unresectable setting. </w:t>
      </w:r>
    </w:p>
    <w:p w14:paraId="6FFE037D" w14:textId="3EA528EA" w:rsidR="00436170" w:rsidRPr="00B700FA" w:rsidRDefault="00A01346" w:rsidP="00D82E51">
      <w:pPr>
        <w:pStyle w:val="ListParagraph"/>
        <w:numPr>
          <w:ilvl w:val="0"/>
          <w:numId w:val="14"/>
        </w:numPr>
        <w:ind w:left="709" w:hanging="283"/>
        <w:rPr>
          <w:szCs w:val="28"/>
        </w:rPr>
      </w:pPr>
      <w:r w:rsidRPr="00B700FA">
        <w:t>Based on published prices, t</w:t>
      </w:r>
      <w:r w:rsidR="00436170" w:rsidRPr="00B700FA">
        <w:t xml:space="preserve">otal expenditure for melanoma medications in 2021 was approximately $500 million with the majority of costs incurred by checkpoint inhibitors in the unresectable market followed by PD1 inhibitors in the adjuvant market and BRAF/MEK inhibitors in the unresectable market. </w:t>
      </w:r>
    </w:p>
    <w:p w14:paraId="38B57ECC" w14:textId="47ED2700" w:rsidR="00BB0D1A" w:rsidRPr="00D82E51" w:rsidRDefault="00BB0D1A" w:rsidP="00D82E51">
      <w:pPr>
        <w:pStyle w:val="ListParagraph"/>
        <w:numPr>
          <w:ilvl w:val="0"/>
          <w:numId w:val="14"/>
        </w:numPr>
        <w:ind w:left="709" w:hanging="283"/>
        <w:rPr>
          <w:szCs w:val="28"/>
        </w:rPr>
      </w:pPr>
      <w:r>
        <w:br w:type="page"/>
      </w:r>
    </w:p>
    <w:p w14:paraId="5B262047" w14:textId="0B5FADAF" w:rsidR="00E677DD" w:rsidRDefault="00E677DD" w:rsidP="00CF5E22">
      <w:pPr>
        <w:pStyle w:val="Heading1"/>
      </w:pPr>
      <w:r w:rsidRPr="00CF5E22">
        <w:lastRenderedPageBreak/>
        <w:t xml:space="preserve">Purpose of </w:t>
      </w:r>
      <w:r w:rsidR="00D151EB" w:rsidRPr="00CF5E22">
        <w:t>analysis</w:t>
      </w:r>
    </w:p>
    <w:p w14:paraId="624FDCDE" w14:textId="62B86F5B" w:rsidR="00D82E51" w:rsidRPr="00BC5D17" w:rsidRDefault="00D82E51" w:rsidP="00D82E51">
      <w:r w:rsidRPr="00BC5D17">
        <w:t xml:space="preserve">Analysis of the predicted versus actual utilisation of </w:t>
      </w:r>
      <w:r>
        <w:t>nivolumab</w:t>
      </w:r>
      <w:r w:rsidRPr="00BC5D17">
        <w:t xml:space="preserve"> 24 months following its addition to the Pharmaceutical Benefits Scheme (PBS) for the</w:t>
      </w:r>
      <w:r>
        <w:t xml:space="preserve"> adjuvant</w:t>
      </w:r>
      <w:r w:rsidRPr="00BC5D17">
        <w:t xml:space="preserve"> treatment of </w:t>
      </w:r>
      <w:r>
        <w:t>melanoma</w:t>
      </w:r>
      <w:r w:rsidRPr="00BC5D17">
        <w:t xml:space="preserve"> on 1 Ma</w:t>
      </w:r>
      <w:r>
        <w:t>rch</w:t>
      </w:r>
      <w:r w:rsidRPr="00BC5D17">
        <w:t xml:space="preserve"> 20</w:t>
      </w:r>
      <w:r>
        <w:t>20</w:t>
      </w:r>
      <w:r w:rsidRPr="00BC5D17">
        <w:t>.</w:t>
      </w:r>
      <w:r>
        <w:t xml:space="preserve"> A broad </w:t>
      </w:r>
      <w:r w:rsidR="002610E9">
        <w:t>market re</w:t>
      </w:r>
      <w:r>
        <w:t xml:space="preserve">view of all medicines used in the treatment of melanoma was also undertaken. </w:t>
      </w:r>
    </w:p>
    <w:p w14:paraId="0A7F0B57" w14:textId="034D22D5" w:rsidR="006537D9" w:rsidRPr="005E22C2" w:rsidRDefault="00736041" w:rsidP="00CF5E22">
      <w:pPr>
        <w:pStyle w:val="Heading1"/>
      </w:pPr>
      <w:r w:rsidRPr="005E22C2">
        <w:t>Background</w:t>
      </w:r>
    </w:p>
    <w:p w14:paraId="2C748275" w14:textId="77777777" w:rsidR="00EE2BBB" w:rsidRPr="007247B9" w:rsidRDefault="00EE2BBB" w:rsidP="00EE2BBB">
      <w:pPr>
        <w:pStyle w:val="Heading2"/>
      </w:pPr>
      <w:r w:rsidRPr="007247B9">
        <w:t>Clinical situation</w:t>
      </w:r>
    </w:p>
    <w:p w14:paraId="35E2E29F" w14:textId="2D933B36" w:rsidR="003E3AE3" w:rsidRDefault="003E3AE3" w:rsidP="00CF5E22">
      <w:pPr>
        <w:pStyle w:val="Heading2"/>
        <w:rPr>
          <w:b w:val="0"/>
          <w:sz w:val="24"/>
          <w:vertAlign w:val="superscript"/>
        </w:rPr>
      </w:pPr>
      <w:r w:rsidRPr="003E3AE3">
        <w:rPr>
          <w:b w:val="0"/>
          <w:sz w:val="24"/>
        </w:rPr>
        <w:t>Melanoma</w:t>
      </w:r>
      <w:r>
        <w:rPr>
          <w:b w:val="0"/>
          <w:sz w:val="24"/>
        </w:rPr>
        <w:t xml:space="preserve"> is caused by the differentiation of</w:t>
      </w:r>
      <w:r w:rsidRPr="003E3AE3">
        <w:rPr>
          <w:b w:val="0"/>
          <w:sz w:val="24"/>
        </w:rPr>
        <w:t xml:space="preserve"> </w:t>
      </w:r>
      <w:r>
        <w:rPr>
          <w:b w:val="0"/>
          <w:sz w:val="24"/>
        </w:rPr>
        <w:t>m</w:t>
      </w:r>
      <w:r w:rsidRPr="003E3AE3">
        <w:rPr>
          <w:b w:val="0"/>
          <w:sz w:val="24"/>
        </w:rPr>
        <w:t>elanocytes to cancerous cells as a consequence of aberrant changes at molecular and biochemical levels</w:t>
      </w:r>
      <w:r>
        <w:rPr>
          <w:b w:val="0"/>
          <w:sz w:val="24"/>
        </w:rPr>
        <w:t>.</w:t>
      </w:r>
      <w:r w:rsidR="000318C7">
        <w:rPr>
          <w:b w:val="0"/>
          <w:sz w:val="24"/>
          <w:vertAlign w:val="superscript"/>
        </w:rPr>
        <w:t>1</w:t>
      </w:r>
      <w:r w:rsidR="000318C7">
        <w:rPr>
          <w:b w:val="0"/>
          <w:sz w:val="24"/>
        </w:rPr>
        <w:t xml:space="preserve"> </w:t>
      </w:r>
      <w:r w:rsidR="000318C7" w:rsidRPr="000318C7">
        <w:rPr>
          <w:b w:val="0"/>
          <w:sz w:val="24"/>
        </w:rPr>
        <w:t xml:space="preserve">Melanocytes are responsible for </w:t>
      </w:r>
      <w:r w:rsidR="000318C7">
        <w:rPr>
          <w:b w:val="0"/>
          <w:sz w:val="24"/>
        </w:rPr>
        <w:t xml:space="preserve">the production of </w:t>
      </w:r>
      <w:r w:rsidR="000318C7" w:rsidRPr="000318C7">
        <w:rPr>
          <w:b w:val="0"/>
          <w:sz w:val="24"/>
        </w:rPr>
        <w:t>melanin that protect against DNA damage induced by UV radiation</w:t>
      </w:r>
      <w:r w:rsidR="000318C7">
        <w:rPr>
          <w:b w:val="0"/>
          <w:sz w:val="24"/>
        </w:rPr>
        <w:t>.</w:t>
      </w:r>
      <w:r w:rsidR="000318C7">
        <w:rPr>
          <w:b w:val="0"/>
          <w:sz w:val="24"/>
          <w:vertAlign w:val="superscript"/>
        </w:rPr>
        <w:t xml:space="preserve">1 </w:t>
      </w:r>
      <w:r w:rsidR="000318C7">
        <w:rPr>
          <w:b w:val="0"/>
          <w:sz w:val="24"/>
        </w:rPr>
        <w:t>Keratinocytes are responsible for the growth of melanocytes and a melanoma develops when melanocyte growth becomes uncontrolled</w:t>
      </w:r>
      <w:r w:rsidR="00BA308F">
        <w:rPr>
          <w:b w:val="0"/>
          <w:sz w:val="24"/>
        </w:rPr>
        <w:t>.</w:t>
      </w:r>
      <w:r w:rsidR="00BA308F">
        <w:rPr>
          <w:b w:val="0"/>
          <w:sz w:val="24"/>
          <w:vertAlign w:val="superscript"/>
        </w:rPr>
        <w:t>1</w:t>
      </w:r>
    </w:p>
    <w:p w14:paraId="5C933506" w14:textId="0164D388" w:rsidR="00BA308F" w:rsidRDefault="00BA308F" w:rsidP="00BA308F">
      <w:r>
        <w:t>In Australia melanoma was the fourth most commonly diagnosed cancer in 2017 and is e</w:t>
      </w:r>
      <w:r w:rsidR="0060690C">
        <w:t>xpected</w:t>
      </w:r>
      <w:r>
        <w:t xml:space="preserve"> to become the third most commonly diagnosed in</w:t>
      </w:r>
      <w:r w:rsidR="0060690C">
        <w:t xml:space="preserve"> 2021</w:t>
      </w:r>
      <w:r>
        <w:t xml:space="preserve"> </w:t>
      </w:r>
      <w:r w:rsidR="0060690C">
        <w:t>with an estimated 16,878 new cases diagnosed</w:t>
      </w:r>
      <w:r>
        <w:t>.</w:t>
      </w:r>
      <w:r>
        <w:rPr>
          <w:vertAlign w:val="superscript"/>
        </w:rPr>
        <w:t>2</w:t>
      </w:r>
      <w:r w:rsidR="0060690C">
        <w:t xml:space="preserve"> In 2021 it is estimated there will be 1,315 deaths caused by melanoma and a 0.41% risk of dying from melanoma by the age of 85</w:t>
      </w:r>
      <w:r w:rsidR="00691980">
        <w:t xml:space="preserve"> years</w:t>
      </w:r>
      <w:r w:rsidR="0060690C">
        <w:rPr>
          <w:vertAlign w:val="superscript"/>
        </w:rPr>
        <w:t>2</w:t>
      </w:r>
      <w:r w:rsidR="0060690C">
        <w:t xml:space="preserve"> making it the deadliest form of skin cancer</w:t>
      </w:r>
      <w:r w:rsidR="0060690C">
        <w:rPr>
          <w:vertAlign w:val="superscript"/>
        </w:rPr>
        <w:t>1</w:t>
      </w:r>
      <w:r w:rsidR="0060690C">
        <w:t>.</w:t>
      </w:r>
    </w:p>
    <w:p w14:paraId="4BD1D1A0" w14:textId="4E65FC4F" w:rsidR="00FB25F1" w:rsidRDefault="0060690C" w:rsidP="00083B70">
      <w:pPr>
        <w:rPr>
          <w:vertAlign w:val="superscript"/>
        </w:rPr>
      </w:pPr>
      <w:r>
        <w:t xml:space="preserve">In the </w:t>
      </w:r>
      <w:r w:rsidR="00FB25F1">
        <w:t>locoregi</w:t>
      </w:r>
      <w:r w:rsidR="008C21C5">
        <w:t>o</w:t>
      </w:r>
      <w:r w:rsidR="00FB25F1">
        <w:t>nal melanoma setting current guidelines suggest the surgical resection of the melanoma followed by adjuvant therapy, however there is emerging evidence for the use of neoadjuvant therapy.</w:t>
      </w:r>
      <w:r w:rsidR="00FB25F1">
        <w:rPr>
          <w:vertAlign w:val="superscript"/>
        </w:rPr>
        <w:t>3</w:t>
      </w:r>
    </w:p>
    <w:p w14:paraId="6566F478" w14:textId="6FE133F5" w:rsidR="00083B70" w:rsidRPr="00530A7F" w:rsidRDefault="00083B70" w:rsidP="00083B70">
      <w:r>
        <w:t>In the metastatic setting current guidelines recommend individualised treatments such as the use of targeted therapies B-Raf serine-threonine kinase (BRAF) inhibitors, Mitogen-activated protein kinase (MEK) inhibitors or immunotherapies such as nivolumab a programmed cell death protein 1/ ligand 1 (PD-1/PDL-1) inhibitor with ipil</w:t>
      </w:r>
      <w:r w:rsidR="00530A7F">
        <w:t xml:space="preserve">imumab which targets the </w:t>
      </w:r>
      <w:r w:rsidR="00530A7F" w:rsidRPr="00530A7F">
        <w:t>cytotoxic T-lymphocyte-associated protein 4</w:t>
      </w:r>
      <w:r w:rsidR="00530A7F">
        <w:t xml:space="preserve"> (CTL-4) receptor.</w:t>
      </w:r>
      <w:r w:rsidR="00530A7F">
        <w:rPr>
          <w:vertAlign w:val="superscript"/>
        </w:rPr>
        <w:t>4</w:t>
      </w:r>
      <w:r w:rsidR="00530A7F">
        <w:t xml:space="preserve"> </w:t>
      </w:r>
    </w:p>
    <w:p w14:paraId="0183A567" w14:textId="5CCDA0EE" w:rsidR="007247B9" w:rsidRDefault="007247B9" w:rsidP="00CF5E22">
      <w:pPr>
        <w:pStyle w:val="Heading2"/>
      </w:pPr>
      <w:r>
        <w:t>Pharmacology</w:t>
      </w:r>
    </w:p>
    <w:p w14:paraId="57A3A63F" w14:textId="1413A688" w:rsidR="00695188" w:rsidRPr="00695188" w:rsidRDefault="00695188" w:rsidP="00695188">
      <w:r>
        <w:t>Nivolumab is a monoclonal antibody which binds to programmed death-1 (PD-1) receptor and blocks its interaction with the ligands PD-L1 and PD-L2. The PD-1 receptor is a negative regulator of T-cell activity.</w:t>
      </w:r>
      <w:r>
        <w:rPr>
          <w:vertAlign w:val="superscript"/>
        </w:rPr>
        <w:t xml:space="preserve"> </w:t>
      </w:r>
      <w:r>
        <w:t>In syngeneic mouse models, blocking PD-1 activity resulted in decreased tumour growth.</w:t>
      </w:r>
      <w:r w:rsidR="00B356B9">
        <w:rPr>
          <w:vertAlign w:val="superscript"/>
        </w:rPr>
        <w:t>5</w:t>
      </w:r>
    </w:p>
    <w:p w14:paraId="6AC18C88" w14:textId="7A398934" w:rsidR="001420B3" w:rsidRPr="005E22C2" w:rsidRDefault="00A52918" w:rsidP="00CF5E22">
      <w:pPr>
        <w:pStyle w:val="Heading2"/>
      </w:pPr>
      <w:r w:rsidRPr="00A52918">
        <w:t xml:space="preserve">Therapeutic Goods Administration </w:t>
      </w:r>
      <w:r>
        <w:t>(</w:t>
      </w:r>
      <w:r w:rsidR="001420B3" w:rsidRPr="005E22C2">
        <w:t>TGA</w:t>
      </w:r>
      <w:r>
        <w:t>)</w:t>
      </w:r>
      <w:r w:rsidR="001420B3" w:rsidRPr="005E22C2">
        <w:t xml:space="preserve"> approved </w:t>
      </w:r>
      <w:r w:rsidR="001420B3">
        <w:t>i</w:t>
      </w:r>
      <w:r w:rsidR="001420B3" w:rsidRPr="005E22C2">
        <w:t>ndications</w:t>
      </w:r>
    </w:p>
    <w:p w14:paraId="1E393897" w14:textId="76205DD9" w:rsidR="001420B3" w:rsidRDefault="00695188" w:rsidP="00A35800">
      <w:r>
        <w:t>Nivolumab is currently TGA approved for the following indications:</w:t>
      </w:r>
    </w:p>
    <w:p w14:paraId="1D0155FF" w14:textId="452B2766" w:rsidR="00695188" w:rsidRDefault="00695188" w:rsidP="00695188">
      <w:pPr>
        <w:pStyle w:val="ListParagraph"/>
        <w:numPr>
          <w:ilvl w:val="0"/>
          <w:numId w:val="5"/>
        </w:numPr>
      </w:pPr>
      <w:r>
        <w:t>Melanoma</w:t>
      </w:r>
      <w:r w:rsidR="00585258">
        <w:t>.</w:t>
      </w:r>
      <w:r>
        <w:t xml:space="preserve"> </w:t>
      </w:r>
    </w:p>
    <w:p w14:paraId="51AE276F" w14:textId="37DD7054" w:rsidR="00695188" w:rsidRDefault="00695188" w:rsidP="00695188">
      <w:pPr>
        <w:pStyle w:val="ListParagraph"/>
        <w:numPr>
          <w:ilvl w:val="0"/>
          <w:numId w:val="5"/>
        </w:numPr>
      </w:pPr>
      <w:r>
        <w:t>Non-Small Cell Lung Cancer</w:t>
      </w:r>
      <w:r w:rsidR="00585258">
        <w:t xml:space="preserve"> with/without ipilimumab.</w:t>
      </w:r>
    </w:p>
    <w:p w14:paraId="0F371006" w14:textId="52A8FC21" w:rsidR="00695188" w:rsidRDefault="00695188" w:rsidP="00695188">
      <w:pPr>
        <w:pStyle w:val="ListParagraph"/>
        <w:numPr>
          <w:ilvl w:val="0"/>
          <w:numId w:val="5"/>
        </w:numPr>
      </w:pPr>
      <w:r>
        <w:t xml:space="preserve">Malignant Pleural Mesothelioma </w:t>
      </w:r>
      <w:r w:rsidR="00585258">
        <w:t>with ipilimumab.</w:t>
      </w:r>
    </w:p>
    <w:p w14:paraId="69332484" w14:textId="067F09D6" w:rsidR="00695188" w:rsidRDefault="00695188" w:rsidP="00695188">
      <w:pPr>
        <w:pStyle w:val="ListParagraph"/>
        <w:numPr>
          <w:ilvl w:val="0"/>
          <w:numId w:val="5"/>
        </w:numPr>
      </w:pPr>
      <w:r>
        <w:lastRenderedPageBreak/>
        <w:t xml:space="preserve">Renal Cell Carcinoma </w:t>
      </w:r>
      <w:r w:rsidR="00585258">
        <w:t>with ipilimumab/cabozantinib.</w:t>
      </w:r>
    </w:p>
    <w:p w14:paraId="288010E7" w14:textId="1602DA57" w:rsidR="00695188" w:rsidRDefault="00695188" w:rsidP="00695188">
      <w:pPr>
        <w:pStyle w:val="ListParagraph"/>
        <w:numPr>
          <w:ilvl w:val="0"/>
          <w:numId w:val="5"/>
        </w:numPr>
      </w:pPr>
      <w:r>
        <w:t>Classical Hodgkin Lymphoma</w:t>
      </w:r>
      <w:r w:rsidR="00585258">
        <w:t>.</w:t>
      </w:r>
      <w:r>
        <w:t xml:space="preserve"> </w:t>
      </w:r>
    </w:p>
    <w:p w14:paraId="4B696C42" w14:textId="2AD3AF8F" w:rsidR="00695188" w:rsidRDefault="00695188" w:rsidP="00695188">
      <w:pPr>
        <w:pStyle w:val="ListParagraph"/>
        <w:numPr>
          <w:ilvl w:val="0"/>
          <w:numId w:val="5"/>
        </w:numPr>
      </w:pPr>
      <w:r>
        <w:t>Squamous Cell Carcinoma of the Head and Neck</w:t>
      </w:r>
      <w:r w:rsidR="00585258">
        <w:t>.</w:t>
      </w:r>
      <w:r>
        <w:t xml:space="preserve"> </w:t>
      </w:r>
    </w:p>
    <w:p w14:paraId="64A2884F" w14:textId="6462513E" w:rsidR="00695188" w:rsidRDefault="00695188" w:rsidP="00695188">
      <w:pPr>
        <w:pStyle w:val="ListParagraph"/>
        <w:numPr>
          <w:ilvl w:val="0"/>
          <w:numId w:val="5"/>
        </w:numPr>
      </w:pPr>
      <w:r>
        <w:t>Urothelial Carcinoma</w:t>
      </w:r>
      <w:r w:rsidR="00585258">
        <w:t>.</w:t>
      </w:r>
    </w:p>
    <w:p w14:paraId="48733ECC" w14:textId="21480E89" w:rsidR="00695188" w:rsidRDefault="00695188" w:rsidP="00695188">
      <w:pPr>
        <w:pStyle w:val="ListParagraph"/>
        <w:numPr>
          <w:ilvl w:val="0"/>
          <w:numId w:val="5"/>
        </w:numPr>
      </w:pPr>
      <w:r>
        <w:t>Hepatocellular Carcinoma</w:t>
      </w:r>
      <w:r w:rsidR="00585258">
        <w:t>.</w:t>
      </w:r>
      <w:r>
        <w:t xml:space="preserve"> </w:t>
      </w:r>
    </w:p>
    <w:p w14:paraId="2EE3F870" w14:textId="3E92D026" w:rsidR="00695188" w:rsidRDefault="00695188" w:rsidP="00695188">
      <w:pPr>
        <w:pStyle w:val="ListParagraph"/>
        <w:numPr>
          <w:ilvl w:val="0"/>
          <w:numId w:val="5"/>
        </w:numPr>
      </w:pPr>
      <w:r>
        <w:t>Oesophageal Squamous Cell Carcinoma</w:t>
      </w:r>
      <w:r w:rsidR="00585258">
        <w:t>.</w:t>
      </w:r>
      <w:r>
        <w:t xml:space="preserve"> </w:t>
      </w:r>
    </w:p>
    <w:p w14:paraId="1DF606A7" w14:textId="2C75CEFF" w:rsidR="00695188" w:rsidRDefault="00695188" w:rsidP="00695188">
      <w:pPr>
        <w:pStyle w:val="ListParagraph"/>
        <w:numPr>
          <w:ilvl w:val="0"/>
          <w:numId w:val="5"/>
        </w:numPr>
      </w:pPr>
      <w:r>
        <w:t>Adjuvant Oesophageal Cancer or Gastro-Oesophageal Junction</w:t>
      </w:r>
      <w:r w:rsidR="00585258">
        <w:t>.</w:t>
      </w:r>
    </w:p>
    <w:p w14:paraId="52BD4977" w14:textId="65ED45E1" w:rsidR="00695188" w:rsidRDefault="00695188" w:rsidP="00695188">
      <w:pPr>
        <w:pStyle w:val="ListParagraph"/>
        <w:numPr>
          <w:ilvl w:val="0"/>
          <w:numId w:val="5"/>
        </w:numPr>
      </w:pPr>
      <w:r>
        <w:t xml:space="preserve">Gastric Cancer, Gastro-oesophageal Junction Cancer, or Oesophageal Adenocarcinoma </w:t>
      </w:r>
      <w:r w:rsidR="00585258">
        <w:t>in combination with fluoropyrimidine and platinum based chemotherapy.</w:t>
      </w:r>
    </w:p>
    <w:p w14:paraId="5A9EC857" w14:textId="6E67B955" w:rsidR="00585258" w:rsidRDefault="00585258" w:rsidP="00585258">
      <w:r>
        <w:t xml:space="preserve">There </w:t>
      </w:r>
      <w:bookmarkStart w:id="0" w:name="_Hlk124862634"/>
      <w:r w:rsidR="00F83793">
        <w:t>was</w:t>
      </w:r>
      <w:bookmarkEnd w:id="0"/>
      <w:r>
        <w:t xml:space="preserve"> a black box warning for nivolumab in combination with ipilimumab due to the increased incidence and severity of adverse reactions than when either is used as monotherapy. </w:t>
      </w:r>
    </w:p>
    <w:p w14:paraId="15E919C1" w14:textId="2D0585C3" w:rsidR="006B709B" w:rsidRDefault="006B709B" w:rsidP="00CF5E22">
      <w:pPr>
        <w:pStyle w:val="Heading2"/>
      </w:pPr>
      <w:r>
        <w:t>Dosage and administration</w:t>
      </w:r>
    </w:p>
    <w:p w14:paraId="47E94662" w14:textId="419BFE4D" w:rsidR="00585258" w:rsidRDefault="001840D3" w:rsidP="00585258">
      <w:r>
        <w:t>Nivolumab is administered via a 30 minute intravenous infusion and the recommended dose in the adjuvant treatment of melanoma is:</w:t>
      </w:r>
    </w:p>
    <w:p w14:paraId="756F6E7E" w14:textId="271285C4" w:rsidR="001840D3" w:rsidRDefault="001840D3" w:rsidP="001840D3">
      <w:pPr>
        <w:pStyle w:val="ListParagraph"/>
        <w:numPr>
          <w:ilvl w:val="0"/>
          <w:numId w:val="6"/>
        </w:numPr>
      </w:pPr>
      <w:r>
        <w:t>3mg/kg every two weeks OR</w:t>
      </w:r>
    </w:p>
    <w:p w14:paraId="0CA28A58" w14:textId="11EB6DF9" w:rsidR="001840D3" w:rsidRDefault="001840D3" w:rsidP="001840D3">
      <w:pPr>
        <w:pStyle w:val="ListParagraph"/>
        <w:numPr>
          <w:ilvl w:val="0"/>
          <w:numId w:val="6"/>
        </w:numPr>
      </w:pPr>
      <w:r>
        <w:t>240mg every two weeks OR</w:t>
      </w:r>
    </w:p>
    <w:p w14:paraId="48334A70" w14:textId="0FE6B357" w:rsidR="001840D3" w:rsidRPr="00585258" w:rsidRDefault="001840D3" w:rsidP="001840D3">
      <w:pPr>
        <w:pStyle w:val="ListParagraph"/>
        <w:numPr>
          <w:ilvl w:val="0"/>
          <w:numId w:val="6"/>
        </w:numPr>
      </w:pPr>
      <w:r>
        <w:t>480mg every four weeks.</w:t>
      </w:r>
    </w:p>
    <w:p w14:paraId="6682A05C" w14:textId="2CE1BCE0" w:rsidR="00F17D4B" w:rsidRPr="002F61CA" w:rsidRDefault="00F17D4B" w:rsidP="00F17D4B">
      <w:r w:rsidRPr="002F61CA">
        <w:t xml:space="preserve">The current Product Information (PI) and Consumer Medicine Information (CMI) are available from </w:t>
      </w:r>
      <w:hyperlink r:id="rId8" w:history="1">
        <w:r>
          <w:rPr>
            <w:rStyle w:val="Hyperlink"/>
          </w:rPr>
          <w:t>the TGA (Product Information)</w:t>
        </w:r>
      </w:hyperlink>
      <w:r>
        <w:t xml:space="preserve"> and </w:t>
      </w:r>
      <w:hyperlink r:id="rId9" w:history="1">
        <w:r>
          <w:rPr>
            <w:rStyle w:val="Hyperlink"/>
          </w:rPr>
          <w:t>the TGA (Consumer Medicines Information)</w:t>
        </w:r>
      </w:hyperlink>
      <w:r>
        <w:t>.</w:t>
      </w:r>
    </w:p>
    <w:p w14:paraId="46E2BB42" w14:textId="6836809B" w:rsidR="00DF0B13" w:rsidRPr="007247B9" w:rsidDel="00EE2BBB" w:rsidRDefault="00DF0B13" w:rsidP="00CF5E22">
      <w:pPr>
        <w:pStyle w:val="Heading2"/>
      </w:pPr>
      <w:r w:rsidRPr="007247B9" w:rsidDel="00EE2BBB">
        <w:t>PBS listing details</w:t>
      </w:r>
      <w:r w:rsidR="00D151EB" w:rsidDel="00EE2BBB">
        <w:t xml:space="preserve"> (as at </w:t>
      </w:r>
      <w:r w:rsidR="00A03898">
        <w:t>5 August 2022</w:t>
      </w:r>
      <w:r w:rsidR="00D151EB" w:rsidDel="00EE2BBB">
        <w:t>)</w:t>
      </w:r>
    </w:p>
    <w:p w14:paraId="1D47784A" w14:textId="7F485E25" w:rsidR="001420B3" w:rsidRPr="001420B3" w:rsidDel="00EE2BBB" w:rsidRDefault="001420B3" w:rsidP="00CF5E22">
      <w:pPr>
        <w:pStyle w:val="Tabletitle"/>
      </w:pPr>
      <w:r w:rsidRPr="001420B3" w:rsidDel="00EE2BBB">
        <w:t xml:space="preserve">Table </w:t>
      </w:r>
      <w:r w:rsidR="00A03898">
        <w:t>1</w:t>
      </w:r>
      <w:r w:rsidRPr="001420B3" w:rsidDel="00EE2BBB">
        <w:t xml:space="preserve">: </w:t>
      </w:r>
      <w:r w:rsidR="009663B6" w:rsidDel="00EE2BBB">
        <w:t>PB</w:t>
      </w:r>
      <w:r w:rsidR="00D151EB" w:rsidDel="00EE2BBB">
        <w:t>S listing of</w:t>
      </w:r>
      <w:r w:rsidR="00A03898">
        <w:t xml:space="preserve"> nivolumab for adjuvant therapy of melanoma</w:t>
      </w:r>
      <w:r w:rsidR="00D151EB" w:rsidDel="00EE2BBB">
        <w:t xml:space="preserve"> </w:t>
      </w:r>
    </w:p>
    <w:tbl>
      <w:tblPr>
        <w:tblStyle w:val="TableGrid"/>
        <w:tblW w:w="9064" w:type="dxa"/>
        <w:tblLayout w:type="fixed"/>
        <w:tblLook w:val="04A0" w:firstRow="1" w:lastRow="0" w:firstColumn="1" w:lastColumn="0" w:noHBand="0" w:noVBand="1"/>
      </w:tblPr>
      <w:tblGrid>
        <w:gridCol w:w="969"/>
        <w:gridCol w:w="2400"/>
        <w:gridCol w:w="1701"/>
        <w:gridCol w:w="850"/>
        <w:gridCol w:w="1040"/>
        <w:gridCol w:w="2104"/>
      </w:tblGrid>
      <w:tr w:rsidR="0093111F" w:rsidRPr="00A35800" w:rsidDel="00EE2BBB" w14:paraId="6AA19A37" w14:textId="77B518AD" w:rsidTr="0093111F">
        <w:trPr>
          <w:trHeight w:val="694"/>
          <w:tblHeader/>
        </w:trPr>
        <w:tc>
          <w:tcPr>
            <w:tcW w:w="969" w:type="dxa"/>
            <w:shd w:val="clear" w:color="auto" w:fill="BFBFBF" w:themeFill="background1" w:themeFillShade="BF"/>
          </w:tcPr>
          <w:p w14:paraId="56A3DEA0" w14:textId="1A878237" w:rsidR="0093111F" w:rsidRPr="00A35800" w:rsidDel="00EE2BBB" w:rsidRDefault="0093111F" w:rsidP="00A35800">
            <w:pPr>
              <w:pStyle w:val="Tableheading"/>
              <w:rPr>
                <w:sz w:val="20"/>
                <w:szCs w:val="20"/>
              </w:rPr>
            </w:pPr>
            <w:r w:rsidRPr="00A35800" w:rsidDel="00EE2BBB">
              <w:rPr>
                <w:sz w:val="20"/>
                <w:szCs w:val="20"/>
              </w:rPr>
              <w:t>Item</w:t>
            </w:r>
          </w:p>
        </w:tc>
        <w:tc>
          <w:tcPr>
            <w:tcW w:w="2400" w:type="dxa"/>
            <w:shd w:val="clear" w:color="auto" w:fill="BFBFBF" w:themeFill="background1" w:themeFillShade="BF"/>
          </w:tcPr>
          <w:p w14:paraId="67A07252" w14:textId="6DE43662" w:rsidR="0093111F" w:rsidRPr="00A35800" w:rsidDel="00EE2BBB" w:rsidRDefault="0093111F" w:rsidP="00A35800">
            <w:pPr>
              <w:pStyle w:val="Tableheading"/>
              <w:rPr>
                <w:sz w:val="20"/>
                <w:szCs w:val="20"/>
              </w:rPr>
            </w:pPr>
            <w:r w:rsidRPr="00A35800" w:rsidDel="00EE2BBB">
              <w:rPr>
                <w:sz w:val="20"/>
                <w:szCs w:val="20"/>
              </w:rPr>
              <w:t>Name, form &amp; strength, pack size</w:t>
            </w:r>
          </w:p>
        </w:tc>
        <w:tc>
          <w:tcPr>
            <w:tcW w:w="1701" w:type="dxa"/>
            <w:shd w:val="clear" w:color="auto" w:fill="BFBFBF" w:themeFill="background1" w:themeFillShade="BF"/>
          </w:tcPr>
          <w:p w14:paraId="114E9799" w14:textId="71E76A27" w:rsidR="0093111F" w:rsidRPr="00A35800" w:rsidDel="00EE2BBB" w:rsidRDefault="0093111F" w:rsidP="00A35800">
            <w:pPr>
              <w:pStyle w:val="Tableheading"/>
              <w:rPr>
                <w:sz w:val="20"/>
                <w:szCs w:val="20"/>
              </w:rPr>
            </w:pPr>
            <w:r w:rsidRPr="00A35800" w:rsidDel="00EE2BBB">
              <w:rPr>
                <w:sz w:val="20"/>
                <w:szCs w:val="20"/>
              </w:rPr>
              <w:t>Max</w:t>
            </w:r>
            <w:r w:rsidR="00A13C60" w:rsidRPr="00A35800" w:rsidDel="00EE2BBB">
              <w:rPr>
                <w:sz w:val="20"/>
                <w:szCs w:val="20"/>
              </w:rPr>
              <w:t xml:space="preserve">. </w:t>
            </w:r>
            <w:r w:rsidRPr="00A35800" w:rsidDel="00EE2BBB">
              <w:rPr>
                <w:sz w:val="20"/>
                <w:szCs w:val="20"/>
              </w:rPr>
              <w:t xml:space="preserve">quant. </w:t>
            </w:r>
          </w:p>
        </w:tc>
        <w:tc>
          <w:tcPr>
            <w:tcW w:w="850" w:type="dxa"/>
            <w:shd w:val="clear" w:color="auto" w:fill="BFBFBF" w:themeFill="background1" w:themeFillShade="BF"/>
          </w:tcPr>
          <w:p w14:paraId="0F1A79F7" w14:textId="170F6D44" w:rsidR="0093111F" w:rsidRPr="00A35800" w:rsidDel="00EE2BBB" w:rsidRDefault="0093111F" w:rsidP="00A35800">
            <w:pPr>
              <w:pStyle w:val="Tableheading"/>
              <w:rPr>
                <w:sz w:val="20"/>
                <w:szCs w:val="20"/>
              </w:rPr>
            </w:pPr>
            <w:r w:rsidRPr="00A35800" w:rsidDel="00EE2BBB">
              <w:rPr>
                <w:sz w:val="20"/>
                <w:szCs w:val="20"/>
              </w:rPr>
              <w:t xml:space="preserve">Rpts </w:t>
            </w:r>
          </w:p>
        </w:tc>
        <w:tc>
          <w:tcPr>
            <w:tcW w:w="1040" w:type="dxa"/>
            <w:shd w:val="clear" w:color="auto" w:fill="BFBFBF" w:themeFill="background1" w:themeFillShade="BF"/>
          </w:tcPr>
          <w:p w14:paraId="05C5A0BF" w14:textId="2CFF9AC9" w:rsidR="0093111F" w:rsidRPr="00A35800" w:rsidDel="00EE2BBB" w:rsidRDefault="0093111F" w:rsidP="00A35800">
            <w:pPr>
              <w:pStyle w:val="Tableheading"/>
              <w:rPr>
                <w:sz w:val="20"/>
                <w:szCs w:val="20"/>
              </w:rPr>
            </w:pPr>
            <w:r w:rsidRPr="00A35800" w:rsidDel="00EE2BBB">
              <w:rPr>
                <w:sz w:val="20"/>
                <w:szCs w:val="20"/>
              </w:rPr>
              <w:t>DPMQ</w:t>
            </w:r>
          </w:p>
        </w:tc>
        <w:tc>
          <w:tcPr>
            <w:tcW w:w="2104" w:type="dxa"/>
            <w:shd w:val="clear" w:color="auto" w:fill="BFBFBF" w:themeFill="background1" w:themeFillShade="BF"/>
          </w:tcPr>
          <w:p w14:paraId="09B472B7" w14:textId="479D46E2" w:rsidR="0093111F" w:rsidRPr="00A35800" w:rsidDel="00EE2BBB" w:rsidRDefault="0093111F" w:rsidP="00A35800">
            <w:pPr>
              <w:pStyle w:val="Tableheading"/>
              <w:rPr>
                <w:sz w:val="20"/>
                <w:szCs w:val="20"/>
              </w:rPr>
            </w:pPr>
            <w:r w:rsidRPr="00A35800" w:rsidDel="00EE2BBB">
              <w:rPr>
                <w:sz w:val="20"/>
                <w:szCs w:val="20"/>
              </w:rPr>
              <w:t>Brand name and manufacturer</w:t>
            </w:r>
          </w:p>
        </w:tc>
      </w:tr>
      <w:tr w:rsidR="00A03898" w:rsidRPr="00A35800" w:rsidDel="00EE2BBB" w14:paraId="2AF9D84B" w14:textId="0D323411" w:rsidTr="00A03898">
        <w:trPr>
          <w:trHeight w:val="552"/>
          <w:tblHeader/>
        </w:trPr>
        <w:tc>
          <w:tcPr>
            <w:tcW w:w="969" w:type="dxa"/>
            <w:shd w:val="clear" w:color="auto" w:fill="auto"/>
          </w:tcPr>
          <w:p w14:paraId="0A3E3442" w14:textId="4BD50B01" w:rsidR="00A03898" w:rsidRPr="00A03898" w:rsidDel="00EE2BBB" w:rsidRDefault="00A03898" w:rsidP="00A03898">
            <w:pPr>
              <w:pStyle w:val="Tablewriting"/>
            </w:pPr>
            <w:r w:rsidRPr="00A03898">
              <w:t>11900H</w:t>
            </w:r>
          </w:p>
        </w:tc>
        <w:tc>
          <w:tcPr>
            <w:tcW w:w="2400" w:type="dxa"/>
            <w:shd w:val="clear" w:color="auto" w:fill="auto"/>
          </w:tcPr>
          <w:p w14:paraId="0F676F51" w14:textId="4ED861A0" w:rsidR="00A03898" w:rsidRPr="00A03898" w:rsidDel="00EE2BBB" w:rsidRDefault="00A03898" w:rsidP="00A03898">
            <w:pPr>
              <w:pStyle w:val="Tablewriting"/>
            </w:pPr>
            <w:r w:rsidRPr="00A03898">
              <w:t>Nivolumab, 40mg/4mL injection, 4mL vial</w:t>
            </w:r>
            <w:r w:rsidRPr="00A03898">
              <w:br/>
              <w:t>Nivolumab, 100mg/10mL injection, 10mL vial</w:t>
            </w:r>
          </w:p>
        </w:tc>
        <w:tc>
          <w:tcPr>
            <w:tcW w:w="1701" w:type="dxa"/>
            <w:vMerge w:val="restart"/>
            <w:shd w:val="clear" w:color="auto" w:fill="auto"/>
            <w:vAlign w:val="center"/>
          </w:tcPr>
          <w:p w14:paraId="0E2637C4" w14:textId="76FCA28C" w:rsidR="00A03898" w:rsidRPr="00A03898" w:rsidDel="00EE2BBB" w:rsidRDefault="00A03898" w:rsidP="00A03898">
            <w:pPr>
              <w:pStyle w:val="Tablewriting"/>
            </w:pPr>
            <w:r w:rsidRPr="00A03898">
              <w:t>480mg</w:t>
            </w:r>
          </w:p>
        </w:tc>
        <w:tc>
          <w:tcPr>
            <w:tcW w:w="850" w:type="dxa"/>
            <w:vMerge w:val="restart"/>
            <w:shd w:val="clear" w:color="auto" w:fill="auto"/>
            <w:vAlign w:val="center"/>
          </w:tcPr>
          <w:p w14:paraId="6B361CAA" w14:textId="54F4BD15" w:rsidR="00A03898" w:rsidRPr="00A03898" w:rsidDel="00EE2BBB" w:rsidRDefault="00A03898" w:rsidP="00A03898">
            <w:pPr>
              <w:pStyle w:val="Tablewriting"/>
            </w:pPr>
            <w:r w:rsidRPr="00A03898">
              <w:t>5</w:t>
            </w:r>
          </w:p>
        </w:tc>
        <w:tc>
          <w:tcPr>
            <w:tcW w:w="1040" w:type="dxa"/>
            <w:vMerge w:val="restart"/>
            <w:shd w:val="clear" w:color="auto" w:fill="auto"/>
            <w:vAlign w:val="center"/>
          </w:tcPr>
          <w:p w14:paraId="15F68405" w14:textId="494AB11B" w:rsidR="00A03898" w:rsidRPr="00A03898" w:rsidDel="00EE2BBB" w:rsidRDefault="00A03898" w:rsidP="00A03898">
            <w:pPr>
              <w:pStyle w:val="Tablewriting"/>
            </w:pPr>
            <w:r w:rsidRPr="00A03898">
              <w:t>$9557.05</w:t>
            </w:r>
          </w:p>
        </w:tc>
        <w:tc>
          <w:tcPr>
            <w:tcW w:w="2104" w:type="dxa"/>
            <w:vMerge w:val="restart"/>
            <w:shd w:val="clear" w:color="auto" w:fill="auto"/>
            <w:vAlign w:val="center"/>
          </w:tcPr>
          <w:p w14:paraId="2D337AC6" w14:textId="646A2AAB" w:rsidR="00A03898" w:rsidRPr="00A03898" w:rsidDel="00EE2BBB" w:rsidRDefault="00A03898" w:rsidP="00A03898">
            <w:pPr>
              <w:pStyle w:val="Tablewriting"/>
            </w:pPr>
            <w:r w:rsidRPr="00A03898">
              <w:t>Opdivo,</w:t>
            </w:r>
            <w:r w:rsidRPr="00A03898">
              <w:br/>
              <w:t>Bristol-Myers Squibb Australia Pty Ltd</w:t>
            </w:r>
          </w:p>
        </w:tc>
      </w:tr>
      <w:tr w:rsidR="00A03898" w:rsidRPr="00A35800" w:rsidDel="00EE2BBB" w14:paraId="5A26F6DA" w14:textId="5F9D4936" w:rsidTr="0093111F">
        <w:trPr>
          <w:trHeight w:val="546"/>
          <w:tblHeader/>
        </w:trPr>
        <w:tc>
          <w:tcPr>
            <w:tcW w:w="969" w:type="dxa"/>
            <w:shd w:val="clear" w:color="auto" w:fill="auto"/>
          </w:tcPr>
          <w:p w14:paraId="76F26606" w14:textId="31ECDD16" w:rsidR="00A03898" w:rsidRPr="00A03898" w:rsidDel="00EE2BBB" w:rsidRDefault="00A03898" w:rsidP="00A03898">
            <w:pPr>
              <w:pStyle w:val="Tablewriting"/>
            </w:pPr>
            <w:r w:rsidRPr="00A03898">
              <w:t>11906P</w:t>
            </w:r>
          </w:p>
        </w:tc>
        <w:tc>
          <w:tcPr>
            <w:tcW w:w="2400" w:type="dxa"/>
            <w:shd w:val="clear" w:color="auto" w:fill="auto"/>
          </w:tcPr>
          <w:p w14:paraId="4C40F7E7" w14:textId="4676539E" w:rsidR="00A03898" w:rsidRPr="00A03898" w:rsidDel="00EE2BBB" w:rsidRDefault="00A03898" w:rsidP="00A03898">
            <w:pPr>
              <w:pStyle w:val="Tablewriting"/>
            </w:pPr>
            <w:r w:rsidRPr="00A03898">
              <w:t>Nivolumab, 40mg/4mL injection, 4mL vial</w:t>
            </w:r>
            <w:r w:rsidRPr="00A03898">
              <w:br/>
              <w:t>Nivolumab, 100mg/10mL injection, 10mL vial</w:t>
            </w:r>
          </w:p>
        </w:tc>
        <w:tc>
          <w:tcPr>
            <w:tcW w:w="1701" w:type="dxa"/>
            <w:vMerge/>
            <w:shd w:val="clear" w:color="auto" w:fill="auto"/>
          </w:tcPr>
          <w:p w14:paraId="73733F58" w14:textId="4781AC0C" w:rsidR="00A03898" w:rsidRPr="00A03898" w:rsidDel="00EE2BBB" w:rsidRDefault="00A03898" w:rsidP="00A03898">
            <w:pPr>
              <w:pStyle w:val="Tablewriting"/>
            </w:pPr>
          </w:p>
        </w:tc>
        <w:tc>
          <w:tcPr>
            <w:tcW w:w="850" w:type="dxa"/>
            <w:vMerge/>
            <w:shd w:val="clear" w:color="auto" w:fill="auto"/>
          </w:tcPr>
          <w:p w14:paraId="2751F86C" w14:textId="54B2195B" w:rsidR="00A03898" w:rsidRPr="00A03898" w:rsidDel="00EE2BBB" w:rsidRDefault="00A03898" w:rsidP="00A03898">
            <w:pPr>
              <w:pStyle w:val="Tablewriting"/>
            </w:pPr>
          </w:p>
        </w:tc>
        <w:tc>
          <w:tcPr>
            <w:tcW w:w="1040" w:type="dxa"/>
            <w:vMerge/>
            <w:shd w:val="clear" w:color="auto" w:fill="auto"/>
          </w:tcPr>
          <w:p w14:paraId="0EB41EFB" w14:textId="15D31850" w:rsidR="00A03898" w:rsidRPr="00A03898" w:rsidDel="00EE2BBB" w:rsidRDefault="00A03898" w:rsidP="00A03898">
            <w:pPr>
              <w:pStyle w:val="Tablewriting"/>
            </w:pPr>
          </w:p>
        </w:tc>
        <w:tc>
          <w:tcPr>
            <w:tcW w:w="2104" w:type="dxa"/>
            <w:vMerge/>
            <w:shd w:val="clear" w:color="auto" w:fill="auto"/>
          </w:tcPr>
          <w:p w14:paraId="2F152B32" w14:textId="53903DBC" w:rsidR="00A03898" w:rsidRPr="00A03898" w:rsidDel="00EE2BBB" w:rsidRDefault="00A03898" w:rsidP="00A03898">
            <w:pPr>
              <w:pStyle w:val="Tablewriting"/>
            </w:pPr>
          </w:p>
        </w:tc>
      </w:tr>
    </w:tbl>
    <w:p w14:paraId="367EBA92" w14:textId="36C84D41" w:rsidR="000E321E" w:rsidRPr="00A35800" w:rsidDel="00EE2BBB" w:rsidRDefault="007408C7" w:rsidP="00BB1D3B">
      <w:pPr>
        <w:pStyle w:val="Notes"/>
      </w:pPr>
      <w:r w:rsidRPr="00A35800" w:rsidDel="00EE2BBB">
        <w:t xml:space="preserve">Source: </w:t>
      </w:r>
      <w:r w:rsidR="001624D7" w:rsidDel="00EE2BBB">
        <w:t xml:space="preserve">the </w:t>
      </w:r>
      <w:hyperlink r:id="rId10" w:history="1">
        <w:r w:rsidR="001624D7" w:rsidRPr="001624D7" w:rsidDel="00EE2BBB">
          <w:rPr>
            <w:rStyle w:val="Hyperlink"/>
          </w:rPr>
          <w:t>PBS website</w:t>
        </w:r>
      </w:hyperlink>
      <w:r w:rsidR="001624D7" w:rsidDel="00EE2BBB">
        <w:t>.</w:t>
      </w:r>
      <w:r w:rsidR="00A03898">
        <w:t xml:space="preserve"> </w:t>
      </w:r>
      <w:r w:rsidR="000E321E">
        <w:t xml:space="preserve">Note: </w:t>
      </w:r>
      <w:r w:rsidR="0080485E" w:rsidRPr="0080485E" w:rsidDel="00EE2BBB">
        <w:t>Special Pricing Arrangement</w:t>
      </w:r>
      <w:r w:rsidR="00A03898">
        <w:t>s apply</w:t>
      </w:r>
      <w:r w:rsidR="0080485E" w:rsidRPr="0080485E" w:rsidDel="00EE2BBB">
        <w:t>.</w:t>
      </w:r>
    </w:p>
    <w:p w14:paraId="65053E38" w14:textId="77777777" w:rsidR="006B1967" w:rsidRDefault="006B1967">
      <w:pPr>
        <w:spacing w:line="276" w:lineRule="auto"/>
        <w:rPr>
          <w:b/>
          <w:i/>
          <w:szCs w:val="28"/>
        </w:rPr>
      </w:pPr>
      <w:r>
        <w:br w:type="page"/>
      </w:r>
    </w:p>
    <w:p w14:paraId="1AFA1485" w14:textId="0DF0AC0E" w:rsidR="004C3186" w:rsidDel="00EE2BBB" w:rsidRDefault="004C3186" w:rsidP="00CF5E22">
      <w:pPr>
        <w:pStyle w:val="Heading3"/>
      </w:pPr>
      <w:r w:rsidDel="00EE2BBB">
        <w:lastRenderedPageBreak/>
        <w:t>Restriction</w:t>
      </w:r>
    </w:p>
    <w:p w14:paraId="154E69D7" w14:textId="77777777" w:rsidR="00A03898" w:rsidRDefault="00A03898" w:rsidP="00A03898">
      <w:r>
        <w:t>Resected Stage IIIB, IIIC, IIID or Stage IV malignant melanoma</w:t>
      </w:r>
    </w:p>
    <w:p w14:paraId="1B5D6AF1" w14:textId="77777777" w:rsidR="00A03898" w:rsidRPr="002D4C66" w:rsidRDefault="00A03898" w:rsidP="00A03898">
      <w:pPr>
        <w:rPr>
          <w:rStyle w:val="Strong"/>
        </w:rPr>
      </w:pPr>
      <w:r w:rsidRPr="002D4C66">
        <w:rPr>
          <w:rStyle w:val="Strong"/>
        </w:rPr>
        <w:t>Treatment Phase: Initial treatment</w:t>
      </w:r>
    </w:p>
    <w:p w14:paraId="230B6038" w14:textId="77777777" w:rsidR="00A03898" w:rsidRDefault="00A03898" w:rsidP="00A03898">
      <w:r>
        <w:t>Clinical criteria;</w:t>
      </w:r>
    </w:p>
    <w:p w14:paraId="5E7FEE7B" w14:textId="7A838828" w:rsidR="00A03898" w:rsidRDefault="00A03898" w:rsidP="00A03898">
      <w:r>
        <w:t>The treatment must be adjuvant to complete surgical resection,</w:t>
      </w:r>
      <w:r>
        <w:br/>
        <w:t>AND</w:t>
      </w:r>
      <w:r>
        <w:br/>
        <w:t>Patient must have a WHO performance status of 1 or less,</w:t>
      </w:r>
      <w:r>
        <w:br/>
        <w:t>AND</w:t>
      </w:r>
      <w:r>
        <w:br/>
        <w:t>The treatment must be the sole PBS-subsidised therapy for this condition,</w:t>
      </w:r>
      <w:r>
        <w:br/>
        <w:t>AND</w:t>
      </w:r>
      <w:r>
        <w:br/>
        <w:t>Patient must not have received prior PBS-subsidised treatment for this condition,</w:t>
      </w:r>
      <w:r>
        <w:br/>
        <w:t>AND</w:t>
      </w:r>
      <w:r>
        <w:br/>
        <w:t>The treatment must commence within 12 weeks of complete resection,</w:t>
      </w:r>
      <w:r>
        <w:br/>
        <w:t>AND</w:t>
      </w:r>
      <w:r>
        <w:br/>
        <w:t>Patient must not receive more than 12 months of combined PBS-subsidised and non-PBS-subsidised adjuvant therapy.</w:t>
      </w:r>
      <w:r>
        <w:br/>
        <w:t>Patients must only receive a maximum of 240 mg every two weeks or 480 mg every four weeks under a weight based or flat dosing regimen.</w:t>
      </w:r>
    </w:p>
    <w:p w14:paraId="40BAC67E" w14:textId="46A24C37" w:rsidR="00A03898" w:rsidRDefault="00A03898" w:rsidP="00A03898">
      <w:r>
        <w:t>Note</w:t>
      </w:r>
      <w:r>
        <w:br/>
        <w:t>In the first few months after start of immunotherapy, some patients can have a transient tumour flare with subsequent disease response. When progression is suspected, this should be confirmed through a confirmatory scan, taken at least 4 weeks later.</w:t>
      </w:r>
    </w:p>
    <w:p w14:paraId="0034DAC6" w14:textId="77777777" w:rsidR="00A03898" w:rsidRPr="002D4C66" w:rsidRDefault="00A03898" w:rsidP="00A03898">
      <w:pPr>
        <w:rPr>
          <w:rStyle w:val="Strong"/>
        </w:rPr>
      </w:pPr>
      <w:r w:rsidRPr="002D4C66">
        <w:rPr>
          <w:rStyle w:val="Strong"/>
        </w:rPr>
        <w:t>Treatment Phase: Continuing treatment</w:t>
      </w:r>
    </w:p>
    <w:p w14:paraId="14C1DA5A" w14:textId="77777777" w:rsidR="00A03898" w:rsidRDefault="00A03898" w:rsidP="00A03898">
      <w:r>
        <w:t>Clinical criteria:</w:t>
      </w:r>
    </w:p>
    <w:p w14:paraId="4D7688EB" w14:textId="68AB9029" w:rsidR="00A03898" w:rsidRDefault="00A03898" w:rsidP="00A03898">
      <w:r>
        <w:t>Patient must have previously been issued with an authority prescription for this drug for adjuvant treatment following complete surgical resection,</w:t>
      </w:r>
      <w:r>
        <w:br/>
        <w:t>AND</w:t>
      </w:r>
      <w:r>
        <w:br/>
        <w:t>Patient must not have experienced disease recurrence,</w:t>
      </w:r>
      <w:r>
        <w:br/>
        <w:t>AND</w:t>
      </w:r>
      <w:r>
        <w:br/>
        <w:t>The treatment must be the sole PBS-subsidised therapy for this condition,</w:t>
      </w:r>
      <w:r>
        <w:br/>
        <w:t>AND</w:t>
      </w:r>
      <w:r>
        <w:br/>
        <w:t>Patient must not receive more than 12 months of combined PBS-subsidised and non-PBS-subsidised adjuvant therapy.</w:t>
      </w:r>
    </w:p>
    <w:p w14:paraId="559A5495" w14:textId="77777777" w:rsidR="00A03898" w:rsidRDefault="00A03898" w:rsidP="00A03898">
      <w:r>
        <w:t>Patients must only receive a maximum of 240 mg every two weeks or 480 mg every four weeks under a weight based or flat dosing regimen.</w:t>
      </w:r>
    </w:p>
    <w:p w14:paraId="22433632" w14:textId="1A554DE7" w:rsidR="006775F1" w:rsidRPr="006775F1" w:rsidDel="00EE2BBB" w:rsidRDefault="006775F1" w:rsidP="00A03898">
      <w:r w:rsidRPr="006775F1" w:rsidDel="00EE2BBB">
        <w:t xml:space="preserve">For </w:t>
      </w:r>
      <w:r w:rsidR="00835337" w:rsidDel="00EE2BBB">
        <w:t xml:space="preserve">details of the current PBS listing refer to the </w:t>
      </w:r>
      <w:hyperlink r:id="rId11" w:history="1">
        <w:r w:rsidR="00835337" w:rsidRPr="00645D51" w:rsidDel="00EE2BBB">
          <w:rPr>
            <w:rStyle w:val="Hyperlink"/>
          </w:rPr>
          <w:t>PBS website</w:t>
        </w:r>
      </w:hyperlink>
      <w:r w:rsidR="00835337" w:rsidDel="00EE2BBB">
        <w:rPr>
          <w:rStyle w:val="Hyperlink"/>
        </w:rPr>
        <w:t>.</w:t>
      </w:r>
    </w:p>
    <w:p w14:paraId="3784EA6F" w14:textId="77777777" w:rsidR="006B1967" w:rsidRDefault="006B1967">
      <w:pPr>
        <w:spacing w:line="276" w:lineRule="auto"/>
        <w:rPr>
          <w:b/>
          <w:i/>
          <w:szCs w:val="28"/>
        </w:rPr>
      </w:pPr>
      <w:r>
        <w:br w:type="page"/>
      </w:r>
    </w:p>
    <w:p w14:paraId="509ADFEB" w14:textId="0F07C107" w:rsidR="009C35F2" w:rsidRDefault="009C35F2" w:rsidP="00CF5E22">
      <w:pPr>
        <w:pStyle w:val="Heading3"/>
      </w:pPr>
      <w:r w:rsidRPr="00675BB1" w:rsidDel="00EE2BBB">
        <w:lastRenderedPageBreak/>
        <w:t>Date of listing on PBS</w:t>
      </w:r>
    </w:p>
    <w:p w14:paraId="506FEA79" w14:textId="1F49D13B" w:rsidR="00E42C11" w:rsidRPr="00AB199C" w:rsidDel="00EE2BBB" w:rsidRDefault="006F7DE2" w:rsidP="002818C2">
      <w:r>
        <w:t>Nivolumab was listed on the PBS for adjuvant therapy of melanoma following</w:t>
      </w:r>
      <w:r w:rsidR="00A03898">
        <w:t xml:space="preserve"> complete</w:t>
      </w:r>
      <w:r>
        <w:t xml:space="preserve"> surgical resection on 1</w:t>
      </w:r>
      <w:r w:rsidR="006B1967">
        <w:rPr>
          <w:vertAlign w:val="superscript"/>
        </w:rPr>
        <w:t xml:space="preserve"> </w:t>
      </w:r>
      <w:r>
        <w:t>March 2020</w:t>
      </w:r>
      <w:r w:rsidR="00E42C11">
        <w:t xml:space="preserve">. </w:t>
      </w:r>
    </w:p>
    <w:p w14:paraId="383E312E" w14:textId="724CF700" w:rsidR="00736041" w:rsidRPr="005E22C2" w:rsidRDefault="00394AEE" w:rsidP="00CF5E22">
      <w:pPr>
        <w:pStyle w:val="Heading2"/>
      </w:pPr>
      <w:r>
        <w:t>Relevant aspects of</w:t>
      </w:r>
      <w:r w:rsidR="00736041" w:rsidRPr="005E22C2">
        <w:t xml:space="preserve"> consideration</w:t>
      </w:r>
      <w:r>
        <w:t xml:space="preserve"> by the Pharmaceutical Benefits Advisory Committee (PBAC)</w:t>
      </w:r>
    </w:p>
    <w:p w14:paraId="44F195F7" w14:textId="2D07880C" w:rsidR="006A44F5" w:rsidRDefault="008C024B" w:rsidP="00A35800">
      <w:r>
        <w:t xml:space="preserve">Nivolumab was considered as adjuvant treatment for melanoma by the PBAC over four submissions. </w:t>
      </w:r>
    </w:p>
    <w:p w14:paraId="252B317F" w14:textId="3C894613" w:rsidR="008C024B" w:rsidRDefault="008C024B" w:rsidP="008C024B">
      <w:pPr>
        <w:rPr>
          <w:b/>
          <w:bCs/>
        </w:rPr>
      </w:pPr>
      <w:r w:rsidRPr="008C024B">
        <w:rPr>
          <w:b/>
          <w:bCs/>
        </w:rPr>
        <w:t xml:space="preserve">July </w:t>
      </w:r>
      <w:r>
        <w:rPr>
          <w:b/>
          <w:bCs/>
        </w:rPr>
        <w:t>2018 PBAC Meeting</w:t>
      </w:r>
    </w:p>
    <w:p w14:paraId="3ED11DD4" w14:textId="301326E0" w:rsidR="002A27CB" w:rsidRDefault="008C024B" w:rsidP="002A27CB">
      <w:r>
        <w:t xml:space="preserve">The first submission for nivolumab requested a listing for adjuvant treatment for completely resected Stage III or Stage IV melanoma on a cost-utility basis compared with observation or interferon alfa 2B. </w:t>
      </w:r>
      <w:r w:rsidR="002A27CB">
        <w:t xml:space="preserve">The submission was considered by DUSC and it was noted that the estimated population was uncertain due to difficulty in estimating disease progression from primary disease incidence, especially as USA data was used to inform assumptions which would likely differ to the Australian population. </w:t>
      </w:r>
    </w:p>
    <w:p w14:paraId="69C72787" w14:textId="67C036A3" w:rsidR="002A27CB" w:rsidRPr="008C024B" w:rsidRDefault="002A27CB" w:rsidP="002A27CB">
      <w:r>
        <w:t xml:space="preserve">The PBAC did not recommend the listing of melanoma due to the high uncertainty in magnitude of clinical benefit, high incremental cost-effectiveness ratio and high financial impact. </w:t>
      </w:r>
    </w:p>
    <w:p w14:paraId="70539E18" w14:textId="37077D3E" w:rsidR="00D94863" w:rsidRDefault="00D94863" w:rsidP="00D94863">
      <w:r>
        <w:t xml:space="preserve">For further details refer to </w:t>
      </w:r>
      <w:r w:rsidRPr="00F65F0D">
        <w:t xml:space="preserve">the </w:t>
      </w:r>
      <w:hyperlink r:id="rId12" w:history="1">
        <w:r w:rsidRPr="008C024B">
          <w:rPr>
            <w:rStyle w:val="Hyperlink"/>
          </w:rPr>
          <w:t>Public Summary Document</w:t>
        </w:r>
      </w:hyperlink>
      <w:r>
        <w:t xml:space="preserve"> </w:t>
      </w:r>
      <w:r w:rsidRPr="00F65F0D">
        <w:t xml:space="preserve">from the </w:t>
      </w:r>
      <w:r w:rsidR="008C024B">
        <w:t>July 2018</w:t>
      </w:r>
      <w:r>
        <w:t xml:space="preserve"> PBAC meeting.</w:t>
      </w:r>
    </w:p>
    <w:p w14:paraId="3B4EB2F5" w14:textId="4964AE81" w:rsidR="008C024B" w:rsidRDefault="008C024B" w:rsidP="008C024B">
      <w:pPr>
        <w:rPr>
          <w:b/>
          <w:bCs/>
        </w:rPr>
      </w:pPr>
      <w:r>
        <w:rPr>
          <w:b/>
          <w:bCs/>
        </w:rPr>
        <w:t>March</w:t>
      </w:r>
      <w:r w:rsidRPr="008C024B">
        <w:rPr>
          <w:b/>
          <w:bCs/>
        </w:rPr>
        <w:t xml:space="preserve"> </w:t>
      </w:r>
      <w:r>
        <w:rPr>
          <w:b/>
          <w:bCs/>
        </w:rPr>
        <w:t>2019 PBAC Meeting</w:t>
      </w:r>
    </w:p>
    <w:p w14:paraId="5534318D" w14:textId="73A2CBC9" w:rsidR="008C024B" w:rsidRDefault="005F0011" w:rsidP="008C024B">
      <w:r>
        <w:t>The second submission revised the sources for the financial estimates and used primarily Australian sources. The PBAC still considered that the estimated financial implications were uncertain, particularly with regards to the cost-offsets, which were not well justified, and the proportion of patients initially diagnosed with Stage I or II disease that experience a disease recurrence with resectable Stage III or Stage IV disease.</w:t>
      </w:r>
    </w:p>
    <w:p w14:paraId="4770D66E" w14:textId="390D02FE" w:rsidR="005F0011" w:rsidRPr="008C024B" w:rsidRDefault="005F0011" w:rsidP="008C024B">
      <w:r w:rsidRPr="005F0011">
        <w:t>The PBAC did not recommend the listing of melanoma due to the high uncertainty in magnitude of clinical benefit, high incremental cost-effectiveness ratio and high financial impact.</w:t>
      </w:r>
    </w:p>
    <w:p w14:paraId="4E5DD22D" w14:textId="721FEF9C" w:rsidR="008C024B" w:rsidRPr="00F65F0D" w:rsidRDefault="008C024B" w:rsidP="008C024B">
      <w:r>
        <w:t xml:space="preserve">For further details refer to </w:t>
      </w:r>
      <w:r w:rsidRPr="00F65F0D">
        <w:t xml:space="preserve">the </w:t>
      </w:r>
      <w:hyperlink r:id="rId13" w:history="1">
        <w:r w:rsidRPr="008C024B">
          <w:rPr>
            <w:rStyle w:val="Hyperlink"/>
          </w:rPr>
          <w:t>Public Summary Document</w:t>
        </w:r>
      </w:hyperlink>
      <w:r>
        <w:t xml:space="preserve"> </w:t>
      </w:r>
      <w:r w:rsidRPr="00F65F0D">
        <w:t xml:space="preserve">from the </w:t>
      </w:r>
      <w:r>
        <w:t>July 2018 PBAC meeting.</w:t>
      </w:r>
    </w:p>
    <w:p w14:paraId="0054EE08" w14:textId="158FE0A7" w:rsidR="008C024B" w:rsidRDefault="008C024B" w:rsidP="008C024B">
      <w:pPr>
        <w:rPr>
          <w:b/>
          <w:bCs/>
        </w:rPr>
      </w:pPr>
      <w:r w:rsidRPr="008C024B">
        <w:rPr>
          <w:b/>
          <w:bCs/>
        </w:rPr>
        <w:t xml:space="preserve">July </w:t>
      </w:r>
      <w:r>
        <w:rPr>
          <w:b/>
          <w:bCs/>
        </w:rPr>
        <w:t>2019 PBAC Meeting</w:t>
      </w:r>
    </w:p>
    <w:p w14:paraId="4BAA180C" w14:textId="6F45D31E" w:rsidR="00003078" w:rsidRDefault="00003078" w:rsidP="008C024B">
      <w:pPr>
        <w:rPr>
          <w:b/>
          <w:bCs/>
        </w:rPr>
      </w:pPr>
      <w:r>
        <w:t xml:space="preserve">The PBAC noted that the estimated financial implications of listing nivolumab on the PBS for use </w:t>
      </w:r>
      <w:r w:rsidR="009D2881">
        <w:t>as an</w:t>
      </w:r>
      <w:r>
        <w:t xml:space="preserve"> adjuvant</w:t>
      </w:r>
      <w:r w:rsidR="009D2881">
        <w:t xml:space="preserve"> in</w:t>
      </w:r>
      <w:r>
        <w:t xml:space="preserve"> melanoma</w:t>
      </w:r>
      <w:r w:rsidR="009D2881">
        <w:t xml:space="preserve"> patients</w:t>
      </w:r>
      <w:r>
        <w:t xml:space="preserve"> had been updated from the March 2019 submission and appeared more reasonable, although noted that the proportion of Stage III patients with completely resectable disease (86%) may have been overestimated.</w:t>
      </w:r>
    </w:p>
    <w:p w14:paraId="553C48AD" w14:textId="374DC73A" w:rsidR="008C024B" w:rsidRPr="008C024B" w:rsidRDefault="00003078" w:rsidP="008C024B">
      <w:r>
        <w:lastRenderedPageBreak/>
        <w:t>The PBAC acknowledged that there was a high unmet clinical need for effective therapies to reduce the risk of recurrence for patients with resected Stage IIIB, IIIC, IIID or Stage IV melanoma. The PBAC deferred making a decision regarding the listing of nivolumab as adjuvant treatment for patients with completely resected Stage IIIB, IIIC, IIID or Stage IV melanoma to allow for further discussions regarding an acceptable price and risk sharing arrangement.</w:t>
      </w:r>
    </w:p>
    <w:p w14:paraId="04BCEF4B" w14:textId="0125962A" w:rsidR="008C024B" w:rsidRPr="00F65F0D" w:rsidRDefault="008C024B" w:rsidP="008C024B">
      <w:r>
        <w:t xml:space="preserve">For further details refer to </w:t>
      </w:r>
      <w:r w:rsidRPr="00F65F0D">
        <w:t xml:space="preserve">the </w:t>
      </w:r>
      <w:hyperlink r:id="rId14" w:history="1">
        <w:r w:rsidRPr="008C024B">
          <w:rPr>
            <w:rStyle w:val="Hyperlink"/>
          </w:rPr>
          <w:t>Public Summary Document</w:t>
        </w:r>
      </w:hyperlink>
      <w:r>
        <w:t xml:space="preserve"> </w:t>
      </w:r>
      <w:r w:rsidRPr="00F65F0D">
        <w:t xml:space="preserve">from the </w:t>
      </w:r>
      <w:r>
        <w:t>July 2018 PBAC meeting.</w:t>
      </w:r>
    </w:p>
    <w:p w14:paraId="5F34B4F6" w14:textId="1A461E16" w:rsidR="008C024B" w:rsidRDefault="008C024B" w:rsidP="008C024B">
      <w:pPr>
        <w:rPr>
          <w:b/>
          <w:bCs/>
        </w:rPr>
      </w:pPr>
      <w:r>
        <w:rPr>
          <w:b/>
          <w:bCs/>
        </w:rPr>
        <w:t>November</w:t>
      </w:r>
      <w:r w:rsidRPr="008C024B">
        <w:rPr>
          <w:b/>
          <w:bCs/>
        </w:rPr>
        <w:t xml:space="preserve"> </w:t>
      </w:r>
      <w:r>
        <w:rPr>
          <w:b/>
          <w:bCs/>
        </w:rPr>
        <w:t>2019 PBAC Meeting</w:t>
      </w:r>
    </w:p>
    <w:p w14:paraId="0EFCF6EE" w14:textId="3370BD61" w:rsidR="002F403D" w:rsidRDefault="002F403D" w:rsidP="008C024B">
      <w:pPr>
        <w:rPr>
          <w:b/>
          <w:bCs/>
        </w:rPr>
      </w:pPr>
      <w:r>
        <w:t>The PBAC recommended the listing of nivolumab for the adjuvant treatment of completely resected Stage IIIB, IIIC, IIID or Stage IV malignant melanoma. The PBAC noted changes made to the economic analysis and considered that the uncertainty surrounding uptake in the adjuvant setting and changes to use in the unresectable or metastatic setting would be managed by subsidisation caps through a Risk Sharing Arrangement (RSA).</w:t>
      </w:r>
    </w:p>
    <w:p w14:paraId="28CDA21F" w14:textId="67D47CA8" w:rsidR="00003078" w:rsidRDefault="00003078" w:rsidP="008C024B">
      <w:r>
        <w:t xml:space="preserve">The PBAC noted that the estimated financial implications of listing nivolumab on the PBS for use </w:t>
      </w:r>
      <w:r w:rsidR="009D2881">
        <w:t xml:space="preserve">as an adjuvant in melanoma patients </w:t>
      </w:r>
      <w:r>
        <w:t xml:space="preserve">had been updated from the July 2019 minor resubmission and considered that the following assumptions were reasonable: </w:t>
      </w:r>
    </w:p>
    <w:p w14:paraId="56D10F1F" w14:textId="77777777" w:rsidR="00003078" w:rsidRPr="00B700FA" w:rsidRDefault="00003078" w:rsidP="00003078">
      <w:pPr>
        <w:pStyle w:val="ListParagraph"/>
        <w:numPr>
          <w:ilvl w:val="0"/>
          <w:numId w:val="8"/>
        </w:numPr>
      </w:pPr>
      <w:r w:rsidRPr="00B700FA">
        <w:t xml:space="preserve">That 81% of Stage III patients would have resectable disease; </w:t>
      </w:r>
    </w:p>
    <w:p w14:paraId="3CA0D676" w14:textId="77777777" w:rsidR="00003078" w:rsidRDefault="00003078" w:rsidP="00003078">
      <w:pPr>
        <w:pStyle w:val="ListParagraph"/>
        <w:numPr>
          <w:ilvl w:val="0"/>
          <w:numId w:val="8"/>
        </w:numPr>
      </w:pPr>
      <w:r w:rsidRPr="00B700FA">
        <w:t>That the uptake rate of PD-1 inhibitors in BRAF mutant patients would be 74.1% in</w:t>
      </w:r>
      <w:r>
        <w:t xml:space="preserve"> the adjuvant setting; and </w:t>
      </w:r>
    </w:p>
    <w:p w14:paraId="040F1B5C" w14:textId="6A1EF591" w:rsidR="008C024B" w:rsidRDefault="00003078" w:rsidP="00003078">
      <w:pPr>
        <w:pStyle w:val="ListParagraph"/>
        <w:numPr>
          <w:ilvl w:val="0"/>
          <w:numId w:val="8"/>
        </w:numPr>
      </w:pPr>
      <w:r>
        <w:t>That the equivalent number of grandfathered patients to receive a full course of treatment on the PBS would be less than 500 in Year 1 of PBS listing</w:t>
      </w:r>
    </w:p>
    <w:p w14:paraId="40BFB895" w14:textId="2BED3553" w:rsidR="002911AD" w:rsidRPr="008C024B" w:rsidRDefault="002911AD" w:rsidP="002911AD">
      <w:r>
        <w:t xml:space="preserve">The sponsor proposed </w:t>
      </w:r>
      <w:r w:rsidR="00F81261">
        <w:t xml:space="preserve">a RSA for patients receiving PD-1 inhibitors across the adjuvant and unresectable or metastatic settings. </w:t>
      </w:r>
    </w:p>
    <w:p w14:paraId="529951AB" w14:textId="212A7B0D" w:rsidR="008C024B" w:rsidRPr="00F65F0D" w:rsidRDefault="008C024B" w:rsidP="008C024B">
      <w:r>
        <w:t xml:space="preserve">For further details refer to </w:t>
      </w:r>
      <w:r w:rsidRPr="00F65F0D">
        <w:t xml:space="preserve">the </w:t>
      </w:r>
      <w:hyperlink r:id="rId15" w:history="1">
        <w:r w:rsidRPr="008C024B">
          <w:rPr>
            <w:rStyle w:val="Hyperlink"/>
          </w:rPr>
          <w:t>Public Summary Document</w:t>
        </w:r>
      </w:hyperlink>
      <w:r>
        <w:t xml:space="preserve"> </w:t>
      </w:r>
      <w:r w:rsidRPr="00F65F0D">
        <w:t xml:space="preserve">from the </w:t>
      </w:r>
      <w:r>
        <w:t>July 2018 PBAC meeting.</w:t>
      </w:r>
    </w:p>
    <w:p w14:paraId="72C2CA24" w14:textId="4698B4A0" w:rsidR="000F2F51" w:rsidRDefault="00ED633B" w:rsidP="00CF5E22">
      <w:pPr>
        <w:pStyle w:val="Heading2"/>
      </w:pPr>
      <w:r>
        <w:t>A</w:t>
      </w:r>
      <w:r w:rsidR="000F2F51">
        <w:t xml:space="preserve">pproach </w:t>
      </w:r>
      <w:r>
        <w:t xml:space="preserve">taken to </w:t>
      </w:r>
      <w:r w:rsidR="000F2F51">
        <w:t>estimat</w:t>
      </w:r>
      <w:r>
        <w:t>e</w:t>
      </w:r>
      <w:r w:rsidR="000F2F51">
        <w:t xml:space="preserve"> utilisation</w:t>
      </w:r>
    </w:p>
    <w:p w14:paraId="6B56460C" w14:textId="4B2D8948" w:rsidR="008B53B9" w:rsidRDefault="008B53B9" w:rsidP="008B53B9">
      <w:r>
        <w:t xml:space="preserve">An epidemiological approach was taken to estimate </w:t>
      </w:r>
      <w:r w:rsidR="00B67F14">
        <w:t xml:space="preserve">the </w:t>
      </w:r>
      <w:r>
        <w:t xml:space="preserve">utilisation of nivolumab </w:t>
      </w:r>
      <w:r w:rsidR="009D2881">
        <w:t xml:space="preserve">as an adjuvant </w:t>
      </w:r>
      <w:r w:rsidR="00AE7035">
        <w:t xml:space="preserve">treatment </w:t>
      </w:r>
      <w:r w:rsidR="009D2881">
        <w:t>in melanoma patients</w:t>
      </w:r>
      <w:r>
        <w:t xml:space="preserve">. The incidence of melanoma was estimated from the Australian Cancer Incidence and Mortality book published by the Australian Institute of Health and Welfare </w:t>
      </w:r>
      <w:r w:rsidR="00B67F14">
        <w:t xml:space="preserve">(AIHW) </w:t>
      </w:r>
      <w:r>
        <w:t xml:space="preserve">and the proportion of these patients diagnosed </w:t>
      </w:r>
      <w:r w:rsidR="00F24D39">
        <w:t>at different stages</w:t>
      </w:r>
      <w:r>
        <w:t xml:space="preserve"> were estimated using data from Cancer Australia’s National Cancer Control Indicators. </w:t>
      </w:r>
      <w:r w:rsidR="00F24D39">
        <w:t>The number of patients experienc</w:t>
      </w:r>
      <w:r w:rsidR="00B67F14">
        <w:t>ing</w:t>
      </w:r>
      <w:r w:rsidR="00F24D39">
        <w:t xml:space="preserve"> disease progression from the various stages of melanoma was estimated </w:t>
      </w:r>
      <w:r w:rsidR="00B67F14">
        <w:t>using</w:t>
      </w:r>
      <w:r w:rsidR="00F24D39">
        <w:t xml:space="preserve"> an epidemiological model </w:t>
      </w:r>
      <w:r w:rsidR="00071F7A">
        <w:t>based on the proportion of patients diagnosed at stages I and II who would progress to treatment as indicated in the DUSC 2017 report on melanoma</w:t>
      </w:r>
      <w:r w:rsidR="00B67F14">
        <w:t>.</w:t>
      </w:r>
      <w:r w:rsidR="00071F7A">
        <w:t xml:space="preserve"> </w:t>
      </w:r>
      <w:r w:rsidR="00B67F14">
        <w:t>P</w:t>
      </w:r>
      <w:r w:rsidR="00071F7A">
        <w:t xml:space="preserve">atients with completely resectable disease was estimated based on a clinician survey and taking into account PBAC comments from the July 2019 submission. This represented the total eligible pool of patients for adjuvant therapy and a further input was applied to establish the number of patients with </w:t>
      </w:r>
      <w:r w:rsidR="00071F7A">
        <w:lastRenderedPageBreak/>
        <w:t>the BRAF</w:t>
      </w:r>
      <w:r w:rsidR="007B7BF8">
        <w:t xml:space="preserve"> V600 variant who would have a reduced uptake rate of nivolumab compared to the wild-type variant with supporting data from a clinician survey. Grandfathered patients were also added to the first year estimates. </w:t>
      </w:r>
    </w:p>
    <w:p w14:paraId="6FE9CF47" w14:textId="10A44664" w:rsidR="00F34C01" w:rsidRDefault="00F34C01" w:rsidP="00F34C01">
      <w:pPr>
        <w:pStyle w:val="Tabletitle"/>
      </w:pPr>
      <w:r>
        <w:t xml:space="preserve">Table 2: Summary of key inputs for </w:t>
      </w:r>
      <w:r w:rsidR="001E2263">
        <w:t>estimates</w:t>
      </w:r>
      <w:r w:rsidR="002C2F51">
        <w:t xml:space="preserve"> of the November 2019 submission</w:t>
      </w:r>
      <w:r w:rsidR="001E2263">
        <w:t>.</w:t>
      </w:r>
      <w:r w:rsidR="002C2F51">
        <w:t xml:space="preserve"> </w:t>
      </w:r>
    </w:p>
    <w:tbl>
      <w:tblPr>
        <w:tblStyle w:val="TableGrid"/>
        <w:tblW w:w="6237" w:type="dxa"/>
        <w:tblLook w:val="04A0" w:firstRow="1" w:lastRow="0" w:firstColumn="1" w:lastColumn="0" w:noHBand="0" w:noVBand="1"/>
      </w:tblPr>
      <w:tblGrid>
        <w:gridCol w:w="5245"/>
        <w:gridCol w:w="992"/>
      </w:tblGrid>
      <w:tr w:rsidR="00F34C01" w:rsidRPr="00F34C01" w14:paraId="406F498C" w14:textId="77777777" w:rsidTr="00F34C01">
        <w:trPr>
          <w:trHeight w:val="255"/>
        </w:trPr>
        <w:tc>
          <w:tcPr>
            <w:tcW w:w="5245" w:type="dxa"/>
            <w:shd w:val="clear" w:color="auto" w:fill="BFBFBF" w:themeFill="background1" w:themeFillShade="BF"/>
            <w:noWrap/>
            <w:hideMark/>
          </w:tcPr>
          <w:p w14:paraId="17263D86" w14:textId="77777777" w:rsidR="00F34C01" w:rsidRPr="00F34C01" w:rsidRDefault="00F34C01" w:rsidP="00F34C01">
            <w:pPr>
              <w:pStyle w:val="Tablewriting"/>
              <w:jc w:val="center"/>
              <w:rPr>
                <w:b/>
                <w:bCs/>
              </w:rPr>
            </w:pPr>
            <w:r w:rsidRPr="00F34C01">
              <w:rPr>
                <w:b/>
                <w:bCs/>
              </w:rPr>
              <w:t>Patient population size assumptions</w:t>
            </w:r>
          </w:p>
        </w:tc>
        <w:tc>
          <w:tcPr>
            <w:tcW w:w="992" w:type="dxa"/>
            <w:shd w:val="clear" w:color="auto" w:fill="BFBFBF" w:themeFill="background1" w:themeFillShade="BF"/>
            <w:noWrap/>
            <w:hideMark/>
          </w:tcPr>
          <w:p w14:paraId="3112FC8C" w14:textId="29C53C99" w:rsidR="00F34C01" w:rsidRPr="00F34C01" w:rsidRDefault="0052124D" w:rsidP="00F34C01">
            <w:pPr>
              <w:pStyle w:val="Tablewriting"/>
              <w:jc w:val="center"/>
              <w:rPr>
                <w:b/>
                <w:bCs/>
              </w:rPr>
            </w:pPr>
            <w:r>
              <w:rPr>
                <w:b/>
                <w:bCs/>
              </w:rPr>
              <w:t>Per Year</w:t>
            </w:r>
          </w:p>
        </w:tc>
      </w:tr>
      <w:tr w:rsidR="00F34C01" w:rsidRPr="00F34C01" w14:paraId="38522871" w14:textId="77777777" w:rsidTr="002C2F51">
        <w:trPr>
          <w:trHeight w:val="107"/>
        </w:trPr>
        <w:tc>
          <w:tcPr>
            <w:tcW w:w="5245" w:type="dxa"/>
            <w:hideMark/>
          </w:tcPr>
          <w:p w14:paraId="08654CAA" w14:textId="77777777" w:rsidR="00F34C01" w:rsidRPr="002C2F51" w:rsidRDefault="00F34C01" w:rsidP="002C2F51">
            <w:pPr>
              <w:pStyle w:val="Tablewriting"/>
              <w:spacing w:before="0" w:after="0"/>
            </w:pPr>
            <w:r w:rsidRPr="002C2F51">
              <w:t>Incident population newly diagnosed melanoma</w:t>
            </w:r>
          </w:p>
        </w:tc>
        <w:tc>
          <w:tcPr>
            <w:tcW w:w="992" w:type="dxa"/>
            <w:noWrap/>
            <w:hideMark/>
          </w:tcPr>
          <w:p w14:paraId="313AD034" w14:textId="7517DFF9" w:rsidR="00F34C01" w:rsidRPr="00F515ED" w:rsidRDefault="00316B73" w:rsidP="002C2F51">
            <w:pPr>
              <w:pStyle w:val="Tablewriting"/>
              <w:spacing w:before="0" w:after="0"/>
              <w:rPr>
                <w:highlight w:val="yellow"/>
              </w:rPr>
            </w:pPr>
            <w:r w:rsidRPr="00316B73">
              <w:rPr>
                <w:highlight w:val="black"/>
              </w:rPr>
              <w:t>Xxxxxxxx</w:t>
            </w:r>
          </w:p>
        </w:tc>
      </w:tr>
      <w:tr w:rsidR="00F34C01" w:rsidRPr="00F34C01" w14:paraId="4637FA00" w14:textId="77777777" w:rsidTr="00F34C01">
        <w:trPr>
          <w:trHeight w:val="255"/>
        </w:trPr>
        <w:tc>
          <w:tcPr>
            <w:tcW w:w="5245" w:type="dxa"/>
            <w:hideMark/>
          </w:tcPr>
          <w:p w14:paraId="42E650D1" w14:textId="5034C238" w:rsidR="00F34C01" w:rsidRPr="002C2F51" w:rsidRDefault="00F34C01" w:rsidP="002C2F51">
            <w:pPr>
              <w:pStyle w:val="Tablewriting"/>
              <w:spacing w:before="0" w:after="0"/>
            </w:pPr>
            <w:r w:rsidRPr="002C2F51">
              <w:t>Stage III 3.0%, based on NCCI (2011)</w:t>
            </w:r>
          </w:p>
        </w:tc>
        <w:tc>
          <w:tcPr>
            <w:tcW w:w="992" w:type="dxa"/>
            <w:noWrap/>
            <w:hideMark/>
          </w:tcPr>
          <w:p w14:paraId="18B72CA2" w14:textId="30836534" w:rsidR="00F34C01" w:rsidRPr="00F515ED" w:rsidRDefault="00316B73" w:rsidP="002C2F51">
            <w:pPr>
              <w:pStyle w:val="Tablewriting"/>
              <w:spacing w:before="0" w:after="0"/>
              <w:rPr>
                <w:highlight w:val="yellow"/>
              </w:rPr>
            </w:pPr>
            <w:r w:rsidRPr="00316B73">
              <w:rPr>
                <w:highlight w:val="black"/>
              </w:rPr>
              <w:t>Xxxxxxxx</w:t>
            </w:r>
          </w:p>
        </w:tc>
      </w:tr>
      <w:tr w:rsidR="00F34C01" w:rsidRPr="00F34C01" w14:paraId="068E0554" w14:textId="77777777" w:rsidTr="00F34C01">
        <w:trPr>
          <w:trHeight w:val="255"/>
        </w:trPr>
        <w:tc>
          <w:tcPr>
            <w:tcW w:w="5245" w:type="dxa"/>
            <w:hideMark/>
          </w:tcPr>
          <w:p w14:paraId="6C7E9FD9" w14:textId="67A6470D" w:rsidR="00F34C01" w:rsidRPr="002C2F51" w:rsidRDefault="00F34C01" w:rsidP="002C2F51">
            <w:pPr>
              <w:pStyle w:val="Tablewriting"/>
              <w:spacing w:before="0" w:after="0"/>
            </w:pPr>
            <w:r w:rsidRPr="002C2F51">
              <w:t>Stage IV 2.1%, based on NCCI (2011)</w:t>
            </w:r>
          </w:p>
        </w:tc>
        <w:tc>
          <w:tcPr>
            <w:tcW w:w="992" w:type="dxa"/>
            <w:noWrap/>
            <w:hideMark/>
          </w:tcPr>
          <w:p w14:paraId="50C73D78" w14:textId="63ABC175" w:rsidR="00F34C01" w:rsidRPr="00F515ED" w:rsidRDefault="00316B73" w:rsidP="002C2F51">
            <w:pPr>
              <w:pStyle w:val="Tablewriting"/>
              <w:spacing w:before="0" w:after="0"/>
              <w:rPr>
                <w:highlight w:val="yellow"/>
              </w:rPr>
            </w:pPr>
            <w:r w:rsidRPr="00316B73">
              <w:rPr>
                <w:highlight w:val="black"/>
              </w:rPr>
              <w:t>Xxxxxxxx</w:t>
            </w:r>
          </w:p>
        </w:tc>
      </w:tr>
      <w:tr w:rsidR="00F34C01" w:rsidRPr="00F34C01" w14:paraId="7EA3BE6B" w14:textId="77777777" w:rsidTr="002C2F51">
        <w:trPr>
          <w:trHeight w:val="69"/>
        </w:trPr>
        <w:tc>
          <w:tcPr>
            <w:tcW w:w="5245" w:type="dxa"/>
            <w:hideMark/>
          </w:tcPr>
          <w:p w14:paraId="116F2E1A" w14:textId="37E895CF" w:rsidR="00F34C01" w:rsidRPr="002C2F51" w:rsidRDefault="00F34C01" w:rsidP="002C2F51">
            <w:pPr>
              <w:pStyle w:val="Tablewriting"/>
              <w:spacing w:before="0" w:after="0"/>
            </w:pPr>
            <w:r w:rsidRPr="002C2F51">
              <w:t>92.1% Stage I/II disease, based on NCCI (2011)</w:t>
            </w:r>
          </w:p>
        </w:tc>
        <w:tc>
          <w:tcPr>
            <w:tcW w:w="992" w:type="dxa"/>
            <w:noWrap/>
            <w:hideMark/>
          </w:tcPr>
          <w:p w14:paraId="714852F7" w14:textId="071DB1E4" w:rsidR="004E7BC1" w:rsidRPr="00F515ED" w:rsidRDefault="00316B73" w:rsidP="002C2F51">
            <w:pPr>
              <w:pStyle w:val="Tablewriting"/>
              <w:spacing w:before="0" w:after="0"/>
              <w:rPr>
                <w:highlight w:val="yellow"/>
              </w:rPr>
            </w:pPr>
            <w:r w:rsidRPr="00316B73">
              <w:rPr>
                <w:highlight w:val="black"/>
              </w:rPr>
              <w:t>Xxxxxxxx</w:t>
            </w:r>
          </w:p>
        </w:tc>
      </w:tr>
      <w:tr w:rsidR="00F34C01" w:rsidRPr="00F34C01" w14:paraId="0D8DFF3F" w14:textId="77777777" w:rsidTr="002C2F51">
        <w:trPr>
          <w:trHeight w:val="69"/>
        </w:trPr>
        <w:tc>
          <w:tcPr>
            <w:tcW w:w="5245" w:type="dxa"/>
            <w:hideMark/>
          </w:tcPr>
          <w:p w14:paraId="6ACD1644" w14:textId="77777777" w:rsidR="00F34C01" w:rsidRPr="002C2F51" w:rsidRDefault="00F34C01" w:rsidP="002C2F51">
            <w:pPr>
              <w:pStyle w:val="Tablewriting"/>
              <w:spacing w:before="0" w:after="0"/>
            </w:pPr>
            <w:r w:rsidRPr="002C2F51">
              <w:t>% patients that progress from Stage I/II to Stage III/IV disease</w:t>
            </w:r>
          </w:p>
        </w:tc>
        <w:tc>
          <w:tcPr>
            <w:tcW w:w="992" w:type="dxa"/>
            <w:noWrap/>
            <w:hideMark/>
          </w:tcPr>
          <w:p w14:paraId="58DC113C" w14:textId="06314104" w:rsidR="00F34C01" w:rsidRPr="00F515ED" w:rsidRDefault="00316B73" w:rsidP="002C2F51">
            <w:pPr>
              <w:pStyle w:val="Tablewriting"/>
              <w:spacing w:before="0" w:after="0"/>
              <w:rPr>
                <w:highlight w:val="yellow"/>
              </w:rPr>
            </w:pPr>
            <w:r w:rsidRPr="00316B73">
              <w:rPr>
                <w:highlight w:val="black"/>
              </w:rPr>
              <w:t>Xxxxxxxx</w:t>
            </w:r>
          </w:p>
        </w:tc>
      </w:tr>
      <w:tr w:rsidR="00F34C01" w:rsidRPr="00F34C01" w14:paraId="114EE10C" w14:textId="77777777" w:rsidTr="002C2F51">
        <w:trPr>
          <w:trHeight w:val="69"/>
        </w:trPr>
        <w:tc>
          <w:tcPr>
            <w:tcW w:w="5245" w:type="dxa"/>
            <w:hideMark/>
          </w:tcPr>
          <w:p w14:paraId="25C71A35" w14:textId="271CF040" w:rsidR="00F34C01" w:rsidRPr="002C2F51" w:rsidRDefault="00F34C01" w:rsidP="002C2F51">
            <w:pPr>
              <w:pStyle w:val="Tablewriting"/>
              <w:spacing w:before="0" w:after="0"/>
            </w:pPr>
            <w:r w:rsidRPr="002C2F51">
              <w:t>% patients with completely resectable Stage III disease</w:t>
            </w:r>
          </w:p>
        </w:tc>
        <w:tc>
          <w:tcPr>
            <w:tcW w:w="992" w:type="dxa"/>
            <w:noWrap/>
            <w:hideMark/>
          </w:tcPr>
          <w:p w14:paraId="624522A4" w14:textId="7623A00C" w:rsidR="00F34C01" w:rsidRPr="00F515ED" w:rsidRDefault="00316B73" w:rsidP="002C2F51">
            <w:pPr>
              <w:pStyle w:val="Tablewriting"/>
              <w:spacing w:before="0" w:after="0"/>
              <w:rPr>
                <w:highlight w:val="yellow"/>
              </w:rPr>
            </w:pPr>
            <w:r w:rsidRPr="00316B73">
              <w:rPr>
                <w:highlight w:val="black"/>
              </w:rPr>
              <w:t>Xxxxxxxx</w:t>
            </w:r>
          </w:p>
        </w:tc>
      </w:tr>
      <w:tr w:rsidR="00F34C01" w:rsidRPr="00F34C01" w14:paraId="2ADB320F" w14:textId="77777777" w:rsidTr="002C2F51">
        <w:trPr>
          <w:trHeight w:val="69"/>
        </w:trPr>
        <w:tc>
          <w:tcPr>
            <w:tcW w:w="5245" w:type="dxa"/>
            <w:hideMark/>
          </w:tcPr>
          <w:p w14:paraId="79A0E23F" w14:textId="7F7A0A12" w:rsidR="00F34C01" w:rsidRPr="002C2F51" w:rsidRDefault="00F34C01" w:rsidP="002C2F51">
            <w:pPr>
              <w:pStyle w:val="Tablewriting"/>
              <w:spacing w:before="0" w:after="0"/>
            </w:pPr>
            <w:r w:rsidRPr="002C2F51">
              <w:t>% patients with completely resectable Stage IV disease</w:t>
            </w:r>
          </w:p>
        </w:tc>
        <w:tc>
          <w:tcPr>
            <w:tcW w:w="992" w:type="dxa"/>
            <w:noWrap/>
            <w:hideMark/>
          </w:tcPr>
          <w:p w14:paraId="2C148912" w14:textId="040BF4E6" w:rsidR="00F34C01" w:rsidRPr="00F515ED" w:rsidRDefault="00316B73" w:rsidP="002C2F51">
            <w:pPr>
              <w:pStyle w:val="Tablewriting"/>
              <w:spacing w:before="0" w:after="0"/>
              <w:rPr>
                <w:highlight w:val="yellow"/>
              </w:rPr>
            </w:pPr>
            <w:r w:rsidRPr="00316B73">
              <w:rPr>
                <w:highlight w:val="black"/>
              </w:rPr>
              <w:t>Xxxxxxxx</w:t>
            </w:r>
          </w:p>
        </w:tc>
      </w:tr>
      <w:tr w:rsidR="00F34C01" w:rsidRPr="00F34C01" w14:paraId="056CDE17" w14:textId="77777777" w:rsidTr="002C2F51">
        <w:trPr>
          <w:trHeight w:val="69"/>
        </w:trPr>
        <w:tc>
          <w:tcPr>
            <w:tcW w:w="5245" w:type="dxa"/>
            <w:hideMark/>
          </w:tcPr>
          <w:p w14:paraId="7D201DCC" w14:textId="1F9821EC" w:rsidR="00F34C01" w:rsidRPr="002C2F51" w:rsidRDefault="00F34C01" w:rsidP="002C2F51">
            <w:pPr>
              <w:pStyle w:val="Tablewriting"/>
              <w:spacing w:before="0" w:after="0"/>
            </w:pPr>
            <w:r w:rsidRPr="002C2F51">
              <w:t>% of Stage III patients that are subgroup Stage IIIA</w:t>
            </w:r>
          </w:p>
        </w:tc>
        <w:tc>
          <w:tcPr>
            <w:tcW w:w="992" w:type="dxa"/>
            <w:noWrap/>
            <w:hideMark/>
          </w:tcPr>
          <w:p w14:paraId="542408A7" w14:textId="291C6F38" w:rsidR="00F34C01" w:rsidRPr="00F515ED" w:rsidRDefault="00316B73" w:rsidP="002C2F51">
            <w:pPr>
              <w:pStyle w:val="Tablewriting"/>
              <w:spacing w:before="0" w:after="0"/>
              <w:rPr>
                <w:highlight w:val="yellow"/>
              </w:rPr>
            </w:pPr>
            <w:r w:rsidRPr="00316B73">
              <w:rPr>
                <w:highlight w:val="black"/>
              </w:rPr>
              <w:t>Xxxxxxxx</w:t>
            </w:r>
          </w:p>
        </w:tc>
      </w:tr>
      <w:tr w:rsidR="00F34C01" w:rsidRPr="00F34C01" w14:paraId="5141494B" w14:textId="77777777" w:rsidTr="002C2F51">
        <w:trPr>
          <w:trHeight w:val="69"/>
        </w:trPr>
        <w:tc>
          <w:tcPr>
            <w:tcW w:w="5245" w:type="dxa"/>
            <w:hideMark/>
          </w:tcPr>
          <w:p w14:paraId="4902991A" w14:textId="7982A40A" w:rsidR="00F34C01" w:rsidRPr="002C2F51" w:rsidRDefault="00F34C01" w:rsidP="002C2F51">
            <w:pPr>
              <w:pStyle w:val="Tablewriting"/>
              <w:spacing w:before="0" w:after="0"/>
            </w:pPr>
            <w:r w:rsidRPr="002C2F51">
              <w:t>Treatment uptake rate</w:t>
            </w:r>
          </w:p>
        </w:tc>
        <w:tc>
          <w:tcPr>
            <w:tcW w:w="992" w:type="dxa"/>
            <w:noWrap/>
            <w:hideMark/>
          </w:tcPr>
          <w:p w14:paraId="03B8527D" w14:textId="3789E90F" w:rsidR="00F34C01" w:rsidRPr="00F515ED" w:rsidRDefault="00316B73" w:rsidP="002C2F51">
            <w:pPr>
              <w:pStyle w:val="Tablewriting"/>
              <w:spacing w:before="0" w:after="0"/>
              <w:rPr>
                <w:highlight w:val="yellow"/>
              </w:rPr>
            </w:pPr>
            <w:r w:rsidRPr="00316B73">
              <w:rPr>
                <w:highlight w:val="black"/>
              </w:rPr>
              <w:t>Xxxxxxxx</w:t>
            </w:r>
          </w:p>
        </w:tc>
      </w:tr>
      <w:tr w:rsidR="00F34C01" w:rsidRPr="00F34C01" w14:paraId="5BD4A6E0" w14:textId="77777777" w:rsidTr="00F34C01">
        <w:trPr>
          <w:trHeight w:val="255"/>
        </w:trPr>
        <w:tc>
          <w:tcPr>
            <w:tcW w:w="5245" w:type="dxa"/>
            <w:hideMark/>
          </w:tcPr>
          <w:p w14:paraId="2EE62856" w14:textId="6E9C089B" w:rsidR="00F34C01" w:rsidRPr="002C2F51" w:rsidRDefault="00F34C01" w:rsidP="002C2F51">
            <w:pPr>
              <w:pStyle w:val="Tablewriting"/>
              <w:spacing w:before="0" w:after="0"/>
            </w:pPr>
            <w:r w:rsidRPr="002C2F51">
              <w:t>% BRAF MT</w:t>
            </w:r>
          </w:p>
        </w:tc>
        <w:tc>
          <w:tcPr>
            <w:tcW w:w="992" w:type="dxa"/>
            <w:noWrap/>
            <w:hideMark/>
          </w:tcPr>
          <w:p w14:paraId="4EA645E8" w14:textId="1B4626CB" w:rsidR="00F34C01" w:rsidRPr="00F515ED" w:rsidRDefault="00316B73" w:rsidP="002C2F51">
            <w:pPr>
              <w:pStyle w:val="Tablewriting"/>
              <w:spacing w:before="0" w:after="0"/>
              <w:rPr>
                <w:highlight w:val="yellow"/>
              </w:rPr>
            </w:pPr>
            <w:r w:rsidRPr="00316B73">
              <w:rPr>
                <w:highlight w:val="black"/>
              </w:rPr>
              <w:t>Xxxxxxxx</w:t>
            </w:r>
          </w:p>
        </w:tc>
      </w:tr>
      <w:tr w:rsidR="00F34C01" w:rsidRPr="00F34C01" w14:paraId="29156285" w14:textId="77777777" w:rsidTr="00F34C01">
        <w:trPr>
          <w:trHeight w:val="255"/>
        </w:trPr>
        <w:tc>
          <w:tcPr>
            <w:tcW w:w="5245" w:type="dxa"/>
            <w:hideMark/>
          </w:tcPr>
          <w:p w14:paraId="4A30CE68" w14:textId="159AF5B5" w:rsidR="00F34C01" w:rsidRPr="002C2F51" w:rsidRDefault="00F34C01" w:rsidP="002C2F51">
            <w:pPr>
              <w:pStyle w:val="Tablewriting"/>
              <w:spacing w:before="0" w:after="0"/>
            </w:pPr>
            <w:r w:rsidRPr="002C2F51">
              <w:t>Uptake PD-1 therapy in BRAF MT eligible patients</w:t>
            </w:r>
          </w:p>
        </w:tc>
        <w:tc>
          <w:tcPr>
            <w:tcW w:w="992" w:type="dxa"/>
            <w:noWrap/>
            <w:hideMark/>
          </w:tcPr>
          <w:p w14:paraId="4D6B5129" w14:textId="5C2A4000" w:rsidR="00F34C01" w:rsidRPr="00F515ED" w:rsidRDefault="00316B73" w:rsidP="002C2F51">
            <w:pPr>
              <w:pStyle w:val="Tablewriting"/>
              <w:spacing w:before="0" w:after="0"/>
              <w:rPr>
                <w:highlight w:val="yellow"/>
              </w:rPr>
            </w:pPr>
            <w:r w:rsidRPr="00316B73">
              <w:rPr>
                <w:highlight w:val="black"/>
              </w:rPr>
              <w:t>Xxxxxxxx</w:t>
            </w:r>
          </w:p>
        </w:tc>
      </w:tr>
      <w:tr w:rsidR="00F34C01" w:rsidRPr="00F34C01" w14:paraId="2A642AD4" w14:textId="77777777" w:rsidTr="00F34C01">
        <w:trPr>
          <w:trHeight w:val="255"/>
        </w:trPr>
        <w:tc>
          <w:tcPr>
            <w:tcW w:w="5245" w:type="dxa"/>
            <w:hideMark/>
          </w:tcPr>
          <w:p w14:paraId="0CB8EB59" w14:textId="5C3BD5BF" w:rsidR="00F34C01" w:rsidRPr="002C2F51" w:rsidRDefault="00F34C01" w:rsidP="002C2F51">
            <w:pPr>
              <w:pStyle w:val="Tablewriting"/>
              <w:spacing w:before="0" w:after="0"/>
            </w:pPr>
            <w:r w:rsidRPr="002C2F51">
              <w:t xml:space="preserve">Total </w:t>
            </w:r>
            <w:r w:rsidR="002C2F51">
              <w:t xml:space="preserve">new </w:t>
            </w:r>
            <w:r w:rsidRPr="002C2F51">
              <w:t>patients treated with PD-1 for AdjMEL</w:t>
            </w:r>
          </w:p>
        </w:tc>
        <w:tc>
          <w:tcPr>
            <w:tcW w:w="992" w:type="dxa"/>
            <w:noWrap/>
            <w:hideMark/>
          </w:tcPr>
          <w:p w14:paraId="2D29746C" w14:textId="259F7D19" w:rsidR="00F34C01" w:rsidRPr="00F515ED" w:rsidRDefault="00316B73" w:rsidP="002C2F51">
            <w:pPr>
              <w:pStyle w:val="Tablewriting"/>
              <w:spacing w:before="0" w:after="0"/>
              <w:rPr>
                <w:highlight w:val="yellow"/>
              </w:rPr>
            </w:pPr>
            <w:r w:rsidRPr="00316B73">
              <w:rPr>
                <w:highlight w:val="black"/>
              </w:rPr>
              <w:t>xxxxxxxx</w:t>
            </w:r>
          </w:p>
        </w:tc>
      </w:tr>
    </w:tbl>
    <w:p w14:paraId="24C636FD" w14:textId="77777777" w:rsidR="00F34C01" w:rsidRPr="008B53B9" w:rsidRDefault="00F34C01" w:rsidP="008B53B9"/>
    <w:p w14:paraId="0DEBD50F" w14:textId="69B931E7" w:rsidR="00094DCF" w:rsidRDefault="00ED633B" w:rsidP="00CF5E22">
      <w:pPr>
        <w:pStyle w:val="Heading2"/>
      </w:pPr>
      <w:r>
        <w:t xml:space="preserve">Previous reviews by </w:t>
      </w:r>
      <w:r w:rsidR="00177B86">
        <w:t xml:space="preserve">the </w:t>
      </w:r>
      <w:r>
        <w:t>DUSC</w:t>
      </w:r>
    </w:p>
    <w:p w14:paraId="406D1289" w14:textId="2AD630EC" w:rsidR="00ED633B" w:rsidRDefault="00A562E8" w:rsidP="00A35800">
      <w:r>
        <w:t xml:space="preserve">Nivolumab has been reviewed previously by DUSC for non-small cell lung cancer (June 2020), renal cell carcinoma (June 2020) and in combination with ipilimumab for Stage IV clear cell variant renal cell carcinoma (October 2021). </w:t>
      </w:r>
    </w:p>
    <w:p w14:paraId="47F5A1DE" w14:textId="3CD79D08" w:rsidR="00A562E8" w:rsidRDefault="00A562E8" w:rsidP="00A35800">
      <w:r>
        <w:t xml:space="preserve">Melanoma listings for molecularly targeted drugs and </w:t>
      </w:r>
      <w:r w:rsidR="00BE1000">
        <w:t xml:space="preserve">immunotherapies were also reviewed by DUSC in October 2018 however at the time there were no listings for adjuvant therapies. </w:t>
      </w:r>
    </w:p>
    <w:p w14:paraId="5C143877" w14:textId="669A3996" w:rsidR="00E371EA" w:rsidRPr="00ED633B" w:rsidRDefault="009D1ED5" w:rsidP="00A35800">
      <w:r>
        <w:t xml:space="preserve">For details of the DUSC </w:t>
      </w:r>
      <w:r w:rsidR="00BE1000">
        <w:t>reviews</w:t>
      </w:r>
      <w:r>
        <w:t xml:space="preserve"> refer to the </w:t>
      </w:r>
      <w:hyperlink r:id="rId16" w:history="1">
        <w:r w:rsidRPr="00BE1000">
          <w:rPr>
            <w:rStyle w:val="Hyperlink"/>
          </w:rPr>
          <w:t>Public Release Document</w:t>
        </w:r>
        <w:r w:rsidR="00BE1000" w:rsidRPr="00BE1000">
          <w:rPr>
            <w:rStyle w:val="Hyperlink"/>
          </w:rPr>
          <w:t>s</w:t>
        </w:r>
      </w:hyperlink>
      <w:r>
        <w:t>.</w:t>
      </w:r>
    </w:p>
    <w:p w14:paraId="0312FFEC" w14:textId="5C6A9662" w:rsidR="00E677DD" w:rsidRPr="005E22C2" w:rsidRDefault="00E677DD" w:rsidP="00CF5E22">
      <w:pPr>
        <w:pStyle w:val="Heading1"/>
      </w:pPr>
      <w:r w:rsidRPr="005E22C2">
        <w:t>Method</w:t>
      </w:r>
      <w:r w:rsidR="001B5D37" w:rsidRPr="005E22C2">
        <w:t>s</w:t>
      </w:r>
    </w:p>
    <w:p w14:paraId="7D33AA88" w14:textId="78F84DA3" w:rsidR="005A4A4D" w:rsidRDefault="005A4A4D" w:rsidP="005A4A4D">
      <w:r>
        <w:t>Data from 1 March 20</w:t>
      </w:r>
      <w:r w:rsidR="002E6533">
        <w:t>20</w:t>
      </w:r>
      <w:r>
        <w:t xml:space="preserve"> to 30 Ju</w:t>
      </w:r>
      <w:r w:rsidR="002E6533">
        <w:t>ly</w:t>
      </w:r>
      <w:r>
        <w:t xml:space="preserve"> 202</w:t>
      </w:r>
      <w:r w:rsidR="002E6533">
        <w:t>2</w:t>
      </w:r>
      <w:r>
        <w:t xml:space="preserve"> were extracted from the PBS data maintained by Department of Health</w:t>
      </w:r>
      <w:r w:rsidR="00DF6EE7">
        <w:t xml:space="preserve"> and Aged Care</w:t>
      </w:r>
      <w:r>
        <w:t>, processed by Services Australia on or before 10 August 202</w:t>
      </w:r>
      <w:r w:rsidR="002E6533">
        <w:t>2</w:t>
      </w:r>
      <w:r>
        <w:t xml:space="preserve"> for the PBS item codes </w:t>
      </w:r>
      <w:r w:rsidR="002E6533">
        <w:t>corresponding to the adjuvant use of nivolumab in melanoma</w:t>
      </w:r>
      <w:r>
        <w:t>.</w:t>
      </w:r>
    </w:p>
    <w:p w14:paraId="42222050" w14:textId="454B423B" w:rsidR="005A4A4D" w:rsidRDefault="005A4A4D" w:rsidP="005A4A4D">
      <w:r>
        <w:t>PBS prescription data were used to determine the number of prescriptions supplied and the PBS expenditure</w:t>
      </w:r>
      <w:r w:rsidR="00AE7A68">
        <w:t xml:space="preserve"> based on the published list prices</w:t>
      </w:r>
      <w:r>
        <w:t>. These data were also used to count the number of patients, both incident (new to treatment) and prevalent (number treated in each time period, i.e. year or quarter).</w:t>
      </w:r>
    </w:p>
    <w:p w14:paraId="323E7AA6" w14:textId="7ADF319B" w:rsidR="005A4A4D" w:rsidRDefault="005A4A4D" w:rsidP="005A4A4D">
      <w:r>
        <w:t>PBS prescription data also contains age and gender information. This information was used to perform a breakdown of prevalent patients by age and</w:t>
      </w:r>
      <w:r w:rsidR="00802C66">
        <w:t xml:space="preserve"> gender</w:t>
      </w:r>
      <w:r>
        <w:t xml:space="preserve">. </w:t>
      </w:r>
    </w:p>
    <w:p w14:paraId="21F40720" w14:textId="52F1B883" w:rsidR="005A4A4D" w:rsidRDefault="005A4A4D" w:rsidP="005A4A4D">
      <w:r>
        <w:lastRenderedPageBreak/>
        <w:t>The Kaplan</w:t>
      </w:r>
      <w:r w:rsidR="00802C66">
        <w:t>-</w:t>
      </w:r>
      <w:r>
        <w:t xml:space="preserve">Meier method was used to determine the length of treatment for patients on </w:t>
      </w:r>
      <w:r w:rsidR="002E6533">
        <w:t>nivolumab</w:t>
      </w:r>
      <w:r>
        <w:t>. A break in treatment was defined as a gap of more than three times the median time between supplies</w:t>
      </w:r>
      <w:r w:rsidR="002E6533">
        <w:t xml:space="preserve"> which was found to be 28 days</w:t>
      </w:r>
      <w:r>
        <w:t>. A patient was deemed to be continuing treatment (classified as censored in the Kaplan</w:t>
      </w:r>
      <w:r w:rsidR="004F52FE">
        <w:t>-</w:t>
      </w:r>
      <w:r>
        <w:t>Meier analysis) at the end of the data period (i.e. the end of Ju</w:t>
      </w:r>
      <w:r w:rsidR="002E6533">
        <w:t>ly</w:t>
      </w:r>
      <w:r>
        <w:t xml:space="preserve"> 202</w:t>
      </w:r>
      <w:r w:rsidR="002E6533">
        <w:t>2</w:t>
      </w:r>
      <w:r>
        <w:t xml:space="preserve">) if their last prescription was within three times the median time to resupply of this end date. Otherwise the patient was deemed to have ceased treatment with the treatment coverage end date being the supply date of their last prescription plus a median time to resupply. If a patient’s supply was after a gap of more than three times the median time to resupply, then the patient was deemed to have been re-treated. </w:t>
      </w:r>
    </w:p>
    <w:p w14:paraId="29C221C8" w14:textId="469A3EDC" w:rsidR="005A4A4D" w:rsidRDefault="002E6533" w:rsidP="005A4A4D">
      <w:r>
        <w:t xml:space="preserve">Mapping data was created using patient post codes supplied upon dispensing. </w:t>
      </w:r>
      <w:r w:rsidR="005F2015">
        <w:t>Prescriptions</w:t>
      </w:r>
      <w:r>
        <w:t xml:space="preserve"> were then aggregated by approximate </w:t>
      </w:r>
      <w:r w:rsidR="005F2015">
        <w:t>Statistical Area Level 4 (SA4) geographical areas as determined by the Australian Statistical Geography Standard established by the Australian Bureau of Statistics</w:t>
      </w:r>
      <w:r w:rsidR="005A4A4D">
        <w:t xml:space="preserve">. </w:t>
      </w:r>
      <w:r w:rsidR="001B5396">
        <w:t xml:space="preserve">Some patients were linked to post codes reserved for PO boxes </w:t>
      </w:r>
      <w:r w:rsidR="0017002C">
        <w:t>that did not map</w:t>
      </w:r>
      <w:r w:rsidR="001B5396">
        <w:t xml:space="preserve"> to SA4 regions</w:t>
      </w:r>
      <w:r w:rsidR="00ED7D6B">
        <w:t xml:space="preserve">. Pharmacy post code data was used instead of patient post code for these prescriptions. </w:t>
      </w:r>
    </w:p>
    <w:p w14:paraId="57F6BF7B" w14:textId="4973454D" w:rsidR="001B6B46" w:rsidRDefault="001B6B46" w:rsidP="005A4A4D">
      <w:r>
        <w:t xml:space="preserve">The Sankey diagram (Figure 4) was </w:t>
      </w:r>
      <w:r w:rsidR="007E68F8">
        <w:t xml:space="preserve">created </w:t>
      </w:r>
      <w:r w:rsidR="00014430">
        <w:t xml:space="preserve">based on the last processed prescription for each patient per month following initiation in those patients who began treatment in the first year of listing.  </w:t>
      </w:r>
    </w:p>
    <w:p w14:paraId="1796B041" w14:textId="23B7ABF9" w:rsidR="005A4A4D" w:rsidRDefault="005A4A4D" w:rsidP="005A4A4D">
      <w:r>
        <w:t xml:space="preserve">The estimates model used to present the estimated cost to the PBS/RPBS was a model that was agreed upon by both the Department of Health </w:t>
      </w:r>
      <w:r w:rsidR="004F52FE">
        <w:t xml:space="preserve">and Aged Care </w:t>
      </w:r>
      <w:r>
        <w:t xml:space="preserve">and the Sponsor. Refer to the ‘Approach to estimate utilisation’ section for further details on the development of the financial estimates. </w:t>
      </w:r>
    </w:p>
    <w:p w14:paraId="2696ACC0" w14:textId="77777777" w:rsidR="0041567F" w:rsidRDefault="0041567F">
      <w:pPr>
        <w:spacing w:line="276" w:lineRule="auto"/>
        <w:rPr>
          <w:rFonts w:eastAsiaTheme="majorEastAsia" w:cstheme="majorBidi"/>
          <w:b/>
          <w:bCs/>
          <w:sz w:val="32"/>
          <w:szCs w:val="32"/>
        </w:rPr>
      </w:pPr>
      <w:r>
        <w:br w:type="page"/>
      </w:r>
    </w:p>
    <w:p w14:paraId="4F91A98A" w14:textId="6BB1FF29" w:rsidR="00C714D0" w:rsidRPr="005E22C2" w:rsidRDefault="00C714D0" w:rsidP="00CF5E22">
      <w:pPr>
        <w:pStyle w:val="Heading1"/>
      </w:pPr>
      <w:r w:rsidRPr="005E22C2">
        <w:lastRenderedPageBreak/>
        <w:t>Results</w:t>
      </w:r>
    </w:p>
    <w:p w14:paraId="2221FF19" w14:textId="318AF5AE" w:rsidR="00736041" w:rsidRPr="00B700FA" w:rsidRDefault="001B5D37" w:rsidP="00CF5E22">
      <w:pPr>
        <w:pStyle w:val="Heading2"/>
      </w:pPr>
      <w:r w:rsidRPr="00B700FA">
        <w:t xml:space="preserve">Analysis </w:t>
      </w:r>
      <w:r w:rsidR="00736041" w:rsidRPr="00B700FA">
        <w:t>of</w:t>
      </w:r>
      <w:r w:rsidR="00FE2B55" w:rsidRPr="00B700FA">
        <w:t xml:space="preserve"> nivolumab</w:t>
      </w:r>
      <w:r w:rsidR="00736041" w:rsidRPr="00B700FA">
        <w:t xml:space="preserve"> </w:t>
      </w:r>
      <w:r w:rsidR="0063631C" w:rsidRPr="00B700FA">
        <w:t>d</w:t>
      </w:r>
      <w:r w:rsidR="00E677DD" w:rsidRPr="00B700FA">
        <w:t xml:space="preserve">rug </w:t>
      </w:r>
      <w:r w:rsidR="0063631C" w:rsidRPr="00B700FA">
        <w:t>u</w:t>
      </w:r>
      <w:r w:rsidR="00E677DD" w:rsidRPr="00B700FA">
        <w:t>tilisation</w:t>
      </w:r>
      <w:r w:rsidR="00FE2B55" w:rsidRPr="00B700FA">
        <w:t xml:space="preserve"> for resected melanoma</w:t>
      </w:r>
    </w:p>
    <w:p w14:paraId="09F8A9BC" w14:textId="35E50016" w:rsidR="006A44F5" w:rsidRPr="00B700FA" w:rsidRDefault="00736041" w:rsidP="00CF5E22">
      <w:pPr>
        <w:pStyle w:val="Heading3"/>
      </w:pPr>
      <w:r w:rsidRPr="00B700FA">
        <w:t>Overall utilisation</w:t>
      </w:r>
    </w:p>
    <w:p w14:paraId="561F4684" w14:textId="694C6E41" w:rsidR="00A35800" w:rsidRPr="00B700FA" w:rsidRDefault="00FE2B55" w:rsidP="0041567F">
      <w:pPr>
        <w:pStyle w:val="Figuretitle"/>
      </w:pPr>
      <w:r w:rsidRPr="00B700FA">
        <w:rPr>
          <w:noProof/>
        </w:rPr>
        <w:drawing>
          <wp:anchor distT="0" distB="0" distL="114300" distR="114300" simplePos="0" relativeHeight="251659264" behindDoc="0" locked="0" layoutInCell="1" allowOverlap="1" wp14:anchorId="799B6E11" wp14:editId="35645422">
            <wp:simplePos x="0" y="0"/>
            <wp:positionH relativeFrom="column">
              <wp:posOffset>1270</wp:posOffset>
            </wp:positionH>
            <wp:positionV relativeFrom="paragraph">
              <wp:posOffset>3810</wp:posOffset>
            </wp:positionV>
            <wp:extent cx="5687695" cy="3600000"/>
            <wp:effectExtent l="0" t="0" r="8255" b="635"/>
            <wp:wrapTopAndBottom/>
            <wp:docPr id="6" name="Chart 6">
              <a:extLst xmlns:a="http://schemas.openxmlformats.org/drawingml/2006/main">
                <a:ext uri="{FF2B5EF4-FFF2-40B4-BE49-F238E27FC236}">
                  <a16:creationId xmlns:a16="http://schemas.microsoft.com/office/drawing/2014/main" id="{9AB04F34-BA5A-4F66-84B4-F862114F80BB}"/>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00756A30" w:rsidRPr="00B700FA">
        <w:t>Figure 1: Utilisation of nivolumab for</w:t>
      </w:r>
      <w:r w:rsidR="00F0428D" w:rsidRPr="00B700FA">
        <w:t xml:space="preserve"> the</w:t>
      </w:r>
      <w:r w:rsidR="00756A30" w:rsidRPr="00B700FA">
        <w:t xml:space="preserve"> adjuvant treatment of melanoma</w:t>
      </w:r>
      <w:r w:rsidR="00D62BA5" w:rsidRPr="00B700FA">
        <w:t>.</w:t>
      </w:r>
    </w:p>
    <w:p w14:paraId="0139E328" w14:textId="32238F0C" w:rsidR="0041567F" w:rsidRDefault="0041567F" w:rsidP="0041567F">
      <w:r w:rsidRPr="00B700FA">
        <w:t xml:space="preserve">Prescription data between 2020Q1 to 2022Q2 presented as prevalent and initiating patients </w:t>
      </w:r>
      <w:r w:rsidR="00C44A54" w:rsidRPr="00B700FA">
        <w:t xml:space="preserve">on nivolumab </w:t>
      </w:r>
      <w:r w:rsidR="009D2881" w:rsidRPr="00B700FA">
        <w:t>as adjuvant therapy in melanoma</w:t>
      </w:r>
      <w:r w:rsidR="00C44A54" w:rsidRPr="00B700FA">
        <w:t xml:space="preserve"> </w:t>
      </w:r>
      <w:r w:rsidRPr="00B700FA">
        <w:t xml:space="preserve">can be seen in Figure 1. </w:t>
      </w:r>
      <w:r w:rsidR="00C44A54" w:rsidRPr="00B700FA">
        <w:t>There were a total of 437 new patients in the first quarter of listing 2020Q1. Following this the number of prevalent patients peaked in 2020Q2 at 788 patients before plateauing just under 600 prevalent patients per quarter since 2021Q3. The number of initiating patients has remained consistent ranging between 140 to 190 new patients per quarter.</w:t>
      </w:r>
      <w:r w:rsidR="00C44A54">
        <w:t xml:space="preserve"> </w:t>
      </w:r>
    </w:p>
    <w:p w14:paraId="35701134" w14:textId="77777777" w:rsidR="001B7740" w:rsidRPr="001B7740" w:rsidRDefault="001B7740" w:rsidP="001B7740"/>
    <w:p w14:paraId="5F070D15" w14:textId="77777777" w:rsidR="001B7740" w:rsidRDefault="001B7740">
      <w:pPr>
        <w:spacing w:line="276" w:lineRule="auto"/>
        <w:rPr>
          <w:b/>
          <w:i/>
          <w:szCs w:val="28"/>
        </w:rPr>
      </w:pPr>
      <w:r>
        <w:br w:type="page"/>
      </w:r>
    </w:p>
    <w:p w14:paraId="01B96D84" w14:textId="2750BA47" w:rsidR="00FE2B55" w:rsidRDefault="00736041" w:rsidP="00CF5E22">
      <w:pPr>
        <w:pStyle w:val="Heading3"/>
      </w:pPr>
      <w:r w:rsidRPr="005E22C2">
        <w:lastRenderedPageBreak/>
        <w:t>Utilisation by relevant sub-populations/regions</w:t>
      </w:r>
      <w:r w:rsidR="001B5D37" w:rsidRPr="005E22C2">
        <w:t xml:space="preserve"> or patient level analysis</w:t>
      </w:r>
    </w:p>
    <w:p w14:paraId="15C15385" w14:textId="3F364E47" w:rsidR="004E7BC1" w:rsidRDefault="007F0FD6" w:rsidP="002833A3">
      <w:pPr>
        <w:pStyle w:val="Figuretitle"/>
      </w:pPr>
      <w:r>
        <w:rPr>
          <w:noProof/>
        </w:rPr>
        <w:drawing>
          <wp:anchor distT="0" distB="0" distL="114300" distR="114300" simplePos="0" relativeHeight="251660288" behindDoc="0" locked="0" layoutInCell="1" allowOverlap="1" wp14:anchorId="6926C088" wp14:editId="6AECC47A">
            <wp:simplePos x="0" y="0"/>
            <wp:positionH relativeFrom="column">
              <wp:posOffset>191770</wp:posOffset>
            </wp:positionH>
            <wp:positionV relativeFrom="paragraph">
              <wp:posOffset>0</wp:posOffset>
            </wp:positionV>
            <wp:extent cx="5020945" cy="4940300"/>
            <wp:effectExtent l="0" t="0" r="8255" b="0"/>
            <wp:wrapTopAndBottom/>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8"/>
                    <a:stretch>
                      <a:fillRect/>
                    </a:stretch>
                  </pic:blipFill>
                  <pic:spPr>
                    <a:xfrm>
                      <a:off x="0" y="0"/>
                      <a:ext cx="5020945" cy="4940300"/>
                    </a:xfrm>
                    <a:prstGeom prst="rect">
                      <a:avLst/>
                    </a:prstGeom>
                  </pic:spPr>
                </pic:pic>
              </a:graphicData>
            </a:graphic>
            <wp14:sizeRelH relativeFrom="page">
              <wp14:pctWidth>0</wp14:pctWidth>
            </wp14:sizeRelH>
            <wp14:sizeRelV relativeFrom="page">
              <wp14:pctHeight>0</wp14:pctHeight>
            </wp14:sizeRelV>
          </wp:anchor>
        </w:drawing>
      </w:r>
      <w:r w:rsidR="002833A3">
        <w:t xml:space="preserve">Figure 2: Violin plot of initiating patients </w:t>
      </w:r>
      <w:r w:rsidR="00B356B9">
        <w:t xml:space="preserve">on nivolumab </w:t>
      </w:r>
      <w:r w:rsidR="009D2881">
        <w:t>as adjuvant therapy in melanoma</w:t>
      </w:r>
      <w:r w:rsidR="00B356B9">
        <w:t xml:space="preserve"> </w:t>
      </w:r>
      <w:r w:rsidR="002833A3">
        <w:t>by sex and age</w:t>
      </w:r>
      <w:r w:rsidR="00D62BA5">
        <w:t>.</w:t>
      </w:r>
    </w:p>
    <w:p w14:paraId="19EEEEB2" w14:textId="257B6EA7" w:rsidR="002833A3" w:rsidRDefault="00B356B9" w:rsidP="002833A3">
      <w:r w:rsidRPr="00B700FA">
        <w:t xml:space="preserve">A breakdown of initiating patients on nivolumab </w:t>
      </w:r>
      <w:r w:rsidR="009D2881" w:rsidRPr="00B700FA">
        <w:t xml:space="preserve">as adjuvant therapy in melanoma </w:t>
      </w:r>
      <w:r w:rsidRPr="00B700FA">
        <w:t>can be seen in Figure 2. From the date of listing there were a total of 2,214 patients of which 719 were female and 1,495 were males. The median age at initiation varied between sexes with 66 years old in females and 68 years in males however the interquartile range</w:t>
      </w:r>
      <w:r w:rsidR="00D62BA5" w:rsidRPr="00B700FA">
        <w:t xml:space="preserve"> (range representing 50% of the population)</w:t>
      </w:r>
      <w:r w:rsidRPr="00B700FA">
        <w:t xml:space="preserve"> for both groups were largely similar between 65-75 years old.</w:t>
      </w:r>
      <w:r>
        <w:t xml:space="preserve">  </w:t>
      </w:r>
    </w:p>
    <w:p w14:paraId="250813C8" w14:textId="31BECCB9" w:rsidR="00D62BA5" w:rsidRDefault="00CF4FF6" w:rsidP="00D62BA5">
      <w:pPr>
        <w:pStyle w:val="Figuretitle"/>
      </w:pPr>
      <w:r>
        <w:rPr>
          <w:noProof/>
        </w:rPr>
        <w:lastRenderedPageBreak/>
        <w:drawing>
          <wp:inline distT="0" distB="0" distL="0" distR="0" wp14:anchorId="7FC0A082" wp14:editId="7B769C75">
            <wp:extent cx="5615902" cy="4582632"/>
            <wp:effectExtent l="0" t="0" r="4445" b="8890"/>
            <wp:docPr id="8" name="Picture 8"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Map&#10;&#10;Description automatically generated"/>
                    <pic:cNvPicPr/>
                  </pic:nvPicPr>
                  <pic:blipFill>
                    <a:blip r:embed="rId19"/>
                    <a:stretch>
                      <a:fillRect/>
                    </a:stretch>
                  </pic:blipFill>
                  <pic:spPr>
                    <a:xfrm>
                      <a:off x="0" y="0"/>
                      <a:ext cx="5626066" cy="4590926"/>
                    </a:xfrm>
                    <a:prstGeom prst="rect">
                      <a:avLst/>
                    </a:prstGeom>
                  </pic:spPr>
                </pic:pic>
              </a:graphicData>
            </a:graphic>
          </wp:inline>
        </w:drawing>
      </w:r>
      <w:r w:rsidR="00D62BA5">
        <w:t xml:space="preserve">Figure 3: Choropleth map shading by the number of prescriptions of nivolumab </w:t>
      </w:r>
      <w:r w:rsidR="009D2881">
        <w:t>as adjuvant therapy in melanoma</w:t>
      </w:r>
      <w:r w:rsidR="00D62BA5">
        <w:t xml:space="preserve"> per 1000 population. </w:t>
      </w:r>
    </w:p>
    <w:p w14:paraId="5A1DF36E" w14:textId="6F604273" w:rsidR="004E7BC1" w:rsidRDefault="00AA19C9" w:rsidP="00D62BA5">
      <w:r>
        <w:t xml:space="preserve">Prescription data was standardised by population according to SA4 regions. This data was mapped and presented in Figure 3 which shows that the majority of prescribing for nivolumab </w:t>
      </w:r>
      <w:r w:rsidR="009D2881">
        <w:t xml:space="preserve">as adjuvant therapy in melanoma </w:t>
      </w:r>
      <w:r>
        <w:t>occurs around major metropolitan locations. Regions with the highest rates of prescribing aside from major cities were the Bunbury region of Western Australia, Townsville, Darling Downs – Maranoa of Queensland</w:t>
      </w:r>
      <w:r w:rsidR="00775D19">
        <w:t>, Richmond – Tweed on the border of New South Wales and Queensland and the</w:t>
      </w:r>
      <w:r w:rsidR="00164A62">
        <w:t xml:space="preserve"> Capital and</w:t>
      </w:r>
      <w:r w:rsidR="00775D19">
        <w:t xml:space="preserve"> Hunter Valley region excluding Newcastle in New South Wales.</w:t>
      </w:r>
      <w:r w:rsidR="000B759C">
        <w:t xml:space="preserve"> </w:t>
      </w:r>
      <w:r w:rsidR="00775D19">
        <w:t xml:space="preserve"> </w:t>
      </w:r>
      <w:r>
        <w:t xml:space="preserve"> </w:t>
      </w:r>
      <w:r w:rsidR="004E7BC1">
        <w:br w:type="page"/>
      </w:r>
    </w:p>
    <w:p w14:paraId="2BB55555" w14:textId="77777777" w:rsidR="00A15A5E" w:rsidRDefault="00A15A5E" w:rsidP="00FE2B55">
      <w:pPr>
        <w:sectPr w:rsidR="00A15A5E" w:rsidSect="00B356B9">
          <w:footerReference w:type="even" r:id="rId20"/>
          <w:footerReference w:type="default" r:id="rId21"/>
          <w:footerReference w:type="first" r:id="rId22"/>
          <w:type w:val="continuous"/>
          <w:pgSz w:w="11906" w:h="16838"/>
          <w:pgMar w:top="1644" w:right="1361" w:bottom="1644" w:left="1588" w:header="709" w:footer="709" w:gutter="0"/>
          <w:cols w:space="708"/>
          <w:docGrid w:linePitch="360"/>
        </w:sectPr>
      </w:pPr>
    </w:p>
    <w:p w14:paraId="1CD61FFA" w14:textId="6D8473DA" w:rsidR="00A15A5E" w:rsidRDefault="00A15A5E" w:rsidP="00FE2B55"/>
    <w:p w14:paraId="6BE1E009" w14:textId="77777777" w:rsidR="00A15A5E" w:rsidRDefault="00006E04" w:rsidP="00FE2B55">
      <w:r w:rsidRPr="00006E04">
        <w:rPr>
          <w:noProof/>
        </w:rPr>
        <w:drawing>
          <wp:inline distT="0" distB="0" distL="0" distR="0" wp14:anchorId="69F90257" wp14:editId="25DF60DE">
            <wp:extent cx="9777730" cy="4940935"/>
            <wp:effectExtent l="0" t="0" r="0" b="0"/>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23"/>
                    <a:stretch>
                      <a:fillRect/>
                    </a:stretch>
                  </pic:blipFill>
                  <pic:spPr>
                    <a:xfrm>
                      <a:off x="0" y="0"/>
                      <a:ext cx="9777730" cy="4940935"/>
                    </a:xfrm>
                    <a:prstGeom prst="rect">
                      <a:avLst/>
                    </a:prstGeom>
                  </pic:spPr>
                </pic:pic>
              </a:graphicData>
            </a:graphic>
          </wp:inline>
        </w:drawing>
      </w:r>
    </w:p>
    <w:p w14:paraId="278645CE" w14:textId="77777777" w:rsidR="00775D19" w:rsidRDefault="00775D19" w:rsidP="00FE2B55"/>
    <w:p w14:paraId="035AF510" w14:textId="1430779F" w:rsidR="00775D19" w:rsidRDefault="00775D19" w:rsidP="00775D19">
      <w:pPr>
        <w:pStyle w:val="Figuretitle"/>
        <w:sectPr w:rsidR="00775D19" w:rsidSect="00A72740">
          <w:pgSz w:w="16838" w:h="11906" w:orient="landscape"/>
          <w:pgMar w:top="720" w:right="720" w:bottom="720" w:left="720" w:header="709" w:footer="709" w:gutter="0"/>
          <w:cols w:space="708"/>
          <w:docGrid w:linePitch="360"/>
        </w:sectPr>
      </w:pPr>
      <w:r>
        <w:t>Figure 4:  Sa</w:t>
      </w:r>
      <w:r w:rsidR="00C278A7">
        <w:t xml:space="preserve">nkey diagram illustrating the flow of patients each month following initiation of nivolumab </w:t>
      </w:r>
      <w:r w:rsidR="009D2881">
        <w:t>as adjuvant therapy in melanoma</w:t>
      </w:r>
      <w:r w:rsidR="00C278A7">
        <w:t>.</w:t>
      </w:r>
    </w:p>
    <w:p w14:paraId="0B2D97B7" w14:textId="2B8A3D9F" w:rsidR="00A15A5E" w:rsidRDefault="00C278A7" w:rsidP="00FE2B55">
      <w:r>
        <w:lastRenderedPageBreak/>
        <w:t xml:space="preserve">Figure 4 represents a Sankey diagram showing the flow of patients each month after beginning treatment on nivolumab </w:t>
      </w:r>
      <w:r w:rsidR="009D2881">
        <w:t>as adjuvant therapy in melanoma</w:t>
      </w:r>
      <w:r>
        <w:t xml:space="preserve">. The diagram follows patients who began treatment in the first year of listing and it can be seen that the majority of patients move towards no further treatments after ceasing nivolumab. A small proportion of patients in each step move towards treatment with ipilimumab while a larger proportion move to BRAF and MEK inhibitors. </w:t>
      </w:r>
    </w:p>
    <w:p w14:paraId="18625839" w14:textId="27119251" w:rsidR="003F10FE" w:rsidRPr="00FE2B55" w:rsidRDefault="003F10FE" w:rsidP="00FE2B55"/>
    <w:p w14:paraId="5873AE4F" w14:textId="2639D759" w:rsidR="00E277F1" w:rsidRDefault="00E277F1" w:rsidP="000F6185">
      <w:pPr>
        <w:pStyle w:val="Figuretitle"/>
      </w:pPr>
      <w:r w:rsidRPr="00E277F1">
        <w:rPr>
          <w:noProof/>
        </w:rPr>
        <w:drawing>
          <wp:anchor distT="0" distB="0" distL="114300" distR="114300" simplePos="0" relativeHeight="251662336" behindDoc="0" locked="0" layoutInCell="1" allowOverlap="1" wp14:anchorId="3E7458D7" wp14:editId="0593EC82">
            <wp:simplePos x="0" y="0"/>
            <wp:positionH relativeFrom="column">
              <wp:posOffset>1270</wp:posOffset>
            </wp:positionH>
            <wp:positionV relativeFrom="paragraph">
              <wp:posOffset>-4445</wp:posOffset>
            </wp:positionV>
            <wp:extent cx="5687695" cy="5104765"/>
            <wp:effectExtent l="0" t="0" r="8255" b="635"/>
            <wp:wrapTopAndBottom/>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4"/>
                    <a:stretch>
                      <a:fillRect/>
                    </a:stretch>
                  </pic:blipFill>
                  <pic:spPr>
                    <a:xfrm>
                      <a:off x="0" y="0"/>
                      <a:ext cx="5687695" cy="5104765"/>
                    </a:xfrm>
                    <a:prstGeom prst="rect">
                      <a:avLst/>
                    </a:prstGeom>
                  </pic:spPr>
                </pic:pic>
              </a:graphicData>
            </a:graphic>
            <wp14:sizeRelH relativeFrom="page">
              <wp14:pctWidth>0</wp14:pctWidth>
            </wp14:sizeRelH>
            <wp14:sizeRelV relativeFrom="page">
              <wp14:pctHeight>0</wp14:pctHeight>
            </wp14:sizeRelV>
          </wp:anchor>
        </w:drawing>
      </w:r>
      <w:r w:rsidR="000F6185">
        <w:t xml:space="preserve">Figure 5: Kaplan-Meier analysis of the time on treatment of patients supplied nivolumab </w:t>
      </w:r>
      <w:r w:rsidR="009D2881">
        <w:t xml:space="preserve">as adjuvant therapy in melanoma </w:t>
      </w:r>
      <w:r w:rsidR="000F6185">
        <w:t>including treatment breaks.</w:t>
      </w:r>
    </w:p>
    <w:p w14:paraId="17D9FC8C" w14:textId="76A22B3D" w:rsidR="00E277F1" w:rsidRDefault="00C63A46" w:rsidP="00BA6ED1">
      <w:r>
        <w:t xml:space="preserve">The median time to resupply for nivolumab </w:t>
      </w:r>
      <w:r w:rsidR="009D2881">
        <w:t xml:space="preserve">as adjuvant therapy in melanoma </w:t>
      </w:r>
      <w:r>
        <w:t>was 28 days. The Kaplan-Meier analysis</w:t>
      </w:r>
      <w:r w:rsidR="00BA6ED1">
        <w:t xml:space="preserve"> in Figure 5</w:t>
      </w:r>
      <w:r>
        <w:t xml:space="preserve"> includes patients with identified treatment breaks</w:t>
      </w:r>
      <w:r w:rsidR="00BA6ED1">
        <w:t xml:space="preserve"> of longer than 84 days</w:t>
      </w:r>
      <w:r>
        <w:t xml:space="preserve">. Figure 5 shows this analysis where </w:t>
      </w:r>
      <w:r w:rsidR="00BA6ED1">
        <w:t>25.79</w:t>
      </w:r>
      <w:r>
        <w:t xml:space="preserve">% of patients were censored and the median time on treatment for the </w:t>
      </w:r>
      <w:r w:rsidRPr="00B700FA">
        <w:t xml:space="preserve">remaining </w:t>
      </w:r>
      <w:r w:rsidR="00BA6ED1" w:rsidRPr="00B700FA">
        <w:t>1643</w:t>
      </w:r>
      <w:r w:rsidRPr="00B700FA">
        <w:t xml:space="preserve"> patients was </w:t>
      </w:r>
      <w:r w:rsidR="00BA6ED1" w:rsidRPr="00B700FA">
        <w:t>231</w:t>
      </w:r>
      <w:r w:rsidRPr="00B700FA">
        <w:t xml:space="preserve"> days</w:t>
      </w:r>
      <w:r w:rsidR="00BA6ED1" w:rsidRPr="00B700FA">
        <w:t>.</w:t>
      </w:r>
    </w:p>
    <w:p w14:paraId="3E34EF3F" w14:textId="3059CF7B" w:rsidR="000F6185" w:rsidRDefault="00756A30" w:rsidP="000F6185">
      <w:pPr>
        <w:pStyle w:val="Figuretitle"/>
      </w:pPr>
      <w:r w:rsidRPr="00E277F1">
        <w:rPr>
          <w:noProof/>
        </w:rPr>
        <w:lastRenderedPageBreak/>
        <w:drawing>
          <wp:anchor distT="0" distB="0" distL="114300" distR="114300" simplePos="0" relativeHeight="251663360" behindDoc="0" locked="0" layoutInCell="1" allowOverlap="1" wp14:anchorId="6EB60CAE" wp14:editId="16E4F21F">
            <wp:simplePos x="0" y="0"/>
            <wp:positionH relativeFrom="column">
              <wp:posOffset>48895</wp:posOffset>
            </wp:positionH>
            <wp:positionV relativeFrom="paragraph">
              <wp:posOffset>0</wp:posOffset>
            </wp:positionV>
            <wp:extent cx="5687695" cy="5123180"/>
            <wp:effectExtent l="0" t="0" r="8255" b="1270"/>
            <wp:wrapTopAndBottom/>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5"/>
                    <a:stretch>
                      <a:fillRect/>
                    </a:stretch>
                  </pic:blipFill>
                  <pic:spPr>
                    <a:xfrm>
                      <a:off x="0" y="0"/>
                      <a:ext cx="5687695" cy="5123180"/>
                    </a:xfrm>
                    <a:prstGeom prst="rect">
                      <a:avLst/>
                    </a:prstGeom>
                  </pic:spPr>
                </pic:pic>
              </a:graphicData>
            </a:graphic>
            <wp14:sizeRelH relativeFrom="page">
              <wp14:pctWidth>0</wp14:pctWidth>
            </wp14:sizeRelH>
            <wp14:sizeRelV relativeFrom="page">
              <wp14:pctHeight>0</wp14:pctHeight>
            </wp14:sizeRelV>
          </wp:anchor>
        </w:drawing>
      </w:r>
      <w:r w:rsidR="000F6185">
        <w:t xml:space="preserve">Figure 6: Kaplan-Meier analysis of the time on treatment of patients supplied nivolumab </w:t>
      </w:r>
      <w:r w:rsidR="009D2881">
        <w:t xml:space="preserve">as adjuvant therapy in melanoma </w:t>
      </w:r>
      <w:r w:rsidR="000F6185">
        <w:t>without treatment breaks (first episode of treatment).</w:t>
      </w:r>
    </w:p>
    <w:p w14:paraId="567371FF" w14:textId="7E1DE359" w:rsidR="00E9471A" w:rsidRDefault="00BA6ED1" w:rsidP="00BA6ED1">
      <w:r>
        <w:t xml:space="preserve">Figure 6 shows </w:t>
      </w:r>
      <w:r w:rsidRPr="00B700FA">
        <w:t>another Kaplan-Meier analysis however does not include treatment breaks and therefore represents a patient’s first episode of treatment. A total of 24.80% of patients were censored from the analysis and the remaining 1665 patients had a median time on treatment of 211 days (95% CI 197-224).</w:t>
      </w:r>
      <w:r>
        <w:t xml:space="preserve"> </w:t>
      </w:r>
    </w:p>
    <w:p w14:paraId="601817F7" w14:textId="1F492263" w:rsidR="00E9471A" w:rsidRDefault="00E9471A" w:rsidP="00E9471A"/>
    <w:p w14:paraId="3A5E4039" w14:textId="4CD28B12" w:rsidR="008E70B3" w:rsidRDefault="008E70B3" w:rsidP="00E9471A">
      <w:r w:rsidRPr="00E9471A">
        <w:rPr>
          <w:noProof/>
        </w:rPr>
        <w:lastRenderedPageBreak/>
        <w:drawing>
          <wp:inline distT="0" distB="0" distL="0" distR="0" wp14:anchorId="43B6EBD4" wp14:editId="68296042">
            <wp:extent cx="5687695" cy="4255135"/>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6"/>
                    <a:stretch>
                      <a:fillRect/>
                    </a:stretch>
                  </pic:blipFill>
                  <pic:spPr>
                    <a:xfrm>
                      <a:off x="0" y="0"/>
                      <a:ext cx="5687695" cy="4255135"/>
                    </a:xfrm>
                    <a:prstGeom prst="rect">
                      <a:avLst/>
                    </a:prstGeom>
                  </pic:spPr>
                </pic:pic>
              </a:graphicData>
            </a:graphic>
          </wp:inline>
        </w:drawing>
      </w:r>
    </w:p>
    <w:p w14:paraId="442E0C81" w14:textId="4D820C80" w:rsidR="008E70B3" w:rsidRDefault="008E70B3" w:rsidP="008E70B3">
      <w:pPr>
        <w:pStyle w:val="Figuretitle"/>
      </w:pPr>
      <w:r>
        <w:t xml:space="preserve">Figure 7: Histogram of time between supplies of nivolumab </w:t>
      </w:r>
      <w:r w:rsidR="009D2881">
        <w:t>as adjuvant therapy in melanoma</w:t>
      </w:r>
      <w:r>
        <w:t>.</w:t>
      </w:r>
    </w:p>
    <w:p w14:paraId="3116723F" w14:textId="48323914" w:rsidR="008E70B3" w:rsidRDefault="008E70B3" w:rsidP="008E70B3">
      <w:r>
        <w:t xml:space="preserve">Nivolumab </w:t>
      </w:r>
      <w:r w:rsidR="009D2881">
        <w:t xml:space="preserve">as adjuvant therapy in melanoma </w:t>
      </w:r>
      <w:r>
        <w:t xml:space="preserve">can be dosed on either a 2 or 4 week regimen. Figure 7 represents a histogram of the time between supplies of nivolumab </w:t>
      </w:r>
      <w:r w:rsidR="009D2881">
        <w:t xml:space="preserve">as adjuvant therapy in melanoma </w:t>
      </w:r>
      <w:r>
        <w:t>and indicates that over 50% of patients were likely to be on the 4-weekly regimen while a smaller group of around 20% were closer to a 2-weekly resupply.</w:t>
      </w:r>
    </w:p>
    <w:p w14:paraId="240D79E4" w14:textId="25841C5E" w:rsidR="008E70B3" w:rsidRDefault="008E70B3" w:rsidP="008E70B3">
      <w:r w:rsidRPr="00E9471A">
        <w:rPr>
          <w:noProof/>
        </w:rPr>
        <w:lastRenderedPageBreak/>
        <w:drawing>
          <wp:inline distT="0" distB="0" distL="0" distR="0" wp14:anchorId="41B25B66" wp14:editId="165EAB61">
            <wp:extent cx="5687695" cy="4326255"/>
            <wp:effectExtent l="0" t="0" r="825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7"/>
                    <a:stretch>
                      <a:fillRect/>
                    </a:stretch>
                  </pic:blipFill>
                  <pic:spPr>
                    <a:xfrm>
                      <a:off x="0" y="0"/>
                      <a:ext cx="5687695" cy="4326255"/>
                    </a:xfrm>
                    <a:prstGeom prst="rect">
                      <a:avLst/>
                    </a:prstGeom>
                  </pic:spPr>
                </pic:pic>
              </a:graphicData>
            </a:graphic>
          </wp:inline>
        </w:drawing>
      </w:r>
    </w:p>
    <w:p w14:paraId="58411611" w14:textId="50C013A3" w:rsidR="008E70B3" w:rsidRDefault="008E70B3" w:rsidP="008E70B3">
      <w:pPr>
        <w:pStyle w:val="Figuretitle"/>
      </w:pPr>
      <w:r>
        <w:t xml:space="preserve">Figure 8: Histogram of the PBS quantity supplied per prescription of nivolumab for </w:t>
      </w:r>
      <w:r w:rsidR="009D2881">
        <w:t>as adjuvant therapy in melanoma</w:t>
      </w:r>
      <w:r>
        <w:t xml:space="preserve">. </w:t>
      </w:r>
    </w:p>
    <w:p w14:paraId="7622A01C" w14:textId="0D7A4CD3" w:rsidR="008E70B3" w:rsidRPr="00E9471A" w:rsidRDefault="00383A36" w:rsidP="008E70B3">
      <w:r>
        <w:t xml:space="preserve">The 2-weekly regimen of nivolumab </w:t>
      </w:r>
      <w:r w:rsidR="009D2881">
        <w:t xml:space="preserve">as adjuvant therapy in melanoma </w:t>
      </w:r>
      <w:r>
        <w:t xml:space="preserve">can either be dosed as mg/kg or a flat dose of 240mg while the 4-weekly regimen uses a 480mg flat dose. Figure 8 represents a histogram of the PBS quantity supplied per prescription of nivolumab </w:t>
      </w:r>
      <w:r w:rsidR="009D2881">
        <w:t xml:space="preserve">as </w:t>
      </w:r>
      <w:r w:rsidR="009D2881" w:rsidRPr="00B700FA">
        <w:t>adjuvant therapy in melanoma</w:t>
      </w:r>
      <w:r w:rsidRPr="00B700FA">
        <w:t>. It shows that approximately 75% of patients were dosing at 480mg per supply, approximately 20% were dosing at 240mg per supply and the remaining 5% were either dose reductions or dosing according to weight</w:t>
      </w:r>
      <w:r>
        <w:t xml:space="preserve">. </w:t>
      </w:r>
    </w:p>
    <w:p w14:paraId="57EBED2E" w14:textId="77777777" w:rsidR="00C61BBE" w:rsidRDefault="00C61BBE">
      <w:pPr>
        <w:spacing w:line="276" w:lineRule="auto"/>
        <w:rPr>
          <w:b/>
          <w:sz w:val="28"/>
        </w:rPr>
      </w:pPr>
      <w:r>
        <w:br w:type="page"/>
      </w:r>
    </w:p>
    <w:p w14:paraId="5F22B4D8" w14:textId="17A53A2A" w:rsidR="00736041" w:rsidRDefault="00D151EB" w:rsidP="00F73113">
      <w:pPr>
        <w:pStyle w:val="Heading2"/>
      </w:pPr>
      <w:r>
        <w:lastRenderedPageBreak/>
        <w:t xml:space="preserve">Analysis </w:t>
      </w:r>
      <w:r w:rsidR="00C0076F" w:rsidRPr="005E22C2">
        <w:t xml:space="preserve">of </w:t>
      </w:r>
      <w:r w:rsidR="0063631C">
        <w:t>a</w:t>
      </w:r>
      <w:r w:rsidR="00C0076F" w:rsidRPr="005E22C2">
        <w:t xml:space="preserve">ctual versus </w:t>
      </w:r>
      <w:r w:rsidR="0063631C">
        <w:t>p</w:t>
      </w:r>
      <w:r w:rsidR="00C0076F" w:rsidRPr="005E22C2">
        <w:t xml:space="preserve">redicted </w:t>
      </w:r>
      <w:r w:rsidR="0063631C">
        <w:t>u</w:t>
      </w:r>
      <w:r w:rsidR="00C0076F" w:rsidRPr="005E22C2">
        <w:t>tilisation</w:t>
      </w:r>
    </w:p>
    <w:p w14:paraId="38B51FF2" w14:textId="3B7332BA" w:rsidR="00C61BBE" w:rsidRPr="00C61BBE" w:rsidRDefault="00C61BBE" w:rsidP="00C61BBE">
      <w:pPr>
        <w:pStyle w:val="Tabletitle"/>
      </w:pPr>
      <w:r>
        <w:t xml:space="preserve">Table 3: Actual versus predicted utilisation and cost to the PBS/RPBS of nivolumab </w:t>
      </w:r>
      <w:r w:rsidR="009D2881">
        <w:t>as adjuvant therapy in melanoma</w:t>
      </w:r>
      <w:r>
        <w:t>.</w:t>
      </w:r>
    </w:p>
    <w:tbl>
      <w:tblPr>
        <w:tblW w:w="4898" w:type="dxa"/>
        <w:tblLook w:val="04A0" w:firstRow="1" w:lastRow="0" w:firstColumn="1" w:lastColumn="0" w:noHBand="0" w:noVBand="1"/>
      </w:tblPr>
      <w:tblGrid>
        <w:gridCol w:w="1274"/>
        <w:gridCol w:w="1065"/>
        <w:gridCol w:w="1330"/>
        <w:gridCol w:w="1229"/>
      </w:tblGrid>
      <w:tr w:rsidR="00992AB7" w14:paraId="38FAB878" w14:textId="77777777" w:rsidTr="00C61BBE">
        <w:trPr>
          <w:trHeight w:val="315"/>
        </w:trPr>
        <w:tc>
          <w:tcPr>
            <w:tcW w:w="2339" w:type="dxa"/>
            <w:gridSpan w:val="2"/>
            <w:vMerge w:val="restart"/>
            <w:tcBorders>
              <w:top w:val="single" w:sz="8" w:space="0" w:color="auto"/>
              <w:left w:val="single" w:sz="8" w:space="0" w:color="auto"/>
              <w:bottom w:val="single" w:sz="8" w:space="0" w:color="000000"/>
              <w:right w:val="single" w:sz="8" w:space="0" w:color="000000"/>
            </w:tcBorders>
            <w:shd w:val="clear" w:color="auto" w:fill="BFBFBF"/>
            <w:vAlign w:val="center"/>
            <w:hideMark/>
          </w:tcPr>
          <w:p w14:paraId="01DF95AA" w14:textId="424E8FBA" w:rsidR="00992AB7" w:rsidRDefault="00992AB7" w:rsidP="00146EC7">
            <w:pPr>
              <w:pStyle w:val="Tablewriting"/>
              <w:spacing w:line="276" w:lineRule="auto"/>
              <w:rPr>
                <w:b/>
                <w:bCs/>
              </w:rPr>
            </w:pPr>
            <w:r>
              <w:rPr>
                <w:b/>
                <w:bCs/>
              </w:rPr>
              <w:t xml:space="preserve">Nivolumab listing years </w:t>
            </w:r>
          </w:p>
        </w:tc>
        <w:tc>
          <w:tcPr>
            <w:tcW w:w="1330" w:type="dxa"/>
            <w:tcBorders>
              <w:top w:val="single" w:sz="8" w:space="0" w:color="auto"/>
              <w:left w:val="nil"/>
              <w:bottom w:val="single" w:sz="8" w:space="0" w:color="auto"/>
              <w:right w:val="single" w:sz="8" w:space="0" w:color="auto"/>
            </w:tcBorders>
            <w:shd w:val="clear" w:color="auto" w:fill="BFBFBF"/>
            <w:vAlign w:val="center"/>
            <w:hideMark/>
          </w:tcPr>
          <w:p w14:paraId="797D417E" w14:textId="77777777" w:rsidR="00992AB7" w:rsidRDefault="00992AB7" w:rsidP="00146EC7">
            <w:pPr>
              <w:pStyle w:val="Tablewriting"/>
              <w:spacing w:line="276" w:lineRule="auto"/>
              <w:rPr>
                <w:b/>
                <w:bCs/>
              </w:rPr>
            </w:pPr>
            <w:r>
              <w:rPr>
                <w:b/>
                <w:bCs/>
              </w:rPr>
              <w:t>Year 1</w:t>
            </w:r>
          </w:p>
        </w:tc>
        <w:tc>
          <w:tcPr>
            <w:tcW w:w="1229" w:type="dxa"/>
            <w:tcBorders>
              <w:top w:val="single" w:sz="8" w:space="0" w:color="auto"/>
              <w:left w:val="nil"/>
              <w:bottom w:val="single" w:sz="8" w:space="0" w:color="auto"/>
              <w:right w:val="single" w:sz="8" w:space="0" w:color="auto"/>
            </w:tcBorders>
            <w:shd w:val="clear" w:color="auto" w:fill="BFBFBF"/>
            <w:vAlign w:val="center"/>
            <w:hideMark/>
          </w:tcPr>
          <w:p w14:paraId="55467B75" w14:textId="77777777" w:rsidR="00992AB7" w:rsidRDefault="00992AB7" w:rsidP="00146EC7">
            <w:pPr>
              <w:pStyle w:val="Tablewriting"/>
              <w:spacing w:line="276" w:lineRule="auto"/>
              <w:rPr>
                <w:b/>
                <w:bCs/>
              </w:rPr>
            </w:pPr>
            <w:r>
              <w:rPr>
                <w:b/>
                <w:bCs/>
              </w:rPr>
              <w:t>Year 2</w:t>
            </w:r>
          </w:p>
        </w:tc>
      </w:tr>
      <w:tr w:rsidR="00992AB7" w14:paraId="6DFE2E19" w14:textId="77777777" w:rsidTr="00C61BBE">
        <w:trPr>
          <w:trHeight w:val="1035"/>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0583B348" w14:textId="77777777" w:rsidR="00992AB7" w:rsidRDefault="00992AB7" w:rsidP="00992AB7">
            <w:pPr>
              <w:spacing w:after="0" w:line="276" w:lineRule="auto"/>
              <w:rPr>
                <w:rFonts w:cs="Calibri"/>
                <w:b/>
                <w:bCs/>
                <w:color w:val="000000"/>
                <w:sz w:val="20"/>
                <w:szCs w:val="20"/>
              </w:rPr>
            </w:pPr>
          </w:p>
        </w:tc>
        <w:tc>
          <w:tcPr>
            <w:tcW w:w="1330" w:type="dxa"/>
            <w:tcBorders>
              <w:top w:val="nil"/>
              <w:left w:val="nil"/>
              <w:bottom w:val="single" w:sz="8" w:space="0" w:color="auto"/>
              <w:right w:val="single" w:sz="8" w:space="0" w:color="auto"/>
            </w:tcBorders>
            <w:shd w:val="clear" w:color="auto" w:fill="BFBFBF"/>
            <w:vAlign w:val="center"/>
            <w:hideMark/>
          </w:tcPr>
          <w:p w14:paraId="288182E9" w14:textId="5CC474A9" w:rsidR="00992AB7" w:rsidRDefault="00992AB7" w:rsidP="00992AB7">
            <w:pPr>
              <w:pStyle w:val="Tablewriting"/>
              <w:spacing w:line="276" w:lineRule="auto"/>
              <w:rPr>
                <w:b/>
                <w:bCs/>
                <w:vertAlign w:val="superscript"/>
              </w:rPr>
            </w:pPr>
            <w:r>
              <w:rPr>
                <w:b/>
                <w:bCs/>
              </w:rPr>
              <w:t>March 2020- February 2021</w:t>
            </w:r>
          </w:p>
        </w:tc>
        <w:tc>
          <w:tcPr>
            <w:tcW w:w="1229" w:type="dxa"/>
            <w:tcBorders>
              <w:top w:val="nil"/>
              <w:left w:val="nil"/>
              <w:bottom w:val="single" w:sz="8" w:space="0" w:color="auto"/>
              <w:right w:val="single" w:sz="8" w:space="0" w:color="auto"/>
            </w:tcBorders>
            <w:shd w:val="clear" w:color="auto" w:fill="BFBFBF"/>
            <w:vAlign w:val="center"/>
            <w:hideMark/>
          </w:tcPr>
          <w:p w14:paraId="0B87EF80" w14:textId="786D9CF9" w:rsidR="00992AB7" w:rsidRDefault="00992AB7" w:rsidP="00992AB7">
            <w:pPr>
              <w:pStyle w:val="Tablewriting"/>
              <w:spacing w:line="276" w:lineRule="auto"/>
              <w:rPr>
                <w:b/>
                <w:bCs/>
              </w:rPr>
            </w:pPr>
            <w:r>
              <w:rPr>
                <w:b/>
                <w:bCs/>
              </w:rPr>
              <w:t>March 2021- February 2022</w:t>
            </w:r>
          </w:p>
        </w:tc>
      </w:tr>
      <w:tr w:rsidR="00992AB7" w:rsidRPr="006B1967" w14:paraId="30DA031F" w14:textId="77777777" w:rsidTr="00C61BBE">
        <w:trPr>
          <w:trHeight w:val="315"/>
        </w:trPr>
        <w:tc>
          <w:tcPr>
            <w:tcW w:w="1274" w:type="dxa"/>
            <w:vMerge w:val="restart"/>
            <w:tcBorders>
              <w:top w:val="nil"/>
              <w:left w:val="single" w:sz="8" w:space="0" w:color="auto"/>
              <w:bottom w:val="single" w:sz="8" w:space="0" w:color="000000"/>
              <w:right w:val="single" w:sz="8" w:space="0" w:color="auto"/>
            </w:tcBorders>
            <w:vAlign w:val="center"/>
            <w:hideMark/>
          </w:tcPr>
          <w:p w14:paraId="4B3B6B8B" w14:textId="77777777" w:rsidR="00992AB7" w:rsidRPr="006B1967" w:rsidRDefault="00992AB7" w:rsidP="00146EC7">
            <w:pPr>
              <w:pStyle w:val="Tablewriting"/>
              <w:spacing w:line="276" w:lineRule="auto"/>
            </w:pPr>
            <w:r w:rsidRPr="006B1967">
              <w:t xml:space="preserve">Patients </w:t>
            </w:r>
          </w:p>
        </w:tc>
        <w:tc>
          <w:tcPr>
            <w:tcW w:w="1065" w:type="dxa"/>
            <w:tcBorders>
              <w:top w:val="nil"/>
              <w:left w:val="nil"/>
              <w:bottom w:val="single" w:sz="8" w:space="0" w:color="auto"/>
              <w:right w:val="single" w:sz="8" w:space="0" w:color="auto"/>
            </w:tcBorders>
            <w:vAlign w:val="center"/>
            <w:hideMark/>
          </w:tcPr>
          <w:p w14:paraId="41999414" w14:textId="77777777" w:rsidR="00992AB7" w:rsidRPr="006B1967" w:rsidRDefault="00992AB7" w:rsidP="00146EC7">
            <w:pPr>
              <w:pStyle w:val="Tablewriting"/>
              <w:spacing w:line="276" w:lineRule="auto"/>
            </w:pPr>
            <w:r w:rsidRPr="006B1967">
              <w:t xml:space="preserve">Predicted </w:t>
            </w:r>
          </w:p>
        </w:tc>
        <w:tc>
          <w:tcPr>
            <w:tcW w:w="1330" w:type="dxa"/>
            <w:tcBorders>
              <w:top w:val="nil"/>
              <w:left w:val="nil"/>
              <w:bottom w:val="single" w:sz="8" w:space="0" w:color="auto"/>
              <w:right w:val="single" w:sz="8" w:space="0" w:color="auto"/>
            </w:tcBorders>
            <w:vAlign w:val="center"/>
            <w:hideMark/>
          </w:tcPr>
          <w:p w14:paraId="3BD2A246" w14:textId="70F0C76F" w:rsidR="00992AB7" w:rsidRPr="00A30717" w:rsidRDefault="00316B73" w:rsidP="00146EC7">
            <w:pPr>
              <w:pStyle w:val="Tablewriting"/>
              <w:spacing w:line="276" w:lineRule="auto"/>
              <w:rPr>
                <w:highlight w:val="yellow"/>
              </w:rPr>
            </w:pPr>
            <w:r w:rsidRPr="00316B73">
              <w:rPr>
                <w:highlight w:val="black"/>
              </w:rPr>
              <w:t>xxxxxxxx</w:t>
            </w:r>
          </w:p>
        </w:tc>
        <w:tc>
          <w:tcPr>
            <w:tcW w:w="1229" w:type="dxa"/>
            <w:tcBorders>
              <w:top w:val="nil"/>
              <w:left w:val="nil"/>
              <w:bottom w:val="single" w:sz="8" w:space="0" w:color="auto"/>
              <w:right w:val="single" w:sz="8" w:space="0" w:color="auto"/>
            </w:tcBorders>
            <w:vAlign w:val="center"/>
            <w:hideMark/>
          </w:tcPr>
          <w:p w14:paraId="1AA83D8F" w14:textId="09544A04" w:rsidR="00992AB7" w:rsidRPr="00A30717" w:rsidRDefault="00316B73" w:rsidP="00146EC7">
            <w:pPr>
              <w:pStyle w:val="Tablewriting"/>
              <w:spacing w:line="276" w:lineRule="auto"/>
              <w:rPr>
                <w:highlight w:val="yellow"/>
              </w:rPr>
            </w:pPr>
            <w:r w:rsidRPr="00316B73">
              <w:rPr>
                <w:highlight w:val="black"/>
              </w:rPr>
              <w:t>xxxxxxxx</w:t>
            </w:r>
            <w:r>
              <w:rPr>
                <w:rStyle w:val="CommentReference"/>
                <w:rFonts w:cstheme="minorBidi"/>
                <w:color w:val="auto"/>
              </w:rPr>
              <w:t xml:space="preserve"> </w:t>
            </w:r>
          </w:p>
        </w:tc>
      </w:tr>
      <w:tr w:rsidR="00992AB7" w:rsidRPr="006B1967" w14:paraId="32E70F89" w14:textId="77777777" w:rsidTr="00C61BBE">
        <w:trPr>
          <w:trHeight w:val="315"/>
        </w:trPr>
        <w:tc>
          <w:tcPr>
            <w:tcW w:w="0" w:type="auto"/>
            <w:vMerge/>
            <w:tcBorders>
              <w:top w:val="nil"/>
              <w:left w:val="single" w:sz="8" w:space="0" w:color="auto"/>
              <w:bottom w:val="single" w:sz="8" w:space="0" w:color="000000"/>
              <w:right w:val="single" w:sz="8" w:space="0" w:color="auto"/>
            </w:tcBorders>
            <w:vAlign w:val="center"/>
            <w:hideMark/>
          </w:tcPr>
          <w:p w14:paraId="36B67B34" w14:textId="77777777" w:rsidR="00992AB7" w:rsidRPr="006B1967" w:rsidRDefault="00992AB7" w:rsidP="00146EC7">
            <w:pPr>
              <w:spacing w:after="0" w:line="276" w:lineRule="auto"/>
              <w:rPr>
                <w:rFonts w:cs="Calibri"/>
                <w:color w:val="000000"/>
                <w:sz w:val="20"/>
                <w:szCs w:val="20"/>
              </w:rPr>
            </w:pPr>
          </w:p>
        </w:tc>
        <w:tc>
          <w:tcPr>
            <w:tcW w:w="1065" w:type="dxa"/>
            <w:tcBorders>
              <w:top w:val="nil"/>
              <w:left w:val="nil"/>
              <w:bottom w:val="single" w:sz="8" w:space="0" w:color="auto"/>
              <w:right w:val="single" w:sz="8" w:space="0" w:color="auto"/>
            </w:tcBorders>
            <w:vAlign w:val="center"/>
            <w:hideMark/>
          </w:tcPr>
          <w:p w14:paraId="11A1438C" w14:textId="77777777" w:rsidR="00992AB7" w:rsidRPr="006B1967" w:rsidRDefault="00992AB7" w:rsidP="00146EC7">
            <w:pPr>
              <w:pStyle w:val="Tablewriting"/>
              <w:spacing w:line="276" w:lineRule="auto"/>
            </w:pPr>
            <w:r w:rsidRPr="006B1967">
              <w:t>Actual</w:t>
            </w:r>
          </w:p>
        </w:tc>
        <w:tc>
          <w:tcPr>
            <w:tcW w:w="1330" w:type="dxa"/>
            <w:tcBorders>
              <w:top w:val="nil"/>
              <w:left w:val="nil"/>
              <w:bottom w:val="single" w:sz="8" w:space="0" w:color="auto"/>
              <w:right w:val="single" w:sz="8" w:space="0" w:color="auto"/>
            </w:tcBorders>
            <w:vAlign w:val="center"/>
            <w:hideMark/>
          </w:tcPr>
          <w:p w14:paraId="72A91A89" w14:textId="275E18C2" w:rsidR="00992AB7" w:rsidRPr="00B700FA" w:rsidRDefault="00992AB7" w:rsidP="00146EC7">
            <w:pPr>
              <w:pStyle w:val="Tablewriting"/>
              <w:spacing w:line="276" w:lineRule="auto"/>
            </w:pPr>
            <w:r w:rsidRPr="00B700FA">
              <w:t>1,311</w:t>
            </w:r>
          </w:p>
        </w:tc>
        <w:tc>
          <w:tcPr>
            <w:tcW w:w="1229" w:type="dxa"/>
            <w:tcBorders>
              <w:top w:val="nil"/>
              <w:left w:val="nil"/>
              <w:bottom w:val="single" w:sz="8" w:space="0" w:color="auto"/>
              <w:right w:val="single" w:sz="8" w:space="0" w:color="auto"/>
            </w:tcBorders>
            <w:vAlign w:val="center"/>
            <w:hideMark/>
          </w:tcPr>
          <w:p w14:paraId="5C6C0150" w14:textId="5FE880F3" w:rsidR="00992AB7" w:rsidRPr="00B700FA" w:rsidRDefault="00992AB7" w:rsidP="00146EC7">
            <w:pPr>
              <w:pStyle w:val="Tablewriting"/>
              <w:spacing w:line="276" w:lineRule="auto"/>
            </w:pPr>
            <w:r w:rsidRPr="00B700FA">
              <w:t>1,120</w:t>
            </w:r>
          </w:p>
        </w:tc>
      </w:tr>
      <w:tr w:rsidR="00992AB7" w:rsidRPr="006B1967" w14:paraId="560DB722" w14:textId="77777777" w:rsidTr="00C61BBE">
        <w:trPr>
          <w:trHeight w:val="315"/>
        </w:trPr>
        <w:tc>
          <w:tcPr>
            <w:tcW w:w="0" w:type="auto"/>
            <w:vMerge/>
            <w:tcBorders>
              <w:top w:val="nil"/>
              <w:left w:val="single" w:sz="8" w:space="0" w:color="auto"/>
              <w:bottom w:val="single" w:sz="8" w:space="0" w:color="000000"/>
              <w:right w:val="single" w:sz="8" w:space="0" w:color="auto"/>
            </w:tcBorders>
            <w:vAlign w:val="center"/>
            <w:hideMark/>
          </w:tcPr>
          <w:p w14:paraId="654BC339" w14:textId="77777777" w:rsidR="00992AB7" w:rsidRPr="006B1967" w:rsidRDefault="00992AB7" w:rsidP="00146EC7">
            <w:pPr>
              <w:spacing w:after="0" w:line="276" w:lineRule="auto"/>
              <w:rPr>
                <w:rFonts w:cs="Calibri"/>
                <w:color w:val="000000"/>
                <w:sz w:val="20"/>
                <w:szCs w:val="20"/>
              </w:rPr>
            </w:pPr>
          </w:p>
        </w:tc>
        <w:tc>
          <w:tcPr>
            <w:tcW w:w="1065" w:type="dxa"/>
            <w:tcBorders>
              <w:top w:val="nil"/>
              <w:left w:val="nil"/>
              <w:bottom w:val="single" w:sz="8" w:space="0" w:color="auto"/>
              <w:right w:val="single" w:sz="8" w:space="0" w:color="auto"/>
            </w:tcBorders>
            <w:vAlign w:val="center"/>
            <w:hideMark/>
          </w:tcPr>
          <w:p w14:paraId="268D5459" w14:textId="77777777" w:rsidR="00992AB7" w:rsidRPr="006B1967" w:rsidRDefault="00992AB7" w:rsidP="00146EC7">
            <w:pPr>
              <w:pStyle w:val="Tablewriting"/>
              <w:spacing w:line="276" w:lineRule="auto"/>
            </w:pPr>
            <w:r w:rsidRPr="006B1967">
              <w:t xml:space="preserve">Difference </w:t>
            </w:r>
          </w:p>
        </w:tc>
        <w:tc>
          <w:tcPr>
            <w:tcW w:w="1330" w:type="dxa"/>
            <w:tcBorders>
              <w:top w:val="nil"/>
              <w:left w:val="nil"/>
              <w:bottom w:val="single" w:sz="8" w:space="0" w:color="auto"/>
              <w:right w:val="single" w:sz="8" w:space="0" w:color="auto"/>
            </w:tcBorders>
            <w:vAlign w:val="center"/>
            <w:hideMark/>
          </w:tcPr>
          <w:p w14:paraId="16E9B0BA" w14:textId="71F77F53" w:rsidR="00992AB7" w:rsidRPr="00A30717" w:rsidRDefault="00316B73" w:rsidP="00146EC7">
            <w:pPr>
              <w:pStyle w:val="Tablewriting"/>
              <w:spacing w:line="276" w:lineRule="auto"/>
              <w:rPr>
                <w:highlight w:val="yellow"/>
              </w:rPr>
            </w:pPr>
            <w:r w:rsidRPr="00316B73">
              <w:rPr>
                <w:highlight w:val="black"/>
              </w:rPr>
              <w:t>Xxxxxxxx</w:t>
            </w:r>
          </w:p>
        </w:tc>
        <w:tc>
          <w:tcPr>
            <w:tcW w:w="1229" w:type="dxa"/>
            <w:tcBorders>
              <w:top w:val="nil"/>
              <w:left w:val="nil"/>
              <w:bottom w:val="single" w:sz="8" w:space="0" w:color="auto"/>
              <w:right w:val="single" w:sz="8" w:space="0" w:color="auto"/>
            </w:tcBorders>
            <w:vAlign w:val="center"/>
            <w:hideMark/>
          </w:tcPr>
          <w:p w14:paraId="1E2D939C" w14:textId="2AF23F96" w:rsidR="00992AB7" w:rsidRPr="00A30717" w:rsidRDefault="00316B73" w:rsidP="00146EC7">
            <w:pPr>
              <w:pStyle w:val="Tablewriting"/>
              <w:spacing w:line="276" w:lineRule="auto"/>
              <w:rPr>
                <w:highlight w:val="yellow"/>
              </w:rPr>
            </w:pPr>
            <w:r w:rsidRPr="00316B73">
              <w:rPr>
                <w:highlight w:val="black"/>
              </w:rPr>
              <w:t>xxxxxxxx</w:t>
            </w:r>
          </w:p>
        </w:tc>
      </w:tr>
      <w:tr w:rsidR="00992AB7" w:rsidRPr="006B1967" w14:paraId="5A9AB05D" w14:textId="77777777" w:rsidTr="00C61BBE">
        <w:trPr>
          <w:trHeight w:val="315"/>
        </w:trPr>
        <w:tc>
          <w:tcPr>
            <w:tcW w:w="1274" w:type="dxa"/>
            <w:vMerge w:val="restart"/>
            <w:tcBorders>
              <w:top w:val="nil"/>
              <w:left w:val="single" w:sz="8" w:space="0" w:color="auto"/>
              <w:bottom w:val="single" w:sz="4" w:space="0" w:color="auto"/>
              <w:right w:val="single" w:sz="8" w:space="0" w:color="auto"/>
            </w:tcBorders>
            <w:vAlign w:val="center"/>
            <w:hideMark/>
          </w:tcPr>
          <w:p w14:paraId="673767A5" w14:textId="77777777" w:rsidR="00992AB7" w:rsidRPr="006B1967" w:rsidRDefault="00992AB7" w:rsidP="00146EC7">
            <w:pPr>
              <w:pStyle w:val="Tablewriting"/>
              <w:spacing w:line="276" w:lineRule="auto"/>
            </w:pPr>
            <w:r w:rsidRPr="006B1967">
              <w:t>Prescriptions</w:t>
            </w:r>
          </w:p>
        </w:tc>
        <w:tc>
          <w:tcPr>
            <w:tcW w:w="1065" w:type="dxa"/>
            <w:tcBorders>
              <w:top w:val="nil"/>
              <w:left w:val="nil"/>
              <w:bottom w:val="single" w:sz="8" w:space="0" w:color="auto"/>
              <w:right w:val="single" w:sz="8" w:space="0" w:color="auto"/>
            </w:tcBorders>
            <w:vAlign w:val="center"/>
            <w:hideMark/>
          </w:tcPr>
          <w:p w14:paraId="53900C0B" w14:textId="77777777" w:rsidR="00992AB7" w:rsidRPr="006B1967" w:rsidRDefault="00992AB7" w:rsidP="00146EC7">
            <w:pPr>
              <w:pStyle w:val="Tablewriting"/>
              <w:spacing w:line="276" w:lineRule="auto"/>
            </w:pPr>
            <w:r w:rsidRPr="006B1967">
              <w:t xml:space="preserve">Predicted </w:t>
            </w:r>
          </w:p>
        </w:tc>
        <w:tc>
          <w:tcPr>
            <w:tcW w:w="1330" w:type="dxa"/>
            <w:tcBorders>
              <w:top w:val="nil"/>
              <w:left w:val="nil"/>
              <w:bottom w:val="single" w:sz="8" w:space="0" w:color="auto"/>
              <w:right w:val="single" w:sz="8" w:space="0" w:color="auto"/>
            </w:tcBorders>
            <w:vAlign w:val="center"/>
            <w:hideMark/>
          </w:tcPr>
          <w:p w14:paraId="582AD970" w14:textId="2A6D9117" w:rsidR="00992AB7" w:rsidRPr="00A30717" w:rsidRDefault="00316B73" w:rsidP="00146EC7">
            <w:pPr>
              <w:pStyle w:val="Tablewriting"/>
              <w:spacing w:line="276" w:lineRule="auto"/>
              <w:rPr>
                <w:highlight w:val="yellow"/>
              </w:rPr>
            </w:pPr>
            <w:r w:rsidRPr="00316B73">
              <w:rPr>
                <w:highlight w:val="black"/>
              </w:rPr>
              <w:t>xxxxxxxx</w:t>
            </w:r>
          </w:p>
        </w:tc>
        <w:tc>
          <w:tcPr>
            <w:tcW w:w="1229" w:type="dxa"/>
            <w:tcBorders>
              <w:top w:val="nil"/>
              <w:left w:val="nil"/>
              <w:bottom w:val="single" w:sz="8" w:space="0" w:color="auto"/>
              <w:right w:val="single" w:sz="8" w:space="0" w:color="auto"/>
            </w:tcBorders>
            <w:vAlign w:val="center"/>
            <w:hideMark/>
          </w:tcPr>
          <w:p w14:paraId="7EE4768D" w14:textId="50AE5E2A" w:rsidR="00992AB7" w:rsidRPr="00A30717" w:rsidRDefault="00316B73" w:rsidP="00146EC7">
            <w:pPr>
              <w:pStyle w:val="Tablewriting"/>
              <w:spacing w:line="276" w:lineRule="auto"/>
              <w:rPr>
                <w:highlight w:val="yellow"/>
              </w:rPr>
            </w:pPr>
            <w:r w:rsidRPr="00316B73">
              <w:rPr>
                <w:highlight w:val="black"/>
              </w:rPr>
              <w:t>Xxxxxxxx</w:t>
            </w:r>
          </w:p>
        </w:tc>
      </w:tr>
      <w:tr w:rsidR="00992AB7" w:rsidRPr="006B1967" w14:paraId="2931FD0E" w14:textId="77777777" w:rsidTr="00C61BBE">
        <w:trPr>
          <w:trHeight w:val="315"/>
        </w:trPr>
        <w:tc>
          <w:tcPr>
            <w:tcW w:w="0" w:type="auto"/>
            <w:vMerge/>
            <w:tcBorders>
              <w:top w:val="nil"/>
              <w:left w:val="single" w:sz="8" w:space="0" w:color="auto"/>
              <w:bottom w:val="single" w:sz="4" w:space="0" w:color="auto"/>
              <w:right w:val="single" w:sz="8" w:space="0" w:color="auto"/>
            </w:tcBorders>
            <w:vAlign w:val="center"/>
            <w:hideMark/>
          </w:tcPr>
          <w:p w14:paraId="7B6CD678" w14:textId="77777777" w:rsidR="00992AB7" w:rsidRPr="006B1967" w:rsidRDefault="00992AB7" w:rsidP="00146EC7">
            <w:pPr>
              <w:spacing w:after="0" w:line="276" w:lineRule="auto"/>
              <w:rPr>
                <w:rFonts w:cs="Calibri"/>
                <w:color w:val="000000"/>
                <w:sz w:val="20"/>
                <w:szCs w:val="20"/>
              </w:rPr>
            </w:pPr>
          </w:p>
        </w:tc>
        <w:tc>
          <w:tcPr>
            <w:tcW w:w="1065" w:type="dxa"/>
            <w:tcBorders>
              <w:top w:val="nil"/>
              <w:left w:val="nil"/>
              <w:bottom w:val="single" w:sz="8" w:space="0" w:color="auto"/>
              <w:right w:val="single" w:sz="8" w:space="0" w:color="auto"/>
            </w:tcBorders>
            <w:vAlign w:val="center"/>
            <w:hideMark/>
          </w:tcPr>
          <w:p w14:paraId="196CAF02" w14:textId="77777777" w:rsidR="00992AB7" w:rsidRPr="006B1967" w:rsidRDefault="00992AB7" w:rsidP="00146EC7">
            <w:pPr>
              <w:pStyle w:val="Tablewriting"/>
              <w:spacing w:line="276" w:lineRule="auto"/>
            </w:pPr>
            <w:r w:rsidRPr="006B1967">
              <w:t xml:space="preserve">Actual </w:t>
            </w:r>
          </w:p>
        </w:tc>
        <w:tc>
          <w:tcPr>
            <w:tcW w:w="1330" w:type="dxa"/>
            <w:tcBorders>
              <w:top w:val="nil"/>
              <w:left w:val="nil"/>
              <w:bottom w:val="single" w:sz="8" w:space="0" w:color="auto"/>
              <w:right w:val="single" w:sz="8" w:space="0" w:color="auto"/>
            </w:tcBorders>
            <w:vAlign w:val="center"/>
            <w:hideMark/>
          </w:tcPr>
          <w:p w14:paraId="7982AB7A" w14:textId="06A54A6A" w:rsidR="00992AB7" w:rsidRPr="00B700FA" w:rsidRDefault="00992AB7" w:rsidP="00146EC7">
            <w:pPr>
              <w:pStyle w:val="Tablewriting"/>
              <w:spacing w:line="276" w:lineRule="auto"/>
            </w:pPr>
            <w:r w:rsidRPr="00B700FA">
              <w:t>8,777</w:t>
            </w:r>
          </w:p>
        </w:tc>
        <w:tc>
          <w:tcPr>
            <w:tcW w:w="1229" w:type="dxa"/>
            <w:tcBorders>
              <w:top w:val="nil"/>
              <w:left w:val="nil"/>
              <w:bottom w:val="single" w:sz="8" w:space="0" w:color="auto"/>
              <w:right w:val="single" w:sz="8" w:space="0" w:color="auto"/>
            </w:tcBorders>
            <w:vAlign w:val="center"/>
            <w:hideMark/>
          </w:tcPr>
          <w:p w14:paraId="24F959AA" w14:textId="0E24730B" w:rsidR="00992AB7" w:rsidRPr="00B700FA" w:rsidRDefault="00992AB7" w:rsidP="00146EC7">
            <w:pPr>
              <w:pStyle w:val="Tablewriting"/>
              <w:spacing w:line="276" w:lineRule="auto"/>
            </w:pPr>
            <w:r w:rsidRPr="00B700FA">
              <w:t>6,799</w:t>
            </w:r>
          </w:p>
        </w:tc>
      </w:tr>
      <w:tr w:rsidR="00992AB7" w:rsidRPr="006B1967" w14:paraId="50D138F2" w14:textId="77777777" w:rsidTr="00C61BBE">
        <w:trPr>
          <w:trHeight w:val="315"/>
        </w:trPr>
        <w:tc>
          <w:tcPr>
            <w:tcW w:w="0" w:type="auto"/>
            <w:vMerge/>
            <w:tcBorders>
              <w:top w:val="nil"/>
              <w:left w:val="single" w:sz="8" w:space="0" w:color="auto"/>
              <w:bottom w:val="single" w:sz="4" w:space="0" w:color="auto"/>
              <w:right w:val="single" w:sz="8" w:space="0" w:color="auto"/>
            </w:tcBorders>
            <w:vAlign w:val="center"/>
            <w:hideMark/>
          </w:tcPr>
          <w:p w14:paraId="7DC5CF7C" w14:textId="77777777" w:rsidR="00992AB7" w:rsidRPr="006B1967" w:rsidRDefault="00992AB7" w:rsidP="00146EC7">
            <w:pPr>
              <w:spacing w:after="0" w:line="276" w:lineRule="auto"/>
              <w:rPr>
                <w:rFonts w:cs="Calibri"/>
                <w:color w:val="000000"/>
                <w:sz w:val="20"/>
                <w:szCs w:val="20"/>
              </w:rPr>
            </w:pPr>
          </w:p>
        </w:tc>
        <w:tc>
          <w:tcPr>
            <w:tcW w:w="1065" w:type="dxa"/>
            <w:tcBorders>
              <w:top w:val="nil"/>
              <w:left w:val="nil"/>
              <w:bottom w:val="single" w:sz="4" w:space="0" w:color="auto"/>
              <w:right w:val="single" w:sz="8" w:space="0" w:color="auto"/>
            </w:tcBorders>
            <w:vAlign w:val="center"/>
            <w:hideMark/>
          </w:tcPr>
          <w:p w14:paraId="28B5BA3D" w14:textId="77777777" w:rsidR="00992AB7" w:rsidRPr="006B1967" w:rsidRDefault="00992AB7" w:rsidP="00146EC7">
            <w:pPr>
              <w:pStyle w:val="Tablewriting"/>
              <w:spacing w:line="276" w:lineRule="auto"/>
            </w:pPr>
            <w:r w:rsidRPr="006B1967">
              <w:t xml:space="preserve">Difference </w:t>
            </w:r>
          </w:p>
        </w:tc>
        <w:tc>
          <w:tcPr>
            <w:tcW w:w="1330" w:type="dxa"/>
            <w:tcBorders>
              <w:top w:val="nil"/>
              <w:left w:val="nil"/>
              <w:bottom w:val="single" w:sz="4" w:space="0" w:color="auto"/>
              <w:right w:val="single" w:sz="8" w:space="0" w:color="auto"/>
            </w:tcBorders>
            <w:vAlign w:val="center"/>
            <w:hideMark/>
          </w:tcPr>
          <w:p w14:paraId="5EB6891B" w14:textId="186C2318" w:rsidR="00992AB7" w:rsidRPr="00A30717" w:rsidRDefault="00316B73" w:rsidP="00146EC7">
            <w:pPr>
              <w:pStyle w:val="Tablewriting"/>
              <w:spacing w:line="276" w:lineRule="auto"/>
              <w:rPr>
                <w:highlight w:val="yellow"/>
              </w:rPr>
            </w:pPr>
            <w:r w:rsidRPr="00316B73">
              <w:rPr>
                <w:highlight w:val="black"/>
              </w:rPr>
              <w:t>Xxxxxxxx</w:t>
            </w:r>
          </w:p>
        </w:tc>
        <w:tc>
          <w:tcPr>
            <w:tcW w:w="1229" w:type="dxa"/>
            <w:tcBorders>
              <w:top w:val="nil"/>
              <w:left w:val="nil"/>
              <w:bottom w:val="single" w:sz="4" w:space="0" w:color="auto"/>
              <w:right w:val="single" w:sz="8" w:space="0" w:color="auto"/>
            </w:tcBorders>
            <w:vAlign w:val="center"/>
            <w:hideMark/>
          </w:tcPr>
          <w:p w14:paraId="1BB6AD93" w14:textId="01DBCCB6" w:rsidR="00992AB7" w:rsidRPr="00A30717" w:rsidRDefault="00316B73" w:rsidP="00146EC7">
            <w:pPr>
              <w:pStyle w:val="Tablewriting"/>
              <w:spacing w:line="276" w:lineRule="auto"/>
              <w:rPr>
                <w:highlight w:val="yellow"/>
              </w:rPr>
            </w:pPr>
            <w:r w:rsidRPr="00316B73">
              <w:rPr>
                <w:highlight w:val="black"/>
              </w:rPr>
              <w:t>xxxxxxxx</w:t>
            </w:r>
          </w:p>
        </w:tc>
      </w:tr>
      <w:tr w:rsidR="00992AB7" w:rsidRPr="006B1967" w14:paraId="0E0B92D5" w14:textId="77777777" w:rsidTr="00C61BBE">
        <w:trPr>
          <w:trHeight w:val="315"/>
        </w:trPr>
        <w:tc>
          <w:tcPr>
            <w:tcW w:w="1274" w:type="dxa"/>
            <w:vMerge w:val="restart"/>
            <w:tcBorders>
              <w:top w:val="single" w:sz="4" w:space="0" w:color="auto"/>
              <w:left w:val="single" w:sz="4" w:space="0" w:color="auto"/>
              <w:bottom w:val="single" w:sz="4" w:space="0" w:color="auto"/>
              <w:right w:val="single" w:sz="4" w:space="0" w:color="auto"/>
            </w:tcBorders>
            <w:vAlign w:val="center"/>
            <w:hideMark/>
          </w:tcPr>
          <w:p w14:paraId="058278C1" w14:textId="77777777" w:rsidR="00992AB7" w:rsidRPr="006B1967" w:rsidRDefault="00992AB7" w:rsidP="00146EC7">
            <w:pPr>
              <w:pStyle w:val="Tablewriting"/>
              <w:spacing w:line="276" w:lineRule="auto"/>
            </w:pPr>
            <w:r w:rsidRPr="006B1967">
              <w:t>Net Cost PBS/RPBS</w:t>
            </w:r>
          </w:p>
        </w:tc>
        <w:tc>
          <w:tcPr>
            <w:tcW w:w="1065" w:type="dxa"/>
            <w:tcBorders>
              <w:top w:val="single" w:sz="4" w:space="0" w:color="auto"/>
              <w:left w:val="single" w:sz="4" w:space="0" w:color="auto"/>
              <w:bottom w:val="single" w:sz="4" w:space="0" w:color="auto"/>
              <w:right w:val="single" w:sz="4" w:space="0" w:color="auto"/>
            </w:tcBorders>
            <w:vAlign w:val="center"/>
            <w:hideMark/>
          </w:tcPr>
          <w:p w14:paraId="795F399C" w14:textId="77777777" w:rsidR="00992AB7" w:rsidRPr="006B1967" w:rsidRDefault="00992AB7" w:rsidP="00146EC7">
            <w:pPr>
              <w:pStyle w:val="Tablewriting"/>
              <w:spacing w:line="276" w:lineRule="auto"/>
            </w:pPr>
            <w:r w:rsidRPr="006B1967">
              <w:t>Predicted</w:t>
            </w:r>
          </w:p>
        </w:tc>
        <w:tc>
          <w:tcPr>
            <w:tcW w:w="1330" w:type="dxa"/>
            <w:tcBorders>
              <w:top w:val="single" w:sz="4" w:space="0" w:color="auto"/>
              <w:left w:val="single" w:sz="4" w:space="0" w:color="auto"/>
              <w:bottom w:val="single" w:sz="4" w:space="0" w:color="auto"/>
              <w:right w:val="single" w:sz="4" w:space="0" w:color="auto"/>
            </w:tcBorders>
            <w:vAlign w:val="center"/>
            <w:hideMark/>
          </w:tcPr>
          <w:p w14:paraId="55320A09" w14:textId="369BEC98" w:rsidR="00992AB7" w:rsidRPr="00A30717" w:rsidRDefault="00316B73" w:rsidP="00146EC7">
            <w:pPr>
              <w:pStyle w:val="Tablewriting"/>
              <w:spacing w:line="276" w:lineRule="auto"/>
              <w:rPr>
                <w:color w:val="auto"/>
                <w:highlight w:val="yellow"/>
              </w:rPr>
            </w:pPr>
            <w:r w:rsidRPr="00316B73">
              <w:rPr>
                <w:highlight w:val="black"/>
              </w:rPr>
              <w:t>xxxxxxxx</w:t>
            </w:r>
            <w:r>
              <w:rPr>
                <w:highlight w:val="black"/>
              </w:rPr>
              <w:t>XXXX</w:t>
            </w:r>
          </w:p>
        </w:tc>
        <w:tc>
          <w:tcPr>
            <w:tcW w:w="1229" w:type="dxa"/>
            <w:tcBorders>
              <w:top w:val="single" w:sz="4" w:space="0" w:color="auto"/>
              <w:left w:val="single" w:sz="4" w:space="0" w:color="auto"/>
              <w:bottom w:val="single" w:sz="4" w:space="0" w:color="auto"/>
              <w:right w:val="single" w:sz="4" w:space="0" w:color="auto"/>
            </w:tcBorders>
            <w:vAlign w:val="center"/>
            <w:hideMark/>
          </w:tcPr>
          <w:p w14:paraId="7BB7D88D" w14:textId="671177A8" w:rsidR="00992AB7" w:rsidRPr="00A30717" w:rsidRDefault="00316B73" w:rsidP="00146EC7">
            <w:pPr>
              <w:pStyle w:val="Tablewriting"/>
              <w:spacing w:line="276" w:lineRule="auto"/>
              <w:rPr>
                <w:color w:val="auto"/>
                <w:highlight w:val="yellow"/>
              </w:rPr>
            </w:pPr>
            <w:r w:rsidRPr="00316B73">
              <w:rPr>
                <w:highlight w:val="black"/>
              </w:rPr>
              <w:t>Xxxxxxxx</w:t>
            </w:r>
            <w:r>
              <w:rPr>
                <w:highlight w:val="black"/>
              </w:rPr>
              <w:t>xxx</w:t>
            </w:r>
          </w:p>
        </w:tc>
      </w:tr>
      <w:tr w:rsidR="00992AB7" w:rsidRPr="006B1967" w14:paraId="373105F0" w14:textId="77777777" w:rsidTr="00C61BBE">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0CAE79" w14:textId="77777777" w:rsidR="00992AB7" w:rsidRPr="006B1967" w:rsidRDefault="00992AB7" w:rsidP="00146EC7">
            <w:pPr>
              <w:spacing w:after="0" w:line="276" w:lineRule="auto"/>
              <w:rPr>
                <w:rFonts w:cs="Calibri"/>
                <w:color w:val="000000"/>
                <w:sz w:val="20"/>
                <w:szCs w:val="20"/>
              </w:rPr>
            </w:pPr>
          </w:p>
        </w:tc>
        <w:tc>
          <w:tcPr>
            <w:tcW w:w="1065" w:type="dxa"/>
            <w:tcBorders>
              <w:top w:val="single" w:sz="4" w:space="0" w:color="auto"/>
              <w:left w:val="single" w:sz="4" w:space="0" w:color="auto"/>
              <w:bottom w:val="single" w:sz="4" w:space="0" w:color="auto"/>
              <w:right w:val="single" w:sz="4" w:space="0" w:color="auto"/>
            </w:tcBorders>
            <w:vAlign w:val="center"/>
            <w:hideMark/>
          </w:tcPr>
          <w:p w14:paraId="1A8E4189" w14:textId="77777777" w:rsidR="00992AB7" w:rsidRPr="006B1967" w:rsidRDefault="00992AB7" w:rsidP="00146EC7">
            <w:pPr>
              <w:pStyle w:val="Tablewriting"/>
              <w:spacing w:line="276" w:lineRule="auto"/>
            </w:pPr>
            <w:r w:rsidRPr="006B1967">
              <w:t>Actual</w:t>
            </w:r>
          </w:p>
        </w:tc>
        <w:tc>
          <w:tcPr>
            <w:tcW w:w="1330" w:type="dxa"/>
            <w:tcBorders>
              <w:top w:val="single" w:sz="4" w:space="0" w:color="auto"/>
              <w:left w:val="single" w:sz="4" w:space="0" w:color="auto"/>
              <w:bottom w:val="single" w:sz="4" w:space="0" w:color="auto"/>
              <w:right w:val="single" w:sz="4" w:space="0" w:color="auto"/>
            </w:tcBorders>
            <w:vAlign w:val="center"/>
            <w:hideMark/>
          </w:tcPr>
          <w:p w14:paraId="5E74D5B2" w14:textId="658503A7" w:rsidR="00992AB7" w:rsidRPr="00B700FA" w:rsidRDefault="00992AB7" w:rsidP="00146EC7">
            <w:pPr>
              <w:pStyle w:val="Tablewriting"/>
              <w:spacing w:line="276" w:lineRule="auto"/>
            </w:pPr>
            <w:r w:rsidRPr="00B700FA">
              <w:t>$75,212,434</w:t>
            </w:r>
          </w:p>
        </w:tc>
        <w:tc>
          <w:tcPr>
            <w:tcW w:w="1229" w:type="dxa"/>
            <w:tcBorders>
              <w:top w:val="single" w:sz="4" w:space="0" w:color="auto"/>
              <w:left w:val="single" w:sz="4" w:space="0" w:color="auto"/>
              <w:bottom w:val="single" w:sz="4" w:space="0" w:color="auto"/>
              <w:right w:val="single" w:sz="4" w:space="0" w:color="auto"/>
            </w:tcBorders>
            <w:vAlign w:val="center"/>
            <w:hideMark/>
          </w:tcPr>
          <w:p w14:paraId="4336FEF5" w14:textId="406F3DDE" w:rsidR="00992AB7" w:rsidRPr="00B700FA" w:rsidRDefault="00992AB7" w:rsidP="00146EC7">
            <w:pPr>
              <w:pStyle w:val="Tablewriting"/>
              <w:spacing w:line="276" w:lineRule="auto"/>
            </w:pPr>
            <w:r w:rsidRPr="00B700FA">
              <w:t>$62,396,373</w:t>
            </w:r>
          </w:p>
        </w:tc>
      </w:tr>
      <w:tr w:rsidR="00992AB7" w:rsidRPr="006B1967" w14:paraId="599B952A" w14:textId="77777777" w:rsidTr="00C61BBE">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BD9895" w14:textId="77777777" w:rsidR="00992AB7" w:rsidRPr="006B1967" w:rsidRDefault="00992AB7" w:rsidP="00146EC7">
            <w:pPr>
              <w:spacing w:after="0" w:line="276" w:lineRule="auto"/>
              <w:rPr>
                <w:rFonts w:cs="Calibri"/>
                <w:color w:val="000000"/>
                <w:sz w:val="20"/>
                <w:szCs w:val="20"/>
              </w:rPr>
            </w:pPr>
          </w:p>
        </w:tc>
        <w:tc>
          <w:tcPr>
            <w:tcW w:w="1065" w:type="dxa"/>
            <w:tcBorders>
              <w:top w:val="single" w:sz="4" w:space="0" w:color="auto"/>
              <w:left w:val="single" w:sz="4" w:space="0" w:color="auto"/>
              <w:bottom w:val="single" w:sz="4" w:space="0" w:color="auto"/>
              <w:right w:val="single" w:sz="4" w:space="0" w:color="auto"/>
            </w:tcBorders>
            <w:vAlign w:val="center"/>
            <w:hideMark/>
          </w:tcPr>
          <w:p w14:paraId="7A938882" w14:textId="77777777" w:rsidR="00992AB7" w:rsidRPr="006B1967" w:rsidRDefault="00992AB7" w:rsidP="00146EC7">
            <w:pPr>
              <w:pStyle w:val="Tablewriting"/>
              <w:spacing w:line="276" w:lineRule="auto"/>
            </w:pPr>
            <w:r w:rsidRPr="006B1967">
              <w:t>Difference</w:t>
            </w:r>
          </w:p>
        </w:tc>
        <w:tc>
          <w:tcPr>
            <w:tcW w:w="1330" w:type="dxa"/>
            <w:tcBorders>
              <w:top w:val="single" w:sz="4" w:space="0" w:color="auto"/>
              <w:left w:val="single" w:sz="4" w:space="0" w:color="auto"/>
              <w:bottom w:val="single" w:sz="4" w:space="0" w:color="auto"/>
              <w:right w:val="single" w:sz="4" w:space="0" w:color="auto"/>
            </w:tcBorders>
            <w:vAlign w:val="center"/>
            <w:hideMark/>
          </w:tcPr>
          <w:p w14:paraId="08E8D126" w14:textId="15B87EDC" w:rsidR="00992AB7" w:rsidRPr="00A30717" w:rsidRDefault="00316B73" w:rsidP="00146EC7">
            <w:pPr>
              <w:pStyle w:val="Tablewriting"/>
              <w:spacing w:line="276" w:lineRule="auto"/>
              <w:rPr>
                <w:highlight w:val="yellow"/>
              </w:rPr>
            </w:pPr>
            <w:r w:rsidRPr="00316B73">
              <w:rPr>
                <w:highlight w:val="black"/>
              </w:rPr>
              <w:t>Xxxxxxxx</w:t>
            </w:r>
          </w:p>
        </w:tc>
        <w:tc>
          <w:tcPr>
            <w:tcW w:w="1229" w:type="dxa"/>
            <w:tcBorders>
              <w:top w:val="single" w:sz="4" w:space="0" w:color="auto"/>
              <w:left w:val="single" w:sz="4" w:space="0" w:color="auto"/>
              <w:bottom w:val="single" w:sz="4" w:space="0" w:color="auto"/>
              <w:right w:val="single" w:sz="4" w:space="0" w:color="auto"/>
            </w:tcBorders>
            <w:vAlign w:val="center"/>
            <w:hideMark/>
          </w:tcPr>
          <w:p w14:paraId="66AC6443" w14:textId="3CAF5D6B" w:rsidR="00992AB7" w:rsidRPr="00A30717" w:rsidRDefault="00316B73" w:rsidP="00146EC7">
            <w:pPr>
              <w:pStyle w:val="Tablewriting"/>
              <w:spacing w:line="276" w:lineRule="auto"/>
              <w:rPr>
                <w:highlight w:val="yellow"/>
              </w:rPr>
            </w:pPr>
            <w:r w:rsidRPr="00316B73">
              <w:rPr>
                <w:highlight w:val="black"/>
              </w:rPr>
              <w:t>xxxxxxxx</w:t>
            </w:r>
          </w:p>
        </w:tc>
      </w:tr>
    </w:tbl>
    <w:p w14:paraId="60341B5D" w14:textId="7E50DA6C" w:rsidR="00C61BBE" w:rsidRPr="00A01346" w:rsidRDefault="00A01346" w:rsidP="00C61BBE">
      <w:pPr>
        <w:rPr>
          <w:sz w:val="20"/>
          <w:szCs w:val="20"/>
        </w:rPr>
      </w:pPr>
      <w:bookmarkStart w:id="1" w:name="_Hlk124944706"/>
      <w:r w:rsidRPr="00A01346">
        <w:rPr>
          <w:sz w:val="20"/>
          <w:szCs w:val="20"/>
        </w:rPr>
        <w:t xml:space="preserve">Note: </w:t>
      </w:r>
      <w:r w:rsidR="00AC5F0C">
        <w:rPr>
          <w:sz w:val="20"/>
          <w:szCs w:val="20"/>
        </w:rPr>
        <w:t>N</w:t>
      </w:r>
      <w:r w:rsidRPr="00A01346">
        <w:rPr>
          <w:sz w:val="20"/>
          <w:szCs w:val="20"/>
        </w:rPr>
        <w:t xml:space="preserve">et cost to PBS/RPBS figures based on published prices. </w:t>
      </w:r>
      <w:bookmarkEnd w:id="1"/>
    </w:p>
    <w:p w14:paraId="3B8C1FFF" w14:textId="379A0DBA" w:rsidR="00C61BBE" w:rsidRDefault="00C61BBE" w:rsidP="00C61BBE">
      <w:r w:rsidRPr="006B1967">
        <w:t xml:space="preserve">Table 3 presents a comparison of the predicted versus actual utilisation and expenditure of nivolumab </w:t>
      </w:r>
      <w:r w:rsidR="009D2881" w:rsidRPr="006B1967">
        <w:t>as adjuvant therapy in melanoma</w:t>
      </w:r>
      <w:r w:rsidRPr="006B1967">
        <w:t xml:space="preserve"> since listing in March 2020. In the first year of listing the number of prevalent patients was </w:t>
      </w:r>
      <w:r w:rsidRPr="00B700FA">
        <w:t>1,311</w:t>
      </w:r>
      <w:r w:rsidRPr="006B1967">
        <w:t xml:space="preserve"> which is </w:t>
      </w:r>
      <w:r w:rsidR="00316B73" w:rsidRPr="00316B73">
        <w:rPr>
          <w:highlight w:val="black"/>
        </w:rPr>
        <w:t>xxxxxxxx</w:t>
      </w:r>
      <w:r w:rsidRPr="006B1967">
        <w:t xml:space="preserve"> than what was predicted. The number of patients in Year 2 was </w:t>
      </w:r>
      <w:r w:rsidRPr="00B700FA">
        <w:t>1,120</w:t>
      </w:r>
      <w:r w:rsidRPr="006B1967">
        <w:t xml:space="preserve"> which is </w:t>
      </w:r>
      <w:r w:rsidR="00316B73" w:rsidRPr="00316B73">
        <w:rPr>
          <w:highlight w:val="black"/>
        </w:rPr>
        <w:t>xxxxxxxx</w:t>
      </w:r>
      <w:r w:rsidRPr="006B1967">
        <w:t xml:space="preserve"> than the </w:t>
      </w:r>
      <w:r w:rsidR="00316B73" w:rsidRPr="00316B73">
        <w:rPr>
          <w:highlight w:val="black"/>
        </w:rPr>
        <w:t>xxxxxxxx</w:t>
      </w:r>
      <w:r w:rsidRPr="006B1967">
        <w:t xml:space="preserve"> that was predicted. The number of prescriptions dispensed in all years of listing were </w:t>
      </w:r>
      <w:r w:rsidR="00316B73" w:rsidRPr="00316B73">
        <w:rPr>
          <w:highlight w:val="black"/>
        </w:rPr>
        <w:t>xxxxxxxx</w:t>
      </w:r>
      <w:r w:rsidRPr="006B1967">
        <w:t xml:space="preserve"> than what was predicted and the cost to the PBS/RPBS mirror the amount of prescriptions that were dispensed and were </w:t>
      </w:r>
      <w:r w:rsidR="00316B73" w:rsidRPr="00316B73">
        <w:rPr>
          <w:highlight w:val="black"/>
        </w:rPr>
        <w:t>xxxxxxxx</w:t>
      </w:r>
      <w:r w:rsidRPr="006B1967">
        <w:t xml:space="preserve"> than predicted.</w:t>
      </w:r>
    </w:p>
    <w:p w14:paraId="5A2F61AB" w14:textId="6DEC88FE" w:rsidR="00C61BBE" w:rsidRPr="001B7740" w:rsidRDefault="00C61BBE">
      <w:pPr>
        <w:spacing w:line="276" w:lineRule="auto"/>
        <w:rPr>
          <w:rFonts w:eastAsiaTheme="majorEastAsia" w:cstheme="majorBidi"/>
          <w:b/>
          <w:bCs/>
          <w:sz w:val="32"/>
          <w:szCs w:val="32"/>
          <w:u w:val="single"/>
        </w:rPr>
      </w:pPr>
      <w:r w:rsidRPr="001B7740">
        <w:rPr>
          <w:b/>
          <w:bCs/>
          <w:u w:val="single"/>
        </w:rPr>
        <w:br w:type="page"/>
      </w:r>
    </w:p>
    <w:p w14:paraId="6BD44A12" w14:textId="48155158" w:rsidR="00006E04" w:rsidRDefault="00422BE6" w:rsidP="00F73113">
      <w:pPr>
        <w:pStyle w:val="Heading1"/>
      </w:pPr>
      <w:r>
        <w:lastRenderedPageBreak/>
        <w:t>Melanoma market overview</w:t>
      </w:r>
    </w:p>
    <w:p w14:paraId="74DE70E3" w14:textId="4F4E945B" w:rsidR="00422BE6" w:rsidRDefault="00422BE6" w:rsidP="00422BE6">
      <w:r>
        <w:t>For the purpose of this review the melanoma market was categorised into the following groups</w:t>
      </w:r>
      <w:r w:rsidR="00D0395A">
        <w:t xml:space="preserve"> presented in Table 4.</w:t>
      </w:r>
    </w:p>
    <w:p w14:paraId="3170CBFE" w14:textId="7E9F09CA" w:rsidR="001D3405" w:rsidRDefault="001D3405" w:rsidP="001D3405">
      <w:pPr>
        <w:pStyle w:val="Tabletitle"/>
      </w:pPr>
      <w:r>
        <w:t>Table 4: Classification of melanoma medicines for this review.</w:t>
      </w:r>
    </w:p>
    <w:tbl>
      <w:tblPr>
        <w:tblpPr w:leftFromText="180" w:rightFromText="180" w:vertAnchor="text" w:tblpY="1"/>
        <w:tblOverlap w:val="never"/>
        <w:tblW w:w="5967" w:type="dxa"/>
        <w:tblLook w:val="04A0" w:firstRow="1" w:lastRow="0" w:firstColumn="1" w:lastColumn="0" w:noHBand="0" w:noVBand="1"/>
      </w:tblPr>
      <w:tblGrid>
        <w:gridCol w:w="2034"/>
        <w:gridCol w:w="1547"/>
        <w:gridCol w:w="2386"/>
      </w:tblGrid>
      <w:tr w:rsidR="00D0395A" w:rsidRPr="00D0395A" w14:paraId="5F87B342" w14:textId="77777777" w:rsidTr="004B135D">
        <w:trPr>
          <w:trHeight w:val="431"/>
        </w:trPr>
        <w:tc>
          <w:tcPr>
            <w:tcW w:w="2034"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14:paraId="644D8AC5" w14:textId="77777777" w:rsidR="00D0395A" w:rsidRPr="00D0395A" w:rsidRDefault="00D0395A" w:rsidP="001073C7">
            <w:pPr>
              <w:spacing w:after="0"/>
              <w:rPr>
                <w:rFonts w:ascii="Calibri" w:eastAsia="Times New Roman" w:hAnsi="Calibri" w:cs="Calibri"/>
                <w:b/>
                <w:bCs/>
                <w:color w:val="000000"/>
                <w:sz w:val="20"/>
                <w:szCs w:val="20"/>
              </w:rPr>
            </w:pPr>
            <w:r w:rsidRPr="00D0395A">
              <w:rPr>
                <w:rFonts w:ascii="Calibri" w:eastAsia="Times New Roman" w:hAnsi="Calibri" w:cs="Calibri"/>
                <w:b/>
                <w:bCs/>
                <w:color w:val="000000"/>
                <w:sz w:val="20"/>
                <w:szCs w:val="20"/>
              </w:rPr>
              <w:t>Surgical classification</w:t>
            </w:r>
          </w:p>
        </w:tc>
        <w:tc>
          <w:tcPr>
            <w:tcW w:w="1547"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hideMark/>
          </w:tcPr>
          <w:p w14:paraId="0DD1878E" w14:textId="77777777" w:rsidR="00D0395A" w:rsidRPr="00D0395A" w:rsidRDefault="00D0395A" w:rsidP="001073C7">
            <w:pPr>
              <w:spacing w:after="0"/>
              <w:rPr>
                <w:rFonts w:ascii="Calibri" w:eastAsia="Times New Roman" w:hAnsi="Calibri" w:cs="Calibri"/>
                <w:b/>
                <w:bCs/>
                <w:color w:val="000000"/>
                <w:sz w:val="20"/>
                <w:szCs w:val="20"/>
              </w:rPr>
            </w:pPr>
            <w:r w:rsidRPr="00D0395A">
              <w:rPr>
                <w:rFonts w:ascii="Calibri" w:eastAsia="Times New Roman" w:hAnsi="Calibri" w:cs="Calibri"/>
                <w:b/>
                <w:bCs/>
                <w:color w:val="000000"/>
                <w:sz w:val="20"/>
                <w:szCs w:val="20"/>
              </w:rPr>
              <w:t>Class</w:t>
            </w:r>
          </w:p>
        </w:tc>
        <w:tc>
          <w:tcPr>
            <w:tcW w:w="2386"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noWrap/>
            <w:vAlign w:val="center"/>
            <w:hideMark/>
          </w:tcPr>
          <w:p w14:paraId="3A49F9D9" w14:textId="77777777" w:rsidR="00D0395A" w:rsidRPr="00D0395A" w:rsidRDefault="00D0395A" w:rsidP="001073C7">
            <w:pPr>
              <w:spacing w:after="0"/>
              <w:rPr>
                <w:rFonts w:ascii="Calibri" w:eastAsia="Times New Roman" w:hAnsi="Calibri" w:cs="Calibri"/>
                <w:b/>
                <w:bCs/>
                <w:color w:val="000000"/>
                <w:sz w:val="20"/>
                <w:szCs w:val="20"/>
              </w:rPr>
            </w:pPr>
            <w:r w:rsidRPr="00D0395A">
              <w:rPr>
                <w:rFonts w:ascii="Calibri" w:eastAsia="Times New Roman" w:hAnsi="Calibri" w:cs="Calibri"/>
                <w:b/>
                <w:bCs/>
                <w:color w:val="000000"/>
                <w:sz w:val="20"/>
                <w:szCs w:val="20"/>
              </w:rPr>
              <w:t>Drug name</w:t>
            </w:r>
          </w:p>
        </w:tc>
      </w:tr>
      <w:tr w:rsidR="00D0395A" w:rsidRPr="00D0395A" w14:paraId="46E68241" w14:textId="77777777" w:rsidTr="001073C7">
        <w:trPr>
          <w:trHeight w:val="210"/>
        </w:trPr>
        <w:tc>
          <w:tcPr>
            <w:tcW w:w="2034" w:type="dxa"/>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73F4C8DC" w14:textId="6782C257" w:rsidR="00D0395A" w:rsidRPr="00D0395A" w:rsidRDefault="001D3405" w:rsidP="001073C7">
            <w:pPr>
              <w:spacing w:after="0"/>
              <w:rPr>
                <w:rFonts w:ascii="Calibri" w:eastAsia="Times New Roman" w:hAnsi="Calibri" w:cs="Calibri"/>
                <w:color w:val="000000"/>
                <w:sz w:val="20"/>
                <w:szCs w:val="20"/>
              </w:rPr>
            </w:pPr>
            <w:r w:rsidRPr="00D0395A">
              <w:rPr>
                <w:rFonts w:ascii="Calibri" w:eastAsia="Times New Roman" w:hAnsi="Calibri" w:cs="Calibri"/>
                <w:color w:val="000000"/>
                <w:sz w:val="20"/>
                <w:szCs w:val="20"/>
              </w:rPr>
              <w:t>Post</w:t>
            </w:r>
            <w:r w:rsidR="00146EC7">
              <w:rPr>
                <w:rFonts w:ascii="Calibri" w:eastAsia="Times New Roman" w:hAnsi="Calibri" w:cs="Calibri"/>
                <w:color w:val="000000"/>
                <w:sz w:val="20"/>
                <w:szCs w:val="20"/>
              </w:rPr>
              <w:t xml:space="preserve"> complete </w:t>
            </w:r>
            <w:r w:rsidRPr="00D0395A">
              <w:rPr>
                <w:rFonts w:ascii="Calibri" w:eastAsia="Times New Roman" w:hAnsi="Calibri" w:cs="Calibri"/>
                <w:color w:val="000000"/>
                <w:sz w:val="20"/>
                <w:szCs w:val="20"/>
              </w:rPr>
              <w:t>surgical</w:t>
            </w:r>
            <w:r w:rsidR="00D0395A" w:rsidRPr="00D0395A">
              <w:rPr>
                <w:rFonts w:ascii="Calibri" w:eastAsia="Times New Roman" w:hAnsi="Calibri" w:cs="Calibri"/>
                <w:color w:val="000000"/>
                <w:sz w:val="20"/>
                <w:szCs w:val="20"/>
              </w:rPr>
              <w:t xml:space="preserve"> resection</w:t>
            </w:r>
          </w:p>
        </w:tc>
        <w:tc>
          <w:tcPr>
            <w:tcW w:w="1547" w:type="dxa"/>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10CA909E" w14:textId="7C6EE114" w:rsidR="00D0395A" w:rsidRPr="00D0395A" w:rsidRDefault="00D0395A" w:rsidP="001073C7">
            <w:pPr>
              <w:spacing w:after="0"/>
              <w:rPr>
                <w:rFonts w:ascii="Calibri" w:eastAsia="Times New Roman" w:hAnsi="Calibri" w:cs="Calibri"/>
                <w:color w:val="000000"/>
                <w:sz w:val="20"/>
                <w:szCs w:val="20"/>
              </w:rPr>
            </w:pPr>
            <w:r w:rsidRPr="00D0395A">
              <w:rPr>
                <w:rFonts w:ascii="Calibri" w:eastAsia="Times New Roman" w:hAnsi="Calibri" w:cs="Calibri"/>
                <w:color w:val="000000"/>
                <w:sz w:val="20"/>
                <w:szCs w:val="20"/>
              </w:rPr>
              <w:t>PD1 inhibitors</w:t>
            </w:r>
          </w:p>
        </w:tc>
        <w:tc>
          <w:tcPr>
            <w:tcW w:w="2386"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461AB811" w14:textId="77777777" w:rsidR="00D0395A" w:rsidRPr="00D0395A" w:rsidRDefault="00D0395A" w:rsidP="001073C7">
            <w:pPr>
              <w:spacing w:after="0"/>
              <w:rPr>
                <w:rFonts w:ascii="Calibri" w:eastAsia="Times New Roman" w:hAnsi="Calibri" w:cs="Calibri"/>
                <w:color w:val="000000"/>
                <w:sz w:val="20"/>
                <w:szCs w:val="20"/>
              </w:rPr>
            </w:pPr>
            <w:r w:rsidRPr="00D0395A">
              <w:rPr>
                <w:rFonts w:ascii="Calibri" w:eastAsia="Times New Roman" w:hAnsi="Calibri" w:cs="Calibri"/>
                <w:color w:val="000000"/>
                <w:sz w:val="20"/>
                <w:szCs w:val="20"/>
              </w:rPr>
              <w:t>Nivolumab</w:t>
            </w:r>
          </w:p>
        </w:tc>
      </w:tr>
      <w:tr w:rsidR="00D0395A" w:rsidRPr="00D0395A" w14:paraId="4C96A866" w14:textId="77777777" w:rsidTr="001073C7">
        <w:trPr>
          <w:trHeight w:val="220"/>
        </w:trPr>
        <w:tc>
          <w:tcPr>
            <w:tcW w:w="2034" w:type="dxa"/>
            <w:vMerge/>
            <w:tcBorders>
              <w:top w:val="single" w:sz="8" w:space="0" w:color="auto"/>
              <w:left w:val="single" w:sz="12" w:space="0" w:color="auto"/>
              <w:bottom w:val="single" w:sz="8" w:space="0" w:color="000000"/>
              <w:right w:val="single" w:sz="12" w:space="0" w:color="auto"/>
            </w:tcBorders>
            <w:vAlign w:val="center"/>
            <w:hideMark/>
          </w:tcPr>
          <w:p w14:paraId="141FC372" w14:textId="77777777" w:rsidR="00D0395A" w:rsidRPr="00D0395A" w:rsidRDefault="00D0395A" w:rsidP="001073C7">
            <w:pPr>
              <w:spacing w:after="0"/>
              <w:rPr>
                <w:rFonts w:ascii="Calibri" w:eastAsia="Times New Roman" w:hAnsi="Calibri" w:cs="Calibri"/>
                <w:color w:val="000000"/>
                <w:sz w:val="20"/>
                <w:szCs w:val="20"/>
              </w:rPr>
            </w:pPr>
          </w:p>
        </w:tc>
        <w:tc>
          <w:tcPr>
            <w:tcW w:w="1547" w:type="dxa"/>
            <w:vMerge/>
            <w:tcBorders>
              <w:top w:val="single" w:sz="8" w:space="0" w:color="auto"/>
              <w:left w:val="single" w:sz="12" w:space="0" w:color="auto"/>
              <w:bottom w:val="single" w:sz="12" w:space="0" w:color="auto"/>
              <w:right w:val="single" w:sz="12" w:space="0" w:color="auto"/>
            </w:tcBorders>
            <w:vAlign w:val="center"/>
            <w:hideMark/>
          </w:tcPr>
          <w:p w14:paraId="21999900" w14:textId="77777777" w:rsidR="00D0395A" w:rsidRPr="00D0395A" w:rsidRDefault="00D0395A" w:rsidP="001073C7">
            <w:pPr>
              <w:spacing w:after="0"/>
              <w:rPr>
                <w:rFonts w:ascii="Calibri" w:eastAsia="Times New Roman" w:hAnsi="Calibri" w:cs="Calibri"/>
                <w:color w:val="000000"/>
                <w:sz w:val="20"/>
                <w:szCs w:val="20"/>
              </w:rPr>
            </w:pPr>
          </w:p>
        </w:tc>
        <w:tc>
          <w:tcPr>
            <w:tcW w:w="2386" w:type="dxa"/>
            <w:tcBorders>
              <w:top w:val="nil"/>
              <w:left w:val="single" w:sz="12" w:space="0" w:color="auto"/>
              <w:bottom w:val="single" w:sz="12" w:space="0" w:color="auto"/>
              <w:right w:val="single" w:sz="12" w:space="0" w:color="auto"/>
            </w:tcBorders>
            <w:shd w:val="clear" w:color="auto" w:fill="auto"/>
            <w:noWrap/>
            <w:vAlign w:val="center"/>
            <w:hideMark/>
          </w:tcPr>
          <w:p w14:paraId="1C8F4B67" w14:textId="77777777" w:rsidR="00D0395A" w:rsidRPr="00D0395A" w:rsidRDefault="00D0395A" w:rsidP="001073C7">
            <w:pPr>
              <w:spacing w:after="0"/>
              <w:rPr>
                <w:rFonts w:ascii="Calibri" w:eastAsia="Times New Roman" w:hAnsi="Calibri" w:cs="Calibri"/>
                <w:color w:val="000000"/>
                <w:sz w:val="20"/>
                <w:szCs w:val="20"/>
              </w:rPr>
            </w:pPr>
            <w:r w:rsidRPr="00D0395A">
              <w:rPr>
                <w:rFonts w:ascii="Calibri" w:eastAsia="Times New Roman" w:hAnsi="Calibri" w:cs="Calibri"/>
                <w:color w:val="000000"/>
                <w:sz w:val="20"/>
                <w:szCs w:val="20"/>
              </w:rPr>
              <w:t>Pembrolizumab</w:t>
            </w:r>
          </w:p>
        </w:tc>
      </w:tr>
      <w:tr w:rsidR="00D0395A" w:rsidRPr="00D0395A" w14:paraId="1F721D6B" w14:textId="77777777" w:rsidTr="001073C7">
        <w:trPr>
          <w:trHeight w:val="210"/>
        </w:trPr>
        <w:tc>
          <w:tcPr>
            <w:tcW w:w="2034" w:type="dxa"/>
            <w:vMerge/>
            <w:tcBorders>
              <w:top w:val="single" w:sz="8" w:space="0" w:color="auto"/>
              <w:left w:val="single" w:sz="12" w:space="0" w:color="auto"/>
              <w:bottom w:val="single" w:sz="8" w:space="0" w:color="000000"/>
              <w:right w:val="single" w:sz="12" w:space="0" w:color="auto"/>
            </w:tcBorders>
            <w:vAlign w:val="center"/>
            <w:hideMark/>
          </w:tcPr>
          <w:p w14:paraId="4AC72DE4" w14:textId="77777777" w:rsidR="00D0395A" w:rsidRPr="00D0395A" w:rsidRDefault="00D0395A" w:rsidP="001073C7">
            <w:pPr>
              <w:spacing w:after="0"/>
              <w:rPr>
                <w:rFonts w:ascii="Calibri" w:eastAsia="Times New Roman" w:hAnsi="Calibri" w:cs="Calibri"/>
                <w:color w:val="000000"/>
                <w:sz w:val="20"/>
                <w:szCs w:val="20"/>
              </w:rPr>
            </w:pPr>
          </w:p>
        </w:tc>
        <w:tc>
          <w:tcPr>
            <w:tcW w:w="1547" w:type="dxa"/>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56385FB0" w14:textId="77777777" w:rsidR="00D0395A" w:rsidRPr="00D0395A" w:rsidRDefault="00D0395A" w:rsidP="001073C7">
            <w:pPr>
              <w:spacing w:after="0"/>
              <w:rPr>
                <w:rFonts w:ascii="Calibri" w:eastAsia="Times New Roman" w:hAnsi="Calibri" w:cs="Calibri"/>
                <w:color w:val="000000"/>
                <w:sz w:val="20"/>
                <w:szCs w:val="20"/>
              </w:rPr>
            </w:pPr>
            <w:r w:rsidRPr="00D0395A">
              <w:rPr>
                <w:rFonts w:ascii="Calibri" w:eastAsia="Times New Roman" w:hAnsi="Calibri" w:cs="Calibri"/>
                <w:color w:val="000000"/>
                <w:sz w:val="20"/>
                <w:szCs w:val="20"/>
              </w:rPr>
              <w:t>BRAF and MEK inhibitors</w:t>
            </w:r>
          </w:p>
        </w:tc>
        <w:tc>
          <w:tcPr>
            <w:tcW w:w="2386"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4BBBD74D" w14:textId="77777777" w:rsidR="00D0395A" w:rsidRPr="00D0395A" w:rsidRDefault="00D0395A" w:rsidP="001073C7">
            <w:pPr>
              <w:spacing w:after="0"/>
              <w:rPr>
                <w:rFonts w:ascii="Calibri" w:eastAsia="Times New Roman" w:hAnsi="Calibri" w:cs="Calibri"/>
                <w:color w:val="000000"/>
                <w:sz w:val="20"/>
                <w:szCs w:val="20"/>
              </w:rPr>
            </w:pPr>
            <w:r w:rsidRPr="00D0395A">
              <w:rPr>
                <w:rFonts w:ascii="Calibri" w:eastAsia="Times New Roman" w:hAnsi="Calibri" w:cs="Calibri"/>
                <w:color w:val="000000"/>
                <w:sz w:val="20"/>
                <w:szCs w:val="20"/>
              </w:rPr>
              <w:t>Dabrafenib</w:t>
            </w:r>
          </w:p>
        </w:tc>
      </w:tr>
      <w:tr w:rsidR="00D0395A" w:rsidRPr="00D0395A" w14:paraId="7547C254" w14:textId="77777777" w:rsidTr="001073C7">
        <w:trPr>
          <w:trHeight w:val="220"/>
        </w:trPr>
        <w:tc>
          <w:tcPr>
            <w:tcW w:w="2034" w:type="dxa"/>
            <w:vMerge/>
            <w:tcBorders>
              <w:top w:val="single" w:sz="8" w:space="0" w:color="auto"/>
              <w:left w:val="single" w:sz="12" w:space="0" w:color="auto"/>
              <w:bottom w:val="single" w:sz="12" w:space="0" w:color="auto"/>
              <w:right w:val="single" w:sz="12" w:space="0" w:color="auto"/>
            </w:tcBorders>
            <w:vAlign w:val="center"/>
            <w:hideMark/>
          </w:tcPr>
          <w:p w14:paraId="77DF4B44" w14:textId="77777777" w:rsidR="00D0395A" w:rsidRPr="00D0395A" w:rsidRDefault="00D0395A" w:rsidP="001073C7">
            <w:pPr>
              <w:spacing w:after="0"/>
              <w:rPr>
                <w:rFonts w:ascii="Calibri" w:eastAsia="Times New Roman" w:hAnsi="Calibri" w:cs="Calibri"/>
                <w:color w:val="000000"/>
                <w:sz w:val="20"/>
                <w:szCs w:val="20"/>
              </w:rPr>
            </w:pPr>
          </w:p>
        </w:tc>
        <w:tc>
          <w:tcPr>
            <w:tcW w:w="1547" w:type="dxa"/>
            <w:vMerge/>
            <w:tcBorders>
              <w:top w:val="nil"/>
              <w:left w:val="single" w:sz="12" w:space="0" w:color="auto"/>
              <w:bottom w:val="single" w:sz="12" w:space="0" w:color="auto"/>
              <w:right w:val="single" w:sz="12" w:space="0" w:color="auto"/>
            </w:tcBorders>
            <w:vAlign w:val="center"/>
            <w:hideMark/>
          </w:tcPr>
          <w:p w14:paraId="4C575D2C" w14:textId="77777777" w:rsidR="00D0395A" w:rsidRPr="00D0395A" w:rsidRDefault="00D0395A" w:rsidP="001073C7">
            <w:pPr>
              <w:spacing w:after="0"/>
              <w:rPr>
                <w:rFonts w:ascii="Calibri" w:eastAsia="Times New Roman" w:hAnsi="Calibri" w:cs="Calibri"/>
                <w:color w:val="000000"/>
                <w:sz w:val="20"/>
                <w:szCs w:val="20"/>
              </w:rPr>
            </w:pPr>
          </w:p>
        </w:tc>
        <w:tc>
          <w:tcPr>
            <w:tcW w:w="2386" w:type="dxa"/>
            <w:tcBorders>
              <w:top w:val="nil"/>
              <w:left w:val="single" w:sz="12" w:space="0" w:color="auto"/>
              <w:bottom w:val="single" w:sz="12" w:space="0" w:color="auto"/>
              <w:right w:val="single" w:sz="12" w:space="0" w:color="auto"/>
            </w:tcBorders>
            <w:shd w:val="clear" w:color="auto" w:fill="auto"/>
            <w:noWrap/>
            <w:vAlign w:val="center"/>
            <w:hideMark/>
          </w:tcPr>
          <w:p w14:paraId="4E9E495C" w14:textId="77777777" w:rsidR="00D0395A" w:rsidRPr="00D0395A" w:rsidRDefault="00D0395A" w:rsidP="001073C7">
            <w:pPr>
              <w:spacing w:after="0"/>
              <w:rPr>
                <w:rFonts w:ascii="Calibri" w:eastAsia="Times New Roman" w:hAnsi="Calibri" w:cs="Calibri"/>
                <w:color w:val="000000"/>
                <w:sz w:val="20"/>
                <w:szCs w:val="20"/>
              </w:rPr>
            </w:pPr>
            <w:r w:rsidRPr="00D0395A">
              <w:rPr>
                <w:rFonts w:ascii="Calibri" w:eastAsia="Times New Roman" w:hAnsi="Calibri" w:cs="Calibri"/>
                <w:color w:val="000000"/>
                <w:sz w:val="20"/>
                <w:szCs w:val="20"/>
              </w:rPr>
              <w:t>Trametinib</w:t>
            </w:r>
          </w:p>
        </w:tc>
      </w:tr>
      <w:tr w:rsidR="00D0395A" w:rsidRPr="00D0395A" w14:paraId="3E0BC934" w14:textId="77777777" w:rsidTr="001073C7">
        <w:trPr>
          <w:trHeight w:val="210"/>
        </w:trPr>
        <w:tc>
          <w:tcPr>
            <w:tcW w:w="2034" w:type="dxa"/>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5CF7010E" w14:textId="77777777" w:rsidR="00D0395A" w:rsidRPr="00D0395A" w:rsidRDefault="00D0395A" w:rsidP="001073C7">
            <w:pPr>
              <w:spacing w:after="0"/>
              <w:rPr>
                <w:rFonts w:ascii="Calibri" w:eastAsia="Times New Roman" w:hAnsi="Calibri" w:cs="Calibri"/>
                <w:color w:val="000000"/>
                <w:sz w:val="20"/>
                <w:szCs w:val="20"/>
              </w:rPr>
            </w:pPr>
            <w:r w:rsidRPr="00D0395A">
              <w:rPr>
                <w:rFonts w:ascii="Calibri" w:eastAsia="Times New Roman" w:hAnsi="Calibri" w:cs="Calibri"/>
                <w:color w:val="000000"/>
                <w:sz w:val="20"/>
                <w:szCs w:val="20"/>
              </w:rPr>
              <w:t>Unresectable</w:t>
            </w:r>
          </w:p>
        </w:tc>
        <w:tc>
          <w:tcPr>
            <w:tcW w:w="1547" w:type="dxa"/>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0AF06FB3" w14:textId="4CA89D88" w:rsidR="00D0395A" w:rsidRPr="00D0395A" w:rsidRDefault="00F47DA6" w:rsidP="001073C7">
            <w:pPr>
              <w:spacing w:after="0"/>
              <w:rPr>
                <w:rFonts w:ascii="Calibri" w:eastAsia="Times New Roman" w:hAnsi="Calibri" w:cs="Calibri"/>
                <w:color w:val="000000"/>
                <w:sz w:val="20"/>
                <w:szCs w:val="20"/>
              </w:rPr>
            </w:pPr>
            <w:r>
              <w:rPr>
                <w:rFonts w:ascii="Calibri" w:eastAsia="Times New Roman" w:hAnsi="Calibri" w:cs="Calibri"/>
                <w:color w:val="000000"/>
                <w:sz w:val="20"/>
                <w:szCs w:val="20"/>
              </w:rPr>
              <w:t>Checkpoint</w:t>
            </w:r>
            <w:r w:rsidR="00D0395A" w:rsidRPr="00D0395A">
              <w:rPr>
                <w:rFonts w:ascii="Calibri" w:eastAsia="Times New Roman" w:hAnsi="Calibri" w:cs="Calibri"/>
                <w:color w:val="000000"/>
                <w:sz w:val="20"/>
                <w:szCs w:val="20"/>
              </w:rPr>
              <w:t xml:space="preserve"> inhibitors</w:t>
            </w:r>
          </w:p>
        </w:tc>
        <w:tc>
          <w:tcPr>
            <w:tcW w:w="2386"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44F9D1EF" w14:textId="77777777" w:rsidR="00D0395A" w:rsidRPr="00D0395A" w:rsidRDefault="00D0395A" w:rsidP="001073C7">
            <w:pPr>
              <w:spacing w:after="0"/>
              <w:rPr>
                <w:rFonts w:ascii="Calibri" w:eastAsia="Times New Roman" w:hAnsi="Calibri" w:cs="Calibri"/>
                <w:color w:val="000000"/>
                <w:sz w:val="20"/>
                <w:szCs w:val="20"/>
              </w:rPr>
            </w:pPr>
            <w:r w:rsidRPr="00D0395A">
              <w:rPr>
                <w:rFonts w:ascii="Calibri" w:eastAsia="Times New Roman" w:hAnsi="Calibri" w:cs="Calibri"/>
                <w:color w:val="000000"/>
                <w:sz w:val="20"/>
                <w:szCs w:val="20"/>
              </w:rPr>
              <w:t>Ipilimumab</w:t>
            </w:r>
          </w:p>
        </w:tc>
      </w:tr>
      <w:tr w:rsidR="00D0395A" w:rsidRPr="00D0395A" w14:paraId="68DE9AC1" w14:textId="77777777" w:rsidTr="001073C7">
        <w:trPr>
          <w:trHeight w:val="210"/>
        </w:trPr>
        <w:tc>
          <w:tcPr>
            <w:tcW w:w="2034" w:type="dxa"/>
            <w:vMerge/>
            <w:tcBorders>
              <w:top w:val="nil"/>
              <w:left w:val="single" w:sz="12" w:space="0" w:color="auto"/>
              <w:bottom w:val="single" w:sz="8" w:space="0" w:color="000000"/>
              <w:right w:val="single" w:sz="12" w:space="0" w:color="auto"/>
            </w:tcBorders>
            <w:vAlign w:val="center"/>
            <w:hideMark/>
          </w:tcPr>
          <w:p w14:paraId="65329EA3" w14:textId="77777777" w:rsidR="00D0395A" w:rsidRPr="00D0395A" w:rsidRDefault="00D0395A" w:rsidP="001073C7">
            <w:pPr>
              <w:spacing w:after="0"/>
              <w:rPr>
                <w:rFonts w:ascii="Calibri" w:eastAsia="Times New Roman" w:hAnsi="Calibri" w:cs="Calibri"/>
                <w:color w:val="000000"/>
                <w:sz w:val="20"/>
                <w:szCs w:val="20"/>
              </w:rPr>
            </w:pPr>
          </w:p>
        </w:tc>
        <w:tc>
          <w:tcPr>
            <w:tcW w:w="1547" w:type="dxa"/>
            <w:vMerge/>
            <w:tcBorders>
              <w:top w:val="nil"/>
              <w:left w:val="single" w:sz="12" w:space="0" w:color="auto"/>
              <w:bottom w:val="single" w:sz="8" w:space="0" w:color="000000"/>
              <w:right w:val="single" w:sz="12" w:space="0" w:color="auto"/>
            </w:tcBorders>
            <w:vAlign w:val="center"/>
            <w:hideMark/>
          </w:tcPr>
          <w:p w14:paraId="61FCCFBE" w14:textId="77777777" w:rsidR="00D0395A" w:rsidRPr="00D0395A" w:rsidRDefault="00D0395A" w:rsidP="001073C7">
            <w:pPr>
              <w:spacing w:after="0"/>
              <w:rPr>
                <w:rFonts w:ascii="Calibri" w:eastAsia="Times New Roman" w:hAnsi="Calibri" w:cs="Calibri"/>
                <w:color w:val="000000"/>
                <w:sz w:val="20"/>
                <w:szCs w:val="20"/>
              </w:rPr>
            </w:pPr>
          </w:p>
        </w:tc>
        <w:tc>
          <w:tcPr>
            <w:tcW w:w="2386" w:type="dxa"/>
            <w:tcBorders>
              <w:top w:val="nil"/>
              <w:left w:val="single" w:sz="12" w:space="0" w:color="auto"/>
              <w:bottom w:val="single" w:sz="4" w:space="0" w:color="auto"/>
              <w:right w:val="single" w:sz="12" w:space="0" w:color="auto"/>
            </w:tcBorders>
            <w:shd w:val="clear" w:color="auto" w:fill="auto"/>
            <w:noWrap/>
            <w:vAlign w:val="center"/>
            <w:hideMark/>
          </w:tcPr>
          <w:p w14:paraId="3ABAA7E1" w14:textId="77777777" w:rsidR="00D0395A" w:rsidRPr="00D0395A" w:rsidRDefault="00D0395A" w:rsidP="001073C7">
            <w:pPr>
              <w:spacing w:after="0"/>
              <w:rPr>
                <w:rFonts w:ascii="Calibri" w:eastAsia="Times New Roman" w:hAnsi="Calibri" w:cs="Calibri"/>
                <w:color w:val="000000"/>
                <w:sz w:val="20"/>
                <w:szCs w:val="20"/>
              </w:rPr>
            </w:pPr>
            <w:r w:rsidRPr="00D0395A">
              <w:rPr>
                <w:rFonts w:ascii="Calibri" w:eastAsia="Times New Roman" w:hAnsi="Calibri" w:cs="Calibri"/>
                <w:color w:val="000000"/>
                <w:sz w:val="20"/>
                <w:szCs w:val="20"/>
              </w:rPr>
              <w:t>Nivolumab</w:t>
            </w:r>
          </w:p>
        </w:tc>
      </w:tr>
      <w:tr w:rsidR="00D0395A" w:rsidRPr="00D0395A" w14:paraId="2BD906A0" w14:textId="77777777" w:rsidTr="001073C7">
        <w:trPr>
          <w:trHeight w:val="220"/>
        </w:trPr>
        <w:tc>
          <w:tcPr>
            <w:tcW w:w="2034" w:type="dxa"/>
            <w:vMerge/>
            <w:tcBorders>
              <w:top w:val="nil"/>
              <w:left w:val="single" w:sz="12" w:space="0" w:color="auto"/>
              <w:bottom w:val="single" w:sz="8" w:space="0" w:color="000000"/>
              <w:right w:val="single" w:sz="12" w:space="0" w:color="auto"/>
            </w:tcBorders>
            <w:vAlign w:val="center"/>
            <w:hideMark/>
          </w:tcPr>
          <w:p w14:paraId="3EE3BCF9" w14:textId="77777777" w:rsidR="00D0395A" w:rsidRPr="00D0395A" w:rsidRDefault="00D0395A" w:rsidP="001073C7">
            <w:pPr>
              <w:spacing w:after="0"/>
              <w:rPr>
                <w:rFonts w:ascii="Calibri" w:eastAsia="Times New Roman" w:hAnsi="Calibri" w:cs="Calibri"/>
                <w:color w:val="000000"/>
                <w:sz w:val="20"/>
                <w:szCs w:val="20"/>
              </w:rPr>
            </w:pPr>
          </w:p>
        </w:tc>
        <w:tc>
          <w:tcPr>
            <w:tcW w:w="1547" w:type="dxa"/>
            <w:vMerge/>
            <w:tcBorders>
              <w:top w:val="nil"/>
              <w:left w:val="single" w:sz="12" w:space="0" w:color="auto"/>
              <w:bottom w:val="single" w:sz="12" w:space="0" w:color="auto"/>
              <w:right w:val="single" w:sz="12" w:space="0" w:color="auto"/>
            </w:tcBorders>
            <w:vAlign w:val="center"/>
            <w:hideMark/>
          </w:tcPr>
          <w:p w14:paraId="41D574A6" w14:textId="77777777" w:rsidR="00D0395A" w:rsidRPr="00D0395A" w:rsidRDefault="00D0395A" w:rsidP="001073C7">
            <w:pPr>
              <w:spacing w:after="0"/>
              <w:rPr>
                <w:rFonts w:ascii="Calibri" w:eastAsia="Times New Roman" w:hAnsi="Calibri" w:cs="Calibri"/>
                <w:color w:val="000000"/>
                <w:sz w:val="20"/>
                <w:szCs w:val="20"/>
              </w:rPr>
            </w:pPr>
          </w:p>
        </w:tc>
        <w:tc>
          <w:tcPr>
            <w:tcW w:w="2386" w:type="dxa"/>
            <w:tcBorders>
              <w:top w:val="nil"/>
              <w:left w:val="single" w:sz="12" w:space="0" w:color="auto"/>
              <w:bottom w:val="single" w:sz="12" w:space="0" w:color="auto"/>
              <w:right w:val="single" w:sz="12" w:space="0" w:color="auto"/>
            </w:tcBorders>
            <w:shd w:val="clear" w:color="auto" w:fill="auto"/>
            <w:noWrap/>
            <w:vAlign w:val="center"/>
            <w:hideMark/>
          </w:tcPr>
          <w:p w14:paraId="34E8D621" w14:textId="77777777" w:rsidR="00D0395A" w:rsidRPr="00D0395A" w:rsidRDefault="00D0395A" w:rsidP="001073C7">
            <w:pPr>
              <w:spacing w:after="0"/>
              <w:rPr>
                <w:rFonts w:ascii="Calibri" w:eastAsia="Times New Roman" w:hAnsi="Calibri" w:cs="Calibri"/>
                <w:color w:val="000000"/>
                <w:sz w:val="20"/>
                <w:szCs w:val="20"/>
              </w:rPr>
            </w:pPr>
            <w:r w:rsidRPr="00D0395A">
              <w:rPr>
                <w:rFonts w:ascii="Calibri" w:eastAsia="Times New Roman" w:hAnsi="Calibri" w:cs="Calibri"/>
                <w:color w:val="000000"/>
                <w:sz w:val="20"/>
                <w:szCs w:val="20"/>
              </w:rPr>
              <w:t>Pembrolizumab</w:t>
            </w:r>
          </w:p>
        </w:tc>
      </w:tr>
      <w:tr w:rsidR="00D0395A" w:rsidRPr="00D0395A" w14:paraId="2D8A8AD2" w14:textId="77777777" w:rsidTr="001073C7">
        <w:trPr>
          <w:trHeight w:val="210"/>
        </w:trPr>
        <w:tc>
          <w:tcPr>
            <w:tcW w:w="2034" w:type="dxa"/>
            <w:vMerge/>
            <w:tcBorders>
              <w:top w:val="nil"/>
              <w:left w:val="single" w:sz="12" w:space="0" w:color="auto"/>
              <w:bottom w:val="single" w:sz="8" w:space="0" w:color="000000"/>
              <w:right w:val="single" w:sz="12" w:space="0" w:color="auto"/>
            </w:tcBorders>
            <w:vAlign w:val="center"/>
            <w:hideMark/>
          </w:tcPr>
          <w:p w14:paraId="3FDFF4A1" w14:textId="77777777" w:rsidR="00D0395A" w:rsidRPr="00D0395A" w:rsidRDefault="00D0395A" w:rsidP="001073C7">
            <w:pPr>
              <w:spacing w:after="0"/>
              <w:rPr>
                <w:rFonts w:ascii="Calibri" w:eastAsia="Times New Roman" w:hAnsi="Calibri" w:cs="Calibri"/>
                <w:color w:val="000000"/>
                <w:sz w:val="20"/>
                <w:szCs w:val="20"/>
              </w:rPr>
            </w:pPr>
          </w:p>
        </w:tc>
        <w:tc>
          <w:tcPr>
            <w:tcW w:w="1547" w:type="dxa"/>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0DB8896D" w14:textId="77777777" w:rsidR="00D0395A" w:rsidRPr="00D0395A" w:rsidRDefault="00D0395A" w:rsidP="001073C7">
            <w:pPr>
              <w:spacing w:after="0"/>
              <w:rPr>
                <w:rFonts w:ascii="Calibri" w:eastAsia="Times New Roman" w:hAnsi="Calibri" w:cs="Calibri"/>
                <w:color w:val="000000"/>
                <w:sz w:val="20"/>
                <w:szCs w:val="20"/>
              </w:rPr>
            </w:pPr>
            <w:r w:rsidRPr="00D0395A">
              <w:rPr>
                <w:rFonts w:ascii="Calibri" w:eastAsia="Times New Roman" w:hAnsi="Calibri" w:cs="Calibri"/>
                <w:color w:val="000000"/>
                <w:sz w:val="20"/>
                <w:szCs w:val="20"/>
              </w:rPr>
              <w:t>BRAF inhibitors</w:t>
            </w:r>
          </w:p>
        </w:tc>
        <w:tc>
          <w:tcPr>
            <w:tcW w:w="2386"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7B7CD244" w14:textId="77777777" w:rsidR="00D0395A" w:rsidRPr="00D0395A" w:rsidRDefault="00D0395A" w:rsidP="001073C7">
            <w:pPr>
              <w:spacing w:after="0"/>
              <w:rPr>
                <w:rFonts w:ascii="Calibri" w:eastAsia="Times New Roman" w:hAnsi="Calibri" w:cs="Calibri"/>
                <w:color w:val="000000"/>
                <w:sz w:val="20"/>
                <w:szCs w:val="20"/>
              </w:rPr>
            </w:pPr>
            <w:r w:rsidRPr="00D0395A">
              <w:rPr>
                <w:rFonts w:ascii="Calibri" w:eastAsia="Times New Roman" w:hAnsi="Calibri" w:cs="Calibri"/>
                <w:color w:val="000000"/>
                <w:sz w:val="20"/>
                <w:szCs w:val="20"/>
              </w:rPr>
              <w:t>Dabrafenib</w:t>
            </w:r>
          </w:p>
        </w:tc>
      </w:tr>
      <w:tr w:rsidR="00D0395A" w:rsidRPr="00D0395A" w14:paraId="162022D8" w14:textId="77777777" w:rsidTr="001073C7">
        <w:trPr>
          <w:trHeight w:val="210"/>
        </w:trPr>
        <w:tc>
          <w:tcPr>
            <w:tcW w:w="2034" w:type="dxa"/>
            <w:vMerge/>
            <w:tcBorders>
              <w:top w:val="nil"/>
              <w:left w:val="single" w:sz="12" w:space="0" w:color="auto"/>
              <w:bottom w:val="single" w:sz="8" w:space="0" w:color="000000"/>
              <w:right w:val="single" w:sz="12" w:space="0" w:color="auto"/>
            </w:tcBorders>
            <w:vAlign w:val="center"/>
            <w:hideMark/>
          </w:tcPr>
          <w:p w14:paraId="36FC6525" w14:textId="77777777" w:rsidR="00D0395A" w:rsidRPr="00D0395A" w:rsidRDefault="00D0395A" w:rsidP="001073C7">
            <w:pPr>
              <w:spacing w:after="0"/>
              <w:rPr>
                <w:rFonts w:ascii="Calibri" w:eastAsia="Times New Roman" w:hAnsi="Calibri" w:cs="Calibri"/>
                <w:color w:val="000000"/>
                <w:sz w:val="20"/>
                <w:szCs w:val="20"/>
              </w:rPr>
            </w:pPr>
          </w:p>
        </w:tc>
        <w:tc>
          <w:tcPr>
            <w:tcW w:w="1547" w:type="dxa"/>
            <w:vMerge/>
            <w:tcBorders>
              <w:top w:val="nil"/>
              <w:left w:val="single" w:sz="12" w:space="0" w:color="auto"/>
              <w:bottom w:val="single" w:sz="8" w:space="0" w:color="000000"/>
              <w:right w:val="single" w:sz="12" w:space="0" w:color="auto"/>
            </w:tcBorders>
            <w:vAlign w:val="center"/>
            <w:hideMark/>
          </w:tcPr>
          <w:p w14:paraId="0BC10187" w14:textId="77777777" w:rsidR="00D0395A" w:rsidRPr="00D0395A" w:rsidRDefault="00D0395A" w:rsidP="001073C7">
            <w:pPr>
              <w:spacing w:after="0"/>
              <w:rPr>
                <w:rFonts w:ascii="Calibri" w:eastAsia="Times New Roman" w:hAnsi="Calibri" w:cs="Calibri"/>
                <w:color w:val="000000"/>
                <w:sz w:val="20"/>
                <w:szCs w:val="20"/>
              </w:rPr>
            </w:pPr>
          </w:p>
        </w:tc>
        <w:tc>
          <w:tcPr>
            <w:tcW w:w="2386" w:type="dxa"/>
            <w:tcBorders>
              <w:top w:val="nil"/>
              <w:left w:val="single" w:sz="12" w:space="0" w:color="auto"/>
              <w:bottom w:val="single" w:sz="4" w:space="0" w:color="auto"/>
              <w:right w:val="single" w:sz="12" w:space="0" w:color="auto"/>
            </w:tcBorders>
            <w:shd w:val="clear" w:color="auto" w:fill="auto"/>
            <w:noWrap/>
            <w:vAlign w:val="center"/>
            <w:hideMark/>
          </w:tcPr>
          <w:p w14:paraId="06645DA8" w14:textId="77777777" w:rsidR="00D0395A" w:rsidRPr="00D0395A" w:rsidRDefault="00D0395A" w:rsidP="001073C7">
            <w:pPr>
              <w:spacing w:after="0"/>
              <w:rPr>
                <w:rFonts w:ascii="Calibri" w:eastAsia="Times New Roman" w:hAnsi="Calibri" w:cs="Calibri"/>
                <w:color w:val="000000"/>
                <w:sz w:val="20"/>
                <w:szCs w:val="20"/>
              </w:rPr>
            </w:pPr>
            <w:r w:rsidRPr="00D0395A">
              <w:rPr>
                <w:rFonts w:ascii="Calibri" w:eastAsia="Times New Roman" w:hAnsi="Calibri" w:cs="Calibri"/>
                <w:color w:val="000000"/>
                <w:sz w:val="20"/>
                <w:szCs w:val="20"/>
              </w:rPr>
              <w:t>Encorafenib</w:t>
            </w:r>
          </w:p>
        </w:tc>
      </w:tr>
      <w:tr w:rsidR="00D0395A" w:rsidRPr="00D0395A" w14:paraId="57C9E1C8" w14:textId="77777777" w:rsidTr="001073C7">
        <w:trPr>
          <w:trHeight w:val="220"/>
        </w:trPr>
        <w:tc>
          <w:tcPr>
            <w:tcW w:w="2034" w:type="dxa"/>
            <w:vMerge/>
            <w:tcBorders>
              <w:top w:val="nil"/>
              <w:left w:val="single" w:sz="12" w:space="0" w:color="auto"/>
              <w:bottom w:val="single" w:sz="8" w:space="0" w:color="000000"/>
              <w:right w:val="single" w:sz="12" w:space="0" w:color="auto"/>
            </w:tcBorders>
            <w:vAlign w:val="center"/>
            <w:hideMark/>
          </w:tcPr>
          <w:p w14:paraId="69E56E44" w14:textId="77777777" w:rsidR="00D0395A" w:rsidRPr="00D0395A" w:rsidRDefault="00D0395A" w:rsidP="001073C7">
            <w:pPr>
              <w:spacing w:after="0"/>
              <w:rPr>
                <w:rFonts w:ascii="Calibri" w:eastAsia="Times New Roman" w:hAnsi="Calibri" w:cs="Calibri"/>
                <w:color w:val="000000"/>
                <w:sz w:val="20"/>
                <w:szCs w:val="20"/>
              </w:rPr>
            </w:pPr>
          </w:p>
        </w:tc>
        <w:tc>
          <w:tcPr>
            <w:tcW w:w="1547" w:type="dxa"/>
            <w:vMerge/>
            <w:tcBorders>
              <w:top w:val="nil"/>
              <w:left w:val="single" w:sz="12" w:space="0" w:color="auto"/>
              <w:bottom w:val="single" w:sz="12" w:space="0" w:color="auto"/>
              <w:right w:val="single" w:sz="12" w:space="0" w:color="auto"/>
            </w:tcBorders>
            <w:vAlign w:val="center"/>
            <w:hideMark/>
          </w:tcPr>
          <w:p w14:paraId="21C41094" w14:textId="77777777" w:rsidR="00D0395A" w:rsidRPr="00D0395A" w:rsidRDefault="00D0395A" w:rsidP="001073C7">
            <w:pPr>
              <w:spacing w:after="0"/>
              <w:rPr>
                <w:rFonts w:ascii="Calibri" w:eastAsia="Times New Roman" w:hAnsi="Calibri" w:cs="Calibri"/>
                <w:color w:val="000000"/>
                <w:sz w:val="20"/>
                <w:szCs w:val="20"/>
              </w:rPr>
            </w:pPr>
          </w:p>
        </w:tc>
        <w:tc>
          <w:tcPr>
            <w:tcW w:w="2386" w:type="dxa"/>
            <w:tcBorders>
              <w:top w:val="nil"/>
              <w:left w:val="single" w:sz="12" w:space="0" w:color="auto"/>
              <w:bottom w:val="single" w:sz="12" w:space="0" w:color="auto"/>
              <w:right w:val="single" w:sz="12" w:space="0" w:color="auto"/>
            </w:tcBorders>
            <w:shd w:val="clear" w:color="auto" w:fill="auto"/>
            <w:noWrap/>
            <w:vAlign w:val="center"/>
            <w:hideMark/>
          </w:tcPr>
          <w:p w14:paraId="79BCCA7D" w14:textId="77777777" w:rsidR="00D0395A" w:rsidRPr="00D0395A" w:rsidRDefault="00D0395A" w:rsidP="001073C7">
            <w:pPr>
              <w:spacing w:after="0"/>
              <w:rPr>
                <w:rFonts w:ascii="Calibri" w:eastAsia="Times New Roman" w:hAnsi="Calibri" w:cs="Calibri"/>
                <w:color w:val="000000"/>
                <w:sz w:val="20"/>
                <w:szCs w:val="20"/>
              </w:rPr>
            </w:pPr>
            <w:r w:rsidRPr="00D0395A">
              <w:rPr>
                <w:rFonts w:ascii="Calibri" w:eastAsia="Times New Roman" w:hAnsi="Calibri" w:cs="Calibri"/>
                <w:color w:val="000000"/>
                <w:sz w:val="20"/>
                <w:szCs w:val="20"/>
              </w:rPr>
              <w:t>Vemurafenib</w:t>
            </w:r>
          </w:p>
        </w:tc>
      </w:tr>
      <w:tr w:rsidR="00D0395A" w:rsidRPr="00D0395A" w14:paraId="246C2960" w14:textId="77777777" w:rsidTr="001073C7">
        <w:trPr>
          <w:trHeight w:val="210"/>
        </w:trPr>
        <w:tc>
          <w:tcPr>
            <w:tcW w:w="2034" w:type="dxa"/>
            <w:vMerge/>
            <w:tcBorders>
              <w:top w:val="nil"/>
              <w:left w:val="single" w:sz="12" w:space="0" w:color="auto"/>
              <w:bottom w:val="single" w:sz="8" w:space="0" w:color="000000"/>
              <w:right w:val="single" w:sz="12" w:space="0" w:color="auto"/>
            </w:tcBorders>
            <w:vAlign w:val="center"/>
            <w:hideMark/>
          </w:tcPr>
          <w:p w14:paraId="76E79603" w14:textId="77777777" w:rsidR="00D0395A" w:rsidRPr="00D0395A" w:rsidRDefault="00D0395A" w:rsidP="001073C7">
            <w:pPr>
              <w:spacing w:after="0"/>
              <w:rPr>
                <w:rFonts w:ascii="Calibri" w:eastAsia="Times New Roman" w:hAnsi="Calibri" w:cs="Calibri"/>
                <w:color w:val="000000"/>
                <w:sz w:val="20"/>
                <w:szCs w:val="20"/>
              </w:rPr>
            </w:pPr>
          </w:p>
        </w:tc>
        <w:tc>
          <w:tcPr>
            <w:tcW w:w="1547" w:type="dxa"/>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2D72E18F" w14:textId="77777777" w:rsidR="00D0395A" w:rsidRPr="00D0395A" w:rsidRDefault="00D0395A" w:rsidP="001073C7">
            <w:pPr>
              <w:spacing w:after="0"/>
              <w:rPr>
                <w:rFonts w:ascii="Calibri" w:eastAsia="Times New Roman" w:hAnsi="Calibri" w:cs="Calibri"/>
                <w:color w:val="000000"/>
                <w:sz w:val="20"/>
                <w:szCs w:val="20"/>
              </w:rPr>
            </w:pPr>
            <w:r w:rsidRPr="00D0395A">
              <w:rPr>
                <w:rFonts w:ascii="Calibri" w:eastAsia="Times New Roman" w:hAnsi="Calibri" w:cs="Calibri"/>
                <w:color w:val="000000"/>
                <w:sz w:val="20"/>
                <w:szCs w:val="20"/>
              </w:rPr>
              <w:t>MEK inhibitors</w:t>
            </w:r>
          </w:p>
        </w:tc>
        <w:tc>
          <w:tcPr>
            <w:tcW w:w="2386"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2B43F727" w14:textId="77777777" w:rsidR="00D0395A" w:rsidRPr="00D0395A" w:rsidRDefault="00D0395A" w:rsidP="001073C7">
            <w:pPr>
              <w:spacing w:after="0"/>
              <w:rPr>
                <w:rFonts w:ascii="Calibri" w:eastAsia="Times New Roman" w:hAnsi="Calibri" w:cs="Calibri"/>
                <w:color w:val="000000"/>
                <w:sz w:val="20"/>
                <w:szCs w:val="20"/>
              </w:rPr>
            </w:pPr>
            <w:r w:rsidRPr="00D0395A">
              <w:rPr>
                <w:rFonts w:ascii="Calibri" w:eastAsia="Times New Roman" w:hAnsi="Calibri" w:cs="Calibri"/>
                <w:color w:val="000000"/>
                <w:sz w:val="20"/>
                <w:szCs w:val="20"/>
              </w:rPr>
              <w:t>Binimetinib</w:t>
            </w:r>
          </w:p>
        </w:tc>
      </w:tr>
      <w:tr w:rsidR="00D0395A" w:rsidRPr="00D0395A" w14:paraId="45D9F80C" w14:textId="77777777" w:rsidTr="001073C7">
        <w:trPr>
          <w:trHeight w:val="210"/>
        </w:trPr>
        <w:tc>
          <w:tcPr>
            <w:tcW w:w="2034" w:type="dxa"/>
            <w:vMerge/>
            <w:tcBorders>
              <w:top w:val="nil"/>
              <w:left w:val="single" w:sz="12" w:space="0" w:color="auto"/>
              <w:bottom w:val="single" w:sz="8" w:space="0" w:color="000000"/>
              <w:right w:val="single" w:sz="12" w:space="0" w:color="auto"/>
            </w:tcBorders>
            <w:vAlign w:val="center"/>
            <w:hideMark/>
          </w:tcPr>
          <w:p w14:paraId="647C1EA4" w14:textId="77777777" w:rsidR="00D0395A" w:rsidRPr="00D0395A" w:rsidRDefault="00D0395A" w:rsidP="001073C7">
            <w:pPr>
              <w:spacing w:after="0"/>
              <w:rPr>
                <w:rFonts w:ascii="Calibri" w:eastAsia="Times New Roman" w:hAnsi="Calibri" w:cs="Calibri"/>
                <w:color w:val="000000"/>
                <w:sz w:val="20"/>
                <w:szCs w:val="20"/>
              </w:rPr>
            </w:pPr>
          </w:p>
        </w:tc>
        <w:tc>
          <w:tcPr>
            <w:tcW w:w="1547" w:type="dxa"/>
            <w:vMerge/>
            <w:tcBorders>
              <w:top w:val="nil"/>
              <w:left w:val="single" w:sz="12" w:space="0" w:color="auto"/>
              <w:bottom w:val="single" w:sz="8" w:space="0" w:color="000000"/>
              <w:right w:val="single" w:sz="12" w:space="0" w:color="auto"/>
            </w:tcBorders>
            <w:vAlign w:val="center"/>
            <w:hideMark/>
          </w:tcPr>
          <w:p w14:paraId="08B06075" w14:textId="77777777" w:rsidR="00D0395A" w:rsidRPr="00D0395A" w:rsidRDefault="00D0395A" w:rsidP="001073C7">
            <w:pPr>
              <w:spacing w:after="0"/>
              <w:rPr>
                <w:rFonts w:ascii="Calibri" w:eastAsia="Times New Roman" w:hAnsi="Calibri" w:cs="Calibri"/>
                <w:color w:val="000000"/>
                <w:sz w:val="20"/>
                <w:szCs w:val="20"/>
              </w:rPr>
            </w:pPr>
          </w:p>
        </w:tc>
        <w:tc>
          <w:tcPr>
            <w:tcW w:w="2386" w:type="dxa"/>
            <w:tcBorders>
              <w:top w:val="nil"/>
              <w:left w:val="single" w:sz="12" w:space="0" w:color="auto"/>
              <w:bottom w:val="single" w:sz="4" w:space="0" w:color="auto"/>
              <w:right w:val="single" w:sz="12" w:space="0" w:color="auto"/>
            </w:tcBorders>
            <w:shd w:val="clear" w:color="auto" w:fill="auto"/>
            <w:noWrap/>
            <w:vAlign w:val="center"/>
            <w:hideMark/>
          </w:tcPr>
          <w:p w14:paraId="71712B0A" w14:textId="77777777" w:rsidR="00D0395A" w:rsidRPr="00D0395A" w:rsidRDefault="00D0395A" w:rsidP="001073C7">
            <w:pPr>
              <w:spacing w:after="0"/>
              <w:rPr>
                <w:rFonts w:ascii="Calibri" w:eastAsia="Times New Roman" w:hAnsi="Calibri" w:cs="Calibri"/>
                <w:color w:val="000000"/>
                <w:sz w:val="20"/>
                <w:szCs w:val="20"/>
              </w:rPr>
            </w:pPr>
            <w:r w:rsidRPr="00D0395A">
              <w:rPr>
                <w:rFonts w:ascii="Calibri" w:eastAsia="Times New Roman" w:hAnsi="Calibri" w:cs="Calibri"/>
                <w:color w:val="000000"/>
                <w:sz w:val="20"/>
                <w:szCs w:val="20"/>
              </w:rPr>
              <w:t>Cobimetinib</w:t>
            </w:r>
          </w:p>
        </w:tc>
      </w:tr>
      <w:tr w:rsidR="00D0395A" w:rsidRPr="00D0395A" w14:paraId="780EF671" w14:textId="77777777" w:rsidTr="001073C7">
        <w:trPr>
          <w:trHeight w:val="220"/>
        </w:trPr>
        <w:tc>
          <w:tcPr>
            <w:tcW w:w="2034" w:type="dxa"/>
            <w:vMerge/>
            <w:tcBorders>
              <w:top w:val="nil"/>
              <w:left w:val="single" w:sz="12" w:space="0" w:color="auto"/>
              <w:bottom w:val="single" w:sz="8" w:space="0" w:color="000000"/>
              <w:right w:val="single" w:sz="12" w:space="0" w:color="auto"/>
            </w:tcBorders>
            <w:vAlign w:val="center"/>
            <w:hideMark/>
          </w:tcPr>
          <w:p w14:paraId="560DB821" w14:textId="77777777" w:rsidR="00D0395A" w:rsidRPr="00D0395A" w:rsidRDefault="00D0395A" w:rsidP="001073C7">
            <w:pPr>
              <w:spacing w:after="0"/>
              <w:rPr>
                <w:rFonts w:ascii="Calibri" w:eastAsia="Times New Roman" w:hAnsi="Calibri" w:cs="Calibri"/>
                <w:color w:val="000000"/>
                <w:sz w:val="20"/>
                <w:szCs w:val="20"/>
              </w:rPr>
            </w:pPr>
          </w:p>
        </w:tc>
        <w:tc>
          <w:tcPr>
            <w:tcW w:w="1547" w:type="dxa"/>
            <w:vMerge/>
            <w:tcBorders>
              <w:top w:val="nil"/>
              <w:left w:val="single" w:sz="12" w:space="0" w:color="auto"/>
              <w:bottom w:val="single" w:sz="12" w:space="0" w:color="auto"/>
              <w:right w:val="single" w:sz="12" w:space="0" w:color="auto"/>
            </w:tcBorders>
            <w:vAlign w:val="center"/>
            <w:hideMark/>
          </w:tcPr>
          <w:p w14:paraId="675DA6AC" w14:textId="77777777" w:rsidR="00D0395A" w:rsidRPr="00D0395A" w:rsidRDefault="00D0395A" w:rsidP="001073C7">
            <w:pPr>
              <w:spacing w:after="0"/>
              <w:rPr>
                <w:rFonts w:ascii="Calibri" w:eastAsia="Times New Roman" w:hAnsi="Calibri" w:cs="Calibri"/>
                <w:color w:val="000000"/>
                <w:sz w:val="20"/>
                <w:szCs w:val="20"/>
              </w:rPr>
            </w:pPr>
          </w:p>
        </w:tc>
        <w:tc>
          <w:tcPr>
            <w:tcW w:w="2386" w:type="dxa"/>
            <w:tcBorders>
              <w:top w:val="nil"/>
              <w:left w:val="single" w:sz="12" w:space="0" w:color="auto"/>
              <w:bottom w:val="single" w:sz="12" w:space="0" w:color="auto"/>
              <w:right w:val="single" w:sz="12" w:space="0" w:color="auto"/>
            </w:tcBorders>
            <w:shd w:val="clear" w:color="auto" w:fill="auto"/>
            <w:noWrap/>
            <w:vAlign w:val="center"/>
            <w:hideMark/>
          </w:tcPr>
          <w:p w14:paraId="0ED008C7" w14:textId="77777777" w:rsidR="00D0395A" w:rsidRPr="00D0395A" w:rsidRDefault="00D0395A" w:rsidP="001073C7">
            <w:pPr>
              <w:spacing w:after="0"/>
              <w:rPr>
                <w:rFonts w:ascii="Calibri" w:eastAsia="Times New Roman" w:hAnsi="Calibri" w:cs="Calibri"/>
                <w:color w:val="000000"/>
                <w:sz w:val="20"/>
                <w:szCs w:val="20"/>
              </w:rPr>
            </w:pPr>
            <w:r w:rsidRPr="00D0395A">
              <w:rPr>
                <w:rFonts w:ascii="Calibri" w:eastAsia="Times New Roman" w:hAnsi="Calibri" w:cs="Calibri"/>
                <w:color w:val="000000"/>
                <w:sz w:val="20"/>
                <w:szCs w:val="20"/>
              </w:rPr>
              <w:t>Trametinib</w:t>
            </w:r>
          </w:p>
        </w:tc>
      </w:tr>
      <w:tr w:rsidR="00D0395A" w:rsidRPr="00D0395A" w14:paraId="223A832A" w14:textId="77777777" w:rsidTr="001073C7">
        <w:trPr>
          <w:trHeight w:val="210"/>
        </w:trPr>
        <w:tc>
          <w:tcPr>
            <w:tcW w:w="2034" w:type="dxa"/>
            <w:vMerge/>
            <w:tcBorders>
              <w:top w:val="nil"/>
              <w:left w:val="single" w:sz="12" w:space="0" w:color="auto"/>
              <w:bottom w:val="single" w:sz="8" w:space="0" w:color="000000"/>
              <w:right w:val="single" w:sz="12" w:space="0" w:color="auto"/>
            </w:tcBorders>
            <w:vAlign w:val="center"/>
            <w:hideMark/>
          </w:tcPr>
          <w:p w14:paraId="711152CC" w14:textId="77777777" w:rsidR="00D0395A" w:rsidRPr="00D0395A" w:rsidRDefault="00D0395A" w:rsidP="001073C7">
            <w:pPr>
              <w:spacing w:after="0"/>
              <w:rPr>
                <w:rFonts w:ascii="Calibri" w:eastAsia="Times New Roman" w:hAnsi="Calibri" w:cs="Calibri"/>
                <w:color w:val="000000"/>
                <w:sz w:val="20"/>
                <w:szCs w:val="20"/>
              </w:rPr>
            </w:pPr>
          </w:p>
        </w:tc>
        <w:tc>
          <w:tcPr>
            <w:tcW w:w="1547" w:type="dxa"/>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40A23ECA" w14:textId="77777777" w:rsidR="00D0395A" w:rsidRPr="00D0395A" w:rsidRDefault="00D0395A" w:rsidP="001073C7">
            <w:pPr>
              <w:spacing w:after="0"/>
              <w:rPr>
                <w:rFonts w:ascii="Calibri" w:eastAsia="Times New Roman" w:hAnsi="Calibri" w:cs="Calibri"/>
                <w:color w:val="000000"/>
                <w:sz w:val="20"/>
                <w:szCs w:val="20"/>
              </w:rPr>
            </w:pPr>
            <w:r w:rsidRPr="00D0395A">
              <w:rPr>
                <w:rFonts w:ascii="Calibri" w:eastAsia="Times New Roman" w:hAnsi="Calibri" w:cs="Calibri"/>
                <w:color w:val="000000"/>
                <w:sz w:val="20"/>
                <w:szCs w:val="20"/>
              </w:rPr>
              <w:t>Other</w:t>
            </w:r>
          </w:p>
        </w:tc>
        <w:tc>
          <w:tcPr>
            <w:tcW w:w="2386"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2B4FADC4" w14:textId="77777777" w:rsidR="00D0395A" w:rsidRPr="00D0395A" w:rsidRDefault="00D0395A" w:rsidP="001073C7">
            <w:pPr>
              <w:spacing w:after="0"/>
              <w:rPr>
                <w:rFonts w:ascii="Calibri" w:eastAsia="Times New Roman" w:hAnsi="Calibri" w:cs="Calibri"/>
                <w:color w:val="000000"/>
                <w:sz w:val="20"/>
                <w:szCs w:val="20"/>
              </w:rPr>
            </w:pPr>
            <w:r w:rsidRPr="00D0395A">
              <w:rPr>
                <w:rFonts w:ascii="Calibri" w:eastAsia="Times New Roman" w:hAnsi="Calibri" w:cs="Calibri"/>
                <w:color w:val="000000"/>
                <w:sz w:val="20"/>
                <w:szCs w:val="20"/>
              </w:rPr>
              <w:t>Fotemustine</w:t>
            </w:r>
          </w:p>
        </w:tc>
      </w:tr>
      <w:tr w:rsidR="00D0395A" w:rsidRPr="00D0395A" w14:paraId="25F05364" w14:textId="77777777" w:rsidTr="001073C7">
        <w:trPr>
          <w:trHeight w:val="220"/>
        </w:trPr>
        <w:tc>
          <w:tcPr>
            <w:tcW w:w="2034" w:type="dxa"/>
            <w:vMerge/>
            <w:tcBorders>
              <w:top w:val="nil"/>
              <w:left w:val="single" w:sz="12" w:space="0" w:color="auto"/>
              <w:bottom w:val="single" w:sz="12" w:space="0" w:color="auto"/>
              <w:right w:val="single" w:sz="12" w:space="0" w:color="auto"/>
            </w:tcBorders>
            <w:vAlign w:val="center"/>
            <w:hideMark/>
          </w:tcPr>
          <w:p w14:paraId="39C6B4D4" w14:textId="77777777" w:rsidR="00D0395A" w:rsidRPr="00D0395A" w:rsidRDefault="00D0395A" w:rsidP="001073C7">
            <w:pPr>
              <w:spacing w:after="0"/>
              <w:rPr>
                <w:rFonts w:ascii="Calibri" w:eastAsia="Times New Roman" w:hAnsi="Calibri" w:cs="Calibri"/>
                <w:color w:val="000000"/>
                <w:sz w:val="20"/>
                <w:szCs w:val="20"/>
              </w:rPr>
            </w:pPr>
          </w:p>
        </w:tc>
        <w:tc>
          <w:tcPr>
            <w:tcW w:w="1547" w:type="dxa"/>
            <w:vMerge/>
            <w:tcBorders>
              <w:top w:val="nil"/>
              <w:left w:val="single" w:sz="12" w:space="0" w:color="auto"/>
              <w:bottom w:val="single" w:sz="12" w:space="0" w:color="auto"/>
              <w:right w:val="single" w:sz="12" w:space="0" w:color="auto"/>
            </w:tcBorders>
            <w:vAlign w:val="center"/>
            <w:hideMark/>
          </w:tcPr>
          <w:p w14:paraId="1714094D" w14:textId="77777777" w:rsidR="00D0395A" w:rsidRPr="00D0395A" w:rsidRDefault="00D0395A" w:rsidP="001073C7">
            <w:pPr>
              <w:spacing w:after="0"/>
              <w:rPr>
                <w:rFonts w:ascii="Calibri" w:eastAsia="Times New Roman" w:hAnsi="Calibri" w:cs="Calibri"/>
                <w:color w:val="000000"/>
                <w:sz w:val="20"/>
                <w:szCs w:val="20"/>
              </w:rPr>
            </w:pPr>
          </w:p>
        </w:tc>
        <w:tc>
          <w:tcPr>
            <w:tcW w:w="2386" w:type="dxa"/>
            <w:tcBorders>
              <w:top w:val="nil"/>
              <w:left w:val="single" w:sz="12" w:space="0" w:color="auto"/>
              <w:bottom w:val="single" w:sz="12" w:space="0" w:color="auto"/>
              <w:right w:val="single" w:sz="12" w:space="0" w:color="auto"/>
            </w:tcBorders>
            <w:shd w:val="clear" w:color="auto" w:fill="auto"/>
            <w:noWrap/>
            <w:vAlign w:val="center"/>
            <w:hideMark/>
          </w:tcPr>
          <w:p w14:paraId="76B5921B" w14:textId="77777777" w:rsidR="00D0395A" w:rsidRPr="00D0395A" w:rsidRDefault="00D0395A" w:rsidP="001073C7">
            <w:pPr>
              <w:spacing w:after="0"/>
              <w:rPr>
                <w:rFonts w:ascii="Calibri" w:eastAsia="Times New Roman" w:hAnsi="Calibri" w:cs="Calibri"/>
                <w:color w:val="000000"/>
                <w:sz w:val="20"/>
                <w:szCs w:val="20"/>
              </w:rPr>
            </w:pPr>
            <w:r w:rsidRPr="00D0395A">
              <w:rPr>
                <w:rFonts w:ascii="Calibri" w:eastAsia="Times New Roman" w:hAnsi="Calibri" w:cs="Calibri"/>
                <w:color w:val="000000"/>
                <w:sz w:val="20"/>
                <w:szCs w:val="20"/>
              </w:rPr>
              <w:t>Interferon Alfa-2B</w:t>
            </w:r>
          </w:p>
        </w:tc>
      </w:tr>
    </w:tbl>
    <w:p w14:paraId="739D330C" w14:textId="77777777" w:rsidR="001073C7" w:rsidRDefault="001073C7" w:rsidP="00422BE6">
      <w:pPr>
        <w:rPr>
          <w:noProof/>
        </w:rPr>
      </w:pPr>
    </w:p>
    <w:p w14:paraId="02352034" w14:textId="77777777" w:rsidR="001073C7" w:rsidRPr="001073C7" w:rsidRDefault="001073C7" w:rsidP="001073C7"/>
    <w:p w14:paraId="50FE492B" w14:textId="77777777" w:rsidR="001073C7" w:rsidRPr="001073C7" w:rsidRDefault="001073C7" w:rsidP="001073C7"/>
    <w:p w14:paraId="17340309" w14:textId="77777777" w:rsidR="001073C7" w:rsidRPr="001073C7" w:rsidRDefault="001073C7" w:rsidP="001073C7"/>
    <w:p w14:paraId="621BB0E8" w14:textId="77777777" w:rsidR="001073C7" w:rsidRPr="001073C7" w:rsidRDefault="001073C7" w:rsidP="001073C7"/>
    <w:p w14:paraId="59DD3AA0" w14:textId="77777777" w:rsidR="001073C7" w:rsidRPr="001073C7" w:rsidRDefault="001073C7" w:rsidP="001073C7"/>
    <w:p w14:paraId="18911916" w14:textId="77777777" w:rsidR="001073C7" w:rsidRPr="001073C7" w:rsidRDefault="001073C7" w:rsidP="001073C7"/>
    <w:p w14:paraId="5FB9F64F" w14:textId="77777777" w:rsidR="001073C7" w:rsidRPr="001073C7" w:rsidRDefault="001073C7" w:rsidP="001073C7"/>
    <w:p w14:paraId="1BDF2A0A" w14:textId="5B5C7D59" w:rsidR="001073C7" w:rsidRDefault="001073C7" w:rsidP="001073C7">
      <w:pPr>
        <w:ind w:firstLine="720"/>
        <w:rPr>
          <w:noProof/>
        </w:rPr>
      </w:pPr>
    </w:p>
    <w:p w14:paraId="5570EF6E" w14:textId="689E2C8B" w:rsidR="006B1967" w:rsidRDefault="006B1967" w:rsidP="001073C7">
      <w:pPr>
        <w:ind w:firstLine="720"/>
        <w:rPr>
          <w:noProof/>
        </w:rPr>
      </w:pPr>
    </w:p>
    <w:p w14:paraId="5302D9BE" w14:textId="24A89FC9" w:rsidR="006B1967" w:rsidRPr="00B700FA" w:rsidRDefault="006B1967" w:rsidP="006B1967">
      <w:pPr>
        <w:ind w:firstLine="720"/>
        <w:rPr>
          <w:noProof/>
        </w:rPr>
      </w:pPr>
      <w:r w:rsidRPr="00B700FA">
        <w:rPr>
          <w:noProof/>
        </w:rPr>
        <w:drawing>
          <wp:inline distT="0" distB="0" distL="0" distR="0" wp14:anchorId="7406A3E1" wp14:editId="45DC922C">
            <wp:extent cx="5010150" cy="3228975"/>
            <wp:effectExtent l="0" t="0" r="0" b="9525"/>
            <wp:docPr id="7" name="Chart 7">
              <a:extLst xmlns:a="http://schemas.openxmlformats.org/drawingml/2006/main">
                <a:ext uri="{FF2B5EF4-FFF2-40B4-BE49-F238E27FC236}">
                  <a16:creationId xmlns:a16="http://schemas.microsoft.com/office/drawing/2014/main" id="{E1592E6D-E866-43DC-B4B6-527765CE7495}"/>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B57DB74" w14:textId="3F23EB08" w:rsidR="001073C7" w:rsidRDefault="001073C7" w:rsidP="001073C7">
      <w:pPr>
        <w:pStyle w:val="Figuretitle"/>
      </w:pPr>
      <w:r w:rsidRPr="00B700FA">
        <w:t>Figure 9: Prevalent patients per year on melanoma medications</w:t>
      </w:r>
      <w:r w:rsidR="00A4623D" w:rsidRPr="00B700FA">
        <w:t xml:space="preserve"> according to surgical classification of restrictions</w:t>
      </w:r>
      <w:r w:rsidR="00A4623D">
        <w:t>.</w:t>
      </w:r>
      <w:r w:rsidR="00615056">
        <w:t xml:space="preserve"> </w:t>
      </w:r>
      <w:r w:rsidR="00164A62">
        <w:br/>
      </w:r>
      <w:r w:rsidR="00615056" w:rsidRPr="006B1967">
        <w:rPr>
          <w:b w:val="0"/>
          <w:bCs/>
          <w:sz w:val="20"/>
          <w:szCs w:val="20"/>
        </w:rPr>
        <w:t>Note: Total unresectable patients count contains patients who may have been considered in the post resection group</w:t>
      </w:r>
      <w:r w:rsidR="00BC6734" w:rsidRPr="006B1967">
        <w:rPr>
          <w:b w:val="0"/>
          <w:bCs/>
          <w:sz w:val="20"/>
          <w:szCs w:val="20"/>
        </w:rPr>
        <w:t xml:space="preserve"> in the same year.</w:t>
      </w:r>
      <w:r w:rsidR="00615056" w:rsidRPr="006B1967">
        <w:rPr>
          <w:b w:val="0"/>
          <w:bCs/>
          <w:sz w:val="20"/>
          <w:szCs w:val="20"/>
        </w:rPr>
        <w:t xml:space="preserve"> </w:t>
      </w:r>
      <w:r w:rsidR="00BC6734" w:rsidRPr="006B1967">
        <w:rPr>
          <w:b w:val="0"/>
          <w:bCs/>
          <w:sz w:val="20"/>
          <w:szCs w:val="20"/>
        </w:rPr>
        <w:t xml:space="preserve">The two populations cannot be summed. </w:t>
      </w:r>
    </w:p>
    <w:p w14:paraId="230A5672" w14:textId="4743B478" w:rsidR="00CE0968" w:rsidRDefault="00BC6734" w:rsidP="00A4623D">
      <w:r>
        <w:lastRenderedPageBreak/>
        <w:t>The number of patients using melanoma medications can be seen in Figure 9</w:t>
      </w:r>
      <w:r w:rsidR="00A4623D">
        <w:t>.</w:t>
      </w:r>
      <w:r>
        <w:t xml:space="preserve"> In 2021 there were </w:t>
      </w:r>
      <w:r w:rsidR="006F7D0C" w:rsidRPr="00B700FA">
        <w:t xml:space="preserve">around </w:t>
      </w:r>
      <w:r w:rsidRPr="00B700FA">
        <w:t>1,500 patients who used a medicine listed for post complete surgical resection and</w:t>
      </w:r>
      <w:r w:rsidR="006F7D0C" w:rsidRPr="00B700FA">
        <w:t xml:space="preserve"> around</w:t>
      </w:r>
      <w:r w:rsidRPr="00B700FA">
        <w:t xml:space="preserve"> 5,000 patients</w:t>
      </w:r>
      <w:r>
        <w:t xml:space="preserve"> who used medicines for unresectable melanoma. It should be noted that some patients may have progressed from the post resection group into the unresectable group and as such the populations cannot be summed.</w:t>
      </w:r>
    </w:p>
    <w:p w14:paraId="622D91D0" w14:textId="1E405BF9" w:rsidR="00CE0968" w:rsidRDefault="00CE0968" w:rsidP="00CE0968">
      <w:pPr>
        <w:pStyle w:val="Tabletitle"/>
      </w:pPr>
      <w:r>
        <w:t>Table 4: Number of patients progressing from post resection to unresectable restrictions per year</w:t>
      </w:r>
    </w:p>
    <w:tbl>
      <w:tblPr>
        <w:tblStyle w:val="TableGrid"/>
        <w:tblW w:w="0" w:type="auto"/>
        <w:tblLook w:val="04A0" w:firstRow="1" w:lastRow="0" w:firstColumn="1" w:lastColumn="0" w:noHBand="0" w:noVBand="1"/>
      </w:tblPr>
      <w:tblGrid>
        <w:gridCol w:w="704"/>
        <w:gridCol w:w="873"/>
        <w:gridCol w:w="2104"/>
        <w:gridCol w:w="856"/>
      </w:tblGrid>
      <w:tr w:rsidR="00CE0968" w14:paraId="17ED17A1" w14:textId="77777777" w:rsidTr="00CE0968">
        <w:tc>
          <w:tcPr>
            <w:tcW w:w="704" w:type="dxa"/>
            <w:shd w:val="clear" w:color="auto" w:fill="BFBFBF" w:themeFill="background1" w:themeFillShade="BF"/>
          </w:tcPr>
          <w:p w14:paraId="3C4585FA" w14:textId="6C9D4C9C" w:rsidR="00CE0968" w:rsidRPr="00CE0968" w:rsidRDefault="00CE0968" w:rsidP="00CE0968">
            <w:pPr>
              <w:pStyle w:val="Tablewriting"/>
              <w:spacing w:before="0" w:after="0"/>
              <w:rPr>
                <w:b/>
                <w:bCs/>
              </w:rPr>
            </w:pPr>
            <w:r w:rsidRPr="00CE0968">
              <w:rPr>
                <w:b/>
                <w:bCs/>
              </w:rPr>
              <w:t>Year</w:t>
            </w:r>
          </w:p>
        </w:tc>
        <w:tc>
          <w:tcPr>
            <w:tcW w:w="873" w:type="dxa"/>
            <w:shd w:val="clear" w:color="auto" w:fill="BFBFBF" w:themeFill="background1" w:themeFillShade="BF"/>
          </w:tcPr>
          <w:p w14:paraId="52319A2A" w14:textId="5488BF2D" w:rsidR="00CE0968" w:rsidRPr="00CE0968" w:rsidRDefault="00CE0968" w:rsidP="00CE0968">
            <w:pPr>
              <w:pStyle w:val="Tablewriting"/>
              <w:spacing w:before="0" w:after="0"/>
              <w:rPr>
                <w:b/>
                <w:bCs/>
              </w:rPr>
            </w:pPr>
            <w:r w:rsidRPr="00CE0968">
              <w:rPr>
                <w:b/>
                <w:bCs/>
              </w:rPr>
              <w:t>Overlap</w:t>
            </w:r>
          </w:p>
        </w:tc>
        <w:tc>
          <w:tcPr>
            <w:tcW w:w="2104" w:type="dxa"/>
            <w:shd w:val="clear" w:color="auto" w:fill="BFBFBF" w:themeFill="background1" w:themeFillShade="BF"/>
          </w:tcPr>
          <w:p w14:paraId="53F42F00" w14:textId="52C6E34F" w:rsidR="00CE0968" w:rsidRPr="00CE0968" w:rsidRDefault="00CE0968" w:rsidP="00CE0968">
            <w:pPr>
              <w:pStyle w:val="Tablewriting"/>
              <w:spacing w:before="0" w:after="0"/>
              <w:rPr>
                <w:b/>
                <w:bCs/>
              </w:rPr>
            </w:pPr>
            <w:r w:rsidRPr="00CE0968">
              <w:rPr>
                <w:b/>
                <w:bCs/>
              </w:rPr>
              <w:t>Total patients on post resection medicines</w:t>
            </w:r>
          </w:p>
        </w:tc>
        <w:tc>
          <w:tcPr>
            <w:tcW w:w="709" w:type="dxa"/>
            <w:shd w:val="clear" w:color="auto" w:fill="BFBFBF" w:themeFill="background1" w:themeFillShade="BF"/>
          </w:tcPr>
          <w:p w14:paraId="59BBE27F" w14:textId="5C2DC28B" w:rsidR="00CE0968" w:rsidRPr="00CE0968" w:rsidRDefault="00CE0968" w:rsidP="00CE0968">
            <w:pPr>
              <w:pStyle w:val="Tablewriting"/>
              <w:spacing w:before="0" w:after="0"/>
              <w:rPr>
                <w:b/>
                <w:bCs/>
              </w:rPr>
            </w:pPr>
            <w:r w:rsidRPr="00CE0968">
              <w:rPr>
                <w:b/>
                <w:bCs/>
              </w:rPr>
              <w:t>Percent</w:t>
            </w:r>
          </w:p>
        </w:tc>
      </w:tr>
      <w:tr w:rsidR="00CE0968" w14:paraId="07BA1798" w14:textId="77777777" w:rsidTr="00CE0968">
        <w:tc>
          <w:tcPr>
            <w:tcW w:w="704" w:type="dxa"/>
          </w:tcPr>
          <w:p w14:paraId="176DC91C" w14:textId="40159B75" w:rsidR="00CE0968" w:rsidRDefault="00CE0968" w:rsidP="00CE0968">
            <w:pPr>
              <w:pStyle w:val="Tablewriting"/>
              <w:spacing w:before="0" w:after="0"/>
            </w:pPr>
            <w:r>
              <w:t>2019</w:t>
            </w:r>
          </w:p>
        </w:tc>
        <w:tc>
          <w:tcPr>
            <w:tcW w:w="873" w:type="dxa"/>
          </w:tcPr>
          <w:p w14:paraId="69C8FEE0" w14:textId="764AF8EB" w:rsidR="00CE0968" w:rsidRPr="00B700FA" w:rsidRDefault="00CE0968" w:rsidP="00CE0968">
            <w:pPr>
              <w:pStyle w:val="Tablewriting"/>
              <w:spacing w:before="0" w:after="0"/>
            </w:pPr>
            <w:r w:rsidRPr="00B700FA">
              <w:t>18</w:t>
            </w:r>
          </w:p>
        </w:tc>
        <w:tc>
          <w:tcPr>
            <w:tcW w:w="2104" w:type="dxa"/>
          </w:tcPr>
          <w:p w14:paraId="5EE6D10F" w14:textId="1C2F5B77" w:rsidR="00CE0968" w:rsidRPr="00B700FA" w:rsidRDefault="00CE0968" w:rsidP="00CE0968">
            <w:pPr>
              <w:pStyle w:val="Tablewriting"/>
              <w:spacing w:before="0" w:after="0"/>
            </w:pPr>
            <w:r w:rsidRPr="00B700FA">
              <w:t>55</w:t>
            </w:r>
          </w:p>
        </w:tc>
        <w:tc>
          <w:tcPr>
            <w:tcW w:w="709" w:type="dxa"/>
          </w:tcPr>
          <w:p w14:paraId="57EF05B0" w14:textId="411AC23C" w:rsidR="00CE0968" w:rsidRDefault="00CE0968" w:rsidP="00CE0968">
            <w:pPr>
              <w:pStyle w:val="Tablewriting"/>
              <w:spacing w:before="0" w:after="0"/>
            </w:pPr>
            <w:r>
              <w:t>33%</w:t>
            </w:r>
          </w:p>
        </w:tc>
      </w:tr>
      <w:tr w:rsidR="00CE0968" w14:paraId="5B12C43C" w14:textId="77777777" w:rsidTr="00CE0968">
        <w:tc>
          <w:tcPr>
            <w:tcW w:w="704" w:type="dxa"/>
          </w:tcPr>
          <w:p w14:paraId="0927CFDB" w14:textId="10544839" w:rsidR="00CE0968" w:rsidRDefault="00CE0968" w:rsidP="00CE0968">
            <w:pPr>
              <w:pStyle w:val="Tablewriting"/>
              <w:spacing w:before="0" w:after="0"/>
            </w:pPr>
            <w:r>
              <w:t>2020</w:t>
            </w:r>
          </w:p>
        </w:tc>
        <w:tc>
          <w:tcPr>
            <w:tcW w:w="873" w:type="dxa"/>
          </w:tcPr>
          <w:p w14:paraId="575DA96C" w14:textId="43697C28" w:rsidR="00CE0968" w:rsidRPr="00B700FA" w:rsidRDefault="00CE0968" w:rsidP="00CE0968">
            <w:pPr>
              <w:pStyle w:val="Tablewriting"/>
              <w:spacing w:before="0" w:after="0"/>
            </w:pPr>
            <w:r w:rsidRPr="00B700FA">
              <w:t>299</w:t>
            </w:r>
          </w:p>
        </w:tc>
        <w:tc>
          <w:tcPr>
            <w:tcW w:w="2104" w:type="dxa"/>
          </w:tcPr>
          <w:p w14:paraId="3F397C29" w14:textId="04C1BD25" w:rsidR="00CE0968" w:rsidRPr="00B700FA" w:rsidRDefault="00CE0968" w:rsidP="00CE0968">
            <w:pPr>
              <w:pStyle w:val="Tablewriting"/>
              <w:spacing w:before="0" w:after="0"/>
            </w:pPr>
            <w:r w:rsidRPr="00B700FA">
              <w:t>1434</w:t>
            </w:r>
          </w:p>
        </w:tc>
        <w:tc>
          <w:tcPr>
            <w:tcW w:w="709" w:type="dxa"/>
          </w:tcPr>
          <w:p w14:paraId="1B5D0843" w14:textId="7C9F7CE1" w:rsidR="00CE0968" w:rsidRDefault="00CE0968" w:rsidP="00CE0968">
            <w:pPr>
              <w:pStyle w:val="Tablewriting"/>
              <w:spacing w:before="0" w:after="0"/>
            </w:pPr>
            <w:r>
              <w:t>21%</w:t>
            </w:r>
          </w:p>
        </w:tc>
      </w:tr>
      <w:tr w:rsidR="00CE0968" w14:paraId="64E77966" w14:textId="77777777" w:rsidTr="00B700FA">
        <w:trPr>
          <w:trHeight w:val="70"/>
        </w:trPr>
        <w:tc>
          <w:tcPr>
            <w:tcW w:w="704" w:type="dxa"/>
          </w:tcPr>
          <w:p w14:paraId="79FF2017" w14:textId="003E6702" w:rsidR="00CE0968" w:rsidRDefault="00CE0968" w:rsidP="00CE0968">
            <w:pPr>
              <w:pStyle w:val="Tablewriting"/>
              <w:spacing w:before="0" w:after="0"/>
            </w:pPr>
            <w:r>
              <w:t>2021</w:t>
            </w:r>
          </w:p>
        </w:tc>
        <w:tc>
          <w:tcPr>
            <w:tcW w:w="873" w:type="dxa"/>
          </w:tcPr>
          <w:p w14:paraId="4B7EFA95" w14:textId="2D0AF771" w:rsidR="00CE0968" w:rsidRPr="00B700FA" w:rsidRDefault="00CE0968" w:rsidP="00CE0968">
            <w:pPr>
              <w:pStyle w:val="Tablewriting"/>
              <w:spacing w:before="0" w:after="0"/>
            </w:pPr>
            <w:r w:rsidRPr="00B700FA">
              <w:t>326</w:t>
            </w:r>
          </w:p>
        </w:tc>
        <w:tc>
          <w:tcPr>
            <w:tcW w:w="2104" w:type="dxa"/>
          </w:tcPr>
          <w:p w14:paraId="615FF314" w14:textId="7AA4FAD6" w:rsidR="00CE0968" w:rsidRPr="00B700FA" w:rsidRDefault="00CE0968" w:rsidP="00CE0968">
            <w:pPr>
              <w:pStyle w:val="Tablewriting"/>
              <w:spacing w:before="0" w:after="0"/>
            </w:pPr>
            <w:r w:rsidRPr="00B700FA">
              <w:t>1489</w:t>
            </w:r>
          </w:p>
        </w:tc>
        <w:tc>
          <w:tcPr>
            <w:tcW w:w="709" w:type="dxa"/>
          </w:tcPr>
          <w:p w14:paraId="38FD3503" w14:textId="360C3CF1" w:rsidR="00CE0968" w:rsidRDefault="00CE0968" w:rsidP="00CE0968">
            <w:pPr>
              <w:pStyle w:val="Tablewriting"/>
              <w:spacing w:before="0" w:after="0"/>
            </w:pPr>
            <w:r>
              <w:t>22%</w:t>
            </w:r>
          </w:p>
        </w:tc>
      </w:tr>
    </w:tbl>
    <w:p w14:paraId="14952B61" w14:textId="7F65677A" w:rsidR="00A4623D" w:rsidRDefault="00CE0968" w:rsidP="00A4623D">
      <w:r>
        <w:t xml:space="preserve">Table 4 shows the number of patients who had a script dispensed as post-complete resection of melanoma and went on to also have a script dispensed for a medicine with an unresectable restriction in that year. The data from 2020 and 2021 indicate that approximately 20% of the patients of the post-resection group progressed to the unresectable group. </w:t>
      </w:r>
    </w:p>
    <w:p w14:paraId="4CEAF19F" w14:textId="77777777" w:rsidR="00A4623D" w:rsidRPr="001B7740" w:rsidRDefault="00A4623D" w:rsidP="001B7740"/>
    <w:p w14:paraId="64B9EF16" w14:textId="650259C4" w:rsidR="00006E04" w:rsidRDefault="00006E04" w:rsidP="00422BE6">
      <w:pPr>
        <w:pStyle w:val="Figuretitle"/>
      </w:pPr>
      <w:r>
        <w:rPr>
          <w:noProof/>
        </w:rPr>
        <w:drawing>
          <wp:inline distT="0" distB="0" distL="0" distR="0" wp14:anchorId="18697035" wp14:editId="0C59A12F">
            <wp:extent cx="5687695" cy="3599815"/>
            <wp:effectExtent l="0" t="0" r="8255" b="635"/>
            <wp:docPr id="16" name="Chart 16">
              <a:extLst xmlns:a="http://schemas.openxmlformats.org/drawingml/2006/main">
                <a:ext uri="{FF2B5EF4-FFF2-40B4-BE49-F238E27FC236}">
                  <a16:creationId xmlns:a16="http://schemas.microsoft.com/office/drawing/2014/main" id="{0DB6E213-A711-4F4B-87CA-9885F292EEBA}"/>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00422BE6">
        <w:t xml:space="preserve">Figure </w:t>
      </w:r>
      <w:r w:rsidR="001073C7">
        <w:t>10</w:t>
      </w:r>
      <w:r w:rsidR="00422BE6">
        <w:t>: Utilisation of PD</w:t>
      </w:r>
      <w:r w:rsidR="00F47DA6">
        <w:t>1</w:t>
      </w:r>
      <w:r w:rsidR="00422BE6">
        <w:t xml:space="preserve"> inhibitors post</w:t>
      </w:r>
      <w:r w:rsidR="00146EC7">
        <w:t xml:space="preserve"> complete surgical</w:t>
      </w:r>
      <w:r w:rsidR="00422BE6">
        <w:t xml:space="preserve"> resection of melanoma</w:t>
      </w:r>
    </w:p>
    <w:p w14:paraId="7889BF6B" w14:textId="1C95D063" w:rsidR="00625849" w:rsidRDefault="00625849" w:rsidP="00625849">
      <w:r>
        <w:t xml:space="preserve">The utilisation of PD1/L1 inhibitors for the treatment of previously surgically resected melanoma can be seen in Figure </w:t>
      </w:r>
      <w:r w:rsidR="001073C7">
        <w:t>10</w:t>
      </w:r>
      <w:r>
        <w:t xml:space="preserve">. As seen previously in Figure 1, the utilisation of nivolumab has plateaued at </w:t>
      </w:r>
      <w:r w:rsidRPr="00B700FA">
        <w:t>approximately 600 patients</w:t>
      </w:r>
      <w:r>
        <w:t xml:space="preserve"> per quarter and the introduction of pembrolizumab for adjuvant treatment of melanoma in 2020Q3 appears to have had little impact</w:t>
      </w:r>
      <w:r w:rsidR="0056162F">
        <w:t xml:space="preserve"> on the utilisation of nivolumab</w:t>
      </w:r>
      <w:r>
        <w:t xml:space="preserve">. </w:t>
      </w:r>
      <w:r w:rsidR="00146EC7">
        <w:t xml:space="preserve">Pembrolizumab utilisation appears steady at less </w:t>
      </w:r>
      <w:r w:rsidR="00146EC7">
        <w:lastRenderedPageBreak/>
        <w:t xml:space="preserve">than 100 patients per quarter </w:t>
      </w:r>
      <w:r w:rsidR="002A1061">
        <w:t>h</w:t>
      </w:r>
      <w:r w:rsidR="00146EC7">
        <w:t xml:space="preserve">owever recent data shows an uptick which may result in increased utilisation in future data. </w:t>
      </w:r>
    </w:p>
    <w:p w14:paraId="46AA6E79" w14:textId="51A32DC3" w:rsidR="00146EC7" w:rsidRDefault="00586F09" w:rsidP="00146EC7">
      <w:pPr>
        <w:pStyle w:val="Figuretitle"/>
      </w:pPr>
      <w:r>
        <w:rPr>
          <w:noProof/>
        </w:rPr>
        <w:drawing>
          <wp:inline distT="0" distB="0" distL="0" distR="0" wp14:anchorId="7C1F611C" wp14:editId="65894D62">
            <wp:extent cx="5687695" cy="3599815"/>
            <wp:effectExtent l="0" t="0" r="8255" b="635"/>
            <wp:docPr id="17" name="Chart 17">
              <a:extLst xmlns:a="http://schemas.openxmlformats.org/drawingml/2006/main">
                <a:ext uri="{FF2B5EF4-FFF2-40B4-BE49-F238E27FC236}">
                  <a16:creationId xmlns:a16="http://schemas.microsoft.com/office/drawing/2014/main" id="{D1463E55-6B4F-4B2D-8C55-1760FE207643}"/>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00146EC7">
        <w:t>Figure 1</w:t>
      </w:r>
      <w:r w:rsidR="001073C7">
        <w:t>1</w:t>
      </w:r>
      <w:r w:rsidR="00146EC7">
        <w:t>: Utilisation of BRAF and MEK inhibitors post complete surgical resection of melanoma.</w:t>
      </w:r>
    </w:p>
    <w:p w14:paraId="6AC6E995" w14:textId="2E44A267" w:rsidR="00146EC7" w:rsidRDefault="00C71C18" w:rsidP="00146EC7">
      <w:r>
        <w:t>The restriction for the BRAF inhibitor dabrafenib and the MEK inhibitor trametinib for use after surgical resection of melanoma state that they should be used together. Figure 1</w:t>
      </w:r>
      <w:r w:rsidR="00586F09">
        <w:t>1</w:t>
      </w:r>
      <w:r>
        <w:t xml:space="preserve"> shows the utilisation of these drugs for this indication and both prevalent and initiating patient numbers are matching with a plateau of approximately 100 prevalent patients per quarter and less than 40 new patients per quarter. </w:t>
      </w:r>
    </w:p>
    <w:p w14:paraId="417757AB" w14:textId="01D64D80" w:rsidR="00006E04" w:rsidRDefault="00C71C18" w:rsidP="00F47DA6">
      <w:pPr>
        <w:pStyle w:val="Figuretitle"/>
      </w:pPr>
      <w:r>
        <w:rPr>
          <w:noProof/>
        </w:rPr>
        <w:lastRenderedPageBreak/>
        <w:drawing>
          <wp:inline distT="0" distB="0" distL="0" distR="0" wp14:anchorId="6D4A171A" wp14:editId="5F6A831D">
            <wp:extent cx="5687695" cy="3599815"/>
            <wp:effectExtent l="0" t="0" r="8255" b="635"/>
            <wp:docPr id="21" name="Chart 21">
              <a:extLst xmlns:a="http://schemas.openxmlformats.org/drawingml/2006/main">
                <a:ext uri="{FF2B5EF4-FFF2-40B4-BE49-F238E27FC236}">
                  <a16:creationId xmlns:a16="http://schemas.microsoft.com/office/drawing/2014/main" id="{D7E88394-E727-43A9-9EEE-F80A0301236E}"/>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00F47DA6">
        <w:t>Figure 1</w:t>
      </w:r>
      <w:r w:rsidR="00586F09">
        <w:t>2</w:t>
      </w:r>
      <w:r w:rsidR="00F47DA6">
        <w:t xml:space="preserve">: Utilisation of </w:t>
      </w:r>
      <w:r w:rsidR="00A612F2">
        <w:t>c</w:t>
      </w:r>
      <w:r w:rsidR="00F47DA6">
        <w:t xml:space="preserve">heckpoint inhibitors </w:t>
      </w:r>
      <w:r w:rsidR="002B031D">
        <w:t>for unresectable melanoma.</w:t>
      </w:r>
    </w:p>
    <w:p w14:paraId="7177FFC1" w14:textId="4DDAE863" w:rsidR="002B031D" w:rsidRDefault="00A612F2" w:rsidP="002B031D">
      <w:r>
        <w:t>Ipilimumab was the first checkpoint inhibitor for unresectable melanoma that was PBS listed and available since 2013Q3 while pembrolizumab was listed in 2015Q3 and nivolumab followed in 2016Q</w:t>
      </w:r>
      <w:r w:rsidR="0029231C">
        <w:t>2</w:t>
      </w:r>
      <w:r>
        <w:t>. Figure 1</w:t>
      </w:r>
      <w:r w:rsidR="00586F09">
        <w:t>2</w:t>
      </w:r>
      <w:r>
        <w:t xml:space="preserve"> shows that ipilimumab utilisation had remained steady from 2013 until pembrolizumab was listed in 2015 which caused a substantial decrease in ipilimumab utilisation. Nivolumab however did not </w:t>
      </w:r>
      <w:r w:rsidR="0029231C">
        <w:t xml:space="preserve">substantially impact the market when it listed in 2016Q2 however </w:t>
      </w:r>
      <w:r w:rsidR="00223B3D">
        <w:t xml:space="preserve">utilisation increased substantially after 2018Q3 and hasn’t appeared to plateau. During this same period pembrolizumab utilisation has decreased from 1300 to 800 prevalent patients per quarter. </w:t>
      </w:r>
    </w:p>
    <w:p w14:paraId="1B0376FD" w14:textId="6984272A" w:rsidR="00340FE3" w:rsidRDefault="00662872" w:rsidP="00340FE3">
      <w:pPr>
        <w:pStyle w:val="Figuretitle"/>
      </w:pPr>
      <w:r>
        <w:rPr>
          <w:noProof/>
        </w:rPr>
        <w:lastRenderedPageBreak/>
        <w:drawing>
          <wp:inline distT="0" distB="0" distL="0" distR="0" wp14:anchorId="0612F792" wp14:editId="1434D990">
            <wp:extent cx="5687695" cy="3599815"/>
            <wp:effectExtent l="0" t="0" r="8255" b="635"/>
            <wp:docPr id="18" name="Chart 18">
              <a:extLst xmlns:a="http://schemas.openxmlformats.org/drawingml/2006/main">
                <a:ext uri="{FF2B5EF4-FFF2-40B4-BE49-F238E27FC236}">
                  <a16:creationId xmlns:a16="http://schemas.microsoft.com/office/drawing/2014/main" id="{52F0427F-2F31-4DD3-AE63-28D5669111F4}"/>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00340FE3">
        <w:t>Figure 1</w:t>
      </w:r>
      <w:r w:rsidR="00586F09">
        <w:t>3</w:t>
      </w:r>
      <w:r w:rsidR="00340FE3">
        <w:t xml:space="preserve">: Utilisation of BRAF inhibitors for unresectable melanoma. </w:t>
      </w:r>
      <w:r w:rsidR="00340FE3">
        <w:br/>
      </w:r>
      <w:r w:rsidR="00340FE3" w:rsidRPr="00340FE3">
        <w:rPr>
          <w:sz w:val="20"/>
          <w:szCs w:val="20"/>
        </w:rPr>
        <w:t xml:space="preserve">Note: Any patient numbers less than five per quarter have been increased to five to prevent re-identification. </w:t>
      </w:r>
    </w:p>
    <w:p w14:paraId="309B7D1C" w14:textId="62FFE690" w:rsidR="00006E04" w:rsidRPr="001B7740" w:rsidRDefault="00340FE3" w:rsidP="001B7740">
      <w:r>
        <w:t xml:space="preserve">Dabrafenib was the first BRAF inhibitor for unresectable melanoma and was listed in 2013Q4. Since then it has increased in utilisation and peaking at approximately 700 prevalent patients per quarter before dropping considerably with the introduction of </w:t>
      </w:r>
      <w:r w:rsidR="00112CF7">
        <w:t>encorafenib in 2020Q2</w:t>
      </w:r>
      <w:r w:rsidR="00AB19E9">
        <w:t xml:space="preserve"> (Figure </w:t>
      </w:r>
      <w:r w:rsidR="00586F09">
        <w:t>13</w:t>
      </w:r>
      <w:r w:rsidR="00AB19E9">
        <w:t>)</w:t>
      </w:r>
      <w:r w:rsidR="00112CF7">
        <w:t xml:space="preserve">. Vemurafenib was listed in 2017Q2 however does not appear to have substantially altered the market. </w:t>
      </w:r>
      <w:r w:rsidR="00006E04">
        <w:br w:type="textWrapping" w:clear="all"/>
      </w:r>
    </w:p>
    <w:p w14:paraId="63D39824" w14:textId="26C9A9E3" w:rsidR="00006E04" w:rsidRPr="001B7740" w:rsidRDefault="00006E04" w:rsidP="001B7740"/>
    <w:p w14:paraId="292136D5" w14:textId="77777777" w:rsidR="00112CF7" w:rsidRPr="001B7740" w:rsidRDefault="00112CF7" w:rsidP="001B7740"/>
    <w:p w14:paraId="348066F4" w14:textId="77777777" w:rsidR="00112CF7" w:rsidRPr="001B7740" w:rsidRDefault="00112CF7" w:rsidP="001B7740"/>
    <w:p w14:paraId="70995098" w14:textId="77777777" w:rsidR="00112CF7" w:rsidRPr="001B7740" w:rsidRDefault="00112CF7" w:rsidP="001B7740"/>
    <w:p w14:paraId="0C757A3F" w14:textId="77777777" w:rsidR="00112CF7" w:rsidRPr="001B7740" w:rsidRDefault="00112CF7" w:rsidP="001B7740"/>
    <w:p w14:paraId="468FEB27" w14:textId="77777777" w:rsidR="00112CF7" w:rsidRPr="001B7740" w:rsidRDefault="00112CF7" w:rsidP="001B7740"/>
    <w:p w14:paraId="34776340" w14:textId="77777777" w:rsidR="00112CF7" w:rsidRPr="001B7740" w:rsidRDefault="00112CF7" w:rsidP="001B7740"/>
    <w:p w14:paraId="7B15DD69" w14:textId="77777777" w:rsidR="00112CF7" w:rsidRPr="001B7740" w:rsidRDefault="00112CF7" w:rsidP="001B7740"/>
    <w:p w14:paraId="62E8A31C" w14:textId="77777777" w:rsidR="00112CF7" w:rsidRPr="001B7740" w:rsidRDefault="00112CF7" w:rsidP="001B7740"/>
    <w:p w14:paraId="019A9283" w14:textId="77777777" w:rsidR="00112CF7" w:rsidRPr="001B7740" w:rsidRDefault="00112CF7" w:rsidP="001B7740"/>
    <w:p w14:paraId="0EF7D359" w14:textId="77777777" w:rsidR="00112CF7" w:rsidRPr="001B7740" w:rsidRDefault="00112CF7" w:rsidP="001B7740"/>
    <w:p w14:paraId="19ACE2A6" w14:textId="542B569E" w:rsidR="00112CF7" w:rsidRPr="004B62EF" w:rsidRDefault="00112CF7" w:rsidP="00112CF7">
      <w:pPr>
        <w:pStyle w:val="Figuretitle"/>
        <w:rPr>
          <w:sz w:val="20"/>
          <w:szCs w:val="20"/>
        </w:rPr>
      </w:pPr>
      <w:r>
        <w:rPr>
          <w:noProof/>
        </w:rPr>
        <w:drawing>
          <wp:inline distT="0" distB="0" distL="0" distR="0" wp14:anchorId="3E959ABF" wp14:editId="4A8B1D9D">
            <wp:extent cx="5687695" cy="3599815"/>
            <wp:effectExtent l="0" t="0" r="8255" b="635"/>
            <wp:docPr id="19" name="Chart 19">
              <a:extLst xmlns:a="http://schemas.openxmlformats.org/drawingml/2006/main">
                <a:ext uri="{FF2B5EF4-FFF2-40B4-BE49-F238E27FC236}">
                  <a16:creationId xmlns:a16="http://schemas.microsoft.com/office/drawing/2014/main" id="{EC110555-180E-4E1B-9C51-18B497E6DFC5}"/>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t>Figure 1</w:t>
      </w:r>
      <w:r w:rsidR="00586F09">
        <w:t>4</w:t>
      </w:r>
      <w:r>
        <w:t xml:space="preserve">: Utilisation of MEK inhibitors for unresectable melanoma. </w:t>
      </w:r>
      <w:r>
        <w:br/>
      </w:r>
      <w:r w:rsidRPr="004B62EF">
        <w:rPr>
          <w:sz w:val="20"/>
          <w:szCs w:val="20"/>
        </w:rPr>
        <w:t xml:space="preserve">Note: Any patient numbers less than five per quarter have been increased to five to prevent re-identification. </w:t>
      </w:r>
    </w:p>
    <w:p w14:paraId="79C77CAC" w14:textId="20621551" w:rsidR="00006E04" w:rsidRDefault="00AB19E9" w:rsidP="00AB19E9">
      <w:r>
        <w:t>The utilisation of MEK inhibitors (Figure 1</w:t>
      </w:r>
      <w:r w:rsidR="00586F09">
        <w:t>4</w:t>
      </w:r>
      <w:r>
        <w:t xml:space="preserve">) mirrors that of the BRAF inhibitors with binimetinib utilisation being similar to dabrafenib, cobimetinib similar to encorafenib and trametinib similar to vemurafenib. </w:t>
      </w:r>
    </w:p>
    <w:p w14:paraId="61D018E3" w14:textId="0FE72B0F" w:rsidR="00A87B43" w:rsidRDefault="00586F09" w:rsidP="000B759C">
      <w:pPr>
        <w:pStyle w:val="Figuretitle"/>
      </w:pPr>
      <w:r>
        <w:rPr>
          <w:noProof/>
        </w:rPr>
        <w:lastRenderedPageBreak/>
        <w:drawing>
          <wp:inline distT="0" distB="0" distL="0" distR="0" wp14:anchorId="521B255D" wp14:editId="55FBE1A2">
            <wp:extent cx="5687695" cy="3599815"/>
            <wp:effectExtent l="0" t="0" r="8255" b="635"/>
            <wp:docPr id="20" name="Chart 20">
              <a:extLst xmlns:a="http://schemas.openxmlformats.org/drawingml/2006/main">
                <a:ext uri="{FF2B5EF4-FFF2-40B4-BE49-F238E27FC236}">
                  <a16:creationId xmlns:a16="http://schemas.microsoft.com/office/drawing/2014/main" id="{1B15749F-D1B4-4D6D-AC41-4C035272A067}"/>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000B759C">
        <w:t>Figure 1</w:t>
      </w:r>
      <w:r>
        <w:t>5</w:t>
      </w:r>
      <w:r w:rsidR="000B759C">
        <w:t>: Utilisation of other medicines for unresectable melanoma.</w:t>
      </w:r>
    </w:p>
    <w:p w14:paraId="3EF45830" w14:textId="19F2E298" w:rsidR="00006E04" w:rsidRDefault="000B759C" w:rsidP="00006E04">
      <w:r>
        <w:t>Figure 1</w:t>
      </w:r>
      <w:r w:rsidR="00586F09">
        <w:t>5</w:t>
      </w:r>
      <w:r>
        <w:t xml:space="preserve"> shows the utilisation of other medicines such as fotemustine and interferon alfa-2B for malignant melanoma. The use of both medicines has declined since their introduction and interferon alfa-2B was delisted on 31 May 2018 and fotemustine was delisted on 31 July 2022. </w:t>
      </w:r>
    </w:p>
    <w:p w14:paraId="3E34DF5D" w14:textId="77777777" w:rsidR="00586F09" w:rsidRDefault="00586F09">
      <w:pPr>
        <w:spacing w:line="276" w:lineRule="auto"/>
        <w:rPr>
          <w:b/>
          <w:sz w:val="28"/>
        </w:rPr>
      </w:pPr>
      <w:r>
        <w:br w:type="page"/>
      </w:r>
    </w:p>
    <w:p w14:paraId="050B3E4B" w14:textId="796BF8CE" w:rsidR="005620F2" w:rsidRDefault="005620F2" w:rsidP="005620F2">
      <w:pPr>
        <w:pStyle w:val="Heading2"/>
      </w:pPr>
      <w:r>
        <w:lastRenderedPageBreak/>
        <w:t xml:space="preserve">Melanoma expenditure </w:t>
      </w:r>
    </w:p>
    <w:p w14:paraId="3AE48D85" w14:textId="6414B8A8" w:rsidR="005620F2" w:rsidRPr="005620F2" w:rsidRDefault="005620F2" w:rsidP="001B7740">
      <w:r>
        <w:rPr>
          <w:noProof/>
        </w:rPr>
        <w:drawing>
          <wp:inline distT="0" distB="0" distL="0" distR="0" wp14:anchorId="09FCEF5C" wp14:editId="3B0BD646">
            <wp:extent cx="5687695" cy="3665220"/>
            <wp:effectExtent l="0" t="0" r="8255" b="11430"/>
            <wp:docPr id="2" name="Chart 2">
              <a:extLst xmlns:a="http://schemas.openxmlformats.org/drawingml/2006/main">
                <a:ext uri="{FF2B5EF4-FFF2-40B4-BE49-F238E27FC236}">
                  <a16:creationId xmlns:a16="http://schemas.microsoft.com/office/drawing/2014/main" id="{4434608A-F67A-4320-A605-FFA0EE063332}"/>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0CC11C03" w14:textId="685605A4" w:rsidR="00B11699" w:rsidRDefault="00B11699" w:rsidP="00B11699">
      <w:pPr>
        <w:pStyle w:val="Figuretitle"/>
      </w:pPr>
      <w:r>
        <w:t>Figure 1</w:t>
      </w:r>
      <w:r w:rsidR="00586F09">
        <w:t>6</w:t>
      </w:r>
      <w:r>
        <w:t>: Total PBS/RPBS expenditure for melanoma medications</w:t>
      </w:r>
    </w:p>
    <w:p w14:paraId="472355A5" w14:textId="18D0C6BD" w:rsidR="00A01346" w:rsidRPr="00046B36" w:rsidRDefault="00A01346" w:rsidP="00046B36">
      <w:pPr>
        <w:rPr>
          <w:sz w:val="20"/>
          <w:szCs w:val="20"/>
        </w:rPr>
      </w:pPr>
      <w:bookmarkStart w:id="2" w:name="_Hlk124944807"/>
      <w:r w:rsidRPr="00046B36">
        <w:rPr>
          <w:sz w:val="20"/>
          <w:szCs w:val="20"/>
        </w:rPr>
        <w:t xml:space="preserve">Note: Expenditure figures </w:t>
      </w:r>
      <w:r w:rsidRPr="005D44F2">
        <w:rPr>
          <w:sz w:val="20"/>
          <w:szCs w:val="20"/>
        </w:rPr>
        <w:t>based on published</w:t>
      </w:r>
      <w:r w:rsidRPr="00046B36">
        <w:rPr>
          <w:sz w:val="20"/>
          <w:szCs w:val="20"/>
        </w:rPr>
        <w:t xml:space="preserve"> prices. </w:t>
      </w:r>
    </w:p>
    <w:bookmarkEnd w:id="2"/>
    <w:p w14:paraId="1C64FE8E" w14:textId="77777777" w:rsidR="00A01346" w:rsidRPr="00046B36" w:rsidRDefault="00A01346" w:rsidP="00B11699">
      <w:pPr>
        <w:pStyle w:val="Figuretitle"/>
        <w:rPr>
          <w:sz w:val="20"/>
          <w:szCs w:val="20"/>
        </w:rPr>
      </w:pPr>
    </w:p>
    <w:p w14:paraId="5970FE1C" w14:textId="2465ABA0" w:rsidR="00422BE6" w:rsidRDefault="002040E8" w:rsidP="002040E8">
      <w:r>
        <w:t>The total PBS/RPBS expenditure for melanoma medications can be seen in Figure 1</w:t>
      </w:r>
      <w:r w:rsidR="00586F09">
        <w:t>6</w:t>
      </w:r>
      <w:r w:rsidR="004B135D">
        <w:t>.</w:t>
      </w:r>
      <w:r w:rsidR="00752BAB">
        <w:t xml:space="preserve"> </w:t>
      </w:r>
      <w:r>
        <w:t xml:space="preserve">Three main groups make up the approximate $120 million dollars per quarter market. The largest share comprising of $80 million per quarter is due to the checkpoint inhibitors in unresectable melanoma, followed by $20million in the PD1 inhibitor resected market and $20 million in the BRAF/MEK inhibitor unresectable market. </w:t>
      </w:r>
      <w:r w:rsidR="00A3607F">
        <w:t>Total expenditure for 2021 was approximately $</w:t>
      </w:r>
      <w:r w:rsidRPr="002040E8">
        <w:t>50</w:t>
      </w:r>
      <w:r w:rsidR="00A3607F">
        <w:t xml:space="preserve">0 million. </w:t>
      </w:r>
      <w:r w:rsidR="00422BE6">
        <w:br w:type="page"/>
      </w:r>
    </w:p>
    <w:p w14:paraId="6445DE4F" w14:textId="5EAE9228" w:rsidR="00006E04" w:rsidRDefault="00662872" w:rsidP="00A3607F">
      <w:pPr>
        <w:pStyle w:val="Figuretitle"/>
      </w:pPr>
      <w:r>
        <w:rPr>
          <w:noProof/>
        </w:rPr>
        <w:lastRenderedPageBreak/>
        <w:drawing>
          <wp:inline distT="0" distB="0" distL="0" distR="0" wp14:anchorId="76630D1B" wp14:editId="50280DC6">
            <wp:extent cx="5687695" cy="3599815"/>
            <wp:effectExtent l="0" t="0" r="8255" b="635"/>
            <wp:docPr id="22" name="Chart 22">
              <a:extLst xmlns:a="http://schemas.openxmlformats.org/drawingml/2006/main">
                <a:ext uri="{FF2B5EF4-FFF2-40B4-BE49-F238E27FC236}">
                  <a16:creationId xmlns:a16="http://schemas.microsoft.com/office/drawing/2014/main" id="{E04EAB20-95E9-4D7C-866B-5B4252D467BC}"/>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00A3607F">
        <w:t>Figure 1</w:t>
      </w:r>
      <w:r w:rsidR="00586F09">
        <w:t>7</w:t>
      </w:r>
      <w:r w:rsidR="00A3607F">
        <w:t xml:space="preserve">: Total PBS/RPBS expenditure for PD1 inhibitors </w:t>
      </w:r>
      <w:r w:rsidR="00E20F37">
        <w:t>post complete surgical resection of melanoma</w:t>
      </w:r>
    </w:p>
    <w:p w14:paraId="642EA490" w14:textId="77777777" w:rsidR="00A01346" w:rsidRPr="00046B36" w:rsidRDefault="00A01346" w:rsidP="00046B36">
      <w:pPr>
        <w:rPr>
          <w:sz w:val="20"/>
          <w:szCs w:val="20"/>
        </w:rPr>
      </w:pPr>
      <w:r w:rsidRPr="00046B36">
        <w:rPr>
          <w:sz w:val="20"/>
          <w:szCs w:val="20"/>
        </w:rPr>
        <w:t xml:space="preserve">Note: Expenditure figures based </w:t>
      </w:r>
      <w:r w:rsidRPr="005D44F2">
        <w:rPr>
          <w:sz w:val="20"/>
          <w:szCs w:val="20"/>
        </w:rPr>
        <w:t>on published prices</w:t>
      </w:r>
      <w:r w:rsidRPr="00046B36">
        <w:rPr>
          <w:sz w:val="20"/>
          <w:szCs w:val="20"/>
        </w:rPr>
        <w:t xml:space="preserve">. </w:t>
      </w:r>
    </w:p>
    <w:p w14:paraId="6A29E477" w14:textId="77777777" w:rsidR="00A01346" w:rsidRDefault="00A01346" w:rsidP="00A3607F">
      <w:pPr>
        <w:pStyle w:val="Figuretitle"/>
      </w:pPr>
    </w:p>
    <w:p w14:paraId="35705334" w14:textId="3D41B641" w:rsidR="00A3607F" w:rsidRDefault="00A3607F" w:rsidP="00A3607F">
      <w:r>
        <w:t xml:space="preserve">The total PBS/RPBS expenditure for PD1 inhibitors </w:t>
      </w:r>
      <w:r w:rsidR="009D2881">
        <w:t xml:space="preserve">as adjuvant therapy in melanoma </w:t>
      </w:r>
      <w:r>
        <w:t>can be seen in Figure 1</w:t>
      </w:r>
      <w:r w:rsidR="00586F09">
        <w:t>7</w:t>
      </w:r>
      <w:r>
        <w:t xml:space="preserve"> which shows a gradual decline in nivolumab cost from a peak of over $20million per quarter to $15 million per quarter. Pembrolizumab has been increasing steadily since listing in 2020Q3 to approximately $3 million per quarter in 2022Q2. </w:t>
      </w:r>
    </w:p>
    <w:p w14:paraId="028D1BEA" w14:textId="072D32DB" w:rsidR="00006E04" w:rsidRDefault="00586F09" w:rsidP="00A3607F">
      <w:pPr>
        <w:pStyle w:val="Figuretitle"/>
      </w:pPr>
      <w:r>
        <w:rPr>
          <w:noProof/>
        </w:rPr>
        <w:lastRenderedPageBreak/>
        <w:drawing>
          <wp:inline distT="0" distB="0" distL="0" distR="0" wp14:anchorId="5DBB7355" wp14:editId="2BA556AC">
            <wp:extent cx="5687695" cy="3599815"/>
            <wp:effectExtent l="0" t="0" r="8255" b="635"/>
            <wp:docPr id="23" name="Chart 23">
              <a:extLst xmlns:a="http://schemas.openxmlformats.org/drawingml/2006/main">
                <a:ext uri="{FF2B5EF4-FFF2-40B4-BE49-F238E27FC236}">
                  <a16:creationId xmlns:a16="http://schemas.microsoft.com/office/drawing/2014/main" id="{2E60926B-82E9-4659-A6B7-13CC4A2061AE}"/>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00A3607F">
        <w:t>Figure 1</w:t>
      </w:r>
      <w:r>
        <w:t>8</w:t>
      </w:r>
      <w:r w:rsidR="00A3607F">
        <w:t xml:space="preserve">: Total PBS/RPBS expenditure for BRAF/MEK inhibitors </w:t>
      </w:r>
      <w:r w:rsidR="00E20F37">
        <w:t>post complete surgical resection of melanoma</w:t>
      </w:r>
    </w:p>
    <w:p w14:paraId="0B797569" w14:textId="77777777" w:rsidR="00A01346" w:rsidRPr="00046B36" w:rsidRDefault="00A01346" w:rsidP="00046B36">
      <w:pPr>
        <w:rPr>
          <w:sz w:val="20"/>
          <w:szCs w:val="20"/>
        </w:rPr>
      </w:pPr>
      <w:r w:rsidRPr="00046B36">
        <w:rPr>
          <w:sz w:val="20"/>
          <w:szCs w:val="20"/>
        </w:rPr>
        <w:t xml:space="preserve">Note: Expenditure figures based on published prices. </w:t>
      </w:r>
    </w:p>
    <w:p w14:paraId="6C04B3FA" w14:textId="77777777" w:rsidR="00A01346" w:rsidRDefault="00A01346" w:rsidP="00A3607F">
      <w:pPr>
        <w:pStyle w:val="Figuretitle"/>
      </w:pPr>
    </w:p>
    <w:p w14:paraId="310BC2B3" w14:textId="325AFE33" w:rsidR="00006E04" w:rsidRDefault="00A3607F" w:rsidP="00006E04">
      <w:r>
        <w:t>Figure 1</w:t>
      </w:r>
      <w:r w:rsidR="00586F09">
        <w:t>8</w:t>
      </w:r>
      <w:r>
        <w:t xml:space="preserve"> shows the total PBS/RPBS expenditure for dabrafenib and trametinib</w:t>
      </w:r>
      <w:r w:rsidR="00E20F37">
        <w:t xml:space="preserve"> for surgically resected melanoma where the cost has been steady at $1.4 million per drug per quarter since 2020. The expenditure for both medicines is approximately the same reflecting the similar patient numbers seen in Figure 1</w:t>
      </w:r>
      <w:r w:rsidR="00586F09">
        <w:t>1</w:t>
      </w:r>
      <w:r w:rsidR="00E20F37">
        <w:t xml:space="preserve">. </w:t>
      </w:r>
    </w:p>
    <w:p w14:paraId="35443141" w14:textId="251B5C29" w:rsidR="00E20F37" w:rsidRDefault="00586F09" w:rsidP="00E20F37">
      <w:pPr>
        <w:pStyle w:val="Figuretitle"/>
      </w:pPr>
      <w:r>
        <w:rPr>
          <w:noProof/>
        </w:rPr>
        <w:lastRenderedPageBreak/>
        <w:drawing>
          <wp:inline distT="0" distB="0" distL="0" distR="0" wp14:anchorId="347D5A87" wp14:editId="00FAD3FD">
            <wp:extent cx="5687695" cy="3599815"/>
            <wp:effectExtent l="0" t="0" r="8255" b="635"/>
            <wp:docPr id="27" name="Chart 27">
              <a:extLst xmlns:a="http://schemas.openxmlformats.org/drawingml/2006/main">
                <a:ext uri="{FF2B5EF4-FFF2-40B4-BE49-F238E27FC236}">
                  <a16:creationId xmlns:a16="http://schemas.microsoft.com/office/drawing/2014/main" id="{F4D887EA-7F63-4995-8749-862C8BEA4911}"/>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00E20F37">
        <w:t>Figure 1</w:t>
      </w:r>
      <w:r>
        <w:t>9</w:t>
      </w:r>
      <w:r w:rsidR="00E20F37">
        <w:t>: Total PBS/RPBS expenditure for checkpoint inhibitors in unresectable melanoma</w:t>
      </w:r>
    </w:p>
    <w:p w14:paraId="39B7DC2A" w14:textId="77777777" w:rsidR="00A01346" w:rsidRPr="006566F1" w:rsidRDefault="00A01346" w:rsidP="00A01346">
      <w:pPr>
        <w:rPr>
          <w:sz w:val="20"/>
          <w:szCs w:val="20"/>
        </w:rPr>
      </w:pPr>
      <w:r w:rsidRPr="006566F1">
        <w:rPr>
          <w:sz w:val="20"/>
          <w:szCs w:val="20"/>
        </w:rPr>
        <w:t xml:space="preserve">Note: Expenditure figures based </w:t>
      </w:r>
      <w:r w:rsidRPr="005D44F2">
        <w:rPr>
          <w:sz w:val="20"/>
          <w:szCs w:val="20"/>
        </w:rPr>
        <w:t>on published</w:t>
      </w:r>
      <w:r w:rsidRPr="006566F1">
        <w:rPr>
          <w:sz w:val="20"/>
          <w:szCs w:val="20"/>
        </w:rPr>
        <w:t xml:space="preserve"> prices. </w:t>
      </w:r>
    </w:p>
    <w:p w14:paraId="25AB5A67" w14:textId="77777777" w:rsidR="00A01346" w:rsidRPr="00A01346" w:rsidRDefault="00A01346" w:rsidP="00046B36"/>
    <w:p w14:paraId="13B454CA" w14:textId="35D634B5" w:rsidR="00006E04" w:rsidRDefault="00E20F37" w:rsidP="00E20F37">
      <w:r>
        <w:t>Expenditure on checkpoint inhibitors in unresectable melanoma (Figure 1</w:t>
      </w:r>
      <w:r w:rsidR="00586F09">
        <w:t>9</w:t>
      </w:r>
      <w:r>
        <w:t>) mirrors that of the prevalent patient numbers seen in Figure 1</w:t>
      </w:r>
      <w:r w:rsidR="00586F09">
        <w:t>2</w:t>
      </w:r>
      <w:r>
        <w:t xml:space="preserve">. Ipilimumab expenditure first peaked at $25 million per quarter in 2014Q3 before declining to a low of $2 million per quarter in 2015Q4 which followed the PBS listing of pembrolizumab. Pembrolizumab </w:t>
      </w:r>
      <w:r w:rsidR="00662872">
        <w:t>expenditure increased to less than $40 million per quarter before it too declined with the increase in use of nivolumab plus ipilimumab following 2016Q3.</w:t>
      </w:r>
    </w:p>
    <w:p w14:paraId="7BF599ED" w14:textId="09C0AFBF" w:rsidR="00006E04" w:rsidRDefault="00633F9D" w:rsidP="00662872">
      <w:pPr>
        <w:pStyle w:val="Figuretitle"/>
      </w:pPr>
      <w:r>
        <w:rPr>
          <w:noProof/>
        </w:rPr>
        <w:lastRenderedPageBreak/>
        <w:drawing>
          <wp:inline distT="0" distB="0" distL="0" distR="0" wp14:anchorId="6A1EB182" wp14:editId="31A339AC">
            <wp:extent cx="5687695" cy="3599815"/>
            <wp:effectExtent l="0" t="0" r="8255" b="635"/>
            <wp:docPr id="25" name="Chart 25">
              <a:extLst xmlns:a="http://schemas.openxmlformats.org/drawingml/2006/main">
                <a:ext uri="{FF2B5EF4-FFF2-40B4-BE49-F238E27FC236}">
                  <a16:creationId xmlns:a16="http://schemas.microsoft.com/office/drawing/2014/main" id="{C9018F15-9A63-42E4-BA52-714E5431E1B7}"/>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r w:rsidR="00662872">
        <w:t xml:space="preserve">Figure </w:t>
      </w:r>
      <w:r w:rsidR="00586F09">
        <w:t>20</w:t>
      </w:r>
      <w:r w:rsidR="00662872">
        <w:t>:</w:t>
      </w:r>
      <w:r w:rsidR="00662872" w:rsidRPr="00662872">
        <w:t xml:space="preserve"> </w:t>
      </w:r>
      <w:r w:rsidR="00662872">
        <w:t>Total PBS/RPBS expenditure for BRAF inhibitors in unresectable melanoma</w:t>
      </w:r>
    </w:p>
    <w:p w14:paraId="144C72CF" w14:textId="77777777" w:rsidR="00A01346" w:rsidRPr="006566F1" w:rsidRDefault="00A01346" w:rsidP="00A01346">
      <w:pPr>
        <w:rPr>
          <w:sz w:val="20"/>
          <w:szCs w:val="20"/>
        </w:rPr>
      </w:pPr>
      <w:r w:rsidRPr="006566F1">
        <w:rPr>
          <w:sz w:val="20"/>
          <w:szCs w:val="20"/>
        </w:rPr>
        <w:t xml:space="preserve">Note: Expenditure figures based </w:t>
      </w:r>
      <w:r w:rsidRPr="000C397D">
        <w:rPr>
          <w:sz w:val="20"/>
          <w:szCs w:val="20"/>
        </w:rPr>
        <w:t>on published</w:t>
      </w:r>
      <w:r w:rsidRPr="006566F1">
        <w:rPr>
          <w:sz w:val="20"/>
          <w:szCs w:val="20"/>
        </w:rPr>
        <w:t xml:space="preserve"> prices. </w:t>
      </w:r>
    </w:p>
    <w:p w14:paraId="4022DB86" w14:textId="77777777" w:rsidR="00A01346" w:rsidRDefault="00A01346" w:rsidP="00662872">
      <w:pPr>
        <w:pStyle w:val="Figuretitle"/>
      </w:pPr>
    </w:p>
    <w:p w14:paraId="2BFA03AA" w14:textId="53DD1B7B" w:rsidR="00006E04" w:rsidRDefault="00586F09" w:rsidP="00662872">
      <w:pPr>
        <w:pStyle w:val="Figuretitle"/>
      </w:pPr>
      <w:r>
        <w:rPr>
          <w:noProof/>
        </w:rPr>
        <w:drawing>
          <wp:inline distT="0" distB="0" distL="0" distR="0" wp14:anchorId="6DA74A66" wp14:editId="5DE84E21">
            <wp:extent cx="5687695" cy="3599815"/>
            <wp:effectExtent l="0" t="0" r="8255" b="635"/>
            <wp:docPr id="24" name="Chart 24">
              <a:extLst xmlns:a="http://schemas.openxmlformats.org/drawingml/2006/main">
                <a:ext uri="{FF2B5EF4-FFF2-40B4-BE49-F238E27FC236}">
                  <a16:creationId xmlns:a16="http://schemas.microsoft.com/office/drawing/2014/main" id="{71B63593-D15D-4D1B-BA4F-279165476412}"/>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00662872">
        <w:t>Figure 2</w:t>
      </w:r>
      <w:r>
        <w:t>1</w:t>
      </w:r>
      <w:r w:rsidR="00662872">
        <w:t>:</w:t>
      </w:r>
      <w:r w:rsidR="00662872" w:rsidRPr="00662872">
        <w:t xml:space="preserve"> </w:t>
      </w:r>
      <w:r w:rsidR="00662872">
        <w:t>Total PBS/RPBS expenditure for MEK inhibitors in unresectable melanoma</w:t>
      </w:r>
    </w:p>
    <w:p w14:paraId="647424EF" w14:textId="308EFD84" w:rsidR="00A01346" w:rsidRPr="00046B36" w:rsidRDefault="00A01346" w:rsidP="00046B36">
      <w:pPr>
        <w:rPr>
          <w:sz w:val="20"/>
          <w:szCs w:val="20"/>
        </w:rPr>
      </w:pPr>
      <w:r w:rsidRPr="006566F1">
        <w:rPr>
          <w:sz w:val="20"/>
          <w:szCs w:val="20"/>
        </w:rPr>
        <w:t xml:space="preserve">Note: Expenditure figures based </w:t>
      </w:r>
      <w:r w:rsidRPr="000C397D">
        <w:rPr>
          <w:sz w:val="20"/>
          <w:szCs w:val="20"/>
        </w:rPr>
        <w:t>on published prices</w:t>
      </w:r>
      <w:r w:rsidRPr="006566F1">
        <w:rPr>
          <w:sz w:val="20"/>
          <w:szCs w:val="20"/>
        </w:rPr>
        <w:t xml:space="preserve">. </w:t>
      </w:r>
    </w:p>
    <w:p w14:paraId="41852D56" w14:textId="1B4407C1" w:rsidR="00633F9D" w:rsidRDefault="00633F9D" w:rsidP="00633F9D">
      <w:r>
        <w:lastRenderedPageBreak/>
        <w:t xml:space="preserve">Total PBS/RPBS expenditure for BRAF and MEK inhibitors in unresectable melanoma can be seen in Figures </w:t>
      </w:r>
      <w:r w:rsidR="00586F09">
        <w:t>20</w:t>
      </w:r>
      <w:r>
        <w:t xml:space="preserve"> and 2</w:t>
      </w:r>
      <w:r w:rsidR="00586F09">
        <w:t>1</w:t>
      </w:r>
      <w:r>
        <w:t xml:space="preserve"> respectively. Both figures illustrate a similar pattern of expenditure to the number of prevalent patients in Figures 1</w:t>
      </w:r>
      <w:r w:rsidR="00586F09">
        <w:t>3</w:t>
      </w:r>
      <w:r>
        <w:t xml:space="preserve"> and 1</w:t>
      </w:r>
      <w:r w:rsidR="00586F09">
        <w:t>4</w:t>
      </w:r>
      <w:r>
        <w:t>.</w:t>
      </w:r>
    </w:p>
    <w:p w14:paraId="2D56B4A8" w14:textId="77777777" w:rsidR="00633F9D" w:rsidRPr="001B7740" w:rsidRDefault="00633F9D" w:rsidP="001B7740"/>
    <w:p w14:paraId="06106884" w14:textId="78A07582" w:rsidR="00633F9D" w:rsidRDefault="00662872" w:rsidP="00633F9D">
      <w:pPr>
        <w:pStyle w:val="Figuretitle"/>
      </w:pPr>
      <w:r>
        <w:rPr>
          <w:noProof/>
        </w:rPr>
        <w:drawing>
          <wp:inline distT="0" distB="0" distL="0" distR="0" wp14:anchorId="13041D7B" wp14:editId="340A3ABE">
            <wp:extent cx="5687695" cy="3599815"/>
            <wp:effectExtent l="0" t="0" r="8255" b="635"/>
            <wp:docPr id="26" name="Chart 26">
              <a:extLst xmlns:a="http://schemas.openxmlformats.org/drawingml/2006/main">
                <a:ext uri="{FF2B5EF4-FFF2-40B4-BE49-F238E27FC236}">
                  <a16:creationId xmlns:a16="http://schemas.microsoft.com/office/drawing/2014/main" id="{B3AD502E-C305-440F-A3CE-4CB9CA89CC5F}"/>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00633F9D">
        <w:t>Figure 2</w:t>
      </w:r>
      <w:r w:rsidR="00586F09">
        <w:t>2</w:t>
      </w:r>
      <w:r w:rsidR="00633F9D">
        <w:t>:</w:t>
      </w:r>
      <w:r w:rsidR="00633F9D" w:rsidRPr="00662872">
        <w:t xml:space="preserve"> </w:t>
      </w:r>
      <w:r w:rsidR="00633F9D">
        <w:t>Total PBS/RPBS expenditure for other medicines in unresectable melanoma</w:t>
      </w:r>
    </w:p>
    <w:p w14:paraId="40B0EC76" w14:textId="77777777" w:rsidR="00A01346" w:rsidRPr="006566F1" w:rsidRDefault="00A01346" w:rsidP="00A01346">
      <w:pPr>
        <w:rPr>
          <w:sz w:val="20"/>
          <w:szCs w:val="20"/>
        </w:rPr>
      </w:pPr>
      <w:r w:rsidRPr="006566F1">
        <w:rPr>
          <w:sz w:val="20"/>
          <w:szCs w:val="20"/>
        </w:rPr>
        <w:t xml:space="preserve">Note: Expenditure figures based on published prices. </w:t>
      </w:r>
    </w:p>
    <w:p w14:paraId="3EC90426" w14:textId="77777777" w:rsidR="00A01346" w:rsidRPr="00A01346" w:rsidRDefault="00A01346" w:rsidP="00046B36"/>
    <w:p w14:paraId="75F5AD37" w14:textId="351C1F39" w:rsidR="00633F9D" w:rsidRDefault="00633F9D" w:rsidP="00633F9D">
      <w:r>
        <w:t>The total PBS/RPBS expenditure for other medicines can be seen in Figure 2</w:t>
      </w:r>
      <w:r w:rsidR="00586F09">
        <w:t>2</w:t>
      </w:r>
      <w:r>
        <w:t xml:space="preserve"> which shows a decline in cost since 2012 before finally reducing to near zero following the delisting of both medicines. </w:t>
      </w:r>
    </w:p>
    <w:p w14:paraId="50656E98" w14:textId="77777777" w:rsidR="00633F9D" w:rsidRDefault="00633F9D">
      <w:pPr>
        <w:spacing w:line="276" w:lineRule="auto"/>
        <w:rPr>
          <w:rFonts w:eastAsiaTheme="majorEastAsia" w:cstheme="majorBidi"/>
          <w:b/>
          <w:bCs/>
          <w:sz w:val="32"/>
          <w:szCs w:val="32"/>
        </w:rPr>
      </w:pPr>
      <w:r>
        <w:br w:type="page"/>
      </w:r>
    </w:p>
    <w:p w14:paraId="3555DFBA" w14:textId="6E1DE57C" w:rsidR="00591512" w:rsidRDefault="00AB3733" w:rsidP="00F73113">
      <w:pPr>
        <w:pStyle w:val="Heading1"/>
      </w:pPr>
      <w:r>
        <w:lastRenderedPageBreak/>
        <w:t>D</w:t>
      </w:r>
      <w:r w:rsidR="007346C7" w:rsidRPr="005E22C2">
        <w:t>iscussion</w:t>
      </w:r>
    </w:p>
    <w:p w14:paraId="05CA72EF" w14:textId="24AC54D6" w:rsidR="00630C51" w:rsidRPr="006B1967" w:rsidRDefault="00630C51" w:rsidP="00630C51">
      <w:r>
        <w:t xml:space="preserve">Overall </w:t>
      </w:r>
      <w:r w:rsidR="00F81261">
        <w:t>t</w:t>
      </w:r>
      <w:r>
        <w:t xml:space="preserve">he total number of patients utilising medications with post complete surgical resection restrictions is similar to the number of patients estimated by the nivolumab </w:t>
      </w:r>
      <w:r w:rsidR="009D2881">
        <w:t xml:space="preserve">as adjuvant therapy in melanoma </w:t>
      </w:r>
      <w:r>
        <w:t xml:space="preserve">submission. The actual number of patients using nivolumab </w:t>
      </w:r>
      <w:r w:rsidRPr="006B1967">
        <w:t xml:space="preserve">in the first year of listing was </w:t>
      </w:r>
      <w:r w:rsidR="00B700FA" w:rsidRPr="00B700FA">
        <w:rPr>
          <w:highlight w:val="black"/>
        </w:rPr>
        <w:t>xxx xxxx</w:t>
      </w:r>
      <w:r w:rsidRPr="006B1967">
        <w:t xml:space="preserve"> than predicted suggesting that the listing of the BRAF and MEK inhibitors in late 2019 as well as pe</w:t>
      </w:r>
      <w:r w:rsidR="004B62EF" w:rsidRPr="006B1967">
        <w:t>m</w:t>
      </w:r>
      <w:r w:rsidRPr="006B1967">
        <w:t>brolizumab in 2020Q3 have contributed to th</w:t>
      </w:r>
      <w:r w:rsidR="003450B7">
        <w:t xml:space="preserve">e </w:t>
      </w:r>
      <w:r w:rsidR="00B700FA" w:rsidRPr="00B700FA">
        <w:rPr>
          <w:highlight w:val="black"/>
        </w:rPr>
        <w:t>xxxxxxxxxxxxxxxx</w:t>
      </w:r>
      <w:r w:rsidRPr="006B1967">
        <w:t xml:space="preserve">. </w:t>
      </w:r>
    </w:p>
    <w:p w14:paraId="0BF9B611" w14:textId="0FC53518" w:rsidR="00630C51" w:rsidRPr="006B1967" w:rsidRDefault="009D2881" w:rsidP="005004B7">
      <w:r w:rsidRPr="006B1967">
        <w:t xml:space="preserve">The Australian population utilising nivolumab for adjuvant treatment of resected melanoma </w:t>
      </w:r>
      <w:r w:rsidR="005004B7" w:rsidRPr="006B1967">
        <w:t xml:space="preserve">differed from the CheckMate-238 that was used as part of the submission. In the CheckMate-238 trial the majority of patients were aged less than 65 years old which differs from the interquartile range of 65-75 years that was seen in this analysis. This difference in age may also explain the difference in time on treatment. The trial saw patients have a median of 24 doses at two weekly intervals which is approximately equivalent to 336 days. The results from this analysis indicate that the median time on treatment </w:t>
      </w:r>
      <w:r w:rsidR="005004B7" w:rsidRPr="00B700FA">
        <w:t xml:space="preserve">was 231 days with </w:t>
      </w:r>
      <w:r w:rsidR="00FD28A0" w:rsidRPr="00B700FA">
        <w:t xml:space="preserve">treatment </w:t>
      </w:r>
      <w:r w:rsidR="005004B7" w:rsidRPr="00B700FA">
        <w:t>breaks and 211 days without. The difference in treatment lengths may therefore be due to a</w:t>
      </w:r>
      <w:r w:rsidR="00FD28A0" w:rsidRPr="00B700FA">
        <w:t>n older and</w:t>
      </w:r>
      <w:r w:rsidR="005004B7" w:rsidRPr="00B700FA">
        <w:t xml:space="preserve"> frailer population.</w:t>
      </w:r>
      <w:r w:rsidR="005004B7" w:rsidRPr="006B1967">
        <w:t xml:space="preserve"> </w:t>
      </w:r>
    </w:p>
    <w:p w14:paraId="0D5A4987" w14:textId="2FB00479" w:rsidR="005004B7" w:rsidRPr="006B1967" w:rsidRDefault="004D7DA5" w:rsidP="0020148B">
      <w:r w:rsidRPr="006B1967">
        <w:t xml:space="preserve">The final net effective cost of adjuvant nivolumab was calculated based on the advice from the </w:t>
      </w:r>
      <w:r w:rsidRPr="00B700FA">
        <w:t xml:space="preserve">July 2019 PBAC meeting which suggested </w:t>
      </w:r>
      <w:r w:rsidR="00C9479F" w:rsidRPr="00B700FA">
        <w:t>9</w:t>
      </w:r>
      <w:r w:rsidRPr="00B700FA">
        <w:t>% of patients would receive 240</w:t>
      </w:r>
      <w:r w:rsidR="004B62EF" w:rsidRPr="00B700FA">
        <w:t xml:space="preserve"> </w:t>
      </w:r>
      <w:r w:rsidRPr="00B700FA">
        <w:t xml:space="preserve">mg at two weekly intervals, </w:t>
      </w:r>
      <w:r w:rsidR="00C9479F" w:rsidRPr="00B700FA">
        <w:t>88</w:t>
      </w:r>
      <w:r w:rsidRPr="00B700FA">
        <w:t>% at 480</w:t>
      </w:r>
      <w:r w:rsidR="004B62EF" w:rsidRPr="00B700FA">
        <w:t xml:space="preserve"> </w:t>
      </w:r>
      <w:r w:rsidRPr="00B700FA">
        <w:t xml:space="preserve">mg four weekly and </w:t>
      </w:r>
      <w:r w:rsidR="00C9479F" w:rsidRPr="00B700FA">
        <w:t>3</w:t>
      </w:r>
      <w:r w:rsidRPr="00B700FA">
        <w:t>% as weight-based dosing (</w:t>
      </w:r>
      <w:r w:rsidR="00C9479F" w:rsidRPr="00B700FA">
        <w:t>paragraph 5.7</w:t>
      </w:r>
      <w:r w:rsidRPr="00B700FA">
        <w:t>, November 2019 PBAC Public Summary Document). The data from this analysis suggests that 75% of patients were dosing at 480</w:t>
      </w:r>
      <w:r w:rsidR="004B62EF" w:rsidRPr="00B700FA">
        <w:t xml:space="preserve"> </w:t>
      </w:r>
      <w:r w:rsidRPr="00B700FA">
        <w:t>mg per supply, approximately 20% were dosing at 240</w:t>
      </w:r>
      <w:r w:rsidR="004B62EF" w:rsidRPr="00B700FA">
        <w:t xml:space="preserve"> </w:t>
      </w:r>
      <w:r w:rsidRPr="00B700FA">
        <w:t>mg per supply and the remaining 5% were either dose reductions or</w:t>
      </w:r>
      <w:r w:rsidRPr="006B1967">
        <w:t xml:space="preserve"> dosing according to weight. </w:t>
      </w:r>
    </w:p>
    <w:p w14:paraId="23C9F2F2" w14:textId="403EB441" w:rsidR="00C9479F" w:rsidRPr="006B1967" w:rsidRDefault="00206263" w:rsidP="0020148B">
      <w:r w:rsidRPr="006B1967">
        <w:t>The visualisation of the rate of prescriptions of adjuvant nivolumab shows that the higher rates of use are in central cities and Queensland which is in line with expectations. Cramb et al., 2020</w:t>
      </w:r>
      <w:r w:rsidRPr="006B1967">
        <w:rPr>
          <w:vertAlign w:val="superscript"/>
        </w:rPr>
        <w:t>5</w:t>
      </w:r>
      <w:r w:rsidRPr="006B1967">
        <w:t xml:space="preserve"> produced a choropleth map detailing the standardised incidence ratio for melanoma with similar regions of high incidence. Notable differences however were in the </w:t>
      </w:r>
      <w:r w:rsidR="00164A62" w:rsidRPr="006B1967">
        <w:t>higher rates of prescribing in</w:t>
      </w:r>
      <w:r w:rsidRPr="006B1967">
        <w:t xml:space="preserve"> the Hunter Valley</w:t>
      </w:r>
      <w:r w:rsidR="00164A62" w:rsidRPr="006B1967">
        <w:t xml:space="preserve"> and Capital</w:t>
      </w:r>
      <w:r w:rsidRPr="006B1967">
        <w:t xml:space="preserve"> region</w:t>
      </w:r>
      <w:r w:rsidR="00164A62" w:rsidRPr="006B1967">
        <w:t>s</w:t>
      </w:r>
      <w:r w:rsidRPr="006B1967">
        <w:t xml:space="preserve"> in New South Wales in Cairns </w:t>
      </w:r>
      <w:r w:rsidR="00164A62" w:rsidRPr="006B1967">
        <w:t xml:space="preserve">and Townsville in north Queensland. </w:t>
      </w:r>
    </w:p>
    <w:p w14:paraId="638952E9" w14:textId="23EB6E5B" w:rsidR="00755E66" w:rsidRDefault="006E0C20" w:rsidP="0020148B">
      <w:r w:rsidRPr="006B1967">
        <w:t xml:space="preserve">Nivolumab entered the unresectable melanoma market in 2016Q2 and did not substantially affect the market. Following a change in the restriction in 2018Q3 which allowed </w:t>
      </w:r>
      <w:r w:rsidR="00BC5D17" w:rsidRPr="006B1967">
        <w:t>for combined use with ipilimumab as first line immunotherapy with a BRAF V600 negative variant and subsequent extension in 2019Q4 to include BRAF V600 positive variants, the utilisation of nivolumab in the unresectable setting has grown substantially</w:t>
      </w:r>
      <w:r w:rsidRPr="006B1967">
        <w:t xml:space="preserve">. </w:t>
      </w:r>
    </w:p>
    <w:p w14:paraId="6612D3B2" w14:textId="77777777" w:rsidR="00755E66" w:rsidRDefault="00755E66" w:rsidP="0020148B"/>
    <w:p w14:paraId="2824B401" w14:textId="77777777" w:rsidR="0020148B" w:rsidRDefault="0020148B" w:rsidP="0020148B"/>
    <w:p w14:paraId="2D66B3EF" w14:textId="77777777" w:rsidR="006B1967" w:rsidRDefault="006B1967" w:rsidP="006B1967">
      <w:pPr>
        <w:pStyle w:val="Heading1"/>
      </w:pPr>
      <w:bookmarkStart w:id="3" w:name="_Hlk124253626"/>
      <w:r>
        <w:lastRenderedPageBreak/>
        <w:t>DUSC consideration</w:t>
      </w:r>
    </w:p>
    <w:p w14:paraId="61E52A73" w14:textId="0B2B5883" w:rsidR="006B1967" w:rsidRPr="003450B7" w:rsidRDefault="006B1967" w:rsidP="006B1967">
      <w:r w:rsidRPr="003450B7">
        <w:t xml:space="preserve">DUSC noted that the total number of patients utilising medications with post complete surgical resection restrictions was similar to the number of patients estimated by the submission for nivolumab as adjuvant therapy in melanoma. DUSC noted the actual number of patients using nivolumab in the first year of listing was </w:t>
      </w:r>
      <w:r w:rsidR="00B700FA" w:rsidRPr="00B700FA">
        <w:rPr>
          <w:highlight w:val="black"/>
        </w:rPr>
        <w:t>xxx xxxx</w:t>
      </w:r>
      <w:r w:rsidRPr="003450B7">
        <w:t xml:space="preserve"> than predicted suggesting that the listing of the BRAF and MEK inhibitors in late 2019 as well as pembrolizumab in 2020Q3 have contributed to the </w:t>
      </w:r>
      <w:r w:rsidR="00B700FA" w:rsidRPr="00B700FA">
        <w:rPr>
          <w:highlight w:val="black"/>
        </w:rPr>
        <w:t>xxxxxxxxxxxxxxx</w:t>
      </w:r>
      <w:r w:rsidRPr="003450B7">
        <w:t xml:space="preserve">. </w:t>
      </w:r>
    </w:p>
    <w:p w14:paraId="51987D9E" w14:textId="0CF2AA13" w:rsidR="006B1967" w:rsidRPr="00B700FA" w:rsidRDefault="006B1967" w:rsidP="006B1967">
      <w:r w:rsidRPr="003450B7">
        <w:t xml:space="preserve">DUSC noted that in the CheckMate-238 trial for adjuvant nivolumab the majority of patients were aged less than 65 years old which differed from the interquartile range seen in this DUSC analysis of 65-75 years. This difference in age may also explain the difference in time on treatment. The trial reported patients had a median of 24 doses at two weekly intervals which is </w:t>
      </w:r>
      <w:r w:rsidRPr="00B700FA">
        <w:t xml:space="preserve">approximately equivalent to 336 days. The results from the DUSC analysis indicated that the median time on treatment was 231 days with treatment breaks and 211 days without. DUSC noted the difference in treatment length was likely due to an older and frailer PBS population. </w:t>
      </w:r>
    </w:p>
    <w:p w14:paraId="4D734E4B" w14:textId="54735F50" w:rsidR="006B1967" w:rsidRPr="003450B7" w:rsidRDefault="006B1967" w:rsidP="006B1967">
      <w:r w:rsidRPr="00B700FA">
        <w:t>DUSC noted the final net effective cost of adjuvant nivolumab was calculated based on the advice from the July 2019 PBAC meeting which suggested 9% of patients would receive 240 mg at two weekly intervals, 88% at 480 mg four weekly and 3% as weight-based dosing (paragraph 5.7, November 2019 PBAC Public Summary Document). DUSC noted the data from this analysis suggested that 75% of patients were dosing at 480 mg per supply, approximately 20% were dosing at 240 mg per supply and the remaining 5% were either dose reductions or dosing according to weight.</w:t>
      </w:r>
      <w:r w:rsidRPr="003450B7">
        <w:t xml:space="preserve"> </w:t>
      </w:r>
    </w:p>
    <w:p w14:paraId="2ADC99B2" w14:textId="691C53AE" w:rsidR="006B1967" w:rsidRPr="003450B7" w:rsidRDefault="006B1967" w:rsidP="006B1967">
      <w:r w:rsidRPr="003450B7">
        <w:t xml:space="preserve">DUSC noted the rate of prescriptions of adjuvant nivolumab was higher in central cities and Queensland which was in line with expectations. </w:t>
      </w:r>
    </w:p>
    <w:p w14:paraId="011BBA74" w14:textId="19F5542E" w:rsidR="006B1967" w:rsidRPr="003450B7" w:rsidRDefault="006B1967" w:rsidP="006B1967">
      <w:r w:rsidRPr="003450B7">
        <w:t xml:space="preserve">DUSC noted nivolumab entered the unresectable melanoma market in 2016Q2 and did not substantially affect the market. Following a change in the restriction in 2018Q3 which allowed for combined use with ipilimumab as first line immunotherapy with a BRAF V600 negative variant and subsequent extension in 2019Q4 to include BRAF V600 positive variants, the utilisation of nivolumab in the unresectable setting grew substantially. DUSC considered that the growth of nivolumab use could be attributed to the combined listings with nivolumab and also an increasing prevalent pool due to no cessation criteria. DUSC considered emerging evidence for the superiority of combined ipilimumab and nivolumab in BRAF variant positive patients as first line treatment may have also contributed to the increased use. </w:t>
      </w:r>
    </w:p>
    <w:p w14:paraId="39A01B04" w14:textId="77777777" w:rsidR="006B1967" w:rsidRDefault="006B1967" w:rsidP="006B1967">
      <w:pPr>
        <w:pStyle w:val="Heading1"/>
      </w:pPr>
      <w:r>
        <w:t>DUSC actions</w:t>
      </w:r>
    </w:p>
    <w:p w14:paraId="40465BDA" w14:textId="77777777" w:rsidR="006B1967" w:rsidRPr="006B1967" w:rsidRDefault="006B1967" w:rsidP="006B1967">
      <w:pPr>
        <w:rPr>
          <w:iCs/>
        </w:rPr>
      </w:pPr>
      <w:r w:rsidRPr="006B1967">
        <w:rPr>
          <w:iCs/>
        </w:rPr>
        <w:t xml:space="preserve">DUSC requested that the report be provided to the PBAC for consideration. </w:t>
      </w:r>
    </w:p>
    <w:p w14:paraId="067A3FDE" w14:textId="77777777" w:rsidR="006B1967" w:rsidRDefault="006B1967" w:rsidP="006B1967">
      <w:pPr>
        <w:pStyle w:val="Heading1"/>
      </w:pPr>
      <w:r w:rsidRPr="0092516A">
        <w:lastRenderedPageBreak/>
        <w:t>Context for analysis</w:t>
      </w:r>
    </w:p>
    <w:p w14:paraId="1AF0ED1C" w14:textId="77777777" w:rsidR="006B1967" w:rsidRDefault="006B1967" w:rsidP="006B1967">
      <w:r>
        <w:t>The DUSC is a Sub Committee of the Pharmaceutical Benefits Advisory Committee (PBAC). The DUSC assesses estimates on projected usage and financial cost of medicines.</w:t>
      </w:r>
    </w:p>
    <w:p w14:paraId="27C50D43" w14:textId="77777777" w:rsidR="006B1967" w:rsidRDefault="006B1967" w:rsidP="006B1967">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4D9A7EC2" w14:textId="77777777" w:rsidR="006B1967" w:rsidRDefault="006B1967" w:rsidP="006B1967">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14:paraId="3AFDB3E4" w14:textId="77777777" w:rsidR="006B1967" w:rsidRDefault="006B1967" w:rsidP="006B1967">
      <w:r>
        <w:t>The utilisation analysis report was provided to the pharmaceutical sponsors of each drug and comments on the report were provided to DUSC prior to its consideration of the analysis.</w:t>
      </w:r>
    </w:p>
    <w:p w14:paraId="31EAFC62" w14:textId="77777777" w:rsidR="006B1967" w:rsidRDefault="006B1967" w:rsidP="006B1967">
      <w:pPr>
        <w:pStyle w:val="Heading1"/>
      </w:pPr>
      <w:r>
        <w:t>Sponsor</w:t>
      </w:r>
      <w:r w:rsidRPr="0092516A">
        <w:t>s</w:t>
      </w:r>
      <w:r>
        <w:t>’</w:t>
      </w:r>
      <w:r w:rsidRPr="0092516A">
        <w:t xml:space="preserve"> comments</w:t>
      </w:r>
    </w:p>
    <w:p w14:paraId="67481883" w14:textId="6F7E750F" w:rsidR="00DB153A" w:rsidRDefault="00DB153A" w:rsidP="00DB153A">
      <w:r>
        <w:t>Bristol-Myers Squibb Australia Pty Ltd:</w:t>
      </w:r>
      <w:r w:rsidR="005D44F2">
        <w:t xml:space="preserve"> </w:t>
      </w:r>
      <w:r w:rsidR="005D44F2" w:rsidRPr="00B700FA">
        <w:t xml:space="preserve"> The sponsor has no comment</w:t>
      </w:r>
    </w:p>
    <w:p w14:paraId="53E1537F" w14:textId="67520E2F" w:rsidR="00DB153A" w:rsidRDefault="00DB153A" w:rsidP="00DB153A">
      <w:r>
        <w:t>Merck Sharp &amp; Dohme (Australia) Pty Ltd:</w:t>
      </w:r>
      <w:r w:rsidR="00B700FA" w:rsidRPr="00B700FA">
        <w:t xml:space="preserve"> The sponsor has no comment</w:t>
      </w:r>
    </w:p>
    <w:p w14:paraId="064D1D49" w14:textId="51F71B5B" w:rsidR="00DB153A" w:rsidRDefault="00DB153A" w:rsidP="00DB153A">
      <w:r>
        <w:t>Novartis Pharmaceuticals Australia Pty Limited:</w:t>
      </w:r>
      <w:r w:rsidR="00B700FA" w:rsidRPr="00B700FA">
        <w:t xml:space="preserve"> The sponsor has no comment</w:t>
      </w:r>
    </w:p>
    <w:p w14:paraId="57692D72" w14:textId="0FE15CAF" w:rsidR="00DB153A" w:rsidRDefault="00DB153A" w:rsidP="00DB153A">
      <w:r>
        <w:t>Pierre Fabre Australia Pty Ltd:</w:t>
      </w:r>
      <w:r w:rsidR="00B700FA" w:rsidRPr="00B700FA">
        <w:t xml:space="preserve"> The sponsor has no comment</w:t>
      </w:r>
    </w:p>
    <w:p w14:paraId="79014388" w14:textId="53AD6B42" w:rsidR="00DB153A" w:rsidRDefault="00DB153A" w:rsidP="00DB153A">
      <w:r>
        <w:t>Roche Products Pty Ltd:</w:t>
      </w:r>
      <w:r w:rsidR="00B700FA" w:rsidRPr="00B700FA">
        <w:t xml:space="preserve"> The sponsor has no comment</w:t>
      </w:r>
    </w:p>
    <w:p w14:paraId="519EC38D" w14:textId="3EF899F8" w:rsidR="00DB153A" w:rsidRDefault="00DB153A" w:rsidP="006B1967">
      <w:r>
        <w:t>Servier Laboratories (Aust.) Pty. Ltd.:</w:t>
      </w:r>
      <w:r w:rsidR="00B700FA" w:rsidRPr="00B700FA">
        <w:t xml:space="preserve"> The sponsor has no comment</w:t>
      </w:r>
    </w:p>
    <w:p w14:paraId="3A769371" w14:textId="77777777" w:rsidR="006B1967" w:rsidRDefault="006B1967" w:rsidP="006B1967">
      <w:pPr>
        <w:pStyle w:val="Heading1"/>
      </w:pPr>
      <w:r w:rsidRPr="00A4020E">
        <w:t>Disclaimer</w:t>
      </w:r>
    </w:p>
    <w:p w14:paraId="72032493" w14:textId="77777777" w:rsidR="006B1967" w:rsidRDefault="006B1967" w:rsidP="006B1967">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14:paraId="7D9F0306" w14:textId="77777777" w:rsidR="006B1967" w:rsidRDefault="006B1967" w:rsidP="006B1967">
      <w:r>
        <w:t>The Department of Health and Aged Care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14:paraId="58440579" w14:textId="77777777" w:rsidR="006B1967" w:rsidRDefault="006B1967" w:rsidP="006B1967">
      <w:r>
        <w:lastRenderedPageBreak/>
        <w:t xml:space="preserve">To the extent provided by law, the Department of Health and Aged Care makes no warranties or representations as to accuracy or completeness of information contained in this report. </w:t>
      </w:r>
    </w:p>
    <w:p w14:paraId="4492DC62" w14:textId="77777777" w:rsidR="006B1967" w:rsidRDefault="006B1967" w:rsidP="006B1967">
      <w:r>
        <w:t>To the fullest extent permitted by law, neither the Department of Health and Aged Care nor any Department of Health and Aged Care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14:paraId="36B05525" w14:textId="77777777" w:rsidR="004402AA" w:rsidRDefault="004402AA">
      <w:pPr>
        <w:spacing w:line="276" w:lineRule="auto"/>
        <w:rPr>
          <w:rFonts w:eastAsiaTheme="majorEastAsia" w:cstheme="majorBidi"/>
          <w:b/>
          <w:bCs/>
          <w:sz w:val="32"/>
          <w:szCs w:val="32"/>
        </w:rPr>
      </w:pPr>
      <w:r>
        <w:br w:type="page"/>
      </w:r>
    </w:p>
    <w:bookmarkEnd w:id="3"/>
    <w:p w14:paraId="783B7B2D" w14:textId="756B768F" w:rsidR="002C35BB" w:rsidRDefault="002C35BB" w:rsidP="002C35BB">
      <w:pPr>
        <w:pStyle w:val="Heading1"/>
      </w:pPr>
      <w:r>
        <w:lastRenderedPageBreak/>
        <w:t>Addendum</w:t>
      </w:r>
    </w:p>
    <w:p w14:paraId="255E832D" w14:textId="660E7899" w:rsidR="002C35BB" w:rsidRDefault="002C35BB" w:rsidP="002C35BB">
      <w:r>
        <w:t>The following</w:t>
      </w:r>
      <w:r w:rsidR="0083464F">
        <w:t xml:space="preserve"> additional</w:t>
      </w:r>
      <w:r>
        <w:t xml:space="preserve"> information was requested by the sponsor of nivolumab</w:t>
      </w:r>
      <w:r w:rsidR="00EA01C7">
        <w:t xml:space="preserve">. The secretariat was also able to obtain updated date of death data and a basic analysis was done due to low numbers. </w:t>
      </w:r>
    </w:p>
    <w:p w14:paraId="124ACEC3" w14:textId="5DE10855" w:rsidR="002C35BB" w:rsidRDefault="002C35BB" w:rsidP="002C35BB">
      <w:pPr>
        <w:pStyle w:val="Heading3"/>
      </w:pPr>
      <w:r>
        <w:t>Mean time on treatment</w:t>
      </w:r>
    </w:p>
    <w:p w14:paraId="1D099786" w14:textId="7E55F06A" w:rsidR="002C35BB" w:rsidRDefault="002C35BB" w:rsidP="002C35BB">
      <w:r>
        <w:t xml:space="preserve">Median times on treatment were </w:t>
      </w:r>
      <w:r w:rsidRPr="00B700FA">
        <w:t xml:space="preserve">reported as part of Figures 5 and 6. The mean time on treatment for patients which included treatment breaks was 214 </w:t>
      </w:r>
      <w:r w:rsidRPr="00B700FA">
        <w:rPr>
          <w:rFonts w:cstheme="minorHAnsi"/>
        </w:rPr>
        <w:t xml:space="preserve">± </w:t>
      </w:r>
      <w:r w:rsidRPr="00B700FA">
        <w:t xml:space="preserve">2.7 days. The mean time on treatment without breaks was 204 </w:t>
      </w:r>
      <w:r w:rsidRPr="00B700FA">
        <w:rPr>
          <w:rFonts w:cstheme="minorHAnsi"/>
        </w:rPr>
        <w:t xml:space="preserve">± </w:t>
      </w:r>
      <w:r w:rsidRPr="00B700FA">
        <w:t>2.7 days.</w:t>
      </w:r>
    </w:p>
    <w:p w14:paraId="41F508F8" w14:textId="31454AF3" w:rsidR="004402AA" w:rsidRDefault="004402AA" w:rsidP="004402AA">
      <w:pPr>
        <w:pStyle w:val="Heading3"/>
      </w:pPr>
      <w:r>
        <w:t>Breakdown of monotherapy and combination therapy lines of nivolumab for unresectable melanoma</w:t>
      </w:r>
    </w:p>
    <w:p w14:paraId="4A591CFA" w14:textId="15798AC2" w:rsidR="004402AA" w:rsidRDefault="004402AA" w:rsidP="004402AA">
      <w:r>
        <w:t xml:space="preserve">Nivolumab therapy lines were reported as a group in Figures 12 and 19. The following figures represent nivolumab utilisation and cost by therapy type where streamlined authority numbers were used to distinguish between types. </w:t>
      </w:r>
    </w:p>
    <w:p w14:paraId="0E0A904F" w14:textId="57F537D3" w:rsidR="004402AA" w:rsidRPr="004402AA" w:rsidRDefault="004402AA" w:rsidP="004402AA">
      <w:pPr>
        <w:pStyle w:val="Figuretitle"/>
      </w:pPr>
      <w:r>
        <w:rPr>
          <w:noProof/>
        </w:rPr>
        <w:drawing>
          <wp:inline distT="0" distB="0" distL="0" distR="0" wp14:anchorId="0EC98680" wp14:editId="077C58A7">
            <wp:extent cx="5687695" cy="3941445"/>
            <wp:effectExtent l="0" t="0" r="8255" b="1905"/>
            <wp:docPr id="10" name="Chart 10">
              <a:extLst xmlns:a="http://schemas.openxmlformats.org/drawingml/2006/main">
                <a:ext uri="{FF2B5EF4-FFF2-40B4-BE49-F238E27FC236}">
                  <a16:creationId xmlns:a16="http://schemas.microsoft.com/office/drawing/2014/main" id="{A5ADE7B1-D0D9-43C8-989D-9EBB29D3C1CB}"/>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br/>
        <w:t>Figure 23: Nivolumab utilisation by therapy type (monotherapy or combination with ipilimumab) in unresectable melanoma.</w:t>
      </w:r>
    </w:p>
    <w:p w14:paraId="3EC7E88C" w14:textId="77777777" w:rsidR="002C35BB" w:rsidRPr="002C35BB" w:rsidRDefault="002C35BB" w:rsidP="002C35BB"/>
    <w:p w14:paraId="4FB2B125" w14:textId="77777777" w:rsidR="002C35BB" w:rsidRPr="002835C1" w:rsidRDefault="002C35BB" w:rsidP="00436170"/>
    <w:p w14:paraId="6DDB29D2" w14:textId="5E6C4FB8" w:rsidR="00EA01C7" w:rsidRDefault="004402AA" w:rsidP="004402AA">
      <w:pPr>
        <w:pStyle w:val="Figuretitle"/>
      </w:pPr>
      <w:r>
        <w:rPr>
          <w:noProof/>
        </w:rPr>
        <w:lastRenderedPageBreak/>
        <w:drawing>
          <wp:inline distT="0" distB="0" distL="0" distR="0" wp14:anchorId="6811329E" wp14:editId="4861B909">
            <wp:extent cx="5687695" cy="3523615"/>
            <wp:effectExtent l="0" t="0" r="8255" b="635"/>
            <wp:docPr id="11" name="Chart 11">
              <a:extLst xmlns:a="http://schemas.openxmlformats.org/drawingml/2006/main">
                <a:ext uri="{FF2B5EF4-FFF2-40B4-BE49-F238E27FC236}">
                  <a16:creationId xmlns:a16="http://schemas.microsoft.com/office/drawing/2014/main" id="{204C3269-7FA8-4460-881B-95A308C4716F}"/>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r>
        <w:br/>
        <w:t>Figure 24: Nivolumab cost to PBS/RPBS by therapy type (monotherapy or combination with ipilimumab) in unresectable melanoma.</w:t>
      </w:r>
    </w:p>
    <w:p w14:paraId="0609EDEB" w14:textId="77777777" w:rsidR="00A01346" w:rsidRPr="006566F1" w:rsidRDefault="00A01346" w:rsidP="00A01346">
      <w:pPr>
        <w:rPr>
          <w:sz w:val="20"/>
          <w:szCs w:val="20"/>
        </w:rPr>
      </w:pPr>
      <w:r w:rsidRPr="006566F1">
        <w:rPr>
          <w:sz w:val="20"/>
          <w:szCs w:val="20"/>
        </w:rPr>
        <w:t xml:space="preserve">Note: Expenditure figures based </w:t>
      </w:r>
      <w:r w:rsidRPr="005D44F2">
        <w:rPr>
          <w:sz w:val="20"/>
          <w:szCs w:val="20"/>
        </w:rPr>
        <w:t>on published prices</w:t>
      </w:r>
      <w:r w:rsidRPr="006566F1">
        <w:rPr>
          <w:sz w:val="20"/>
          <w:szCs w:val="20"/>
        </w:rPr>
        <w:t xml:space="preserve">. </w:t>
      </w:r>
    </w:p>
    <w:p w14:paraId="3533CD5A" w14:textId="77777777" w:rsidR="00EA01C7" w:rsidRPr="00A01346" w:rsidRDefault="00EA01C7" w:rsidP="00046B36"/>
    <w:p w14:paraId="34E9B52D" w14:textId="77777777" w:rsidR="00EA01C7" w:rsidRDefault="00EA01C7" w:rsidP="00EA01C7">
      <w:pPr>
        <w:pStyle w:val="Heading3"/>
      </w:pPr>
      <w:r>
        <w:t>Updated date of death data</w:t>
      </w:r>
    </w:p>
    <w:p w14:paraId="0EE9B617" w14:textId="658A4F3B" w:rsidR="00920AAC" w:rsidRDefault="00EA01C7" w:rsidP="00EA01C7">
      <w:r>
        <w:t xml:space="preserve">Recent date of death data was obtained by the secretariat from Services Australia and indicated until approximately </w:t>
      </w:r>
      <w:r w:rsidRPr="00B700FA">
        <w:t>August 2022. The data shows that of the total 2,214 patients prescribed adjuvant nivolumab approximately 1</w:t>
      </w:r>
      <w:r w:rsidR="000F6B68" w:rsidRPr="00B700FA">
        <w:t>47</w:t>
      </w:r>
      <w:r w:rsidRPr="00B700FA">
        <w:t xml:space="preserve"> </w:t>
      </w:r>
      <w:r w:rsidR="00194EB8">
        <w:t>were</w:t>
      </w:r>
      <w:r w:rsidRPr="00B700FA">
        <w:t xml:space="preserve"> reported as deceased. The </w:t>
      </w:r>
      <w:r w:rsidR="0039599B" w:rsidRPr="00B700FA">
        <w:t xml:space="preserve">distribution of </w:t>
      </w:r>
      <w:r w:rsidRPr="00B700FA">
        <w:t xml:space="preserve">time between last supply of </w:t>
      </w:r>
      <w:r w:rsidR="0039599B" w:rsidRPr="00B700FA">
        <w:t>adjuvant nivolumab</w:t>
      </w:r>
      <w:r w:rsidRPr="00B700FA">
        <w:t xml:space="preserve"> </w:t>
      </w:r>
      <w:r w:rsidR="0039599B" w:rsidRPr="00B700FA">
        <w:t>and reported date of death can be seen in Figure 25</w:t>
      </w:r>
      <w:r w:rsidR="0083464F" w:rsidRPr="00B700FA">
        <w:t xml:space="preserve"> where the median time was 8 months.</w:t>
      </w:r>
      <w:r w:rsidR="0083464F">
        <w:t xml:space="preserve"> </w:t>
      </w:r>
    </w:p>
    <w:p w14:paraId="6A5AF5AA" w14:textId="77777777" w:rsidR="00CF47A5" w:rsidRDefault="00CF47A5" w:rsidP="0039599B">
      <w:pPr>
        <w:pStyle w:val="Figuretitle"/>
        <w:rPr>
          <w:noProof/>
        </w:rPr>
      </w:pPr>
    </w:p>
    <w:p w14:paraId="4202D71C" w14:textId="60777ADA" w:rsidR="0039599B" w:rsidRPr="00EA01C7" w:rsidRDefault="0039599B" w:rsidP="0039599B">
      <w:pPr>
        <w:pStyle w:val="Figuretitle"/>
      </w:pPr>
      <w:r>
        <w:rPr>
          <w:noProof/>
        </w:rPr>
        <w:lastRenderedPageBreak/>
        <w:drawing>
          <wp:inline distT="0" distB="0" distL="0" distR="0" wp14:anchorId="6C50833F" wp14:editId="2B083B36">
            <wp:extent cx="5687599" cy="4631295"/>
            <wp:effectExtent l="0" t="0" r="8890" b="0"/>
            <wp:docPr id="13" name="Picture 13"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hart&#10;&#10;Description automatically generated with medium confidence"/>
                    <pic:cNvPicPr/>
                  </pic:nvPicPr>
                  <pic:blipFill rotWithShape="1">
                    <a:blip r:embed="rId44"/>
                    <a:srcRect t="4160" b="5696"/>
                    <a:stretch/>
                  </pic:blipFill>
                  <pic:spPr bwMode="auto">
                    <a:xfrm>
                      <a:off x="0" y="0"/>
                      <a:ext cx="5687695" cy="4631373"/>
                    </a:xfrm>
                    <a:prstGeom prst="rect">
                      <a:avLst/>
                    </a:prstGeom>
                    <a:ln>
                      <a:noFill/>
                    </a:ln>
                    <a:extLst>
                      <a:ext uri="{53640926-AAD7-44D8-BBD7-CCE9431645EC}">
                        <a14:shadowObscured xmlns:a14="http://schemas.microsoft.com/office/drawing/2010/main"/>
                      </a:ext>
                    </a:extLst>
                  </pic:spPr>
                </pic:pic>
              </a:graphicData>
            </a:graphic>
          </wp:inline>
        </w:drawing>
      </w:r>
      <w:r w:rsidR="00CF47A5">
        <w:br/>
        <w:t xml:space="preserve">Figure 25: Distribution of months since last treatment of adjuvant nivolumab and reported date of death. </w:t>
      </w:r>
      <w:r>
        <w:br/>
      </w:r>
    </w:p>
    <w:p w14:paraId="3A356C64" w14:textId="77777777" w:rsidR="00CF47A5" w:rsidRDefault="00CF47A5">
      <w:pPr>
        <w:spacing w:line="276" w:lineRule="auto"/>
        <w:rPr>
          <w:rFonts w:eastAsiaTheme="majorEastAsia" w:cstheme="majorBidi"/>
          <w:b/>
          <w:bCs/>
          <w:sz w:val="32"/>
          <w:szCs w:val="32"/>
        </w:rPr>
      </w:pPr>
      <w:r>
        <w:br w:type="page"/>
      </w:r>
    </w:p>
    <w:p w14:paraId="0F4002D7" w14:textId="62B0F860" w:rsidR="003E3AE3" w:rsidRDefault="00FB25F1" w:rsidP="003E3AE3">
      <w:pPr>
        <w:pStyle w:val="Heading1"/>
      </w:pPr>
      <w:r>
        <w:lastRenderedPageBreak/>
        <w:t>References</w:t>
      </w:r>
    </w:p>
    <w:p w14:paraId="5B4867B2" w14:textId="6442DFB2" w:rsidR="00FB25F1" w:rsidRDefault="00FB25F1" w:rsidP="00FB25F1">
      <w:pPr>
        <w:pStyle w:val="ListParagraph"/>
        <w:numPr>
          <w:ilvl w:val="0"/>
          <w:numId w:val="4"/>
        </w:numPr>
      </w:pPr>
      <w:r w:rsidRPr="000318C7">
        <w:t xml:space="preserve">Coricovac D, Dehelean C, Moaca E-A, Pinzaru I, Bratu T, Navolan D, Boruga O. Cutaneous Melanoma—A Long Road from Experimental Models to Clinical Outcome: A Review. International Journal of Molecular Sciences. 2018; 19(6):1566. </w:t>
      </w:r>
      <w:hyperlink r:id="rId45" w:history="1">
        <w:r w:rsidRPr="00FB25F1">
          <w:rPr>
            <w:rStyle w:val="Hyperlink"/>
            <w:szCs w:val="18"/>
          </w:rPr>
          <w:t>https://doi.org/10.3390/ijms19061566</w:t>
        </w:r>
      </w:hyperlink>
    </w:p>
    <w:p w14:paraId="03BF10E7" w14:textId="14CF0015" w:rsidR="00FB25F1" w:rsidRDefault="00FB25F1" w:rsidP="00FB25F1">
      <w:pPr>
        <w:pStyle w:val="ListParagraph"/>
        <w:numPr>
          <w:ilvl w:val="0"/>
          <w:numId w:val="4"/>
        </w:numPr>
      </w:pPr>
      <w:r w:rsidRPr="00BA308F">
        <w:t xml:space="preserve">Cancer Australia. (2019, December 18). Melanoma of the skin statistics. statistics | Cancer Australia. Retrieved August 5, 2022, from </w:t>
      </w:r>
      <w:hyperlink r:id="rId46" w:history="1">
        <w:r w:rsidRPr="00FB25F1">
          <w:rPr>
            <w:rStyle w:val="Hyperlink"/>
            <w:szCs w:val="18"/>
          </w:rPr>
          <w:t>https://www.canceraustralia.gov.au/cancer-types/melanoma/statistics</w:t>
        </w:r>
      </w:hyperlink>
    </w:p>
    <w:p w14:paraId="53F81D59" w14:textId="36EC92C6" w:rsidR="00FB25F1" w:rsidRDefault="00FB25F1" w:rsidP="00FB25F1">
      <w:pPr>
        <w:pStyle w:val="ListParagraph"/>
        <w:numPr>
          <w:ilvl w:val="0"/>
          <w:numId w:val="4"/>
        </w:numPr>
      </w:pPr>
      <w:r w:rsidRPr="00FB25F1">
        <w:t xml:space="preserve">Michielin, O., van Akkooi, A., Lorigan, P., Ascierto, P. A., Dummer, R., Robert, C., Arance, A., Blank, C. U., Chiarion Sileni, V., Donia, M., Faries, M. B., Gaudy-Marqueste, C., Gogas, H., Grob, J. J., Guckenberger, M., Haanen, J., Hayes, A. J., Hoeller, C., Lebbé, C.,Keilholz, U. (2020). ESMO consensus conference recommendations on the management of locoregional melanoma: Under the auspices of the ESMO Guidelines Committee. Annals of Oncology, 31(11), 1449–1461. </w:t>
      </w:r>
      <w:hyperlink r:id="rId47" w:history="1">
        <w:r w:rsidR="00530A7F" w:rsidRPr="00305849">
          <w:rPr>
            <w:rStyle w:val="Hyperlink"/>
          </w:rPr>
          <w:t>https://doi.org/10.1016/j.annonc.2020.07.005</w:t>
        </w:r>
      </w:hyperlink>
    </w:p>
    <w:p w14:paraId="1770BE7C" w14:textId="4591AF0E" w:rsidR="00FB25F1" w:rsidRDefault="00530A7F" w:rsidP="00EE4ED5">
      <w:pPr>
        <w:pStyle w:val="ListParagraph"/>
        <w:numPr>
          <w:ilvl w:val="0"/>
          <w:numId w:val="4"/>
        </w:numPr>
      </w:pPr>
      <w:r w:rsidRPr="00530A7F">
        <w:t xml:space="preserve">Keilholz, U., Ascierto, P. A., Dummer, R., Robert, C., Lorigan, P., van Akkooi, A., Arance, A., Blank, C. U., Chiarion Sileni, V., Donia, M., Faries, M. B., Gaudy-Marqueste, C., Gogas, H., Grob, J. J., Guckenberger, M., Haanen, J., Hayes, A. J., Hoeller, C., Lebbé, C., … Michielin, O. (2020). ESMO consensus conference recommendations on the management of metastatic melanoma: Under the auspices of the ESMO Guidelines Committee. Annals of Oncology, 31(11), 1435–1448. </w:t>
      </w:r>
      <w:hyperlink r:id="rId48" w:history="1">
        <w:r w:rsidR="00C9479F" w:rsidRPr="0064275E">
          <w:rPr>
            <w:rStyle w:val="Hyperlink"/>
          </w:rPr>
          <w:t>https://doi.org/10.1016/j.annonc.2020.07.004</w:t>
        </w:r>
      </w:hyperlink>
    </w:p>
    <w:p w14:paraId="339A916D" w14:textId="61F24965" w:rsidR="00C9479F" w:rsidRPr="00FB25F1" w:rsidRDefault="00C9479F" w:rsidP="00EE4ED5">
      <w:pPr>
        <w:pStyle w:val="ListParagraph"/>
        <w:numPr>
          <w:ilvl w:val="0"/>
          <w:numId w:val="4"/>
        </w:numPr>
      </w:pPr>
      <w:r w:rsidRPr="00C9479F">
        <w:t>Cramb, S., Duncan, E., Aitken, J., Soyer, H., Mengersen, K., &amp; Baade, P. (2020). Geographical patterns in melanoma incidence across Australia: can thickness differentials reveal the key drivers?. Annals Of Cancer Epidemiology, 4. doi:10.21037/ace-20-13</w:t>
      </w:r>
    </w:p>
    <w:p w14:paraId="25D65B04" w14:textId="15E1F335" w:rsidR="00FE645A" w:rsidRDefault="00900EC7" w:rsidP="000318C7">
      <w:pPr>
        <w:spacing w:line="276" w:lineRule="auto"/>
      </w:pPr>
      <w:r>
        <w:fldChar w:fldCharType="begin"/>
      </w:r>
      <w:r>
        <w:instrText xml:space="preserve"> ADDIN EN.REFLIST </w:instrText>
      </w:r>
      <w:r>
        <w:fldChar w:fldCharType="end"/>
      </w:r>
    </w:p>
    <w:sectPr w:rsidR="00FE645A" w:rsidSect="00DD188C">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E9159" w14:textId="77777777" w:rsidR="001A29FB" w:rsidRDefault="001A29FB" w:rsidP="00A35800">
      <w:r>
        <w:separator/>
      </w:r>
    </w:p>
  </w:endnote>
  <w:endnote w:type="continuationSeparator" w:id="0">
    <w:p w14:paraId="79A20BDB" w14:textId="77777777" w:rsidR="001A29FB" w:rsidRDefault="001A29FB"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9D5E5" w14:textId="77777777" w:rsidR="00633F9D" w:rsidRDefault="00633F9D"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D9F9A1E" w14:textId="77777777" w:rsidR="00633F9D" w:rsidRDefault="00633F9D"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14:paraId="30682B98" w14:textId="15D06950" w:rsidR="00633F9D" w:rsidRPr="000E72C6" w:rsidRDefault="00F929C1" w:rsidP="000E72C6">
            <w:pPr>
              <w:pStyle w:val="Footer"/>
              <w:jc w:val="center"/>
              <w:rPr>
                <w:i/>
                <w:sz w:val="20"/>
              </w:rPr>
            </w:pPr>
            <w:r>
              <w:rPr>
                <w:i/>
                <w:sz w:val="20"/>
              </w:rPr>
              <w:t>Public Release Document, September 2022 DUSC Meeting</w:t>
            </w:r>
          </w:p>
          <w:p w14:paraId="10292A9A" w14:textId="7D864046" w:rsidR="00633F9D" w:rsidRDefault="00633F9D"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Pr>
                <w:bCs/>
                <w:i/>
                <w:noProof/>
                <w:sz w:val="20"/>
              </w:rPr>
              <w:t>4</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Pr>
                <w:bCs/>
                <w:i/>
                <w:noProof/>
                <w:sz w:val="20"/>
              </w:rPr>
              <w:t>13</w:t>
            </w:r>
            <w:r w:rsidRPr="00DD188C">
              <w:rPr>
                <w:bCs/>
                <w:i/>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22E1F" w14:textId="77777777" w:rsidR="00633F9D" w:rsidRDefault="00633F9D" w:rsidP="007A5733">
    <w:pPr>
      <w:pStyle w:val="Footer"/>
      <w:jc w:val="center"/>
      <w:rPr>
        <w:rStyle w:val="PageNumber"/>
      </w:rPr>
    </w:pPr>
    <w:r>
      <w:rPr>
        <w:rStyle w:val="PageNumber"/>
      </w:rPr>
      <w:t>Committee-in-Confidence</w:t>
    </w:r>
  </w:p>
  <w:p w14:paraId="3CE6880B" w14:textId="77777777" w:rsidR="00633F9D" w:rsidRDefault="00633F9D" w:rsidP="007A573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4EC2F" w14:textId="77777777" w:rsidR="001A29FB" w:rsidRDefault="001A29FB" w:rsidP="00A35800">
      <w:r>
        <w:separator/>
      </w:r>
    </w:p>
  </w:footnote>
  <w:footnote w:type="continuationSeparator" w:id="0">
    <w:p w14:paraId="44D61656" w14:textId="77777777" w:rsidR="001A29FB" w:rsidRDefault="001A29FB" w:rsidP="00A358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6B4F"/>
    <w:multiLevelType w:val="hybridMultilevel"/>
    <w:tmpl w:val="88048240"/>
    <w:lvl w:ilvl="0" w:tplc="0C090001">
      <w:start w:val="1"/>
      <w:numFmt w:val="bullet"/>
      <w:lvlText w:val=""/>
      <w:lvlJc w:val="left"/>
      <w:pPr>
        <w:ind w:left="1680" w:hanging="360"/>
      </w:pPr>
      <w:rPr>
        <w:rFonts w:ascii="Symbol" w:hAnsi="Symbol" w:hint="default"/>
      </w:rPr>
    </w:lvl>
    <w:lvl w:ilvl="1" w:tplc="51BE3E82">
      <w:start w:val="500"/>
      <w:numFmt w:val="bullet"/>
      <w:lvlText w:val=""/>
      <w:lvlJc w:val="left"/>
      <w:pPr>
        <w:ind w:left="2400" w:hanging="360"/>
      </w:pPr>
      <w:rPr>
        <w:rFonts w:ascii="Wingdings" w:eastAsia="Times New Roman" w:hAnsi="Wingdings" w:cstheme="minorHAnsi" w:hint="default"/>
      </w:rPr>
    </w:lvl>
    <w:lvl w:ilvl="2" w:tplc="0C090005" w:tentative="1">
      <w:start w:val="1"/>
      <w:numFmt w:val="bullet"/>
      <w:lvlText w:val=""/>
      <w:lvlJc w:val="left"/>
      <w:pPr>
        <w:ind w:left="3120" w:hanging="360"/>
      </w:pPr>
      <w:rPr>
        <w:rFonts w:ascii="Wingdings" w:hAnsi="Wingdings" w:hint="default"/>
      </w:rPr>
    </w:lvl>
    <w:lvl w:ilvl="3" w:tplc="0C090001" w:tentative="1">
      <w:start w:val="1"/>
      <w:numFmt w:val="bullet"/>
      <w:lvlText w:val=""/>
      <w:lvlJc w:val="left"/>
      <w:pPr>
        <w:ind w:left="3840" w:hanging="360"/>
      </w:pPr>
      <w:rPr>
        <w:rFonts w:ascii="Symbol" w:hAnsi="Symbol" w:hint="default"/>
      </w:rPr>
    </w:lvl>
    <w:lvl w:ilvl="4" w:tplc="0C090003" w:tentative="1">
      <w:start w:val="1"/>
      <w:numFmt w:val="bullet"/>
      <w:lvlText w:val="o"/>
      <w:lvlJc w:val="left"/>
      <w:pPr>
        <w:ind w:left="4560" w:hanging="360"/>
      </w:pPr>
      <w:rPr>
        <w:rFonts w:ascii="Courier New" w:hAnsi="Courier New" w:cs="Courier New" w:hint="default"/>
      </w:rPr>
    </w:lvl>
    <w:lvl w:ilvl="5" w:tplc="0C090005" w:tentative="1">
      <w:start w:val="1"/>
      <w:numFmt w:val="bullet"/>
      <w:lvlText w:val=""/>
      <w:lvlJc w:val="left"/>
      <w:pPr>
        <w:ind w:left="5280" w:hanging="360"/>
      </w:pPr>
      <w:rPr>
        <w:rFonts w:ascii="Wingdings" w:hAnsi="Wingdings" w:hint="default"/>
      </w:rPr>
    </w:lvl>
    <w:lvl w:ilvl="6" w:tplc="0C090001" w:tentative="1">
      <w:start w:val="1"/>
      <w:numFmt w:val="bullet"/>
      <w:lvlText w:val=""/>
      <w:lvlJc w:val="left"/>
      <w:pPr>
        <w:ind w:left="6000" w:hanging="360"/>
      </w:pPr>
      <w:rPr>
        <w:rFonts w:ascii="Symbol" w:hAnsi="Symbol" w:hint="default"/>
      </w:rPr>
    </w:lvl>
    <w:lvl w:ilvl="7" w:tplc="0C090003" w:tentative="1">
      <w:start w:val="1"/>
      <w:numFmt w:val="bullet"/>
      <w:lvlText w:val="o"/>
      <w:lvlJc w:val="left"/>
      <w:pPr>
        <w:ind w:left="6720" w:hanging="360"/>
      </w:pPr>
      <w:rPr>
        <w:rFonts w:ascii="Courier New" w:hAnsi="Courier New" w:cs="Courier New" w:hint="default"/>
      </w:rPr>
    </w:lvl>
    <w:lvl w:ilvl="8" w:tplc="0C090005" w:tentative="1">
      <w:start w:val="1"/>
      <w:numFmt w:val="bullet"/>
      <w:lvlText w:val=""/>
      <w:lvlJc w:val="left"/>
      <w:pPr>
        <w:ind w:left="7440" w:hanging="360"/>
      </w:pPr>
      <w:rPr>
        <w:rFonts w:ascii="Wingdings" w:hAnsi="Wingdings" w:hint="default"/>
      </w:rPr>
    </w:lvl>
  </w:abstractNum>
  <w:abstractNum w:abstractNumId="1" w15:restartNumberingAfterBreak="0">
    <w:nsid w:val="01507C56"/>
    <w:multiLevelType w:val="hybridMultilevel"/>
    <w:tmpl w:val="632CF378"/>
    <w:lvl w:ilvl="0" w:tplc="50122644">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DD0644"/>
    <w:multiLevelType w:val="hybridMultilevel"/>
    <w:tmpl w:val="190E8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DA7B3F"/>
    <w:multiLevelType w:val="multilevel"/>
    <w:tmpl w:val="D0A27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0825B2"/>
    <w:multiLevelType w:val="multilevel"/>
    <w:tmpl w:val="C414B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D8216D"/>
    <w:multiLevelType w:val="hybridMultilevel"/>
    <w:tmpl w:val="153AAE52"/>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7" w15:restartNumberingAfterBreak="0">
    <w:nsid w:val="31EF5778"/>
    <w:multiLevelType w:val="hybridMultilevel"/>
    <w:tmpl w:val="C95A186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32274203"/>
    <w:multiLevelType w:val="hybridMultilevel"/>
    <w:tmpl w:val="4F8AB710"/>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9" w15:restartNumberingAfterBreak="0">
    <w:nsid w:val="398D10B1"/>
    <w:multiLevelType w:val="hybridMultilevel"/>
    <w:tmpl w:val="0554C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CD44653"/>
    <w:multiLevelType w:val="hybridMultilevel"/>
    <w:tmpl w:val="242CF38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1" w15:restartNumberingAfterBreak="0">
    <w:nsid w:val="4EEE397E"/>
    <w:multiLevelType w:val="hybridMultilevel"/>
    <w:tmpl w:val="B010C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5C51D8"/>
    <w:multiLevelType w:val="hybridMultilevel"/>
    <w:tmpl w:val="3458A264"/>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3" w15:restartNumberingAfterBreak="0">
    <w:nsid w:val="574117D3"/>
    <w:multiLevelType w:val="hybridMultilevel"/>
    <w:tmpl w:val="48765860"/>
    <w:lvl w:ilvl="0" w:tplc="50122644">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6228754F"/>
    <w:multiLevelType w:val="multilevel"/>
    <w:tmpl w:val="2CC84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48B52F2"/>
    <w:multiLevelType w:val="hybridMultilevel"/>
    <w:tmpl w:val="B928C0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6"/>
  </w:num>
  <w:num w:numId="2">
    <w:abstractNumId w:val="14"/>
  </w:num>
  <w:num w:numId="3">
    <w:abstractNumId w:val="5"/>
  </w:num>
  <w:num w:numId="4">
    <w:abstractNumId w:val="17"/>
  </w:num>
  <w:num w:numId="5">
    <w:abstractNumId w:val="9"/>
  </w:num>
  <w:num w:numId="6">
    <w:abstractNumId w:val="11"/>
  </w:num>
  <w:num w:numId="7">
    <w:abstractNumId w:val="13"/>
  </w:num>
  <w:num w:numId="8">
    <w:abstractNumId w:val="1"/>
  </w:num>
  <w:num w:numId="9">
    <w:abstractNumId w:val="2"/>
  </w:num>
  <w:num w:numId="10">
    <w:abstractNumId w:val="6"/>
  </w:num>
  <w:num w:numId="11">
    <w:abstractNumId w:val="8"/>
  </w:num>
  <w:num w:numId="12">
    <w:abstractNumId w:val="10"/>
  </w:num>
  <w:num w:numId="13">
    <w:abstractNumId w:val="7"/>
  </w:num>
  <w:num w:numId="14">
    <w:abstractNumId w:val="12"/>
  </w:num>
  <w:num w:numId="15">
    <w:abstractNumId w:val="3"/>
  </w:num>
  <w:num w:numId="16">
    <w:abstractNumId w:val="4"/>
  </w:num>
  <w:num w:numId="17">
    <w:abstractNumId w:val="1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vrsa2taax55she9vrlx9remtxrx9wvft0rv&quot;&gt;My EndNote Library&lt;record-ids&gt;&lt;item&gt;1&lt;/item&gt;&lt;/record-ids&gt;&lt;/item&gt;&lt;/Libraries&gt;"/>
  </w:docVars>
  <w:rsids>
    <w:rsidRoot w:val="00736041"/>
    <w:rsid w:val="00003078"/>
    <w:rsid w:val="00006E04"/>
    <w:rsid w:val="00007E85"/>
    <w:rsid w:val="00013465"/>
    <w:rsid w:val="00014430"/>
    <w:rsid w:val="000226B3"/>
    <w:rsid w:val="00024549"/>
    <w:rsid w:val="000318C7"/>
    <w:rsid w:val="00041DD3"/>
    <w:rsid w:val="00046B36"/>
    <w:rsid w:val="00046CFA"/>
    <w:rsid w:val="000544B6"/>
    <w:rsid w:val="000604AF"/>
    <w:rsid w:val="0006098F"/>
    <w:rsid w:val="000644BE"/>
    <w:rsid w:val="00071E2A"/>
    <w:rsid w:val="00071F7A"/>
    <w:rsid w:val="00083B70"/>
    <w:rsid w:val="00086C11"/>
    <w:rsid w:val="00094DCF"/>
    <w:rsid w:val="000A6CFD"/>
    <w:rsid w:val="000B0982"/>
    <w:rsid w:val="000B6B1E"/>
    <w:rsid w:val="000B759C"/>
    <w:rsid w:val="000B796C"/>
    <w:rsid w:val="000C397D"/>
    <w:rsid w:val="000C46BB"/>
    <w:rsid w:val="000C4D9D"/>
    <w:rsid w:val="000C7C4B"/>
    <w:rsid w:val="000C7D8B"/>
    <w:rsid w:val="000E321E"/>
    <w:rsid w:val="000E485D"/>
    <w:rsid w:val="000E72C6"/>
    <w:rsid w:val="000F1893"/>
    <w:rsid w:val="000F2F51"/>
    <w:rsid w:val="000F6185"/>
    <w:rsid w:val="000F6B68"/>
    <w:rsid w:val="001027DE"/>
    <w:rsid w:val="001073C7"/>
    <w:rsid w:val="00112CF7"/>
    <w:rsid w:val="00113CF8"/>
    <w:rsid w:val="00113D74"/>
    <w:rsid w:val="00117C5C"/>
    <w:rsid w:val="00127C75"/>
    <w:rsid w:val="001310AE"/>
    <w:rsid w:val="001420B3"/>
    <w:rsid w:val="001460C4"/>
    <w:rsid w:val="00146EC7"/>
    <w:rsid w:val="00155D72"/>
    <w:rsid w:val="0015691C"/>
    <w:rsid w:val="001621F7"/>
    <w:rsid w:val="001624D7"/>
    <w:rsid w:val="00164A62"/>
    <w:rsid w:val="00167480"/>
    <w:rsid w:val="0017002C"/>
    <w:rsid w:val="00177B86"/>
    <w:rsid w:val="00182585"/>
    <w:rsid w:val="001840D3"/>
    <w:rsid w:val="00191182"/>
    <w:rsid w:val="00194EB8"/>
    <w:rsid w:val="0019664D"/>
    <w:rsid w:val="001A29FB"/>
    <w:rsid w:val="001A6103"/>
    <w:rsid w:val="001B5396"/>
    <w:rsid w:val="001B5D37"/>
    <w:rsid w:val="001B6B46"/>
    <w:rsid w:val="001B7740"/>
    <w:rsid w:val="001C2940"/>
    <w:rsid w:val="001C4016"/>
    <w:rsid w:val="001C548D"/>
    <w:rsid w:val="001C6A5D"/>
    <w:rsid w:val="001D3405"/>
    <w:rsid w:val="001E2263"/>
    <w:rsid w:val="001E31A6"/>
    <w:rsid w:val="001E42C7"/>
    <w:rsid w:val="001E4CAB"/>
    <w:rsid w:val="001F0A4E"/>
    <w:rsid w:val="001F2F3E"/>
    <w:rsid w:val="001F4906"/>
    <w:rsid w:val="001F7C4A"/>
    <w:rsid w:val="0020148B"/>
    <w:rsid w:val="002040E8"/>
    <w:rsid w:val="0020578A"/>
    <w:rsid w:val="00206263"/>
    <w:rsid w:val="00207631"/>
    <w:rsid w:val="00214013"/>
    <w:rsid w:val="00220FC1"/>
    <w:rsid w:val="00222E9A"/>
    <w:rsid w:val="00223B3D"/>
    <w:rsid w:val="0023179D"/>
    <w:rsid w:val="0025389D"/>
    <w:rsid w:val="00254E02"/>
    <w:rsid w:val="00260299"/>
    <w:rsid w:val="002610E9"/>
    <w:rsid w:val="0026265F"/>
    <w:rsid w:val="002818C2"/>
    <w:rsid w:val="002833A3"/>
    <w:rsid w:val="00286C3A"/>
    <w:rsid w:val="002911AD"/>
    <w:rsid w:val="0029231C"/>
    <w:rsid w:val="002930F5"/>
    <w:rsid w:val="002A06B7"/>
    <w:rsid w:val="002A1061"/>
    <w:rsid w:val="002A27CB"/>
    <w:rsid w:val="002B031D"/>
    <w:rsid w:val="002C2F51"/>
    <w:rsid w:val="002C35BB"/>
    <w:rsid w:val="002C6E0C"/>
    <w:rsid w:val="002D144A"/>
    <w:rsid w:val="002D36D5"/>
    <w:rsid w:val="002D4C66"/>
    <w:rsid w:val="002E19A3"/>
    <w:rsid w:val="002E212B"/>
    <w:rsid w:val="002E3337"/>
    <w:rsid w:val="002E517C"/>
    <w:rsid w:val="002E6533"/>
    <w:rsid w:val="002E6D03"/>
    <w:rsid w:val="002F05F4"/>
    <w:rsid w:val="002F403D"/>
    <w:rsid w:val="002F49A8"/>
    <w:rsid w:val="002F5E66"/>
    <w:rsid w:val="002F61CA"/>
    <w:rsid w:val="0030010D"/>
    <w:rsid w:val="00316B73"/>
    <w:rsid w:val="0033504C"/>
    <w:rsid w:val="00335DBE"/>
    <w:rsid w:val="00336816"/>
    <w:rsid w:val="003370D0"/>
    <w:rsid w:val="00337355"/>
    <w:rsid w:val="003402E4"/>
    <w:rsid w:val="00340F95"/>
    <w:rsid w:val="00340FE3"/>
    <w:rsid w:val="003450B7"/>
    <w:rsid w:val="003531ED"/>
    <w:rsid w:val="00360B9A"/>
    <w:rsid w:val="00383A36"/>
    <w:rsid w:val="0039017F"/>
    <w:rsid w:val="00394AEE"/>
    <w:rsid w:val="0039599B"/>
    <w:rsid w:val="0039737D"/>
    <w:rsid w:val="003C2CCE"/>
    <w:rsid w:val="003C2D98"/>
    <w:rsid w:val="003D3A96"/>
    <w:rsid w:val="003D3B9C"/>
    <w:rsid w:val="003E3AE3"/>
    <w:rsid w:val="003F10FE"/>
    <w:rsid w:val="00404F03"/>
    <w:rsid w:val="00412051"/>
    <w:rsid w:val="0041567F"/>
    <w:rsid w:val="00422BE6"/>
    <w:rsid w:val="00423B94"/>
    <w:rsid w:val="00435459"/>
    <w:rsid w:val="00436170"/>
    <w:rsid w:val="004402AA"/>
    <w:rsid w:val="00460025"/>
    <w:rsid w:val="00463731"/>
    <w:rsid w:val="0046400A"/>
    <w:rsid w:val="00467B25"/>
    <w:rsid w:val="00481108"/>
    <w:rsid w:val="0049042B"/>
    <w:rsid w:val="00495473"/>
    <w:rsid w:val="004A458E"/>
    <w:rsid w:val="004B135D"/>
    <w:rsid w:val="004B23E7"/>
    <w:rsid w:val="004B306F"/>
    <w:rsid w:val="004B62EF"/>
    <w:rsid w:val="004C3186"/>
    <w:rsid w:val="004C5042"/>
    <w:rsid w:val="004D491A"/>
    <w:rsid w:val="004D7DA5"/>
    <w:rsid w:val="004E4422"/>
    <w:rsid w:val="004E6F82"/>
    <w:rsid w:val="004E7BC1"/>
    <w:rsid w:val="004F52FE"/>
    <w:rsid w:val="005004B7"/>
    <w:rsid w:val="00503998"/>
    <w:rsid w:val="0050623B"/>
    <w:rsid w:val="0052124D"/>
    <w:rsid w:val="00521C7C"/>
    <w:rsid w:val="00523181"/>
    <w:rsid w:val="00524D13"/>
    <w:rsid w:val="00530A7F"/>
    <w:rsid w:val="005339F6"/>
    <w:rsid w:val="00535469"/>
    <w:rsid w:val="0056162F"/>
    <w:rsid w:val="00561E35"/>
    <w:rsid w:val="005620F2"/>
    <w:rsid w:val="00576B18"/>
    <w:rsid w:val="005815EA"/>
    <w:rsid w:val="005839E4"/>
    <w:rsid w:val="00585258"/>
    <w:rsid w:val="00586F09"/>
    <w:rsid w:val="00587724"/>
    <w:rsid w:val="00591512"/>
    <w:rsid w:val="005A4A4D"/>
    <w:rsid w:val="005B2D91"/>
    <w:rsid w:val="005B37E5"/>
    <w:rsid w:val="005B48B4"/>
    <w:rsid w:val="005C6661"/>
    <w:rsid w:val="005C6E3B"/>
    <w:rsid w:val="005D44F2"/>
    <w:rsid w:val="005D474B"/>
    <w:rsid w:val="005E085C"/>
    <w:rsid w:val="005E147D"/>
    <w:rsid w:val="005E22C2"/>
    <w:rsid w:val="005E57BB"/>
    <w:rsid w:val="005F0011"/>
    <w:rsid w:val="005F0017"/>
    <w:rsid w:val="005F2015"/>
    <w:rsid w:val="005F7EB4"/>
    <w:rsid w:val="006014F1"/>
    <w:rsid w:val="00602E98"/>
    <w:rsid w:val="00603FD8"/>
    <w:rsid w:val="0060690C"/>
    <w:rsid w:val="0061357B"/>
    <w:rsid w:val="00614A7D"/>
    <w:rsid w:val="00615056"/>
    <w:rsid w:val="00625849"/>
    <w:rsid w:val="00630C51"/>
    <w:rsid w:val="00633F9D"/>
    <w:rsid w:val="0063631C"/>
    <w:rsid w:val="0063757B"/>
    <w:rsid w:val="006377CE"/>
    <w:rsid w:val="0064742D"/>
    <w:rsid w:val="006537D9"/>
    <w:rsid w:val="00662872"/>
    <w:rsid w:val="00664A48"/>
    <w:rsid w:val="00665DEF"/>
    <w:rsid w:val="00666A00"/>
    <w:rsid w:val="00674B33"/>
    <w:rsid w:val="00675BB1"/>
    <w:rsid w:val="006775F1"/>
    <w:rsid w:val="00691980"/>
    <w:rsid w:val="00692AA7"/>
    <w:rsid w:val="00695188"/>
    <w:rsid w:val="00697FEC"/>
    <w:rsid w:val="006A175F"/>
    <w:rsid w:val="006A44F5"/>
    <w:rsid w:val="006B1967"/>
    <w:rsid w:val="006B4537"/>
    <w:rsid w:val="006B5F85"/>
    <w:rsid w:val="006B6929"/>
    <w:rsid w:val="006B709B"/>
    <w:rsid w:val="006C54AF"/>
    <w:rsid w:val="006E0181"/>
    <w:rsid w:val="006E0C20"/>
    <w:rsid w:val="006F3761"/>
    <w:rsid w:val="006F7D0C"/>
    <w:rsid w:val="006F7DE2"/>
    <w:rsid w:val="00700C0E"/>
    <w:rsid w:val="00705DAD"/>
    <w:rsid w:val="00705E0C"/>
    <w:rsid w:val="007247B9"/>
    <w:rsid w:val="00727D85"/>
    <w:rsid w:val="007346C7"/>
    <w:rsid w:val="00736041"/>
    <w:rsid w:val="007408C7"/>
    <w:rsid w:val="007465DA"/>
    <w:rsid w:val="00752BAB"/>
    <w:rsid w:val="00752C7F"/>
    <w:rsid w:val="00755E66"/>
    <w:rsid w:val="00756A30"/>
    <w:rsid w:val="00775D19"/>
    <w:rsid w:val="00776598"/>
    <w:rsid w:val="00792948"/>
    <w:rsid w:val="00792F24"/>
    <w:rsid w:val="00796E84"/>
    <w:rsid w:val="007A3ADE"/>
    <w:rsid w:val="007A5733"/>
    <w:rsid w:val="007A5774"/>
    <w:rsid w:val="007B7BF8"/>
    <w:rsid w:val="007D39AB"/>
    <w:rsid w:val="007E68F8"/>
    <w:rsid w:val="007F0FD6"/>
    <w:rsid w:val="00801E74"/>
    <w:rsid w:val="00802C66"/>
    <w:rsid w:val="0080485E"/>
    <w:rsid w:val="008142B4"/>
    <w:rsid w:val="00832324"/>
    <w:rsid w:val="0083464F"/>
    <w:rsid w:val="00835337"/>
    <w:rsid w:val="00846DCD"/>
    <w:rsid w:val="00851D85"/>
    <w:rsid w:val="00860CCB"/>
    <w:rsid w:val="008740A3"/>
    <w:rsid w:val="00887180"/>
    <w:rsid w:val="0089297B"/>
    <w:rsid w:val="00895BAB"/>
    <w:rsid w:val="008B53B9"/>
    <w:rsid w:val="008C024B"/>
    <w:rsid w:val="008C21C5"/>
    <w:rsid w:val="008C36CA"/>
    <w:rsid w:val="008D4C78"/>
    <w:rsid w:val="008E3F8C"/>
    <w:rsid w:val="008E70B3"/>
    <w:rsid w:val="008F16E0"/>
    <w:rsid w:val="008F3484"/>
    <w:rsid w:val="00900EC7"/>
    <w:rsid w:val="00902FD0"/>
    <w:rsid w:val="009053D3"/>
    <w:rsid w:val="0090691F"/>
    <w:rsid w:val="00920AAC"/>
    <w:rsid w:val="0093111F"/>
    <w:rsid w:val="00935689"/>
    <w:rsid w:val="00946DCE"/>
    <w:rsid w:val="00952A4A"/>
    <w:rsid w:val="0095303B"/>
    <w:rsid w:val="009663B6"/>
    <w:rsid w:val="00974A47"/>
    <w:rsid w:val="00980286"/>
    <w:rsid w:val="00990DCF"/>
    <w:rsid w:val="00992AB7"/>
    <w:rsid w:val="009A4CD6"/>
    <w:rsid w:val="009A537C"/>
    <w:rsid w:val="009C0886"/>
    <w:rsid w:val="009C19EE"/>
    <w:rsid w:val="009C28D0"/>
    <w:rsid w:val="009C35F2"/>
    <w:rsid w:val="009C7782"/>
    <w:rsid w:val="009D1ED5"/>
    <w:rsid w:val="009D2881"/>
    <w:rsid w:val="009D4C13"/>
    <w:rsid w:val="009E1192"/>
    <w:rsid w:val="009E21A7"/>
    <w:rsid w:val="009F096A"/>
    <w:rsid w:val="00A01346"/>
    <w:rsid w:val="00A03898"/>
    <w:rsid w:val="00A0737C"/>
    <w:rsid w:val="00A103ED"/>
    <w:rsid w:val="00A13C24"/>
    <w:rsid w:val="00A13C60"/>
    <w:rsid w:val="00A15134"/>
    <w:rsid w:val="00A15A5E"/>
    <w:rsid w:val="00A30717"/>
    <w:rsid w:val="00A341A3"/>
    <w:rsid w:val="00A34ED2"/>
    <w:rsid w:val="00A35800"/>
    <w:rsid w:val="00A3607F"/>
    <w:rsid w:val="00A4148E"/>
    <w:rsid w:val="00A4623D"/>
    <w:rsid w:val="00A52918"/>
    <w:rsid w:val="00A547B3"/>
    <w:rsid w:val="00A562E8"/>
    <w:rsid w:val="00A612F2"/>
    <w:rsid w:val="00A70E82"/>
    <w:rsid w:val="00A72740"/>
    <w:rsid w:val="00A84CAD"/>
    <w:rsid w:val="00A87B43"/>
    <w:rsid w:val="00A90E50"/>
    <w:rsid w:val="00A93BA6"/>
    <w:rsid w:val="00A95FA5"/>
    <w:rsid w:val="00A96D92"/>
    <w:rsid w:val="00AA19C9"/>
    <w:rsid w:val="00AB199C"/>
    <w:rsid w:val="00AB19E9"/>
    <w:rsid w:val="00AB3733"/>
    <w:rsid w:val="00AB588C"/>
    <w:rsid w:val="00AB7897"/>
    <w:rsid w:val="00AC5054"/>
    <w:rsid w:val="00AC5F0C"/>
    <w:rsid w:val="00AE4BAC"/>
    <w:rsid w:val="00AE66DB"/>
    <w:rsid w:val="00AE7035"/>
    <w:rsid w:val="00AE7A68"/>
    <w:rsid w:val="00B034FC"/>
    <w:rsid w:val="00B05310"/>
    <w:rsid w:val="00B10A0B"/>
    <w:rsid w:val="00B11699"/>
    <w:rsid w:val="00B30D85"/>
    <w:rsid w:val="00B356B9"/>
    <w:rsid w:val="00B35A4A"/>
    <w:rsid w:val="00B453CF"/>
    <w:rsid w:val="00B5409B"/>
    <w:rsid w:val="00B63FD7"/>
    <w:rsid w:val="00B67F14"/>
    <w:rsid w:val="00B700FA"/>
    <w:rsid w:val="00B816D9"/>
    <w:rsid w:val="00B9120F"/>
    <w:rsid w:val="00B9216C"/>
    <w:rsid w:val="00B924A4"/>
    <w:rsid w:val="00BA308F"/>
    <w:rsid w:val="00BA6ED1"/>
    <w:rsid w:val="00BB0D1A"/>
    <w:rsid w:val="00BB1D3B"/>
    <w:rsid w:val="00BC35ED"/>
    <w:rsid w:val="00BC5D17"/>
    <w:rsid w:val="00BC5E3A"/>
    <w:rsid w:val="00BC6734"/>
    <w:rsid w:val="00BD7A25"/>
    <w:rsid w:val="00BE1000"/>
    <w:rsid w:val="00BE205A"/>
    <w:rsid w:val="00BE3802"/>
    <w:rsid w:val="00BF238E"/>
    <w:rsid w:val="00BF2F4A"/>
    <w:rsid w:val="00BF544D"/>
    <w:rsid w:val="00C0076F"/>
    <w:rsid w:val="00C0301C"/>
    <w:rsid w:val="00C050B6"/>
    <w:rsid w:val="00C10F12"/>
    <w:rsid w:val="00C166C9"/>
    <w:rsid w:val="00C21466"/>
    <w:rsid w:val="00C245EA"/>
    <w:rsid w:val="00C256F6"/>
    <w:rsid w:val="00C278A7"/>
    <w:rsid w:val="00C3097E"/>
    <w:rsid w:val="00C35ECC"/>
    <w:rsid w:val="00C361A8"/>
    <w:rsid w:val="00C37B7B"/>
    <w:rsid w:val="00C41246"/>
    <w:rsid w:val="00C42C2E"/>
    <w:rsid w:val="00C44A54"/>
    <w:rsid w:val="00C45E5F"/>
    <w:rsid w:val="00C46291"/>
    <w:rsid w:val="00C61BBE"/>
    <w:rsid w:val="00C63412"/>
    <w:rsid w:val="00C63A46"/>
    <w:rsid w:val="00C714D0"/>
    <w:rsid w:val="00C71C18"/>
    <w:rsid w:val="00C90ABA"/>
    <w:rsid w:val="00C90EF4"/>
    <w:rsid w:val="00C9479F"/>
    <w:rsid w:val="00CA015A"/>
    <w:rsid w:val="00CC1AA3"/>
    <w:rsid w:val="00CC61F2"/>
    <w:rsid w:val="00CD4486"/>
    <w:rsid w:val="00CE0968"/>
    <w:rsid w:val="00CF47A5"/>
    <w:rsid w:val="00CF4FF6"/>
    <w:rsid w:val="00CF5E22"/>
    <w:rsid w:val="00CF6229"/>
    <w:rsid w:val="00D0395A"/>
    <w:rsid w:val="00D06A44"/>
    <w:rsid w:val="00D151EB"/>
    <w:rsid w:val="00D16ACC"/>
    <w:rsid w:val="00D300E0"/>
    <w:rsid w:val="00D374CD"/>
    <w:rsid w:val="00D62BA5"/>
    <w:rsid w:val="00D650CE"/>
    <w:rsid w:val="00D71719"/>
    <w:rsid w:val="00D776DA"/>
    <w:rsid w:val="00D821C5"/>
    <w:rsid w:val="00D82E51"/>
    <w:rsid w:val="00D8758B"/>
    <w:rsid w:val="00D942B3"/>
    <w:rsid w:val="00D94863"/>
    <w:rsid w:val="00D95ADD"/>
    <w:rsid w:val="00DA0981"/>
    <w:rsid w:val="00DA7D09"/>
    <w:rsid w:val="00DB153A"/>
    <w:rsid w:val="00DC1575"/>
    <w:rsid w:val="00DC2630"/>
    <w:rsid w:val="00DC49E9"/>
    <w:rsid w:val="00DC55E4"/>
    <w:rsid w:val="00DC7D71"/>
    <w:rsid w:val="00DD188C"/>
    <w:rsid w:val="00DD29A3"/>
    <w:rsid w:val="00DD48EE"/>
    <w:rsid w:val="00DE0B96"/>
    <w:rsid w:val="00DE10B9"/>
    <w:rsid w:val="00DF0B13"/>
    <w:rsid w:val="00DF2EB8"/>
    <w:rsid w:val="00DF4A94"/>
    <w:rsid w:val="00DF6003"/>
    <w:rsid w:val="00DF6EE7"/>
    <w:rsid w:val="00E00095"/>
    <w:rsid w:val="00E066C3"/>
    <w:rsid w:val="00E10D8C"/>
    <w:rsid w:val="00E1353A"/>
    <w:rsid w:val="00E1564B"/>
    <w:rsid w:val="00E208A0"/>
    <w:rsid w:val="00E20F37"/>
    <w:rsid w:val="00E22DFE"/>
    <w:rsid w:val="00E25B49"/>
    <w:rsid w:val="00E277F1"/>
    <w:rsid w:val="00E371EA"/>
    <w:rsid w:val="00E42C11"/>
    <w:rsid w:val="00E64429"/>
    <w:rsid w:val="00E677DD"/>
    <w:rsid w:val="00E70E9F"/>
    <w:rsid w:val="00E7594B"/>
    <w:rsid w:val="00E9471A"/>
    <w:rsid w:val="00EA01C7"/>
    <w:rsid w:val="00EA10C2"/>
    <w:rsid w:val="00EB0854"/>
    <w:rsid w:val="00EB4688"/>
    <w:rsid w:val="00EB6C07"/>
    <w:rsid w:val="00EC028D"/>
    <w:rsid w:val="00EC120A"/>
    <w:rsid w:val="00EC5BC1"/>
    <w:rsid w:val="00ED633B"/>
    <w:rsid w:val="00ED7D6B"/>
    <w:rsid w:val="00EE2BBB"/>
    <w:rsid w:val="00EE478C"/>
    <w:rsid w:val="00F0428D"/>
    <w:rsid w:val="00F1132C"/>
    <w:rsid w:val="00F15DD5"/>
    <w:rsid w:val="00F17D4B"/>
    <w:rsid w:val="00F23139"/>
    <w:rsid w:val="00F24D39"/>
    <w:rsid w:val="00F34C01"/>
    <w:rsid w:val="00F47DA6"/>
    <w:rsid w:val="00F515ED"/>
    <w:rsid w:val="00F66CD5"/>
    <w:rsid w:val="00F67A9A"/>
    <w:rsid w:val="00F70F4E"/>
    <w:rsid w:val="00F73113"/>
    <w:rsid w:val="00F75FC4"/>
    <w:rsid w:val="00F81261"/>
    <w:rsid w:val="00F83793"/>
    <w:rsid w:val="00F85981"/>
    <w:rsid w:val="00F86518"/>
    <w:rsid w:val="00F87263"/>
    <w:rsid w:val="00F914A9"/>
    <w:rsid w:val="00F929C1"/>
    <w:rsid w:val="00F93725"/>
    <w:rsid w:val="00FA1BA3"/>
    <w:rsid w:val="00FA4890"/>
    <w:rsid w:val="00FA6C7C"/>
    <w:rsid w:val="00FB25F1"/>
    <w:rsid w:val="00FB77FA"/>
    <w:rsid w:val="00FC07CC"/>
    <w:rsid w:val="00FC3C70"/>
    <w:rsid w:val="00FC4A73"/>
    <w:rsid w:val="00FC559C"/>
    <w:rsid w:val="00FC7F0D"/>
    <w:rsid w:val="00FD28A0"/>
    <w:rsid w:val="00FE2B55"/>
    <w:rsid w:val="00FE645A"/>
    <w:rsid w:val="00FF0D95"/>
    <w:rsid w:val="00FF61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character" w:styleId="Strong">
    <w:name w:val="Strong"/>
    <w:basedOn w:val="DefaultParagraphFont"/>
    <w:uiPriority w:val="22"/>
    <w:qFormat/>
    <w:rsid w:val="002D4C66"/>
    <w:rPr>
      <w:b/>
      <w:bCs/>
    </w:rPr>
  </w:style>
  <w:style w:type="paragraph" w:styleId="Bibliography">
    <w:name w:val="Bibliography"/>
    <w:basedOn w:val="Normal"/>
    <w:next w:val="Normal"/>
    <w:uiPriority w:val="37"/>
    <w:unhideWhenUsed/>
    <w:rsid w:val="003E3AE3"/>
  </w:style>
  <w:style w:type="paragraph" w:customStyle="1" w:styleId="EndNoteBibliographyTitle">
    <w:name w:val="EndNote Bibliography Title"/>
    <w:basedOn w:val="Normal"/>
    <w:link w:val="EndNoteBibliographyTitleChar"/>
    <w:rsid w:val="00900EC7"/>
    <w:pPr>
      <w:spacing w:after="0"/>
      <w:jc w:val="center"/>
    </w:pPr>
    <w:rPr>
      <w:rFonts w:ascii="Calibri" w:hAnsi="Calibri" w:cs="Calibri"/>
      <w:noProof/>
    </w:rPr>
  </w:style>
  <w:style w:type="character" w:customStyle="1" w:styleId="EndNoteBibliographyTitleChar">
    <w:name w:val="EndNote Bibliography Title Char"/>
    <w:basedOn w:val="Heading2Char"/>
    <w:link w:val="EndNoteBibliographyTitle"/>
    <w:rsid w:val="00900EC7"/>
    <w:rPr>
      <w:rFonts w:ascii="Calibri" w:hAnsi="Calibri" w:cs="Calibri"/>
      <w:b w:val="0"/>
      <w:noProof/>
      <w:sz w:val="24"/>
      <w:szCs w:val="24"/>
    </w:rPr>
  </w:style>
  <w:style w:type="paragraph" w:customStyle="1" w:styleId="EndNoteBibliography">
    <w:name w:val="EndNote Bibliography"/>
    <w:basedOn w:val="Normal"/>
    <w:link w:val="EndNoteBibliographyChar"/>
    <w:rsid w:val="00900EC7"/>
    <w:rPr>
      <w:rFonts w:ascii="Calibri" w:hAnsi="Calibri" w:cs="Calibri"/>
      <w:noProof/>
    </w:rPr>
  </w:style>
  <w:style w:type="character" w:customStyle="1" w:styleId="EndNoteBibliographyChar">
    <w:name w:val="EndNote Bibliography Char"/>
    <w:basedOn w:val="Heading2Char"/>
    <w:link w:val="EndNoteBibliography"/>
    <w:rsid w:val="00900EC7"/>
    <w:rPr>
      <w:rFonts w:ascii="Calibri" w:hAnsi="Calibri" w:cs="Calibri"/>
      <w:b w:val="0"/>
      <w:noProof/>
      <w:sz w:val="24"/>
      <w:szCs w:val="24"/>
    </w:rPr>
  </w:style>
  <w:style w:type="character" w:styleId="UnresolvedMention">
    <w:name w:val="Unresolved Mention"/>
    <w:basedOn w:val="DefaultParagraphFont"/>
    <w:uiPriority w:val="99"/>
    <w:semiHidden/>
    <w:unhideWhenUsed/>
    <w:rsid w:val="00900EC7"/>
    <w:rPr>
      <w:color w:val="605E5C"/>
      <w:shd w:val="clear" w:color="auto" w:fill="E1DFDD"/>
    </w:rPr>
  </w:style>
  <w:style w:type="character" w:styleId="IntenseReference">
    <w:name w:val="Intense Reference"/>
    <w:basedOn w:val="DefaultParagraphFont"/>
    <w:uiPriority w:val="32"/>
    <w:qFormat/>
    <w:rsid w:val="008B53B9"/>
    <w:rPr>
      <w:b/>
      <w:bCs/>
      <w:smallCaps/>
      <w:color w:val="4F81BD" w:themeColor="accent1"/>
      <w:spacing w:val="5"/>
    </w:rPr>
  </w:style>
  <w:style w:type="paragraph" w:styleId="Caption">
    <w:name w:val="caption"/>
    <w:basedOn w:val="Normal"/>
    <w:next w:val="Normal"/>
    <w:uiPriority w:val="35"/>
    <w:unhideWhenUsed/>
    <w:qFormat/>
    <w:rsid w:val="00E277F1"/>
    <w:rPr>
      <w:i/>
      <w:iCs/>
      <w:color w:val="1F497D" w:themeColor="text2"/>
      <w:sz w:val="18"/>
      <w:szCs w:val="18"/>
    </w:rPr>
  </w:style>
  <w:style w:type="paragraph" w:styleId="EndnoteText">
    <w:name w:val="endnote text"/>
    <w:basedOn w:val="Normal"/>
    <w:link w:val="EndnoteTextChar"/>
    <w:uiPriority w:val="99"/>
    <w:semiHidden/>
    <w:unhideWhenUsed/>
    <w:rsid w:val="00B356B9"/>
    <w:pPr>
      <w:spacing w:after="0"/>
    </w:pPr>
    <w:rPr>
      <w:sz w:val="20"/>
      <w:szCs w:val="20"/>
    </w:rPr>
  </w:style>
  <w:style w:type="character" w:customStyle="1" w:styleId="EndnoteTextChar">
    <w:name w:val="Endnote Text Char"/>
    <w:basedOn w:val="DefaultParagraphFont"/>
    <w:link w:val="EndnoteText"/>
    <w:uiPriority w:val="99"/>
    <w:semiHidden/>
    <w:rsid w:val="00B356B9"/>
    <w:rPr>
      <w:sz w:val="20"/>
      <w:szCs w:val="20"/>
    </w:rPr>
  </w:style>
  <w:style w:type="character" w:styleId="EndnoteReference">
    <w:name w:val="endnote reference"/>
    <w:basedOn w:val="DefaultParagraphFont"/>
    <w:uiPriority w:val="99"/>
    <w:semiHidden/>
    <w:unhideWhenUsed/>
    <w:rsid w:val="00B356B9"/>
    <w:rPr>
      <w:vertAlign w:val="superscript"/>
    </w:rPr>
  </w:style>
  <w:style w:type="character" w:styleId="FollowedHyperlink">
    <w:name w:val="FollowedHyperlink"/>
    <w:basedOn w:val="DefaultParagraphFont"/>
    <w:uiPriority w:val="99"/>
    <w:semiHidden/>
    <w:unhideWhenUsed/>
    <w:rsid w:val="001027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00046">
      <w:bodyDiv w:val="1"/>
      <w:marLeft w:val="0"/>
      <w:marRight w:val="0"/>
      <w:marTop w:val="0"/>
      <w:marBottom w:val="0"/>
      <w:divBdr>
        <w:top w:val="none" w:sz="0" w:space="0" w:color="auto"/>
        <w:left w:val="none" w:sz="0" w:space="0" w:color="auto"/>
        <w:bottom w:val="none" w:sz="0" w:space="0" w:color="auto"/>
        <w:right w:val="none" w:sz="0" w:space="0" w:color="auto"/>
      </w:divBdr>
    </w:div>
    <w:div w:id="153884913">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399909204">
      <w:bodyDiv w:val="1"/>
      <w:marLeft w:val="0"/>
      <w:marRight w:val="0"/>
      <w:marTop w:val="0"/>
      <w:marBottom w:val="0"/>
      <w:divBdr>
        <w:top w:val="none" w:sz="0" w:space="0" w:color="auto"/>
        <w:left w:val="none" w:sz="0" w:space="0" w:color="auto"/>
        <w:bottom w:val="none" w:sz="0" w:space="0" w:color="auto"/>
        <w:right w:val="none" w:sz="0" w:space="0" w:color="auto"/>
      </w:divBdr>
    </w:div>
    <w:div w:id="427045425">
      <w:bodyDiv w:val="1"/>
      <w:marLeft w:val="0"/>
      <w:marRight w:val="0"/>
      <w:marTop w:val="0"/>
      <w:marBottom w:val="0"/>
      <w:divBdr>
        <w:top w:val="none" w:sz="0" w:space="0" w:color="auto"/>
        <w:left w:val="none" w:sz="0" w:space="0" w:color="auto"/>
        <w:bottom w:val="none" w:sz="0" w:space="0" w:color="auto"/>
        <w:right w:val="none" w:sz="0" w:space="0" w:color="auto"/>
      </w:divBdr>
    </w:div>
    <w:div w:id="451291770">
      <w:bodyDiv w:val="1"/>
      <w:marLeft w:val="0"/>
      <w:marRight w:val="0"/>
      <w:marTop w:val="0"/>
      <w:marBottom w:val="0"/>
      <w:divBdr>
        <w:top w:val="none" w:sz="0" w:space="0" w:color="auto"/>
        <w:left w:val="none" w:sz="0" w:space="0" w:color="auto"/>
        <w:bottom w:val="none" w:sz="0" w:space="0" w:color="auto"/>
        <w:right w:val="none" w:sz="0" w:space="0" w:color="auto"/>
      </w:divBdr>
    </w:div>
    <w:div w:id="503517205">
      <w:bodyDiv w:val="1"/>
      <w:marLeft w:val="0"/>
      <w:marRight w:val="0"/>
      <w:marTop w:val="0"/>
      <w:marBottom w:val="0"/>
      <w:divBdr>
        <w:top w:val="none" w:sz="0" w:space="0" w:color="auto"/>
        <w:left w:val="none" w:sz="0" w:space="0" w:color="auto"/>
        <w:bottom w:val="none" w:sz="0" w:space="0" w:color="auto"/>
        <w:right w:val="none" w:sz="0" w:space="0" w:color="auto"/>
      </w:divBdr>
    </w:div>
    <w:div w:id="509298352">
      <w:bodyDiv w:val="1"/>
      <w:marLeft w:val="0"/>
      <w:marRight w:val="0"/>
      <w:marTop w:val="0"/>
      <w:marBottom w:val="0"/>
      <w:divBdr>
        <w:top w:val="none" w:sz="0" w:space="0" w:color="auto"/>
        <w:left w:val="none" w:sz="0" w:space="0" w:color="auto"/>
        <w:bottom w:val="none" w:sz="0" w:space="0" w:color="auto"/>
        <w:right w:val="none" w:sz="0" w:space="0" w:color="auto"/>
      </w:divBdr>
    </w:div>
    <w:div w:id="570389497">
      <w:bodyDiv w:val="1"/>
      <w:marLeft w:val="0"/>
      <w:marRight w:val="0"/>
      <w:marTop w:val="0"/>
      <w:marBottom w:val="0"/>
      <w:divBdr>
        <w:top w:val="none" w:sz="0" w:space="0" w:color="auto"/>
        <w:left w:val="none" w:sz="0" w:space="0" w:color="auto"/>
        <w:bottom w:val="none" w:sz="0" w:space="0" w:color="auto"/>
        <w:right w:val="none" w:sz="0" w:space="0" w:color="auto"/>
      </w:divBdr>
    </w:div>
    <w:div w:id="624429562">
      <w:bodyDiv w:val="1"/>
      <w:marLeft w:val="0"/>
      <w:marRight w:val="0"/>
      <w:marTop w:val="0"/>
      <w:marBottom w:val="0"/>
      <w:divBdr>
        <w:top w:val="none" w:sz="0" w:space="0" w:color="auto"/>
        <w:left w:val="none" w:sz="0" w:space="0" w:color="auto"/>
        <w:bottom w:val="none" w:sz="0" w:space="0" w:color="auto"/>
        <w:right w:val="none" w:sz="0" w:space="0" w:color="auto"/>
      </w:divBdr>
    </w:div>
    <w:div w:id="647443844">
      <w:bodyDiv w:val="1"/>
      <w:marLeft w:val="0"/>
      <w:marRight w:val="0"/>
      <w:marTop w:val="0"/>
      <w:marBottom w:val="0"/>
      <w:divBdr>
        <w:top w:val="none" w:sz="0" w:space="0" w:color="auto"/>
        <w:left w:val="none" w:sz="0" w:space="0" w:color="auto"/>
        <w:bottom w:val="none" w:sz="0" w:space="0" w:color="auto"/>
        <w:right w:val="none" w:sz="0" w:space="0" w:color="auto"/>
      </w:divBdr>
    </w:div>
    <w:div w:id="680358404">
      <w:bodyDiv w:val="1"/>
      <w:marLeft w:val="0"/>
      <w:marRight w:val="0"/>
      <w:marTop w:val="0"/>
      <w:marBottom w:val="0"/>
      <w:divBdr>
        <w:top w:val="none" w:sz="0" w:space="0" w:color="auto"/>
        <w:left w:val="none" w:sz="0" w:space="0" w:color="auto"/>
        <w:bottom w:val="none" w:sz="0" w:space="0" w:color="auto"/>
        <w:right w:val="none" w:sz="0" w:space="0" w:color="auto"/>
      </w:divBdr>
    </w:div>
    <w:div w:id="708070018">
      <w:bodyDiv w:val="1"/>
      <w:marLeft w:val="0"/>
      <w:marRight w:val="0"/>
      <w:marTop w:val="0"/>
      <w:marBottom w:val="0"/>
      <w:divBdr>
        <w:top w:val="none" w:sz="0" w:space="0" w:color="auto"/>
        <w:left w:val="none" w:sz="0" w:space="0" w:color="auto"/>
        <w:bottom w:val="none" w:sz="0" w:space="0" w:color="auto"/>
        <w:right w:val="none" w:sz="0" w:space="0" w:color="auto"/>
      </w:divBdr>
    </w:div>
    <w:div w:id="718744836">
      <w:bodyDiv w:val="1"/>
      <w:marLeft w:val="0"/>
      <w:marRight w:val="0"/>
      <w:marTop w:val="0"/>
      <w:marBottom w:val="0"/>
      <w:divBdr>
        <w:top w:val="none" w:sz="0" w:space="0" w:color="auto"/>
        <w:left w:val="none" w:sz="0" w:space="0" w:color="auto"/>
        <w:bottom w:val="none" w:sz="0" w:space="0" w:color="auto"/>
        <w:right w:val="none" w:sz="0" w:space="0" w:color="auto"/>
      </w:divBdr>
    </w:div>
    <w:div w:id="842478750">
      <w:bodyDiv w:val="1"/>
      <w:marLeft w:val="0"/>
      <w:marRight w:val="0"/>
      <w:marTop w:val="0"/>
      <w:marBottom w:val="0"/>
      <w:divBdr>
        <w:top w:val="none" w:sz="0" w:space="0" w:color="auto"/>
        <w:left w:val="none" w:sz="0" w:space="0" w:color="auto"/>
        <w:bottom w:val="none" w:sz="0" w:space="0" w:color="auto"/>
        <w:right w:val="none" w:sz="0" w:space="0" w:color="auto"/>
      </w:divBdr>
    </w:div>
    <w:div w:id="846866324">
      <w:bodyDiv w:val="1"/>
      <w:marLeft w:val="0"/>
      <w:marRight w:val="0"/>
      <w:marTop w:val="0"/>
      <w:marBottom w:val="0"/>
      <w:divBdr>
        <w:top w:val="none" w:sz="0" w:space="0" w:color="auto"/>
        <w:left w:val="none" w:sz="0" w:space="0" w:color="auto"/>
        <w:bottom w:val="none" w:sz="0" w:space="0" w:color="auto"/>
        <w:right w:val="none" w:sz="0" w:space="0" w:color="auto"/>
      </w:divBdr>
    </w:div>
    <w:div w:id="847056961">
      <w:bodyDiv w:val="1"/>
      <w:marLeft w:val="0"/>
      <w:marRight w:val="0"/>
      <w:marTop w:val="0"/>
      <w:marBottom w:val="0"/>
      <w:divBdr>
        <w:top w:val="none" w:sz="0" w:space="0" w:color="auto"/>
        <w:left w:val="none" w:sz="0" w:space="0" w:color="auto"/>
        <w:bottom w:val="none" w:sz="0" w:space="0" w:color="auto"/>
        <w:right w:val="none" w:sz="0" w:space="0" w:color="auto"/>
      </w:divBdr>
    </w:div>
    <w:div w:id="849756445">
      <w:bodyDiv w:val="1"/>
      <w:marLeft w:val="0"/>
      <w:marRight w:val="0"/>
      <w:marTop w:val="0"/>
      <w:marBottom w:val="0"/>
      <w:divBdr>
        <w:top w:val="none" w:sz="0" w:space="0" w:color="auto"/>
        <w:left w:val="none" w:sz="0" w:space="0" w:color="auto"/>
        <w:bottom w:val="none" w:sz="0" w:space="0" w:color="auto"/>
        <w:right w:val="none" w:sz="0" w:space="0" w:color="auto"/>
      </w:divBdr>
    </w:div>
    <w:div w:id="982470654">
      <w:bodyDiv w:val="1"/>
      <w:marLeft w:val="0"/>
      <w:marRight w:val="0"/>
      <w:marTop w:val="0"/>
      <w:marBottom w:val="0"/>
      <w:divBdr>
        <w:top w:val="none" w:sz="0" w:space="0" w:color="auto"/>
        <w:left w:val="none" w:sz="0" w:space="0" w:color="auto"/>
        <w:bottom w:val="none" w:sz="0" w:space="0" w:color="auto"/>
        <w:right w:val="none" w:sz="0" w:space="0" w:color="auto"/>
      </w:divBdr>
    </w:div>
    <w:div w:id="998463849">
      <w:bodyDiv w:val="1"/>
      <w:marLeft w:val="0"/>
      <w:marRight w:val="0"/>
      <w:marTop w:val="0"/>
      <w:marBottom w:val="0"/>
      <w:divBdr>
        <w:top w:val="none" w:sz="0" w:space="0" w:color="auto"/>
        <w:left w:val="none" w:sz="0" w:space="0" w:color="auto"/>
        <w:bottom w:val="none" w:sz="0" w:space="0" w:color="auto"/>
        <w:right w:val="none" w:sz="0" w:space="0" w:color="auto"/>
      </w:divBdr>
    </w:div>
    <w:div w:id="1008363137">
      <w:bodyDiv w:val="1"/>
      <w:marLeft w:val="0"/>
      <w:marRight w:val="0"/>
      <w:marTop w:val="0"/>
      <w:marBottom w:val="0"/>
      <w:divBdr>
        <w:top w:val="none" w:sz="0" w:space="0" w:color="auto"/>
        <w:left w:val="none" w:sz="0" w:space="0" w:color="auto"/>
        <w:bottom w:val="none" w:sz="0" w:space="0" w:color="auto"/>
        <w:right w:val="none" w:sz="0" w:space="0" w:color="auto"/>
      </w:divBdr>
    </w:div>
    <w:div w:id="1077946858">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120106405">
      <w:bodyDiv w:val="1"/>
      <w:marLeft w:val="0"/>
      <w:marRight w:val="0"/>
      <w:marTop w:val="0"/>
      <w:marBottom w:val="0"/>
      <w:divBdr>
        <w:top w:val="none" w:sz="0" w:space="0" w:color="auto"/>
        <w:left w:val="none" w:sz="0" w:space="0" w:color="auto"/>
        <w:bottom w:val="none" w:sz="0" w:space="0" w:color="auto"/>
        <w:right w:val="none" w:sz="0" w:space="0" w:color="auto"/>
      </w:divBdr>
    </w:div>
    <w:div w:id="1132600156">
      <w:bodyDiv w:val="1"/>
      <w:marLeft w:val="0"/>
      <w:marRight w:val="0"/>
      <w:marTop w:val="0"/>
      <w:marBottom w:val="0"/>
      <w:divBdr>
        <w:top w:val="none" w:sz="0" w:space="0" w:color="auto"/>
        <w:left w:val="none" w:sz="0" w:space="0" w:color="auto"/>
        <w:bottom w:val="none" w:sz="0" w:space="0" w:color="auto"/>
        <w:right w:val="none" w:sz="0" w:space="0" w:color="auto"/>
      </w:divBdr>
    </w:div>
    <w:div w:id="1243489804">
      <w:bodyDiv w:val="1"/>
      <w:marLeft w:val="0"/>
      <w:marRight w:val="0"/>
      <w:marTop w:val="0"/>
      <w:marBottom w:val="0"/>
      <w:divBdr>
        <w:top w:val="none" w:sz="0" w:space="0" w:color="auto"/>
        <w:left w:val="none" w:sz="0" w:space="0" w:color="auto"/>
        <w:bottom w:val="none" w:sz="0" w:space="0" w:color="auto"/>
        <w:right w:val="none" w:sz="0" w:space="0" w:color="auto"/>
      </w:divBdr>
    </w:div>
    <w:div w:id="1263608357">
      <w:bodyDiv w:val="1"/>
      <w:marLeft w:val="0"/>
      <w:marRight w:val="0"/>
      <w:marTop w:val="0"/>
      <w:marBottom w:val="0"/>
      <w:divBdr>
        <w:top w:val="none" w:sz="0" w:space="0" w:color="auto"/>
        <w:left w:val="none" w:sz="0" w:space="0" w:color="auto"/>
        <w:bottom w:val="none" w:sz="0" w:space="0" w:color="auto"/>
        <w:right w:val="none" w:sz="0" w:space="0" w:color="auto"/>
      </w:divBdr>
    </w:div>
    <w:div w:id="1346712505">
      <w:bodyDiv w:val="1"/>
      <w:marLeft w:val="0"/>
      <w:marRight w:val="0"/>
      <w:marTop w:val="0"/>
      <w:marBottom w:val="0"/>
      <w:divBdr>
        <w:top w:val="none" w:sz="0" w:space="0" w:color="auto"/>
        <w:left w:val="none" w:sz="0" w:space="0" w:color="auto"/>
        <w:bottom w:val="none" w:sz="0" w:space="0" w:color="auto"/>
        <w:right w:val="none" w:sz="0" w:space="0" w:color="auto"/>
      </w:divBdr>
    </w:div>
    <w:div w:id="1400328542">
      <w:bodyDiv w:val="1"/>
      <w:marLeft w:val="0"/>
      <w:marRight w:val="0"/>
      <w:marTop w:val="0"/>
      <w:marBottom w:val="0"/>
      <w:divBdr>
        <w:top w:val="none" w:sz="0" w:space="0" w:color="auto"/>
        <w:left w:val="none" w:sz="0" w:space="0" w:color="auto"/>
        <w:bottom w:val="none" w:sz="0" w:space="0" w:color="auto"/>
        <w:right w:val="none" w:sz="0" w:space="0" w:color="auto"/>
      </w:divBdr>
    </w:div>
    <w:div w:id="1434326890">
      <w:bodyDiv w:val="1"/>
      <w:marLeft w:val="0"/>
      <w:marRight w:val="0"/>
      <w:marTop w:val="0"/>
      <w:marBottom w:val="0"/>
      <w:divBdr>
        <w:top w:val="none" w:sz="0" w:space="0" w:color="auto"/>
        <w:left w:val="none" w:sz="0" w:space="0" w:color="auto"/>
        <w:bottom w:val="none" w:sz="0" w:space="0" w:color="auto"/>
        <w:right w:val="none" w:sz="0" w:space="0" w:color="auto"/>
      </w:divBdr>
    </w:div>
    <w:div w:id="1500971743">
      <w:bodyDiv w:val="1"/>
      <w:marLeft w:val="0"/>
      <w:marRight w:val="0"/>
      <w:marTop w:val="0"/>
      <w:marBottom w:val="0"/>
      <w:divBdr>
        <w:top w:val="none" w:sz="0" w:space="0" w:color="auto"/>
        <w:left w:val="none" w:sz="0" w:space="0" w:color="auto"/>
        <w:bottom w:val="none" w:sz="0" w:space="0" w:color="auto"/>
        <w:right w:val="none" w:sz="0" w:space="0" w:color="auto"/>
      </w:divBdr>
    </w:div>
    <w:div w:id="1515807124">
      <w:bodyDiv w:val="1"/>
      <w:marLeft w:val="0"/>
      <w:marRight w:val="0"/>
      <w:marTop w:val="0"/>
      <w:marBottom w:val="0"/>
      <w:divBdr>
        <w:top w:val="none" w:sz="0" w:space="0" w:color="auto"/>
        <w:left w:val="none" w:sz="0" w:space="0" w:color="auto"/>
        <w:bottom w:val="none" w:sz="0" w:space="0" w:color="auto"/>
        <w:right w:val="none" w:sz="0" w:space="0" w:color="auto"/>
      </w:divBdr>
    </w:div>
    <w:div w:id="1531139033">
      <w:bodyDiv w:val="1"/>
      <w:marLeft w:val="0"/>
      <w:marRight w:val="0"/>
      <w:marTop w:val="0"/>
      <w:marBottom w:val="0"/>
      <w:divBdr>
        <w:top w:val="none" w:sz="0" w:space="0" w:color="auto"/>
        <w:left w:val="none" w:sz="0" w:space="0" w:color="auto"/>
        <w:bottom w:val="none" w:sz="0" w:space="0" w:color="auto"/>
        <w:right w:val="none" w:sz="0" w:space="0" w:color="auto"/>
      </w:divBdr>
    </w:div>
    <w:div w:id="1540358613">
      <w:bodyDiv w:val="1"/>
      <w:marLeft w:val="0"/>
      <w:marRight w:val="0"/>
      <w:marTop w:val="0"/>
      <w:marBottom w:val="0"/>
      <w:divBdr>
        <w:top w:val="none" w:sz="0" w:space="0" w:color="auto"/>
        <w:left w:val="none" w:sz="0" w:space="0" w:color="auto"/>
        <w:bottom w:val="none" w:sz="0" w:space="0" w:color="auto"/>
        <w:right w:val="none" w:sz="0" w:space="0" w:color="auto"/>
      </w:divBdr>
    </w:div>
    <w:div w:id="1582982480">
      <w:bodyDiv w:val="1"/>
      <w:marLeft w:val="0"/>
      <w:marRight w:val="0"/>
      <w:marTop w:val="0"/>
      <w:marBottom w:val="0"/>
      <w:divBdr>
        <w:top w:val="none" w:sz="0" w:space="0" w:color="auto"/>
        <w:left w:val="none" w:sz="0" w:space="0" w:color="auto"/>
        <w:bottom w:val="none" w:sz="0" w:space="0" w:color="auto"/>
        <w:right w:val="none" w:sz="0" w:space="0" w:color="auto"/>
      </w:divBdr>
    </w:div>
    <w:div w:id="1591311405">
      <w:bodyDiv w:val="1"/>
      <w:marLeft w:val="0"/>
      <w:marRight w:val="0"/>
      <w:marTop w:val="0"/>
      <w:marBottom w:val="0"/>
      <w:divBdr>
        <w:top w:val="none" w:sz="0" w:space="0" w:color="auto"/>
        <w:left w:val="none" w:sz="0" w:space="0" w:color="auto"/>
        <w:bottom w:val="none" w:sz="0" w:space="0" w:color="auto"/>
        <w:right w:val="none" w:sz="0" w:space="0" w:color="auto"/>
      </w:divBdr>
    </w:div>
    <w:div w:id="1697462035">
      <w:bodyDiv w:val="1"/>
      <w:marLeft w:val="0"/>
      <w:marRight w:val="0"/>
      <w:marTop w:val="0"/>
      <w:marBottom w:val="0"/>
      <w:divBdr>
        <w:top w:val="none" w:sz="0" w:space="0" w:color="auto"/>
        <w:left w:val="none" w:sz="0" w:space="0" w:color="auto"/>
        <w:bottom w:val="none" w:sz="0" w:space="0" w:color="auto"/>
        <w:right w:val="none" w:sz="0" w:space="0" w:color="auto"/>
      </w:divBdr>
    </w:div>
    <w:div w:id="1767997303">
      <w:bodyDiv w:val="1"/>
      <w:marLeft w:val="0"/>
      <w:marRight w:val="0"/>
      <w:marTop w:val="0"/>
      <w:marBottom w:val="0"/>
      <w:divBdr>
        <w:top w:val="none" w:sz="0" w:space="0" w:color="auto"/>
        <w:left w:val="none" w:sz="0" w:space="0" w:color="auto"/>
        <w:bottom w:val="none" w:sz="0" w:space="0" w:color="auto"/>
        <w:right w:val="none" w:sz="0" w:space="0" w:color="auto"/>
      </w:divBdr>
      <w:divsChild>
        <w:div w:id="192310021">
          <w:marLeft w:val="0"/>
          <w:marRight w:val="0"/>
          <w:marTop w:val="0"/>
          <w:marBottom w:val="0"/>
          <w:divBdr>
            <w:top w:val="none" w:sz="0" w:space="0" w:color="C4DEEE"/>
            <w:left w:val="none" w:sz="0" w:space="0" w:color="C4DEEE"/>
            <w:bottom w:val="none" w:sz="0" w:space="0" w:color="C4DEEE"/>
            <w:right w:val="none" w:sz="0" w:space="0" w:color="C4DEEE"/>
          </w:divBdr>
          <w:divsChild>
            <w:div w:id="909580587">
              <w:marLeft w:val="0"/>
              <w:marRight w:val="0"/>
              <w:marTop w:val="0"/>
              <w:marBottom w:val="0"/>
              <w:divBdr>
                <w:top w:val="none" w:sz="0" w:space="0" w:color="C4DEEE"/>
                <w:left w:val="none" w:sz="0" w:space="0" w:color="C4DEEE"/>
                <w:bottom w:val="none" w:sz="0" w:space="0" w:color="C4DEEE"/>
                <w:right w:val="none" w:sz="0" w:space="0" w:color="C4DEEE"/>
              </w:divBdr>
            </w:div>
          </w:divsChild>
        </w:div>
        <w:div w:id="1268736653">
          <w:marLeft w:val="0"/>
          <w:marRight w:val="0"/>
          <w:marTop w:val="0"/>
          <w:marBottom w:val="0"/>
          <w:divBdr>
            <w:top w:val="none" w:sz="0" w:space="0" w:color="C4DEEE"/>
            <w:left w:val="none" w:sz="0" w:space="0" w:color="C4DEEE"/>
            <w:bottom w:val="none" w:sz="0" w:space="0" w:color="C4DEEE"/>
            <w:right w:val="none" w:sz="0" w:space="0" w:color="C4DEEE"/>
          </w:divBdr>
        </w:div>
        <w:div w:id="1908764499">
          <w:marLeft w:val="0"/>
          <w:marRight w:val="0"/>
          <w:marTop w:val="0"/>
          <w:marBottom w:val="0"/>
          <w:divBdr>
            <w:top w:val="none" w:sz="0" w:space="2" w:color="C4DEEE"/>
            <w:left w:val="none" w:sz="0" w:space="15" w:color="C4DEEE"/>
            <w:bottom w:val="none" w:sz="0" w:space="2" w:color="C4DEEE"/>
            <w:right w:val="none" w:sz="0" w:space="2" w:color="C4DEEE"/>
          </w:divBdr>
        </w:div>
        <w:div w:id="2110350132">
          <w:marLeft w:val="0"/>
          <w:marRight w:val="0"/>
          <w:marTop w:val="0"/>
          <w:marBottom w:val="0"/>
          <w:divBdr>
            <w:top w:val="none" w:sz="0" w:space="0" w:color="C4DEEE"/>
            <w:left w:val="none" w:sz="0" w:space="0" w:color="C4DEEE"/>
            <w:bottom w:val="none" w:sz="0" w:space="0" w:color="C4DEEE"/>
            <w:right w:val="none" w:sz="0" w:space="0" w:color="C4DEEE"/>
          </w:divBdr>
          <w:divsChild>
            <w:div w:id="106850331">
              <w:marLeft w:val="0"/>
              <w:marRight w:val="0"/>
              <w:marTop w:val="0"/>
              <w:marBottom w:val="0"/>
              <w:divBdr>
                <w:top w:val="none" w:sz="0" w:space="0" w:color="C4DEEE"/>
                <w:left w:val="none" w:sz="0" w:space="0" w:color="C4DEEE"/>
                <w:bottom w:val="none" w:sz="0" w:space="0" w:color="C4DEEE"/>
                <w:right w:val="none" w:sz="0" w:space="0" w:color="C4DEEE"/>
              </w:divBdr>
            </w:div>
          </w:divsChild>
        </w:div>
      </w:divsChild>
    </w:div>
    <w:div w:id="1770270715">
      <w:bodyDiv w:val="1"/>
      <w:marLeft w:val="0"/>
      <w:marRight w:val="0"/>
      <w:marTop w:val="0"/>
      <w:marBottom w:val="0"/>
      <w:divBdr>
        <w:top w:val="none" w:sz="0" w:space="0" w:color="auto"/>
        <w:left w:val="none" w:sz="0" w:space="0" w:color="auto"/>
        <w:bottom w:val="none" w:sz="0" w:space="0" w:color="auto"/>
        <w:right w:val="none" w:sz="0" w:space="0" w:color="auto"/>
      </w:divBdr>
    </w:div>
    <w:div w:id="1771388271">
      <w:bodyDiv w:val="1"/>
      <w:marLeft w:val="0"/>
      <w:marRight w:val="0"/>
      <w:marTop w:val="0"/>
      <w:marBottom w:val="0"/>
      <w:divBdr>
        <w:top w:val="none" w:sz="0" w:space="0" w:color="auto"/>
        <w:left w:val="none" w:sz="0" w:space="0" w:color="auto"/>
        <w:bottom w:val="none" w:sz="0" w:space="0" w:color="auto"/>
        <w:right w:val="none" w:sz="0" w:space="0" w:color="auto"/>
      </w:divBdr>
    </w:div>
    <w:div w:id="1784230123">
      <w:bodyDiv w:val="1"/>
      <w:marLeft w:val="0"/>
      <w:marRight w:val="0"/>
      <w:marTop w:val="0"/>
      <w:marBottom w:val="0"/>
      <w:divBdr>
        <w:top w:val="none" w:sz="0" w:space="0" w:color="auto"/>
        <w:left w:val="none" w:sz="0" w:space="0" w:color="auto"/>
        <w:bottom w:val="none" w:sz="0" w:space="0" w:color="auto"/>
        <w:right w:val="none" w:sz="0" w:space="0" w:color="auto"/>
      </w:divBdr>
    </w:div>
    <w:div w:id="1841693495">
      <w:bodyDiv w:val="1"/>
      <w:marLeft w:val="0"/>
      <w:marRight w:val="0"/>
      <w:marTop w:val="0"/>
      <w:marBottom w:val="0"/>
      <w:divBdr>
        <w:top w:val="none" w:sz="0" w:space="0" w:color="auto"/>
        <w:left w:val="none" w:sz="0" w:space="0" w:color="auto"/>
        <w:bottom w:val="none" w:sz="0" w:space="0" w:color="auto"/>
        <w:right w:val="none" w:sz="0" w:space="0" w:color="auto"/>
      </w:divBdr>
    </w:div>
    <w:div w:id="1902056523">
      <w:bodyDiv w:val="1"/>
      <w:marLeft w:val="0"/>
      <w:marRight w:val="0"/>
      <w:marTop w:val="0"/>
      <w:marBottom w:val="0"/>
      <w:divBdr>
        <w:top w:val="none" w:sz="0" w:space="0" w:color="auto"/>
        <w:left w:val="none" w:sz="0" w:space="0" w:color="auto"/>
        <w:bottom w:val="none" w:sz="0" w:space="0" w:color="auto"/>
        <w:right w:val="none" w:sz="0" w:space="0" w:color="auto"/>
      </w:divBdr>
    </w:div>
    <w:div w:id="2052798172">
      <w:bodyDiv w:val="1"/>
      <w:marLeft w:val="0"/>
      <w:marRight w:val="0"/>
      <w:marTop w:val="0"/>
      <w:marBottom w:val="0"/>
      <w:divBdr>
        <w:top w:val="none" w:sz="0" w:space="0" w:color="auto"/>
        <w:left w:val="none" w:sz="0" w:space="0" w:color="auto"/>
        <w:bottom w:val="none" w:sz="0" w:space="0" w:color="auto"/>
        <w:right w:val="none" w:sz="0" w:space="0" w:color="auto"/>
      </w:divBdr>
    </w:div>
    <w:div w:id="2095778550">
      <w:bodyDiv w:val="1"/>
      <w:marLeft w:val="0"/>
      <w:marRight w:val="0"/>
      <w:marTop w:val="0"/>
      <w:marBottom w:val="0"/>
      <w:divBdr>
        <w:top w:val="none" w:sz="0" w:space="0" w:color="auto"/>
        <w:left w:val="none" w:sz="0" w:space="0" w:color="auto"/>
        <w:bottom w:val="none" w:sz="0" w:space="0" w:color="auto"/>
        <w:right w:val="none" w:sz="0" w:space="0" w:color="auto"/>
      </w:divBdr>
    </w:div>
    <w:div w:id="2139444482">
      <w:bodyDiv w:val="1"/>
      <w:marLeft w:val="0"/>
      <w:marRight w:val="0"/>
      <w:marTop w:val="0"/>
      <w:marBottom w:val="0"/>
      <w:divBdr>
        <w:top w:val="none" w:sz="0" w:space="0" w:color="auto"/>
        <w:left w:val="none" w:sz="0" w:space="0" w:color="auto"/>
        <w:bottom w:val="none" w:sz="0" w:space="0" w:color="auto"/>
        <w:right w:val="none" w:sz="0" w:space="0" w:color="auto"/>
      </w:divBdr>
    </w:div>
    <w:div w:id="213983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bs.gov.au/industry/listing/elements/pbac-meetings/psd/2019-03/files/nivolumab-melanoma-psd-march-2019.pdf" TargetMode="External"/><Relationship Id="rId18" Type="http://schemas.openxmlformats.org/officeDocument/2006/relationships/image" Target="media/image1.png"/><Relationship Id="rId26" Type="http://schemas.openxmlformats.org/officeDocument/2006/relationships/image" Target="media/image6.png"/><Relationship Id="rId39" Type="http://schemas.openxmlformats.org/officeDocument/2006/relationships/chart" Target="charts/chart13.xml"/><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chart" Target="charts/chart8.xml"/><Relationship Id="rId42" Type="http://schemas.openxmlformats.org/officeDocument/2006/relationships/chart" Target="charts/chart16.xml"/><Relationship Id="rId47" Type="http://schemas.openxmlformats.org/officeDocument/2006/relationships/hyperlink" Target="https://doi.org/10.1016/j.annonc.2020.07.005"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bs.gov.au/industry/listing/elements/pbac-meetings/psd/2018-07/files/nivolumab-melanoma-psd-july-2018.pdf" TargetMode="External"/><Relationship Id="rId17" Type="http://schemas.openxmlformats.org/officeDocument/2006/relationships/chart" Target="charts/chart1.xml"/><Relationship Id="rId25" Type="http://schemas.openxmlformats.org/officeDocument/2006/relationships/image" Target="media/image5.png"/><Relationship Id="rId33" Type="http://schemas.openxmlformats.org/officeDocument/2006/relationships/chart" Target="charts/chart7.xml"/><Relationship Id="rId38" Type="http://schemas.openxmlformats.org/officeDocument/2006/relationships/chart" Target="charts/chart12.xml"/><Relationship Id="rId46" Type="http://schemas.openxmlformats.org/officeDocument/2006/relationships/hyperlink" Target="https://www.canceraustralia.gov.au/cancer-types/melanoma/statistics" TargetMode="External"/><Relationship Id="rId2" Type="http://schemas.openxmlformats.org/officeDocument/2006/relationships/numbering" Target="numbering.xml"/><Relationship Id="rId16" Type="http://schemas.openxmlformats.org/officeDocument/2006/relationships/hyperlink" Target="https://www.pbs.gov.au/info/industry/listing/participants/public-release-docs/dusc-public-release-documents-by-meeting" TargetMode="External"/><Relationship Id="rId20" Type="http://schemas.openxmlformats.org/officeDocument/2006/relationships/footer" Target="footer1.xml"/><Relationship Id="rId29" Type="http://schemas.openxmlformats.org/officeDocument/2006/relationships/chart" Target="charts/chart3.xml"/><Relationship Id="rId41" Type="http://schemas.openxmlformats.org/officeDocument/2006/relationships/chart" Target="charts/chart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entral.health\DFSGroupData\Sites\CO1\CO\PBD\PEB\EVAL\DUSC\DUSC%20Documents\Predicted%20vs%20actual%20usage\pbs.gov.au" TargetMode="External"/><Relationship Id="rId24" Type="http://schemas.openxmlformats.org/officeDocument/2006/relationships/image" Target="media/image4.png"/><Relationship Id="rId32" Type="http://schemas.openxmlformats.org/officeDocument/2006/relationships/chart" Target="charts/chart6.xml"/><Relationship Id="rId37" Type="http://schemas.openxmlformats.org/officeDocument/2006/relationships/chart" Target="charts/chart11.xml"/><Relationship Id="rId40" Type="http://schemas.openxmlformats.org/officeDocument/2006/relationships/chart" Target="charts/chart14.xml"/><Relationship Id="rId45" Type="http://schemas.openxmlformats.org/officeDocument/2006/relationships/hyperlink" Target="https://doi.org/10.3390/ijms19061566" TargetMode="External"/><Relationship Id="rId5" Type="http://schemas.openxmlformats.org/officeDocument/2006/relationships/webSettings" Target="webSettings.xml"/><Relationship Id="rId15" Type="http://schemas.openxmlformats.org/officeDocument/2006/relationships/hyperlink" Target="https://www.pbs.gov.au/industry/listing/elements/pbac-meetings/psd/2019-11/files/nivolumab-psd-november-2019.pdf" TargetMode="External"/><Relationship Id="rId23" Type="http://schemas.openxmlformats.org/officeDocument/2006/relationships/image" Target="media/image3.png"/><Relationship Id="rId28" Type="http://schemas.openxmlformats.org/officeDocument/2006/relationships/chart" Target="charts/chart2.xml"/><Relationship Id="rId36" Type="http://schemas.openxmlformats.org/officeDocument/2006/relationships/chart" Target="charts/chart10.xml"/><Relationship Id="rId49" Type="http://schemas.openxmlformats.org/officeDocument/2006/relationships/fontTable" Target="fontTable.xml"/><Relationship Id="rId10" Type="http://schemas.openxmlformats.org/officeDocument/2006/relationships/hyperlink" Target="http://www.pbs.gov.au/pbs/home" TargetMode="External"/><Relationship Id="rId19" Type="http://schemas.openxmlformats.org/officeDocument/2006/relationships/image" Target="media/image2.png"/><Relationship Id="rId31" Type="http://schemas.openxmlformats.org/officeDocument/2006/relationships/chart" Target="charts/chart5.xml"/><Relationship Id="rId44"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www.tga.gov.au/products/australian-register-therapeutic-goods-artg" TargetMode="External"/><Relationship Id="rId14" Type="http://schemas.openxmlformats.org/officeDocument/2006/relationships/hyperlink" Target="https://www.pbs.gov.au/industry/listing/elements/pbac-meetings/psd/2019-07/files/nivolumab-psd-july-2019.pdf" TargetMode="External"/><Relationship Id="rId22" Type="http://schemas.openxmlformats.org/officeDocument/2006/relationships/footer" Target="footer3.xml"/><Relationship Id="rId27" Type="http://schemas.openxmlformats.org/officeDocument/2006/relationships/image" Target="media/image7.png"/><Relationship Id="rId30" Type="http://schemas.openxmlformats.org/officeDocument/2006/relationships/chart" Target="charts/chart4.xml"/><Relationship Id="rId35" Type="http://schemas.openxmlformats.org/officeDocument/2006/relationships/chart" Target="charts/chart9.xml"/><Relationship Id="rId43" Type="http://schemas.openxmlformats.org/officeDocument/2006/relationships/chart" Target="charts/chart17.xml"/><Relationship Id="rId48" Type="http://schemas.openxmlformats.org/officeDocument/2006/relationships/hyperlink" Target="https://doi.org/10.1016/j.annonc.2020.07.004" TargetMode="External"/><Relationship Id="rId8" Type="http://schemas.openxmlformats.org/officeDocument/2006/relationships/hyperlink" Target="https://www.tga.gov.au/products/australian-register-therapeutic-goods-artg"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22\D1434%20-%20Nivolumab%20for%20adjuvant%20melanoma%20and%20market%20review\utilisation.xlsx"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2\D1434%20-%20Nivolumab%20for%20adjuvant%20melanoma%20and%20market%20review\utilisation.xlsx" TargetMode="External"/><Relationship Id="rId2" Type="http://schemas.microsoft.com/office/2011/relationships/chartColorStyle" Target="colors9.xml"/><Relationship Id="rId1" Type="http://schemas.microsoft.com/office/2011/relationships/chartStyle" Target="style9.xml"/></Relationships>
</file>

<file path=word/charts/_rels/chart11.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2\D1434%20-%20Nivolumab%20for%20adjuvant%20melanoma%20and%20market%20review\utilisation.xlsx" TargetMode="External"/><Relationship Id="rId2" Type="http://schemas.microsoft.com/office/2011/relationships/chartColorStyle" Target="colors10.xml"/><Relationship Id="rId1" Type="http://schemas.microsoft.com/office/2011/relationships/chartStyle" Target="style10.xml"/></Relationships>
</file>

<file path=word/charts/_rels/chart12.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2\D1434%20-%20Nivolumab%20for%20adjuvant%20melanoma%20and%20market%20review\utilisation.xlsx" TargetMode="External"/><Relationship Id="rId2" Type="http://schemas.microsoft.com/office/2011/relationships/chartColorStyle" Target="colors11.xml"/><Relationship Id="rId1" Type="http://schemas.microsoft.com/office/2011/relationships/chartStyle" Target="style11.xml"/></Relationships>
</file>

<file path=word/charts/_rels/chart13.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2\D1434%20-%20Nivolumab%20for%20adjuvant%20melanoma%20and%20market%20review\utilisation.xlsx" TargetMode="External"/><Relationship Id="rId2" Type="http://schemas.microsoft.com/office/2011/relationships/chartColorStyle" Target="colors12.xml"/><Relationship Id="rId1" Type="http://schemas.microsoft.com/office/2011/relationships/chartStyle" Target="style12.xml"/></Relationships>
</file>

<file path=word/charts/_rels/chart14.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2\D1434%20-%20Nivolumab%20for%20adjuvant%20melanoma%20and%20market%20review\utilisation.xlsx" TargetMode="External"/><Relationship Id="rId2" Type="http://schemas.microsoft.com/office/2011/relationships/chartColorStyle" Target="colors13.xml"/><Relationship Id="rId1" Type="http://schemas.microsoft.com/office/2011/relationships/chartStyle" Target="style13.xml"/></Relationships>
</file>

<file path=word/charts/_rels/chart15.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2\D1434%20-%20Nivolumab%20for%20adjuvant%20melanoma%20and%20market%20review\utilisation.xlsx" TargetMode="External"/><Relationship Id="rId2" Type="http://schemas.microsoft.com/office/2011/relationships/chartColorStyle" Target="colors14.xml"/><Relationship Id="rId1" Type="http://schemas.microsoft.com/office/2011/relationships/chartStyle" Target="style14.xml"/></Relationships>
</file>

<file path=word/charts/_rels/chart16.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2\D1434%20-%20Nivolumab%20for%20adjuvant%20melanoma%20and%20market%20review\unresectable%20nivo.xlsx" TargetMode="External"/><Relationship Id="rId2" Type="http://schemas.microsoft.com/office/2011/relationships/chartColorStyle" Target="colors15.xml"/><Relationship Id="rId1" Type="http://schemas.microsoft.com/office/2011/relationships/chartStyle" Target="style15.xml"/></Relationships>
</file>

<file path=word/charts/_rels/chart17.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2\D1434%20-%20Nivolumab%20for%20adjuvant%20melanoma%20and%20market%20review\unresectable%20nivo.xlsx" TargetMode="External"/><Relationship Id="rId2" Type="http://schemas.microsoft.com/office/2011/relationships/chartColorStyle" Target="colors16.xml"/><Relationship Id="rId1" Type="http://schemas.microsoft.com/office/2011/relationships/chartStyle" Target="style16.xml"/></Relationships>
</file>

<file path=word/charts/_rels/chart2.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2\D1434%20-%20Nivolumab%20for%20adjuvant%20melanoma%20and%20market%20review\utilisation.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2\D1434%20-%20Nivolumab%20for%20adjuvant%20melanoma%20and%20market%20review\utilisation.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2\D1434%20-%20Nivolumab%20for%20adjuvant%20melanoma%20and%20market%20review\utilisation.xlsx"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2\D1434%20-%20Nivolumab%20for%20adjuvant%20melanoma%20and%20market%20review\utilisation.xlsx" TargetMode="External"/><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2\D1434%20-%20Nivolumab%20for%20adjuvant%20melanoma%20and%20market%20review\utilisation.xlsx" TargetMode="External"/><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2\D1434%20-%20Nivolumab%20for%20adjuvant%20melanoma%20and%20market%20review\utilisation.xlsx" TargetMode="External"/><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2\D1434%20-%20Nivolumab%20for%20adjuvant%20melanoma%20and%20market%20review\utilisation.xlsx" TargetMode="External"/><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22\D1434%20-%20Nivolumab%20for%20adjuvant%20melanoma%20and%20market%20review\utilisation.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[utilisation.xlsx]nivo qtr!PivotTable2</c:name>
    <c:fmtId val="-1"/>
  </c:pivotSource>
  <c:chart>
    <c:autoTitleDeleted val="0"/>
    <c:pivotFmts>
      <c:pivotFmt>
        <c:idx val="0"/>
        <c:spPr>
          <a:solidFill>
            <a:schemeClr val="accent1"/>
          </a:solidFill>
          <a:ln w="28575" cap="rnd">
            <a:solidFill>
              <a:schemeClr val="accent1"/>
            </a:solidFill>
            <a:round/>
          </a:ln>
          <a:effectLst/>
        </c:spPr>
        <c:marker>
          <c:symbol val="none"/>
        </c:marker>
        <c:dLbl>
          <c:idx val="0"/>
          <c:delete val="1"/>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delete val="1"/>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delete val="1"/>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delete val="1"/>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delete val="1"/>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delete val="1"/>
          <c:extLst>
            <c:ext xmlns:c15="http://schemas.microsoft.com/office/drawing/2012/chart" uri="{CE6537A1-D6FC-4f65-9D91-7224C49458BB}"/>
          </c:extLst>
        </c:dLbl>
      </c:pivotFmt>
    </c:pivotFmts>
    <c:plotArea>
      <c:layout/>
      <c:lineChart>
        <c:grouping val="standard"/>
        <c:varyColors val="0"/>
        <c:ser>
          <c:idx val="0"/>
          <c:order val="0"/>
          <c:tx>
            <c:strRef>
              <c:f>'nivo qtr'!$G$2</c:f>
              <c:strCache>
                <c:ptCount val="1"/>
                <c:pt idx="0">
                  <c:v>Prevalent Patients</c:v>
                </c:pt>
              </c:strCache>
            </c:strRef>
          </c:tx>
          <c:spPr>
            <a:ln w="28575" cap="rnd">
              <a:solidFill>
                <a:schemeClr val="accent1"/>
              </a:solidFill>
              <a:round/>
            </a:ln>
            <a:effectLst/>
          </c:spPr>
          <c:marker>
            <c:symbol val="none"/>
          </c:marker>
          <c:cat>
            <c:strRef>
              <c:f>'nivo qtr'!$F$3:$F$13</c:f>
              <c:strCache>
                <c:ptCount val="10"/>
                <c:pt idx="0">
                  <c:v>2020Q1</c:v>
                </c:pt>
                <c:pt idx="1">
                  <c:v>2020Q2</c:v>
                </c:pt>
                <c:pt idx="2">
                  <c:v>2020Q3</c:v>
                </c:pt>
                <c:pt idx="3">
                  <c:v>2020Q4</c:v>
                </c:pt>
                <c:pt idx="4">
                  <c:v>2021Q1</c:v>
                </c:pt>
                <c:pt idx="5">
                  <c:v>2021Q2</c:v>
                </c:pt>
                <c:pt idx="6">
                  <c:v>2021Q3</c:v>
                </c:pt>
                <c:pt idx="7">
                  <c:v>2021Q4</c:v>
                </c:pt>
                <c:pt idx="8">
                  <c:v>2022Q1</c:v>
                </c:pt>
                <c:pt idx="9">
                  <c:v>2022Q2</c:v>
                </c:pt>
              </c:strCache>
            </c:strRef>
          </c:cat>
          <c:val>
            <c:numRef>
              <c:f>'nivo qtr'!$G$3:$G$13</c:f>
              <c:numCache>
                <c:formatCode>General</c:formatCode>
                <c:ptCount val="10"/>
                <c:pt idx="0">
                  <c:v>437</c:v>
                </c:pt>
                <c:pt idx="1">
                  <c:v>778</c:v>
                </c:pt>
                <c:pt idx="2">
                  <c:v>754</c:v>
                </c:pt>
                <c:pt idx="3">
                  <c:v>690</c:v>
                </c:pt>
                <c:pt idx="4">
                  <c:v>679</c:v>
                </c:pt>
                <c:pt idx="5">
                  <c:v>635</c:v>
                </c:pt>
                <c:pt idx="6">
                  <c:v>572</c:v>
                </c:pt>
                <c:pt idx="7">
                  <c:v>574</c:v>
                </c:pt>
                <c:pt idx="8">
                  <c:v>588</c:v>
                </c:pt>
                <c:pt idx="9">
                  <c:v>584</c:v>
                </c:pt>
              </c:numCache>
            </c:numRef>
          </c:val>
          <c:smooth val="0"/>
          <c:extLst>
            <c:ext xmlns:c16="http://schemas.microsoft.com/office/drawing/2014/chart" uri="{C3380CC4-5D6E-409C-BE32-E72D297353CC}">
              <c16:uniqueId val="{00000000-38BA-408F-B6A9-6F0B3D6EA862}"/>
            </c:ext>
          </c:extLst>
        </c:ser>
        <c:ser>
          <c:idx val="1"/>
          <c:order val="1"/>
          <c:tx>
            <c:strRef>
              <c:f>'nivo qtr'!$H$2</c:f>
              <c:strCache>
                <c:ptCount val="1"/>
                <c:pt idx="0">
                  <c:v>Initiating Patients</c:v>
                </c:pt>
              </c:strCache>
            </c:strRef>
          </c:tx>
          <c:spPr>
            <a:ln w="28575" cap="rnd">
              <a:solidFill>
                <a:schemeClr val="accent2"/>
              </a:solidFill>
              <a:round/>
            </a:ln>
            <a:effectLst/>
          </c:spPr>
          <c:marker>
            <c:symbol val="none"/>
          </c:marker>
          <c:cat>
            <c:strRef>
              <c:f>'nivo qtr'!$F$3:$F$13</c:f>
              <c:strCache>
                <c:ptCount val="10"/>
                <c:pt idx="0">
                  <c:v>2020Q1</c:v>
                </c:pt>
                <c:pt idx="1">
                  <c:v>2020Q2</c:v>
                </c:pt>
                <c:pt idx="2">
                  <c:v>2020Q3</c:v>
                </c:pt>
                <c:pt idx="3">
                  <c:v>2020Q4</c:v>
                </c:pt>
                <c:pt idx="4">
                  <c:v>2021Q1</c:v>
                </c:pt>
                <c:pt idx="5">
                  <c:v>2021Q2</c:v>
                </c:pt>
                <c:pt idx="6">
                  <c:v>2021Q3</c:v>
                </c:pt>
                <c:pt idx="7">
                  <c:v>2021Q4</c:v>
                </c:pt>
                <c:pt idx="8">
                  <c:v>2022Q1</c:v>
                </c:pt>
                <c:pt idx="9">
                  <c:v>2022Q2</c:v>
                </c:pt>
              </c:strCache>
            </c:strRef>
          </c:cat>
          <c:val>
            <c:numRef>
              <c:f>'nivo qtr'!$H$3:$H$13</c:f>
              <c:numCache>
                <c:formatCode>General</c:formatCode>
                <c:ptCount val="10"/>
                <c:pt idx="0">
                  <c:v>437</c:v>
                </c:pt>
                <c:pt idx="1">
                  <c:v>398</c:v>
                </c:pt>
                <c:pt idx="2">
                  <c:v>184</c:v>
                </c:pt>
                <c:pt idx="3">
                  <c:v>162</c:v>
                </c:pt>
                <c:pt idx="4">
                  <c:v>188</c:v>
                </c:pt>
                <c:pt idx="5">
                  <c:v>158</c:v>
                </c:pt>
                <c:pt idx="6">
                  <c:v>140</c:v>
                </c:pt>
                <c:pt idx="7">
                  <c:v>163</c:v>
                </c:pt>
                <c:pt idx="8">
                  <c:v>181</c:v>
                </c:pt>
                <c:pt idx="9">
                  <c:v>157</c:v>
                </c:pt>
              </c:numCache>
            </c:numRef>
          </c:val>
          <c:smooth val="0"/>
          <c:extLst>
            <c:ext xmlns:c16="http://schemas.microsoft.com/office/drawing/2014/chart" uri="{C3380CC4-5D6E-409C-BE32-E72D297353CC}">
              <c16:uniqueId val="{00000001-38BA-408F-B6A9-6F0B3D6EA862}"/>
            </c:ext>
          </c:extLst>
        </c:ser>
        <c:dLbls>
          <c:showLegendKey val="0"/>
          <c:showVal val="0"/>
          <c:showCatName val="0"/>
          <c:showSerName val="0"/>
          <c:showPercent val="0"/>
          <c:showBubbleSize val="0"/>
        </c:dLbls>
        <c:smooth val="0"/>
        <c:axId val="619171448"/>
        <c:axId val="619172432"/>
      </c:lineChart>
      <c:catAx>
        <c:axId val="619171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619172432"/>
        <c:crosses val="autoZero"/>
        <c:auto val="1"/>
        <c:lblAlgn val="ctr"/>
        <c:lblOffset val="100"/>
        <c:noMultiLvlLbl val="0"/>
      </c:catAx>
      <c:valAx>
        <c:axId val="6191724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AU"/>
                  <a:t>Patients</a:t>
                </a:r>
              </a:p>
            </c:rich>
          </c:tx>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n-US"/>
          </a:p>
        </c:txPr>
        <c:crossAx val="619171448"/>
        <c:crosses val="autoZero"/>
        <c:crossBetween val="between"/>
      </c:valAx>
      <c:spPr>
        <a:noFill/>
        <a:ln>
          <a:noFill/>
        </a:ln>
        <a:effectLst/>
      </c:spPr>
    </c:plotArea>
    <c:legend>
      <c:legendPos val="b"/>
      <c:layout>
        <c:manualLayout>
          <c:xMode val="edge"/>
          <c:yMode val="edge"/>
          <c:x val="0.26008708272859216"/>
          <c:y val="0.91929751945586102"/>
          <c:w val="0.47982583454281569"/>
          <c:h val="5.9534726090090744E-2"/>
        </c:manualLayout>
      </c:layout>
      <c:overlay val="0"/>
      <c:spPr>
        <a:noFill/>
        <a:ln>
          <a:noFill/>
        </a:ln>
        <a:effectLst/>
      </c:spPr>
      <c:txPr>
        <a:bodyPr rot="0" vert="horz"/>
        <a:lstStyle/>
        <a:p>
          <a:pPr>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[utilisation.xlsx]pd1 resec qtr!PivotTable4</c:name>
    <c:fmtId val="-1"/>
  </c:pivotSource>
  <c:chart>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'pd1 resec qtr'!$J$20:$J$21</c:f>
              <c:strCache>
                <c:ptCount val="1"/>
                <c:pt idx="0">
                  <c:v>Nivolumab</c:v>
                </c:pt>
              </c:strCache>
            </c:strRef>
          </c:tx>
          <c:spPr>
            <a:ln w="28575" cap="rnd">
              <a:solidFill>
                <a:schemeClr val="accent1"/>
              </a:solidFill>
              <a:round/>
            </a:ln>
            <a:effectLst/>
          </c:spPr>
          <c:marker>
            <c:symbol val="none"/>
          </c:marker>
          <c:cat>
            <c:strRef>
              <c:f>'pd1 resec qtr'!$I$22:$I$32</c:f>
              <c:strCache>
                <c:ptCount val="10"/>
                <c:pt idx="0">
                  <c:v>2020Q1</c:v>
                </c:pt>
                <c:pt idx="1">
                  <c:v>2020Q2</c:v>
                </c:pt>
                <c:pt idx="2">
                  <c:v>2020Q3</c:v>
                </c:pt>
                <c:pt idx="3">
                  <c:v>2020Q4</c:v>
                </c:pt>
                <c:pt idx="4">
                  <c:v>2021Q1</c:v>
                </c:pt>
                <c:pt idx="5">
                  <c:v>2021Q2</c:v>
                </c:pt>
                <c:pt idx="6">
                  <c:v>2021Q3</c:v>
                </c:pt>
                <c:pt idx="7">
                  <c:v>2021Q4</c:v>
                </c:pt>
                <c:pt idx="8">
                  <c:v>2022Q1</c:v>
                </c:pt>
                <c:pt idx="9">
                  <c:v>2022Q2</c:v>
                </c:pt>
              </c:strCache>
            </c:strRef>
          </c:cat>
          <c:val>
            <c:numRef>
              <c:f>'pd1 resec qtr'!$J$22:$J$32</c:f>
              <c:numCache>
                <c:formatCode>_("$"* #,##0_);_("$"* \(#,##0\);_("$"* "-"_);_(@_)</c:formatCode>
                <c:ptCount val="10"/>
                <c:pt idx="0">
                  <c:v>4585057.78</c:v>
                </c:pt>
                <c:pt idx="1">
                  <c:v>21467353.27</c:v>
                </c:pt>
                <c:pt idx="2">
                  <c:v>19652441.710000001</c:v>
                </c:pt>
                <c:pt idx="3">
                  <c:v>18613340.539999999</c:v>
                </c:pt>
                <c:pt idx="4">
                  <c:v>17054012.149999999</c:v>
                </c:pt>
                <c:pt idx="5">
                  <c:v>16351846.279999999</c:v>
                </c:pt>
                <c:pt idx="6">
                  <c:v>15313465.74</c:v>
                </c:pt>
                <c:pt idx="7">
                  <c:v>15218237.449999999</c:v>
                </c:pt>
                <c:pt idx="8">
                  <c:v>14933791.99</c:v>
                </c:pt>
                <c:pt idx="9">
                  <c:v>14741874.039999999</c:v>
                </c:pt>
              </c:numCache>
            </c:numRef>
          </c:val>
          <c:smooth val="0"/>
          <c:extLst>
            <c:ext xmlns:c16="http://schemas.microsoft.com/office/drawing/2014/chart" uri="{C3380CC4-5D6E-409C-BE32-E72D297353CC}">
              <c16:uniqueId val="{00000000-0CE7-4E1B-B6AE-016F0EB7BB38}"/>
            </c:ext>
          </c:extLst>
        </c:ser>
        <c:ser>
          <c:idx val="1"/>
          <c:order val="1"/>
          <c:tx>
            <c:strRef>
              <c:f>'pd1 resec qtr'!$K$20:$K$21</c:f>
              <c:strCache>
                <c:ptCount val="1"/>
                <c:pt idx="0">
                  <c:v>Pembrolizumab</c:v>
                </c:pt>
              </c:strCache>
            </c:strRef>
          </c:tx>
          <c:spPr>
            <a:ln w="28575" cap="rnd">
              <a:solidFill>
                <a:schemeClr val="accent2"/>
              </a:solidFill>
              <a:round/>
            </a:ln>
            <a:effectLst/>
          </c:spPr>
          <c:marker>
            <c:symbol val="none"/>
          </c:marker>
          <c:cat>
            <c:strRef>
              <c:f>'pd1 resec qtr'!$I$22:$I$32</c:f>
              <c:strCache>
                <c:ptCount val="10"/>
                <c:pt idx="0">
                  <c:v>2020Q1</c:v>
                </c:pt>
                <c:pt idx="1">
                  <c:v>2020Q2</c:v>
                </c:pt>
                <c:pt idx="2">
                  <c:v>2020Q3</c:v>
                </c:pt>
                <c:pt idx="3">
                  <c:v>2020Q4</c:v>
                </c:pt>
                <c:pt idx="4">
                  <c:v>2021Q1</c:v>
                </c:pt>
                <c:pt idx="5">
                  <c:v>2021Q2</c:v>
                </c:pt>
                <c:pt idx="6">
                  <c:v>2021Q3</c:v>
                </c:pt>
                <c:pt idx="7">
                  <c:v>2021Q4</c:v>
                </c:pt>
                <c:pt idx="8">
                  <c:v>2022Q1</c:v>
                </c:pt>
                <c:pt idx="9">
                  <c:v>2022Q2</c:v>
                </c:pt>
              </c:strCache>
            </c:strRef>
          </c:cat>
          <c:val>
            <c:numRef>
              <c:f>'pd1 resec qtr'!$K$22:$K$32</c:f>
              <c:numCache>
                <c:formatCode>General</c:formatCode>
                <c:ptCount val="10"/>
                <c:pt idx="2" formatCode="_(&quot;$&quot;* #,##0_);_(&quot;$&quot;* \(#,##0\);_(&quot;$&quot;* &quot;-&quot;_);_(@_)">
                  <c:v>137676.22</c:v>
                </c:pt>
                <c:pt idx="3" formatCode="_(&quot;$&quot;* #,##0_);_(&quot;$&quot;* \(#,##0\);_(&quot;$&quot;* &quot;-&quot;_);_(@_)">
                  <c:v>818442.98</c:v>
                </c:pt>
                <c:pt idx="4" formatCode="_(&quot;$&quot;* #,##0_);_(&quot;$&quot;* \(#,##0\);_(&quot;$&quot;* &quot;-&quot;_);_(@_)">
                  <c:v>1672837.21</c:v>
                </c:pt>
                <c:pt idx="5" formatCode="_(&quot;$&quot;* #,##0_);_(&quot;$&quot;* \(#,##0\);_(&quot;$&quot;* &quot;-&quot;_);_(@_)">
                  <c:v>1628517.31</c:v>
                </c:pt>
                <c:pt idx="6" formatCode="_(&quot;$&quot;* #,##0_);_(&quot;$&quot;* \(#,##0\);_(&quot;$&quot;* &quot;-&quot;_);_(@_)">
                  <c:v>1862794.87</c:v>
                </c:pt>
                <c:pt idx="7" formatCode="_(&quot;$&quot;* #,##0_);_(&quot;$&quot;* \(#,##0\);_(&quot;$&quot;* &quot;-&quot;_);_(@_)">
                  <c:v>2001448.47</c:v>
                </c:pt>
                <c:pt idx="8" formatCode="_(&quot;$&quot;* #,##0_);_(&quot;$&quot;* \(#,##0\);_(&quot;$&quot;* &quot;-&quot;_);_(@_)">
                  <c:v>2036662.22</c:v>
                </c:pt>
                <c:pt idx="9" formatCode="_(&quot;$&quot;* #,##0_);_(&quot;$&quot;* \(#,##0\);_(&quot;$&quot;* &quot;-&quot;_);_(@_)">
                  <c:v>3162015.94</c:v>
                </c:pt>
              </c:numCache>
            </c:numRef>
          </c:val>
          <c:smooth val="0"/>
          <c:extLst>
            <c:ext xmlns:c16="http://schemas.microsoft.com/office/drawing/2014/chart" uri="{C3380CC4-5D6E-409C-BE32-E72D297353CC}">
              <c16:uniqueId val="{00000001-0CE7-4E1B-B6AE-016F0EB7BB38}"/>
            </c:ext>
          </c:extLst>
        </c:ser>
        <c:dLbls>
          <c:showLegendKey val="0"/>
          <c:showVal val="0"/>
          <c:showCatName val="0"/>
          <c:showSerName val="0"/>
          <c:showPercent val="0"/>
          <c:showBubbleSize val="0"/>
        </c:dLbls>
        <c:smooth val="0"/>
        <c:axId val="933985248"/>
        <c:axId val="933984920"/>
      </c:lineChart>
      <c:catAx>
        <c:axId val="933985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3984920"/>
        <c:crosses val="autoZero"/>
        <c:auto val="1"/>
        <c:lblAlgn val="ctr"/>
        <c:lblOffset val="100"/>
        <c:noMultiLvlLbl val="0"/>
      </c:catAx>
      <c:valAx>
        <c:axId val="933984920"/>
        <c:scaling>
          <c:orientation val="minMax"/>
        </c:scaling>
        <c:delete val="0"/>
        <c:axPos val="l"/>
        <c:majorGridlines>
          <c:spPr>
            <a:ln w="9525" cap="flat" cmpd="sng" algn="ctr">
              <a:solidFill>
                <a:schemeClr val="tx1">
                  <a:lumMod val="15000"/>
                  <a:lumOff val="85000"/>
                </a:schemeClr>
              </a:solidFill>
              <a:round/>
            </a:ln>
            <a:effectLst/>
          </c:spPr>
        </c:majorGridlines>
        <c:numFmt formatCode="_(&quot;$&quot;* #,##0_);_(&quot;$&quot;* \(#,##0\);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3985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[utilisation.xlsx]braf-mek resec qtr!PivotTable6</c:name>
    <c:fmtId val="-1"/>
  </c:pivotSource>
  <c:chart>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'braf-mek resec qtr'!$J$22:$J$23</c:f>
              <c:strCache>
                <c:ptCount val="1"/>
                <c:pt idx="0">
                  <c:v>Dabrafenib</c:v>
                </c:pt>
              </c:strCache>
            </c:strRef>
          </c:tx>
          <c:spPr>
            <a:ln w="28575" cap="rnd">
              <a:solidFill>
                <a:schemeClr val="accent1"/>
              </a:solidFill>
              <a:round/>
            </a:ln>
            <a:effectLst/>
          </c:spPr>
          <c:marker>
            <c:symbol val="none"/>
          </c:marker>
          <c:cat>
            <c:strRef>
              <c:f>'braf-mek resec qtr'!$I$24:$I$35</c:f>
              <c:strCache>
                <c:ptCount val="11"/>
                <c:pt idx="0">
                  <c:v>2019Q4</c:v>
                </c:pt>
                <c:pt idx="1">
                  <c:v>2020Q1</c:v>
                </c:pt>
                <c:pt idx="2">
                  <c:v>2020Q2</c:v>
                </c:pt>
                <c:pt idx="3">
                  <c:v>2020Q3</c:v>
                </c:pt>
                <c:pt idx="4">
                  <c:v>2020Q4</c:v>
                </c:pt>
                <c:pt idx="5">
                  <c:v>2021Q1</c:v>
                </c:pt>
                <c:pt idx="6">
                  <c:v>2021Q2</c:v>
                </c:pt>
                <c:pt idx="7">
                  <c:v>2021Q3</c:v>
                </c:pt>
                <c:pt idx="8">
                  <c:v>2021Q4</c:v>
                </c:pt>
                <c:pt idx="9">
                  <c:v>2022Q1</c:v>
                </c:pt>
                <c:pt idx="10">
                  <c:v>2022Q2</c:v>
                </c:pt>
              </c:strCache>
            </c:strRef>
          </c:cat>
          <c:val>
            <c:numRef>
              <c:f>'braf-mek resec qtr'!$J$24:$J$35</c:f>
              <c:numCache>
                <c:formatCode>_("$"* #,##0_);_("$"* \(#,##0\);_("$"* "-"_);_(@_)</c:formatCode>
                <c:ptCount val="11"/>
                <c:pt idx="0">
                  <c:v>572434.1</c:v>
                </c:pt>
                <c:pt idx="1">
                  <c:v>1171572.1399999999</c:v>
                </c:pt>
                <c:pt idx="2">
                  <c:v>1268204.08</c:v>
                </c:pt>
                <c:pt idx="3">
                  <c:v>1431968.65</c:v>
                </c:pt>
                <c:pt idx="4">
                  <c:v>1375447.94</c:v>
                </c:pt>
                <c:pt idx="5">
                  <c:v>1488069.52</c:v>
                </c:pt>
                <c:pt idx="6">
                  <c:v>1378638.2</c:v>
                </c:pt>
                <c:pt idx="7">
                  <c:v>1310777.77</c:v>
                </c:pt>
                <c:pt idx="8">
                  <c:v>1467705.98</c:v>
                </c:pt>
                <c:pt idx="9">
                  <c:v>1355540.82</c:v>
                </c:pt>
                <c:pt idx="10">
                  <c:v>1280972.6599999999</c:v>
                </c:pt>
              </c:numCache>
            </c:numRef>
          </c:val>
          <c:smooth val="0"/>
          <c:extLst>
            <c:ext xmlns:c16="http://schemas.microsoft.com/office/drawing/2014/chart" uri="{C3380CC4-5D6E-409C-BE32-E72D297353CC}">
              <c16:uniqueId val="{00000000-12AA-4E3A-AED8-992390E43BED}"/>
            </c:ext>
          </c:extLst>
        </c:ser>
        <c:ser>
          <c:idx val="1"/>
          <c:order val="1"/>
          <c:tx>
            <c:strRef>
              <c:f>'braf-mek resec qtr'!$K$22:$K$23</c:f>
              <c:strCache>
                <c:ptCount val="1"/>
                <c:pt idx="0">
                  <c:v>Trametinib</c:v>
                </c:pt>
              </c:strCache>
            </c:strRef>
          </c:tx>
          <c:spPr>
            <a:ln w="28575" cap="rnd">
              <a:solidFill>
                <a:schemeClr val="accent2"/>
              </a:solidFill>
              <a:round/>
            </a:ln>
            <a:effectLst/>
          </c:spPr>
          <c:marker>
            <c:symbol val="none"/>
          </c:marker>
          <c:cat>
            <c:strRef>
              <c:f>'braf-mek resec qtr'!$I$24:$I$35</c:f>
              <c:strCache>
                <c:ptCount val="11"/>
                <c:pt idx="0">
                  <c:v>2019Q4</c:v>
                </c:pt>
                <c:pt idx="1">
                  <c:v>2020Q1</c:v>
                </c:pt>
                <c:pt idx="2">
                  <c:v>2020Q2</c:v>
                </c:pt>
                <c:pt idx="3">
                  <c:v>2020Q3</c:v>
                </c:pt>
                <c:pt idx="4">
                  <c:v>2020Q4</c:v>
                </c:pt>
                <c:pt idx="5">
                  <c:v>2021Q1</c:v>
                </c:pt>
                <c:pt idx="6">
                  <c:v>2021Q2</c:v>
                </c:pt>
                <c:pt idx="7">
                  <c:v>2021Q3</c:v>
                </c:pt>
                <c:pt idx="8">
                  <c:v>2021Q4</c:v>
                </c:pt>
                <c:pt idx="9">
                  <c:v>2022Q1</c:v>
                </c:pt>
                <c:pt idx="10">
                  <c:v>2022Q2</c:v>
                </c:pt>
              </c:strCache>
            </c:strRef>
          </c:cat>
          <c:val>
            <c:numRef>
              <c:f>'braf-mek resec qtr'!$K$24:$K$35</c:f>
              <c:numCache>
                <c:formatCode>_("$"* #,##0_);_("$"* \(#,##0\);_("$"* "-"_);_(@_)</c:formatCode>
                <c:ptCount val="11"/>
                <c:pt idx="0">
                  <c:v>561402.85</c:v>
                </c:pt>
                <c:pt idx="1">
                  <c:v>1228425.3</c:v>
                </c:pt>
                <c:pt idx="2">
                  <c:v>1348134.28</c:v>
                </c:pt>
                <c:pt idx="3">
                  <c:v>1534175.62</c:v>
                </c:pt>
                <c:pt idx="4">
                  <c:v>1532877.75</c:v>
                </c:pt>
                <c:pt idx="5">
                  <c:v>1580321.38</c:v>
                </c:pt>
                <c:pt idx="6">
                  <c:v>1364213.9</c:v>
                </c:pt>
                <c:pt idx="7">
                  <c:v>1270594.6200000001</c:v>
                </c:pt>
                <c:pt idx="8">
                  <c:v>1536933.64</c:v>
                </c:pt>
                <c:pt idx="9">
                  <c:v>1318600.6599999999</c:v>
                </c:pt>
                <c:pt idx="10">
                  <c:v>1339472.06</c:v>
                </c:pt>
              </c:numCache>
            </c:numRef>
          </c:val>
          <c:smooth val="0"/>
          <c:extLst>
            <c:ext xmlns:c16="http://schemas.microsoft.com/office/drawing/2014/chart" uri="{C3380CC4-5D6E-409C-BE32-E72D297353CC}">
              <c16:uniqueId val="{00000001-12AA-4E3A-AED8-992390E43BED}"/>
            </c:ext>
          </c:extLst>
        </c:ser>
        <c:dLbls>
          <c:showLegendKey val="0"/>
          <c:showVal val="0"/>
          <c:showCatName val="0"/>
          <c:showSerName val="0"/>
          <c:showPercent val="0"/>
          <c:showBubbleSize val="0"/>
        </c:dLbls>
        <c:smooth val="0"/>
        <c:axId val="939905072"/>
        <c:axId val="230985976"/>
      </c:lineChart>
      <c:catAx>
        <c:axId val="939905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0985976"/>
        <c:crosses val="autoZero"/>
        <c:auto val="1"/>
        <c:lblAlgn val="ctr"/>
        <c:lblOffset val="100"/>
        <c:noMultiLvlLbl val="0"/>
      </c:catAx>
      <c:valAx>
        <c:axId val="230985976"/>
        <c:scaling>
          <c:orientation val="minMax"/>
        </c:scaling>
        <c:delete val="0"/>
        <c:axPos val="l"/>
        <c:majorGridlines>
          <c:spPr>
            <a:ln w="9525" cap="flat" cmpd="sng" algn="ctr">
              <a:solidFill>
                <a:schemeClr val="tx1">
                  <a:lumMod val="15000"/>
                  <a:lumOff val="85000"/>
                </a:schemeClr>
              </a:solidFill>
              <a:round/>
            </a:ln>
            <a:effectLst/>
          </c:spPr>
        </c:majorGridlines>
        <c:numFmt formatCode="_(&quot;$&quot;* #,##0_);_(&quot;$&quot;* \(#,##0\);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9905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[utilisation.xlsx]pd1 unresec qtr!PivotTable14</c:name>
    <c:fmtId val="-1"/>
  </c:pivotSource>
  <c:chart>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'pd1 unresec qtr'!$J$43:$J$44</c:f>
              <c:strCache>
                <c:ptCount val="1"/>
                <c:pt idx="0">
                  <c:v>IPILIMUMAB</c:v>
                </c:pt>
              </c:strCache>
            </c:strRef>
          </c:tx>
          <c:spPr>
            <a:ln w="28575" cap="rnd">
              <a:solidFill>
                <a:schemeClr val="accent1"/>
              </a:solidFill>
              <a:round/>
            </a:ln>
            <a:effectLst/>
          </c:spPr>
          <c:marker>
            <c:symbol val="none"/>
          </c:marker>
          <c:cat>
            <c:strRef>
              <c:f>'pd1 unresec qtr'!$I$45:$I$81</c:f>
              <c:strCache>
                <c:ptCount val="36"/>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pt idx="32">
                  <c:v>2021Q3</c:v>
                </c:pt>
                <c:pt idx="33">
                  <c:v>2021Q4</c:v>
                </c:pt>
                <c:pt idx="34">
                  <c:v>2022Q1</c:v>
                </c:pt>
                <c:pt idx="35">
                  <c:v>2022Q2</c:v>
                </c:pt>
              </c:strCache>
            </c:strRef>
          </c:cat>
          <c:val>
            <c:numRef>
              <c:f>'pd1 unresec qtr'!$J$45:$J$81</c:f>
              <c:numCache>
                <c:formatCode>_("$"* #,##0_);_("$"* \(#,##0\);_("$"* "-"_);_(@_)</c:formatCode>
                <c:ptCount val="36"/>
                <c:pt idx="0">
                  <c:v>13709107.470000001</c:v>
                </c:pt>
                <c:pt idx="1">
                  <c:v>20198492.300000001</c:v>
                </c:pt>
                <c:pt idx="2">
                  <c:v>16453476.880000001</c:v>
                </c:pt>
                <c:pt idx="3">
                  <c:v>23509128.399999999</c:v>
                </c:pt>
                <c:pt idx="4">
                  <c:v>24432106.940000001</c:v>
                </c:pt>
                <c:pt idx="5">
                  <c:v>22630523.850000001</c:v>
                </c:pt>
                <c:pt idx="6">
                  <c:v>20693299.390000001</c:v>
                </c:pt>
                <c:pt idx="7">
                  <c:v>19781391.77</c:v>
                </c:pt>
                <c:pt idx="8">
                  <c:v>5428868.9699999997</c:v>
                </c:pt>
                <c:pt idx="9">
                  <c:v>2043324.64</c:v>
                </c:pt>
                <c:pt idx="10">
                  <c:v>4601916.96</c:v>
                </c:pt>
                <c:pt idx="11">
                  <c:v>5767245.4699999997</c:v>
                </c:pt>
                <c:pt idx="12">
                  <c:v>6855692.0899999999</c:v>
                </c:pt>
                <c:pt idx="13">
                  <c:v>9533153.5700000003</c:v>
                </c:pt>
                <c:pt idx="14">
                  <c:v>15987594.67</c:v>
                </c:pt>
                <c:pt idx="15">
                  <c:v>14830548.51</c:v>
                </c:pt>
                <c:pt idx="16">
                  <c:v>17533323.969999999</c:v>
                </c:pt>
                <c:pt idx="17">
                  <c:v>15901251.24</c:v>
                </c:pt>
                <c:pt idx="18">
                  <c:v>17282865.579999998</c:v>
                </c:pt>
                <c:pt idx="19">
                  <c:v>16203701.779999999</c:v>
                </c:pt>
                <c:pt idx="20">
                  <c:v>19496812.079999998</c:v>
                </c:pt>
                <c:pt idx="21">
                  <c:v>19683240.420000002</c:v>
                </c:pt>
                <c:pt idx="22">
                  <c:v>20530775.109999999</c:v>
                </c:pt>
                <c:pt idx="23">
                  <c:v>19030734.309999999</c:v>
                </c:pt>
                <c:pt idx="24">
                  <c:v>20916268.940000001</c:v>
                </c:pt>
                <c:pt idx="25">
                  <c:v>19516020.32</c:v>
                </c:pt>
                <c:pt idx="26">
                  <c:v>19524822.239999998</c:v>
                </c:pt>
                <c:pt idx="27">
                  <c:v>22416844.989999998</c:v>
                </c:pt>
                <c:pt idx="28">
                  <c:v>23227509.039999999</c:v>
                </c:pt>
                <c:pt idx="29">
                  <c:v>21211687.75</c:v>
                </c:pt>
                <c:pt idx="30">
                  <c:v>22914911.510000002</c:v>
                </c:pt>
                <c:pt idx="31">
                  <c:v>22135837.050000001</c:v>
                </c:pt>
                <c:pt idx="32">
                  <c:v>27433509.949999999</c:v>
                </c:pt>
                <c:pt idx="33">
                  <c:v>26650519.949999999</c:v>
                </c:pt>
                <c:pt idx="34">
                  <c:v>25694183.030000001</c:v>
                </c:pt>
                <c:pt idx="35">
                  <c:v>26024923.48</c:v>
                </c:pt>
              </c:numCache>
            </c:numRef>
          </c:val>
          <c:smooth val="0"/>
          <c:extLst>
            <c:ext xmlns:c16="http://schemas.microsoft.com/office/drawing/2014/chart" uri="{C3380CC4-5D6E-409C-BE32-E72D297353CC}">
              <c16:uniqueId val="{00000000-FC3A-4984-8688-D66ADDD7C1F8}"/>
            </c:ext>
          </c:extLst>
        </c:ser>
        <c:ser>
          <c:idx val="1"/>
          <c:order val="1"/>
          <c:tx>
            <c:strRef>
              <c:f>'pd1 unresec qtr'!$K$43:$K$44</c:f>
              <c:strCache>
                <c:ptCount val="1"/>
                <c:pt idx="0">
                  <c:v>NIVOLUMAB</c:v>
                </c:pt>
              </c:strCache>
            </c:strRef>
          </c:tx>
          <c:spPr>
            <a:ln w="28575" cap="rnd">
              <a:solidFill>
                <a:schemeClr val="accent2"/>
              </a:solidFill>
              <a:round/>
            </a:ln>
            <a:effectLst/>
          </c:spPr>
          <c:marker>
            <c:symbol val="none"/>
          </c:marker>
          <c:cat>
            <c:strRef>
              <c:f>'pd1 unresec qtr'!$I$45:$I$81</c:f>
              <c:strCache>
                <c:ptCount val="36"/>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pt idx="32">
                  <c:v>2021Q3</c:v>
                </c:pt>
                <c:pt idx="33">
                  <c:v>2021Q4</c:v>
                </c:pt>
                <c:pt idx="34">
                  <c:v>2022Q1</c:v>
                </c:pt>
                <c:pt idx="35">
                  <c:v>2022Q2</c:v>
                </c:pt>
              </c:strCache>
            </c:strRef>
          </c:cat>
          <c:val>
            <c:numRef>
              <c:f>'pd1 unresec qtr'!$K$45:$K$81</c:f>
              <c:numCache>
                <c:formatCode>General</c:formatCode>
                <c:ptCount val="36"/>
                <c:pt idx="11" formatCode="_(&quot;$&quot;* #,##0_);_(&quot;$&quot;* \(#,##0\);_(&quot;$&quot;* &quot;-&quot;_);_(@_)">
                  <c:v>554251.46</c:v>
                </c:pt>
                <c:pt idx="12" formatCode="_(&quot;$&quot;* #,##0_);_(&quot;$&quot;* \(#,##0\);_(&quot;$&quot;* &quot;-&quot;_);_(@_)">
                  <c:v>1506445.03</c:v>
                </c:pt>
                <c:pt idx="13" formatCode="_(&quot;$&quot;* #,##0_);_(&quot;$&quot;* \(#,##0\);_(&quot;$&quot;* &quot;-&quot;_);_(@_)">
                  <c:v>2259200.0499999998</c:v>
                </c:pt>
                <c:pt idx="14" formatCode="_(&quot;$&quot;* #,##0_);_(&quot;$&quot;* \(#,##0\);_(&quot;$&quot;* &quot;-&quot;_);_(@_)">
                  <c:v>2809992.91</c:v>
                </c:pt>
                <c:pt idx="15" formatCode="_(&quot;$&quot;* #,##0_);_(&quot;$&quot;* \(#,##0\);_(&quot;$&quot;* &quot;-&quot;_);_(@_)">
                  <c:v>3079434.59</c:v>
                </c:pt>
                <c:pt idx="16" formatCode="_(&quot;$&quot;* #,##0_);_(&quot;$&quot;* \(#,##0\);_(&quot;$&quot;* &quot;-&quot;_);_(@_)">
                  <c:v>4231368.4800000004</c:v>
                </c:pt>
                <c:pt idx="17" formatCode="_(&quot;$&quot;* #,##0_);_(&quot;$&quot;* \(#,##0\);_(&quot;$&quot;* &quot;-&quot;_);_(@_)">
                  <c:v>5414617.6399999997</c:v>
                </c:pt>
                <c:pt idx="18" formatCode="_(&quot;$&quot;* #,##0_);_(&quot;$&quot;* \(#,##0\);_(&quot;$&quot;* &quot;-&quot;_);_(@_)">
                  <c:v>6301724.9299999997</c:v>
                </c:pt>
                <c:pt idx="19" formatCode="_(&quot;$&quot;* #,##0_);_(&quot;$&quot;* \(#,##0\);_(&quot;$&quot;* &quot;-&quot;_);_(@_)">
                  <c:v>6942004.6299999999</c:v>
                </c:pt>
                <c:pt idx="20" formatCode="_(&quot;$&quot;* #,##0_);_(&quot;$&quot;* \(#,##0\);_(&quot;$&quot;* &quot;-&quot;_);_(@_)">
                  <c:v>7544973.5700000003</c:v>
                </c:pt>
                <c:pt idx="21" formatCode="_(&quot;$&quot;* #,##0_);_(&quot;$&quot;* \(#,##0\);_(&quot;$&quot;* &quot;-&quot;_);_(@_)">
                  <c:v>10093765.75</c:v>
                </c:pt>
                <c:pt idx="22" formatCode="_(&quot;$&quot;* #,##0_);_(&quot;$&quot;* \(#,##0\);_(&quot;$&quot;* &quot;-&quot;_);_(@_)">
                  <c:v>16790938.219999999</c:v>
                </c:pt>
                <c:pt idx="23" formatCode="_(&quot;$&quot;* #,##0_);_(&quot;$&quot;* \(#,##0\);_(&quot;$&quot;* &quot;-&quot;_);_(@_)">
                  <c:v>17800205.68</c:v>
                </c:pt>
                <c:pt idx="24" formatCode="_(&quot;$&quot;* #,##0_);_(&quot;$&quot;* \(#,##0\);_(&quot;$&quot;* &quot;-&quot;_);_(@_)">
                  <c:v>19864352.23</c:v>
                </c:pt>
                <c:pt idx="25" formatCode="_(&quot;$&quot;* #,##0_);_(&quot;$&quot;* \(#,##0\);_(&quot;$&quot;* &quot;-&quot;_);_(@_)">
                  <c:v>22758960.920000002</c:v>
                </c:pt>
                <c:pt idx="26" formatCode="_(&quot;$&quot;* #,##0_);_(&quot;$&quot;* \(#,##0\);_(&quot;$&quot;* &quot;-&quot;_);_(@_)">
                  <c:v>25116467.25</c:v>
                </c:pt>
                <c:pt idx="27" formatCode="_(&quot;$&quot;* #,##0_);_(&quot;$&quot;* \(#,##0\);_(&quot;$&quot;* &quot;-&quot;_);_(@_)">
                  <c:v>31422691.73</c:v>
                </c:pt>
                <c:pt idx="28" formatCode="_(&quot;$&quot;* #,##0_);_(&quot;$&quot;* \(#,##0\);_(&quot;$&quot;* &quot;-&quot;_);_(@_)">
                  <c:v>33285208.050000001</c:v>
                </c:pt>
                <c:pt idx="29" formatCode="_(&quot;$&quot;* #,##0_);_(&quot;$&quot;* \(#,##0\);_(&quot;$&quot;* &quot;-&quot;_);_(@_)">
                  <c:v>34487954.200000003</c:v>
                </c:pt>
                <c:pt idx="30" formatCode="_(&quot;$&quot;* #,##0_);_(&quot;$&quot;* \(#,##0\);_(&quot;$&quot;* &quot;-&quot;_);_(@_)">
                  <c:v>34154254.149999999</c:v>
                </c:pt>
                <c:pt idx="31" formatCode="_(&quot;$&quot;* #,##0_);_(&quot;$&quot;* \(#,##0\);_(&quot;$&quot;* &quot;-&quot;_);_(@_)">
                  <c:v>34595117.990000002</c:v>
                </c:pt>
                <c:pt idx="32" formatCode="_(&quot;$&quot;* #,##0_);_(&quot;$&quot;* \(#,##0\);_(&quot;$&quot;* &quot;-&quot;_);_(@_)">
                  <c:v>36424182.170000002</c:v>
                </c:pt>
                <c:pt idx="33" formatCode="_(&quot;$&quot;* #,##0_);_(&quot;$&quot;* \(#,##0\);_(&quot;$&quot;* &quot;-&quot;_);_(@_)">
                  <c:v>36719963.219999999</c:v>
                </c:pt>
                <c:pt idx="34" formatCode="_(&quot;$&quot;* #,##0_);_(&quot;$&quot;* \(#,##0\);_(&quot;$&quot;* &quot;-&quot;_);_(@_)">
                  <c:v>37441112.890000001</c:v>
                </c:pt>
                <c:pt idx="35" formatCode="_(&quot;$&quot;* #,##0_);_(&quot;$&quot;* \(#,##0\);_(&quot;$&quot;* &quot;-&quot;_);_(@_)">
                  <c:v>35642649.009999998</c:v>
                </c:pt>
              </c:numCache>
            </c:numRef>
          </c:val>
          <c:smooth val="0"/>
          <c:extLst>
            <c:ext xmlns:c16="http://schemas.microsoft.com/office/drawing/2014/chart" uri="{C3380CC4-5D6E-409C-BE32-E72D297353CC}">
              <c16:uniqueId val="{00000001-FC3A-4984-8688-D66ADDD7C1F8}"/>
            </c:ext>
          </c:extLst>
        </c:ser>
        <c:ser>
          <c:idx val="2"/>
          <c:order val="2"/>
          <c:tx>
            <c:strRef>
              <c:f>'pd1 unresec qtr'!$L$43:$L$44</c:f>
              <c:strCache>
                <c:ptCount val="1"/>
                <c:pt idx="0">
                  <c:v>PEMBROLIZUMAB</c:v>
                </c:pt>
              </c:strCache>
            </c:strRef>
          </c:tx>
          <c:spPr>
            <a:ln w="28575" cap="rnd">
              <a:solidFill>
                <a:schemeClr val="accent3"/>
              </a:solidFill>
              <a:round/>
            </a:ln>
            <a:effectLst/>
          </c:spPr>
          <c:marker>
            <c:symbol val="none"/>
          </c:marker>
          <c:cat>
            <c:strRef>
              <c:f>'pd1 unresec qtr'!$I$45:$I$81</c:f>
              <c:strCache>
                <c:ptCount val="36"/>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pt idx="32">
                  <c:v>2021Q3</c:v>
                </c:pt>
                <c:pt idx="33">
                  <c:v>2021Q4</c:v>
                </c:pt>
                <c:pt idx="34">
                  <c:v>2022Q1</c:v>
                </c:pt>
                <c:pt idx="35">
                  <c:v>2022Q2</c:v>
                </c:pt>
              </c:strCache>
            </c:strRef>
          </c:cat>
          <c:val>
            <c:numRef>
              <c:f>'pd1 unresec qtr'!$L$45:$L$81</c:f>
              <c:numCache>
                <c:formatCode>General</c:formatCode>
                <c:ptCount val="36"/>
                <c:pt idx="8" formatCode="_(&quot;$&quot;* #,##0_);_(&quot;$&quot;* \(#,##0\);_(&quot;$&quot;* &quot;-&quot;_);_(@_)">
                  <c:v>4480972.7300000004</c:v>
                </c:pt>
                <c:pt idx="9" formatCode="_(&quot;$&quot;* #,##0_);_(&quot;$&quot;* \(#,##0\);_(&quot;$&quot;* &quot;-&quot;_);_(@_)">
                  <c:v>20290303.739999998</c:v>
                </c:pt>
                <c:pt idx="10" formatCode="_(&quot;$&quot;* #,##0_);_(&quot;$&quot;* \(#,##0\);_(&quot;$&quot;* &quot;-&quot;_);_(@_)">
                  <c:v>26214092.02</c:v>
                </c:pt>
                <c:pt idx="11" formatCode="_(&quot;$&quot;* #,##0_);_(&quot;$&quot;* \(#,##0\);_(&quot;$&quot;* &quot;-&quot;_);_(@_)">
                  <c:v>30576177.140000001</c:v>
                </c:pt>
                <c:pt idx="12" formatCode="_(&quot;$&quot;* #,##0_);_(&quot;$&quot;* \(#,##0\);_(&quot;$&quot;* &quot;-&quot;_);_(@_)">
                  <c:v>32890218.140000001</c:v>
                </c:pt>
                <c:pt idx="13" formatCode="_(&quot;$&quot;* #,##0_);_(&quot;$&quot;* \(#,##0\);_(&quot;$&quot;* &quot;-&quot;_);_(@_)">
                  <c:v>33352016.920000002</c:v>
                </c:pt>
                <c:pt idx="14" formatCode="_(&quot;$&quot;* #,##0_);_(&quot;$&quot;* \(#,##0\);_(&quot;$&quot;* &quot;-&quot;_);_(@_)">
                  <c:v>35085882.920000002</c:v>
                </c:pt>
                <c:pt idx="15" formatCode="_(&quot;$&quot;* #,##0_);_(&quot;$&quot;* \(#,##0\);_(&quot;$&quot;* &quot;-&quot;_);_(@_)">
                  <c:v>35409126.359999999</c:v>
                </c:pt>
                <c:pt idx="16" formatCode="_(&quot;$&quot;* #,##0_);_(&quot;$&quot;* \(#,##0\);_(&quot;$&quot;* &quot;-&quot;_);_(@_)">
                  <c:v>35007847.799999997</c:v>
                </c:pt>
                <c:pt idx="17" formatCode="_(&quot;$&quot;* #,##0_);_(&quot;$&quot;* \(#,##0\);_(&quot;$&quot;* &quot;-&quot;_);_(@_)">
                  <c:v>36136270.140000001</c:v>
                </c:pt>
                <c:pt idx="18" formatCode="_(&quot;$&quot;* #,##0_);_(&quot;$&quot;* \(#,##0\);_(&quot;$&quot;* &quot;-&quot;_);_(@_)">
                  <c:v>38091493.490000002</c:v>
                </c:pt>
                <c:pt idx="19" formatCode="_(&quot;$&quot;* #,##0_);_(&quot;$&quot;* \(#,##0\);_(&quot;$&quot;* &quot;-&quot;_);_(@_)">
                  <c:v>39132900.229999997</c:v>
                </c:pt>
                <c:pt idx="20" formatCode="_(&quot;$&quot;* #,##0_);_(&quot;$&quot;* \(#,##0\);_(&quot;$&quot;* &quot;-&quot;_);_(@_)">
                  <c:v>38368476.119999997</c:v>
                </c:pt>
                <c:pt idx="21" formatCode="_(&quot;$&quot;* #,##0_);_(&quot;$&quot;* \(#,##0\);_(&quot;$&quot;* &quot;-&quot;_);_(@_)">
                  <c:v>38352583.340000004</c:v>
                </c:pt>
                <c:pt idx="22" formatCode="_(&quot;$&quot;* #,##0_);_(&quot;$&quot;* \(#,##0\);_(&quot;$&quot;* &quot;-&quot;_);_(@_)">
                  <c:v>37264886.619999997</c:v>
                </c:pt>
                <c:pt idx="23" formatCode="_(&quot;$&quot;* #,##0_);_(&quot;$&quot;* \(#,##0\);_(&quot;$&quot;* &quot;-&quot;_);_(@_)">
                  <c:v>38011636.460000001</c:v>
                </c:pt>
                <c:pt idx="24" formatCode="_(&quot;$&quot;* #,##0_);_(&quot;$&quot;* \(#,##0\);_(&quot;$&quot;* &quot;-&quot;_);_(@_)">
                  <c:v>36971039.159999996</c:v>
                </c:pt>
                <c:pt idx="25" formatCode="_(&quot;$&quot;* #,##0_);_(&quot;$&quot;* \(#,##0\);_(&quot;$&quot;* &quot;-&quot;_);_(@_)">
                  <c:v>35603260.640000001</c:v>
                </c:pt>
                <c:pt idx="26" formatCode="_(&quot;$&quot;* #,##0_);_(&quot;$&quot;* \(#,##0\);_(&quot;$&quot;* &quot;-&quot;_);_(@_)">
                  <c:v>31069044.859999999</c:v>
                </c:pt>
                <c:pt idx="27" formatCode="_(&quot;$&quot;* #,##0_);_(&quot;$&quot;* \(#,##0\);_(&quot;$&quot;* &quot;-&quot;_);_(@_)">
                  <c:v>28694697.98</c:v>
                </c:pt>
                <c:pt idx="28" formatCode="_(&quot;$&quot;* #,##0_);_(&quot;$&quot;* \(#,##0\);_(&quot;$&quot;* &quot;-&quot;_);_(@_)">
                  <c:v>27990346.780000001</c:v>
                </c:pt>
                <c:pt idx="29" formatCode="_(&quot;$&quot;* #,##0_);_(&quot;$&quot;* \(#,##0\);_(&quot;$&quot;* &quot;-&quot;_);_(@_)">
                  <c:v>25740944.68</c:v>
                </c:pt>
                <c:pt idx="30" formatCode="_(&quot;$&quot;* #,##0_);_(&quot;$&quot;* \(#,##0\);_(&quot;$&quot;* &quot;-&quot;_);_(@_)">
                  <c:v>24804820.98</c:v>
                </c:pt>
                <c:pt idx="31" formatCode="_(&quot;$&quot;* #,##0_);_(&quot;$&quot;* \(#,##0\);_(&quot;$&quot;* &quot;-&quot;_);_(@_)">
                  <c:v>23270850.050000001</c:v>
                </c:pt>
                <c:pt idx="32" formatCode="_(&quot;$&quot;* #,##0_);_(&quot;$&quot;* \(#,##0\);_(&quot;$&quot;* &quot;-&quot;_);_(@_)">
                  <c:v>23259358.100000001</c:v>
                </c:pt>
                <c:pt idx="33" formatCode="_(&quot;$&quot;* #,##0_);_(&quot;$&quot;* \(#,##0\);_(&quot;$&quot;* &quot;-&quot;_);_(@_)">
                  <c:v>22455007.32</c:v>
                </c:pt>
                <c:pt idx="34" formatCode="_(&quot;$&quot;* #,##0_);_(&quot;$&quot;* \(#,##0\);_(&quot;$&quot;* &quot;-&quot;_);_(@_)">
                  <c:v>20824430.420000002</c:v>
                </c:pt>
                <c:pt idx="35" formatCode="_(&quot;$&quot;* #,##0_);_(&quot;$&quot;* \(#,##0\);_(&quot;$&quot;* &quot;-&quot;_);_(@_)">
                  <c:v>21871716.690000001</c:v>
                </c:pt>
              </c:numCache>
            </c:numRef>
          </c:val>
          <c:smooth val="0"/>
          <c:extLst>
            <c:ext xmlns:c16="http://schemas.microsoft.com/office/drawing/2014/chart" uri="{C3380CC4-5D6E-409C-BE32-E72D297353CC}">
              <c16:uniqueId val="{00000002-FC3A-4984-8688-D66ADDD7C1F8}"/>
            </c:ext>
          </c:extLst>
        </c:ser>
        <c:dLbls>
          <c:showLegendKey val="0"/>
          <c:showVal val="0"/>
          <c:showCatName val="0"/>
          <c:showSerName val="0"/>
          <c:showPercent val="0"/>
          <c:showBubbleSize val="0"/>
        </c:dLbls>
        <c:smooth val="0"/>
        <c:axId val="547365040"/>
        <c:axId val="547361104"/>
      </c:lineChart>
      <c:catAx>
        <c:axId val="547365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7361104"/>
        <c:crosses val="autoZero"/>
        <c:auto val="1"/>
        <c:lblAlgn val="ctr"/>
        <c:lblOffset val="100"/>
        <c:noMultiLvlLbl val="0"/>
      </c:catAx>
      <c:valAx>
        <c:axId val="547361104"/>
        <c:scaling>
          <c:orientation val="minMax"/>
        </c:scaling>
        <c:delete val="0"/>
        <c:axPos val="l"/>
        <c:majorGridlines>
          <c:spPr>
            <a:ln w="9525" cap="flat" cmpd="sng" algn="ctr">
              <a:solidFill>
                <a:schemeClr val="tx1">
                  <a:lumMod val="15000"/>
                  <a:lumOff val="85000"/>
                </a:schemeClr>
              </a:solidFill>
              <a:round/>
            </a:ln>
            <a:effectLst/>
          </c:spPr>
        </c:majorGridlines>
        <c:numFmt formatCode="_(&quot;$&quot;* #,##0_);_(&quot;$&quot;* \(#,##0\);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7365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[utilisation.xlsx]mek unresec qtr!PivotTable10</c:name>
    <c:fmtId val="-1"/>
  </c:pivotSource>
  <c:chart>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'mek unresec qtr'!$I$36:$I$37</c:f>
              <c:strCache>
                <c:ptCount val="1"/>
                <c:pt idx="0">
                  <c:v>BINIMETINIB</c:v>
                </c:pt>
              </c:strCache>
            </c:strRef>
          </c:tx>
          <c:spPr>
            <a:ln w="28575" cap="rnd">
              <a:solidFill>
                <a:schemeClr val="accent1"/>
              </a:solidFill>
              <a:round/>
            </a:ln>
            <a:effectLst/>
          </c:spPr>
          <c:marker>
            <c:symbol val="none"/>
          </c:marker>
          <c:cat>
            <c:strRef>
              <c:f>'mek unresec qtr'!$H$38:$H$66</c:f>
              <c:strCache>
                <c:ptCount val="28"/>
                <c:pt idx="0">
                  <c:v>2015Q3</c:v>
                </c:pt>
                <c:pt idx="1">
                  <c:v>2015Q4</c:v>
                </c:pt>
                <c:pt idx="2">
                  <c:v>2016Q1</c:v>
                </c:pt>
                <c:pt idx="3">
                  <c:v>2016Q2</c:v>
                </c:pt>
                <c:pt idx="4">
                  <c:v>2016Q3</c:v>
                </c:pt>
                <c:pt idx="5">
                  <c:v>2016Q4</c:v>
                </c:pt>
                <c:pt idx="6">
                  <c:v>2017Q1</c:v>
                </c:pt>
                <c:pt idx="7">
                  <c:v>2017Q2</c:v>
                </c:pt>
                <c:pt idx="8">
                  <c:v>2017Q3</c:v>
                </c:pt>
                <c:pt idx="9">
                  <c:v>2017Q4</c:v>
                </c:pt>
                <c:pt idx="10">
                  <c:v>2018Q1</c:v>
                </c:pt>
                <c:pt idx="11">
                  <c:v>2018Q2</c:v>
                </c:pt>
                <c:pt idx="12">
                  <c:v>2018Q3</c:v>
                </c:pt>
                <c:pt idx="13">
                  <c:v>2018Q4</c:v>
                </c:pt>
                <c:pt idx="14">
                  <c:v>2019Q1</c:v>
                </c:pt>
                <c:pt idx="15">
                  <c:v>2019Q2</c:v>
                </c:pt>
                <c:pt idx="16">
                  <c:v>2019Q3</c:v>
                </c:pt>
                <c:pt idx="17">
                  <c:v>2019Q4</c:v>
                </c:pt>
                <c:pt idx="18">
                  <c:v>2020Q1</c:v>
                </c:pt>
                <c:pt idx="19">
                  <c:v>2020Q2</c:v>
                </c:pt>
                <c:pt idx="20">
                  <c:v>2020Q3</c:v>
                </c:pt>
                <c:pt idx="21">
                  <c:v>2020Q4</c:v>
                </c:pt>
                <c:pt idx="22">
                  <c:v>2021Q1</c:v>
                </c:pt>
                <c:pt idx="23">
                  <c:v>2021Q2</c:v>
                </c:pt>
                <c:pt idx="24">
                  <c:v>2021Q3</c:v>
                </c:pt>
                <c:pt idx="25">
                  <c:v>2021Q4</c:v>
                </c:pt>
                <c:pt idx="26">
                  <c:v>2022Q1</c:v>
                </c:pt>
                <c:pt idx="27">
                  <c:v>2022Q2</c:v>
                </c:pt>
              </c:strCache>
            </c:strRef>
          </c:cat>
          <c:val>
            <c:numRef>
              <c:f>'mek unresec qtr'!$I$38:$I$66</c:f>
              <c:numCache>
                <c:formatCode>General</c:formatCode>
                <c:ptCount val="28"/>
                <c:pt idx="19" formatCode="_(&quot;$&quot;* #,##0_);_(&quot;$&quot;* \(#,##0\);_(&quot;$&quot;* &quot;-&quot;_);_(@_)">
                  <c:v>2058640.11</c:v>
                </c:pt>
                <c:pt idx="20" formatCode="_(&quot;$&quot;* #,##0_);_(&quot;$&quot;* \(#,##0\);_(&quot;$&quot;* &quot;-&quot;_);_(@_)">
                  <c:v>2896847.49</c:v>
                </c:pt>
                <c:pt idx="21" formatCode="_(&quot;$&quot;* #,##0_);_(&quot;$&quot;* \(#,##0\);_(&quot;$&quot;* &quot;-&quot;_);_(@_)">
                  <c:v>3147656.78</c:v>
                </c:pt>
                <c:pt idx="22" formatCode="_(&quot;$&quot;* #,##0_);_(&quot;$&quot;* \(#,##0\);_(&quot;$&quot;* &quot;-&quot;_);_(@_)">
                  <c:v>3599062.16</c:v>
                </c:pt>
                <c:pt idx="23" formatCode="_(&quot;$&quot;* #,##0_);_(&quot;$&quot;* \(#,##0\);_(&quot;$&quot;* &quot;-&quot;_);_(@_)">
                  <c:v>4234475.8499999996</c:v>
                </c:pt>
                <c:pt idx="24" formatCode="_(&quot;$&quot;* #,##0_);_(&quot;$&quot;* \(#,##0\);_(&quot;$&quot;* &quot;-&quot;_);_(@_)">
                  <c:v>4018222.51</c:v>
                </c:pt>
                <c:pt idx="25" formatCode="_(&quot;$&quot;* #,##0_);_(&quot;$&quot;* \(#,##0\);_(&quot;$&quot;* &quot;-&quot;_);_(@_)">
                  <c:v>4235224.8499999996</c:v>
                </c:pt>
                <c:pt idx="26" formatCode="_(&quot;$&quot;* #,##0_);_(&quot;$&quot;* \(#,##0\);_(&quot;$&quot;* &quot;-&quot;_);_(@_)">
                  <c:v>4224835.57</c:v>
                </c:pt>
                <c:pt idx="27" formatCode="_(&quot;$&quot;* #,##0_);_(&quot;$&quot;* \(#,##0\);_(&quot;$&quot;* &quot;-&quot;_);_(@_)">
                  <c:v>4657318.21</c:v>
                </c:pt>
              </c:numCache>
            </c:numRef>
          </c:val>
          <c:smooth val="0"/>
          <c:extLst>
            <c:ext xmlns:c16="http://schemas.microsoft.com/office/drawing/2014/chart" uri="{C3380CC4-5D6E-409C-BE32-E72D297353CC}">
              <c16:uniqueId val="{00000000-B038-4DAF-8B46-AF8E2FE78644}"/>
            </c:ext>
          </c:extLst>
        </c:ser>
        <c:ser>
          <c:idx val="1"/>
          <c:order val="1"/>
          <c:tx>
            <c:strRef>
              <c:f>'mek unresec qtr'!$J$36:$J$37</c:f>
              <c:strCache>
                <c:ptCount val="1"/>
                <c:pt idx="0">
                  <c:v>COBIMETINIB</c:v>
                </c:pt>
              </c:strCache>
            </c:strRef>
          </c:tx>
          <c:spPr>
            <a:ln w="28575" cap="rnd">
              <a:solidFill>
                <a:schemeClr val="accent2"/>
              </a:solidFill>
              <a:round/>
            </a:ln>
            <a:effectLst/>
          </c:spPr>
          <c:marker>
            <c:symbol val="none"/>
          </c:marker>
          <c:cat>
            <c:strRef>
              <c:f>'mek unresec qtr'!$H$38:$H$66</c:f>
              <c:strCache>
                <c:ptCount val="28"/>
                <c:pt idx="0">
                  <c:v>2015Q3</c:v>
                </c:pt>
                <c:pt idx="1">
                  <c:v>2015Q4</c:v>
                </c:pt>
                <c:pt idx="2">
                  <c:v>2016Q1</c:v>
                </c:pt>
                <c:pt idx="3">
                  <c:v>2016Q2</c:v>
                </c:pt>
                <c:pt idx="4">
                  <c:v>2016Q3</c:v>
                </c:pt>
                <c:pt idx="5">
                  <c:v>2016Q4</c:v>
                </c:pt>
                <c:pt idx="6">
                  <c:v>2017Q1</c:v>
                </c:pt>
                <c:pt idx="7">
                  <c:v>2017Q2</c:v>
                </c:pt>
                <c:pt idx="8">
                  <c:v>2017Q3</c:v>
                </c:pt>
                <c:pt idx="9">
                  <c:v>2017Q4</c:v>
                </c:pt>
                <c:pt idx="10">
                  <c:v>2018Q1</c:v>
                </c:pt>
                <c:pt idx="11">
                  <c:v>2018Q2</c:v>
                </c:pt>
                <c:pt idx="12">
                  <c:v>2018Q3</c:v>
                </c:pt>
                <c:pt idx="13">
                  <c:v>2018Q4</c:v>
                </c:pt>
                <c:pt idx="14">
                  <c:v>2019Q1</c:v>
                </c:pt>
                <c:pt idx="15">
                  <c:v>2019Q2</c:v>
                </c:pt>
                <c:pt idx="16">
                  <c:v>2019Q3</c:v>
                </c:pt>
                <c:pt idx="17">
                  <c:v>2019Q4</c:v>
                </c:pt>
                <c:pt idx="18">
                  <c:v>2020Q1</c:v>
                </c:pt>
                <c:pt idx="19">
                  <c:v>2020Q2</c:v>
                </c:pt>
                <c:pt idx="20">
                  <c:v>2020Q3</c:v>
                </c:pt>
                <c:pt idx="21">
                  <c:v>2020Q4</c:v>
                </c:pt>
                <c:pt idx="22">
                  <c:v>2021Q1</c:v>
                </c:pt>
                <c:pt idx="23">
                  <c:v>2021Q2</c:v>
                </c:pt>
                <c:pt idx="24">
                  <c:v>2021Q3</c:v>
                </c:pt>
                <c:pt idx="25">
                  <c:v>2021Q4</c:v>
                </c:pt>
                <c:pt idx="26">
                  <c:v>2022Q1</c:v>
                </c:pt>
                <c:pt idx="27">
                  <c:v>2022Q2</c:v>
                </c:pt>
              </c:strCache>
            </c:strRef>
          </c:cat>
          <c:val>
            <c:numRef>
              <c:f>'mek unresec qtr'!$J$38:$J$66</c:f>
              <c:numCache>
                <c:formatCode>General</c:formatCode>
                <c:ptCount val="28"/>
                <c:pt idx="7" formatCode="_(&quot;$&quot;* #,##0_);_(&quot;$&quot;* \(#,##0\);_(&quot;$&quot;* &quot;-&quot;_);_(@_)">
                  <c:v>527094.94999999995</c:v>
                </c:pt>
                <c:pt idx="8" formatCode="_(&quot;$&quot;* #,##0_);_(&quot;$&quot;* \(#,##0\);_(&quot;$&quot;* &quot;-&quot;_);_(@_)">
                  <c:v>909862.22</c:v>
                </c:pt>
                <c:pt idx="9" formatCode="_(&quot;$&quot;* #,##0_);_(&quot;$&quot;* \(#,##0\);_(&quot;$&quot;* &quot;-&quot;_);_(@_)">
                  <c:v>1056611.3</c:v>
                </c:pt>
                <c:pt idx="10" formatCode="_(&quot;$&quot;* #,##0_);_(&quot;$&quot;* \(#,##0\);_(&quot;$&quot;* &quot;-&quot;_);_(@_)">
                  <c:v>1049840.3</c:v>
                </c:pt>
                <c:pt idx="11" formatCode="_(&quot;$&quot;* #,##0_);_(&quot;$&quot;* \(#,##0\);_(&quot;$&quot;* &quot;-&quot;_);_(@_)">
                  <c:v>1253655.51</c:v>
                </c:pt>
                <c:pt idx="12" formatCode="_(&quot;$&quot;* #,##0_);_(&quot;$&quot;* \(#,##0\);_(&quot;$&quot;* &quot;-&quot;_);_(@_)">
                  <c:v>1242657.0900000001</c:v>
                </c:pt>
                <c:pt idx="13" formatCode="_(&quot;$&quot;* #,##0_);_(&quot;$&quot;* \(#,##0\);_(&quot;$&quot;* &quot;-&quot;_);_(@_)">
                  <c:v>1332167.22</c:v>
                </c:pt>
                <c:pt idx="14" formatCode="_(&quot;$&quot;* #,##0_);_(&quot;$&quot;* \(#,##0\);_(&quot;$&quot;* &quot;-&quot;_);_(@_)">
                  <c:v>991786.78</c:v>
                </c:pt>
                <c:pt idx="15" formatCode="_(&quot;$&quot;* #,##0_);_(&quot;$&quot;* \(#,##0\);_(&quot;$&quot;* &quot;-&quot;_);_(@_)">
                  <c:v>998140.2</c:v>
                </c:pt>
                <c:pt idx="16" formatCode="_(&quot;$&quot;* #,##0_);_(&quot;$&quot;* \(#,##0\);_(&quot;$&quot;* &quot;-&quot;_);_(@_)">
                  <c:v>940413.85</c:v>
                </c:pt>
                <c:pt idx="17" formatCode="_(&quot;$&quot;* #,##0_);_(&quot;$&quot;* \(#,##0\);_(&quot;$&quot;* &quot;-&quot;_);_(@_)">
                  <c:v>1086812.1200000001</c:v>
                </c:pt>
                <c:pt idx="18" formatCode="_(&quot;$&quot;* #,##0_);_(&quot;$&quot;* \(#,##0\);_(&quot;$&quot;* &quot;-&quot;_);_(@_)">
                  <c:v>1194228.83</c:v>
                </c:pt>
                <c:pt idx="19" formatCode="_(&quot;$&quot;* #,##0_);_(&quot;$&quot;* \(#,##0\);_(&quot;$&quot;* &quot;-&quot;_);_(@_)">
                  <c:v>757758.23</c:v>
                </c:pt>
                <c:pt idx="20" formatCode="_(&quot;$&quot;* #,##0_);_(&quot;$&quot;* \(#,##0\);_(&quot;$&quot;* &quot;-&quot;_);_(@_)">
                  <c:v>805943.32</c:v>
                </c:pt>
                <c:pt idx="21" formatCode="_(&quot;$&quot;* #,##0_);_(&quot;$&quot;* \(#,##0\);_(&quot;$&quot;* &quot;-&quot;_);_(@_)">
                  <c:v>631446.4</c:v>
                </c:pt>
                <c:pt idx="22" formatCode="_(&quot;$&quot;* #,##0_);_(&quot;$&quot;* \(#,##0\);_(&quot;$&quot;* &quot;-&quot;_);_(@_)">
                  <c:v>512172.13</c:v>
                </c:pt>
                <c:pt idx="23" formatCode="_(&quot;$&quot;* #,##0_);_(&quot;$&quot;* \(#,##0\);_(&quot;$&quot;* &quot;-&quot;_);_(@_)">
                  <c:v>534215.79</c:v>
                </c:pt>
                <c:pt idx="24" formatCode="_(&quot;$&quot;* #,##0_);_(&quot;$&quot;* \(#,##0\);_(&quot;$&quot;* &quot;-&quot;_);_(@_)">
                  <c:v>551361.88</c:v>
                </c:pt>
                <c:pt idx="25" formatCode="_(&quot;$&quot;* #,##0_);_(&quot;$&quot;* \(#,##0\);_(&quot;$&quot;* &quot;-&quot;_);_(@_)">
                  <c:v>529249.04</c:v>
                </c:pt>
                <c:pt idx="26" formatCode="_(&quot;$&quot;* #,##0_);_(&quot;$&quot;* \(#,##0\);_(&quot;$&quot;* &quot;-&quot;_);_(@_)">
                  <c:v>507182.82</c:v>
                </c:pt>
                <c:pt idx="27" formatCode="_(&quot;$&quot;* #,##0_);_(&quot;$&quot;* \(#,##0\);_(&quot;$&quot;* &quot;-&quot;_);_(@_)">
                  <c:v>300330.46000000002</c:v>
                </c:pt>
              </c:numCache>
            </c:numRef>
          </c:val>
          <c:smooth val="0"/>
          <c:extLst>
            <c:ext xmlns:c16="http://schemas.microsoft.com/office/drawing/2014/chart" uri="{C3380CC4-5D6E-409C-BE32-E72D297353CC}">
              <c16:uniqueId val="{00000001-B038-4DAF-8B46-AF8E2FE78644}"/>
            </c:ext>
          </c:extLst>
        </c:ser>
        <c:ser>
          <c:idx val="2"/>
          <c:order val="2"/>
          <c:tx>
            <c:strRef>
              <c:f>'mek unresec qtr'!$K$36:$K$37</c:f>
              <c:strCache>
                <c:ptCount val="1"/>
                <c:pt idx="0">
                  <c:v>TRAMETINIB</c:v>
                </c:pt>
              </c:strCache>
            </c:strRef>
          </c:tx>
          <c:spPr>
            <a:ln w="28575" cap="rnd">
              <a:solidFill>
                <a:schemeClr val="accent3"/>
              </a:solidFill>
              <a:round/>
            </a:ln>
            <a:effectLst/>
          </c:spPr>
          <c:marker>
            <c:symbol val="none"/>
          </c:marker>
          <c:cat>
            <c:strRef>
              <c:f>'mek unresec qtr'!$H$38:$H$66</c:f>
              <c:strCache>
                <c:ptCount val="28"/>
                <c:pt idx="0">
                  <c:v>2015Q3</c:v>
                </c:pt>
                <c:pt idx="1">
                  <c:v>2015Q4</c:v>
                </c:pt>
                <c:pt idx="2">
                  <c:v>2016Q1</c:v>
                </c:pt>
                <c:pt idx="3">
                  <c:v>2016Q2</c:v>
                </c:pt>
                <c:pt idx="4">
                  <c:v>2016Q3</c:v>
                </c:pt>
                <c:pt idx="5">
                  <c:v>2016Q4</c:v>
                </c:pt>
                <c:pt idx="6">
                  <c:v>2017Q1</c:v>
                </c:pt>
                <c:pt idx="7">
                  <c:v>2017Q2</c:v>
                </c:pt>
                <c:pt idx="8">
                  <c:v>2017Q3</c:v>
                </c:pt>
                <c:pt idx="9">
                  <c:v>2017Q4</c:v>
                </c:pt>
                <c:pt idx="10">
                  <c:v>2018Q1</c:v>
                </c:pt>
                <c:pt idx="11">
                  <c:v>2018Q2</c:v>
                </c:pt>
                <c:pt idx="12">
                  <c:v>2018Q3</c:v>
                </c:pt>
                <c:pt idx="13">
                  <c:v>2018Q4</c:v>
                </c:pt>
                <c:pt idx="14">
                  <c:v>2019Q1</c:v>
                </c:pt>
                <c:pt idx="15">
                  <c:v>2019Q2</c:v>
                </c:pt>
                <c:pt idx="16">
                  <c:v>2019Q3</c:v>
                </c:pt>
                <c:pt idx="17">
                  <c:v>2019Q4</c:v>
                </c:pt>
                <c:pt idx="18">
                  <c:v>2020Q1</c:v>
                </c:pt>
                <c:pt idx="19">
                  <c:v>2020Q2</c:v>
                </c:pt>
                <c:pt idx="20">
                  <c:v>2020Q3</c:v>
                </c:pt>
                <c:pt idx="21">
                  <c:v>2020Q4</c:v>
                </c:pt>
                <c:pt idx="22">
                  <c:v>2021Q1</c:v>
                </c:pt>
                <c:pt idx="23">
                  <c:v>2021Q2</c:v>
                </c:pt>
                <c:pt idx="24">
                  <c:v>2021Q3</c:v>
                </c:pt>
                <c:pt idx="25">
                  <c:v>2021Q4</c:v>
                </c:pt>
                <c:pt idx="26">
                  <c:v>2022Q1</c:v>
                </c:pt>
                <c:pt idx="27">
                  <c:v>2022Q2</c:v>
                </c:pt>
              </c:strCache>
            </c:strRef>
          </c:cat>
          <c:val>
            <c:numRef>
              <c:f>'mek unresec qtr'!$K$38:$K$66</c:f>
              <c:numCache>
                <c:formatCode>_("$"* #,##0_);_("$"* \(#,##0\);_("$"* "-"_);_(@_)</c:formatCode>
                <c:ptCount val="28"/>
                <c:pt idx="0">
                  <c:v>6340648.9299999997</c:v>
                </c:pt>
                <c:pt idx="1">
                  <c:v>11579176.279999999</c:v>
                </c:pt>
                <c:pt idx="2">
                  <c:v>11640957.210000001</c:v>
                </c:pt>
                <c:pt idx="3">
                  <c:v>13268492.02</c:v>
                </c:pt>
                <c:pt idx="4">
                  <c:v>12828252.74</c:v>
                </c:pt>
                <c:pt idx="5">
                  <c:v>13503191.07</c:v>
                </c:pt>
                <c:pt idx="6">
                  <c:v>13392841.23</c:v>
                </c:pt>
                <c:pt idx="7">
                  <c:v>13992278.4</c:v>
                </c:pt>
                <c:pt idx="8">
                  <c:v>13188950.27</c:v>
                </c:pt>
                <c:pt idx="9">
                  <c:v>14456280.939999999</c:v>
                </c:pt>
                <c:pt idx="10">
                  <c:v>14128957.060000001</c:v>
                </c:pt>
                <c:pt idx="11">
                  <c:v>13233733.68</c:v>
                </c:pt>
                <c:pt idx="12">
                  <c:v>13438444.380000001</c:v>
                </c:pt>
                <c:pt idx="13">
                  <c:v>13827056.98</c:v>
                </c:pt>
                <c:pt idx="14">
                  <c:v>13085100.060000001</c:v>
                </c:pt>
                <c:pt idx="15">
                  <c:v>13930406.26</c:v>
                </c:pt>
                <c:pt idx="16">
                  <c:v>13723017.15</c:v>
                </c:pt>
                <c:pt idx="17">
                  <c:v>12861800.65</c:v>
                </c:pt>
                <c:pt idx="18">
                  <c:v>11423822.93</c:v>
                </c:pt>
                <c:pt idx="19">
                  <c:v>9687532.7599999998</c:v>
                </c:pt>
                <c:pt idx="20">
                  <c:v>8498608.8300000001</c:v>
                </c:pt>
                <c:pt idx="21">
                  <c:v>7979303.6500000004</c:v>
                </c:pt>
                <c:pt idx="22">
                  <c:v>6933233.79</c:v>
                </c:pt>
                <c:pt idx="23">
                  <c:v>6506162.6600000001</c:v>
                </c:pt>
                <c:pt idx="24">
                  <c:v>6338265.1399999997</c:v>
                </c:pt>
                <c:pt idx="25">
                  <c:v>6298736.0499999998</c:v>
                </c:pt>
                <c:pt idx="26">
                  <c:v>5820759.0499999998</c:v>
                </c:pt>
                <c:pt idx="27">
                  <c:v>6120952.6200000001</c:v>
                </c:pt>
              </c:numCache>
            </c:numRef>
          </c:val>
          <c:smooth val="0"/>
          <c:extLst>
            <c:ext xmlns:c16="http://schemas.microsoft.com/office/drawing/2014/chart" uri="{C3380CC4-5D6E-409C-BE32-E72D297353CC}">
              <c16:uniqueId val="{00000002-B038-4DAF-8B46-AF8E2FE78644}"/>
            </c:ext>
          </c:extLst>
        </c:ser>
        <c:dLbls>
          <c:showLegendKey val="0"/>
          <c:showVal val="0"/>
          <c:showCatName val="0"/>
          <c:showSerName val="0"/>
          <c:showPercent val="0"/>
          <c:showBubbleSize val="0"/>
        </c:dLbls>
        <c:smooth val="0"/>
        <c:axId val="997583984"/>
        <c:axId val="997584640"/>
      </c:lineChart>
      <c:catAx>
        <c:axId val="997583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7584640"/>
        <c:crosses val="autoZero"/>
        <c:auto val="1"/>
        <c:lblAlgn val="ctr"/>
        <c:lblOffset val="100"/>
        <c:noMultiLvlLbl val="0"/>
      </c:catAx>
      <c:valAx>
        <c:axId val="997584640"/>
        <c:scaling>
          <c:orientation val="minMax"/>
        </c:scaling>
        <c:delete val="0"/>
        <c:axPos val="l"/>
        <c:majorGridlines>
          <c:spPr>
            <a:ln w="9525" cap="flat" cmpd="sng" algn="ctr">
              <a:solidFill>
                <a:schemeClr val="tx1">
                  <a:lumMod val="15000"/>
                  <a:lumOff val="85000"/>
                </a:schemeClr>
              </a:solidFill>
              <a:round/>
            </a:ln>
            <a:effectLst/>
          </c:spPr>
        </c:majorGridlines>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7583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[utilisation.xlsx]braf unresec qtr!PivotTable8</c:name>
    <c:fmtId val="-1"/>
  </c:pivotSource>
  <c:chart>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'braf unresec qtr'!$I$43:$I$44</c:f>
              <c:strCache>
                <c:ptCount val="1"/>
                <c:pt idx="0">
                  <c:v>DABRAFENIB</c:v>
                </c:pt>
              </c:strCache>
            </c:strRef>
          </c:tx>
          <c:spPr>
            <a:ln w="28575" cap="rnd">
              <a:solidFill>
                <a:schemeClr val="accent1"/>
              </a:solidFill>
              <a:round/>
            </a:ln>
            <a:effectLst/>
          </c:spPr>
          <c:marker>
            <c:symbol val="none"/>
          </c:marker>
          <c:cat>
            <c:strRef>
              <c:f>'braf unresec qtr'!$H$45:$H$80</c:f>
              <c:strCache>
                <c:ptCount val="35"/>
                <c:pt idx="0">
                  <c:v>2013Q4</c:v>
                </c:pt>
                <c:pt idx="1">
                  <c:v>2014Q1</c:v>
                </c:pt>
                <c:pt idx="2">
                  <c:v>2014Q2</c:v>
                </c:pt>
                <c:pt idx="3">
                  <c:v>2014Q3</c:v>
                </c:pt>
                <c:pt idx="4">
                  <c:v>2014Q4</c:v>
                </c:pt>
                <c:pt idx="5">
                  <c:v>2015Q1</c:v>
                </c:pt>
                <c:pt idx="6">
                  <c:v>2015Q2</c:v>
                </c:pt>
                <c:pt idx="7">
                  <c:v>2015Q3</c:v>
                </c:pt>
                <c:pt idx="8">
                  <c:v>2015Q4</c:v>
                </c:pt>
                <c:pt idx="9">
                  <c:v>2016Q1</c:v>
                </c:pt>
                <c:pt idx="10">
                  <c:v>2016Q2</c:v>
                </c:pt>
                <c:pt idx="11">
                  <c:v>2016Q3</c:v>
                </c:pt>
                <c:pt idx="12">
                  <c:v>2016Q4</c:v>
                </c:pt>
                <c:pt idx="13">
                  <c:v>2017Q1</c:v>
                </c:pt>
                <c:pt idx="14">
                  <c:v>2017Q2</c:v>
                </c:pt>
                <c:pt idx="15">
                  <c:v>2017Q3</c:v>
                </c:pt>
                <c:pt idx="16">
                  <c:v>2017Q4</c:v>
                </c:pt>
                <c:pt idx="17">
                  <c:v>2018Q1</c:v>
                </c:pt>
                <c:pt idx="18">
                  <c:v>2018Q2</c:v>
                </c:pt>
                <c:pt idx="19">
                  <c:v>2018Q3</c:v>
                </c:pt>
                <c:pt idx="20">
                  <c:v>2018Q4</c:v>
                </c:pt>
                <c:pt idx="21">
                  <c:v>2019Q1</c:v>
                </c:pt>
                <c:pt idx="22">
                  <c:v>2019Q2</c:v>
                </c:pt>
                <c:pt idx="23">
                  <c:v>2019Q3</c:v>
                </c:pt>
                <c:pt idx="24">
                  <c:v>2019Q4</c:v>
                </c:pt>
                <c:pt idx="25">
                  <c:v>2020Q1</c:v>
                </c:pt>
                <c:pt idx="26">
                  <c:v>2020Q2</c:v>
                </c:pt>
                <c:pt idx="27">
                  <c:v>2020Q3</c:v>
                </c:pt>
                <c:pt idx="28">
                  <c:v>2020Q4</c:v>
                </c:pt>
                <c:pt idx="29">
                  <c:v>2021Q1</c:v>
                </c:pt>
                <c:pt idx="30">
                  <c:v>2021Q2</c:v>
                </c:pt>
                <c:pt idx="31">
                  <c:v>2021Q3</c:v>
                </c:pt>
                <c:pt idx="32">
                  <c:v>2021Q4</c:v>
                </c:pt>
                <c:pt idx="33">
                  <c:v>2022Q1</c:v>
                </c:pt>
                <c:pt idx="34">
                  <c:v>2022Q2</c:v>
                </c:pt>
              </c:strCache>
            </c:strRef>
          </c:cat>
          <c:val>
            <c:numRef>
              <c:f>'braf unresec qtr'!$I$45:$I$80</c:f>
              <c:numCache>
                <c:formatCode>_("$"* #,##0_);_("$"* \(#,##0\);_("$"* "-"_);_(@_)</c:formatCode>
                <c:ptCount val="35"/>
                <c:pt idx="0">
                  <c:v>870702.62</c:v>
                </c:pt>
                <c:pt idx="1">
                  <c:v>5994780.79</c:v>
                </c:pt>
                <c:pt idx="2">
                  <c:v>8410236.9100000001</c:v>
                </c:pt>
                <c:pt idx="3">
                  <c:v>9572736.0999999996</c:v>
                </c:pt>
                <c:pt idx="4">
                  <c:v>10548539.91</c:v>
                </c:pt>
                <c:pt idx="5">
                  <c:v>10997160.859999999</c:v>
                </c:pt>
                <c:pt idx="6">
                  <c:v>11299044.32</c:v>
                </c:pt>
                <c:pt idx="7">
                  <c:v>11932511.59</c:v>
                </c:pt>
                <c:pt idx="8">
                  <c:v>11848842.1</c:v>
                </c:pt>
                <c:pt idx="9">
                  <c:v>11881075.73</c:v>
                </c:pt>
                <c:pt idx="10">
                  <c:v>13461176.109999999</c:v>
                </c:pt>
                <c:pt idx="11">
                  <c:v>12715311.560000001</c:v>
                </c:pt>
                <c:pt idx="12">
                  <c:v>13326234.85</c:v>
                </c:pt>
                <c:pt idx="13">
                  <c:v>13276345.5</c:v>
                </c:pt>
                <c:pt idx="14">
                  <c:v>13625574.65</c:v>
                </c:pt>
                <c:pt idx="15">
                  <c:v>12748647.130000001</c:v>
                </c:pt>
                <c:pt idx="16">
                  <c:v>14080769.01</c:v>
                </c:pt>
                <c:pt idx="17">
                  <c:v>13779225.75</c:v>
                </c:pt>
                <c:pt idx="18">
                  <c:v>13129394.25</c:v>
                </c:pt>
                <c:pt idx="19">
                  <c:v>13112302.82</c:v>
                </c:pt>
                <c:pt idx="20">
                  <c:v>13649651.83</c:v>
                </c:pt>
                <c:pt idx="21">
                  <c:v>12774639.43</c:v>
                </c:pt>
                <c:pt idx="22">
                  <c:v>13050016.58</c:v>
                </c:pt>
                <c:pt idx="23">
                  <c:v>12788535.73</c:v>
                </c:pt>
                <c:pt idx="24">
                  <c:v>12054389.439999999</c:v>
                </c:pt>
                <c:pt idx="25">
                  <c:v>10393524.18</c:v>
                </c:pt>
                <c:pt idx="26">
                  <c:v>8850596.3100000005</c:v>
                </c:pt>
                <c:pt idx="27">
                  <c:v>7950262.6399999997</c:v>
                </c:pt>
                <c:pt idx="28">
                  <c:v>7429015.5800000001</c:v>
                </c:pt>
                <c:pt idx="29">
                  <c:v>6304259.3399999999</c:v>
                </c:pt>
                <c:pt idx="30">
                  <c:v>6347696.5099999998</c:v>
                </c:pt>
                <c:pt idx="31">
                  <c:v>6115188.8200000003</c:v>
                </c:pt>
                <c:pt idx="32">
                  <c:v>6160897.6100000003</c:v>
                </c:pt>
                <c:pt idx="33">
                  <c:v>5746893.5199999996</c:v>
                </c:pt>
                <c:pt idx="34">
                  <c:v>5988656.1100000003</c:v>
                </c:pt>
              </c:numCache>
            </c:numRef>
          </c:val>
          <c:smooth val="0"/>
          <c:extLst>
            <c:ext xmlns:c16="http://schemas.microsoft.com/office/drawing/2014/chart" uri="{C3380CC4-5D6E-409C-BE32-E72D297353CC}">
              <c16:uniqueId val="{00000000-B28F-48C1-9751-2EB23E5DE4C5}"/>
            </c:ext>
          </c:extLst>
        </c:ser>
        <c:ser>
          <c:idx val="1"/>
          <c:order val="1"/>
          <c:tx>
            <c:strRef>
              <c:f>'braf unresec qtr'!$J$43:$J$44</c:f>
              <c:strCache>
                <c:ptCount val="1"/>
                <c:pt idx="0">
                  <c:v>ENCORAFENIB</c:v>
                </c:pt>
              </c:strCache>
            </c:strRef>
          </c:tx>
          <c:spPr>
            <a:ln w="28575" cap="rnd">
              <a:solidFill>
                <a:schemeClr val="accent2"/>
              </a:solidFill>
              <a:round/>
            </a:ln>
            <a:effectLst/>
          </c:spPr>
          <c:marker>
            <c:symbol val="none"/>
          </c:marker>
          <c:cat>
            <c:strRef>
              <c:f>'braf unresec qtr'!$H$45:$H$80</c:f>
              <c:strCache>
                <c:ptCount val="35"/>
                <c:pt idx="0">
                  <c:v>2013Q4</c:v>
                </c:pt>
                <c:pt idx="1">
                  <c:v>2014Q1</c:v>
                </c:pt>
                <c:pt idx="2">
                  <c:v>2014Q2</c:v>
                </c:pt>
                <c:pt idx="3">
                  <c:v>2014Q3</c:v>
                </c:pt>
                <c:pt idx="4">
                  <c:v>2014Q4</c:v>
                </c:pt>
                <c:pt idx="5">
                  <c:v>2015Q1</c:v>
                </c:pt>
                <c:pt idx="6">
                  <c:v>2015Q2</c:v>
                </c:pt>
                <c:pt idx="7">
                  <c:v>2015Q3</c:v>
                </c:pt>
                <c:pt idx="8">
                  <c:v>2015Q4</c:v>
                </c:pt>
                <c:pt idx="9">
                  <c:v>2016Q1</c:v>
                </c:pt>
                <c:pt idx="10">
                  <c:v>2016Q2</c:v>
                </c:pt>
                <c:pt idx="11">
                  <c:v>2016Q3</c:v>
                </c:pt>
                <c:pt idx="12">
                  <c:v>2016Q4</c:v>
                </c:pt>
                <c:pt idx="13">
                  <c:v>2017Q1</c:v>
                </c:pt>
                <c:pt idx="14">
                  <c:v>2017Q2</c:v>
                </c:pt>
                <c:pt idx="15">
                  <c:v>2017Q3</c:v>
                </c:pt>
                <c:pt idx="16">
                  <c:v>2017Q4</c:v>
                </c:pt>
                <c:pt idx="17">
                  <c:v>2018Q1</c:v>
                </c:pt>
                <c:pt idx="18">
                  <c:v>2018Q2</c:v>
                </c:pt>
                <c:pt idx="19">
                  <c:v>2018Q3</c:v>
                </c:pt>
                <c:pt idx="20">
                  <c:v>2018Q4</c:v>
                </c:pt>
                <c:pt idx="21">
                  <c:v>2019Q1</c:v>
                </c:pt>
                <c:pt idx="22">
                  <c:v>2019Q2</c:v>
                </c:pt>
                <c:pt idx="23">
                  <c:v>2019Q3</c:v>
                </c:pt>
                <c:pt idx="24">
                  <c:v>2019Q4</c:v>
                </c:pt>
                <c:pt idx="25">
                  <c:v>2020Q1</c:v>
                </c:pt>
                <c:pt idx="26">
                  <c:v>2020Q2</c:v>
                </c:pt>
                <c:pt idx="27">
                  <c:v>2020Q3</c:v>
                </c:pt>
                <c:pt idx="28">
                  <c:v>2020Q4</c:v>
                </c:pt>
                <c:pt idx="29">
                  <c:v>2021Q1</c:v>
                </c:pt>
                <c:pt idx="30">
                  <c:v>2021Q2</c:v>
                </c:pt>
                <c:pt idx="31">
                  <c:v>2021Q3</c:v>
                </c:pt>
                <c:pt idx="32">
                  <c:v>2021Q4</c:v>
                </c:pt>
                <c:pt idx="33">
                  <c:v>2022Q1</c:v>
                </c:pt>
                <c:pt idx="34">
                  <c:v>2022Q2</c:v>
                </c:pt>
              </c:strCache>
            </c:strRef>
          </c:cat>
          <c:val>
            <c:numRef>
              <c:f>'braf unresec qtr'!$J$45:$J$80</c:f>
              <c:numCache>
                <c:formatCode>General</c:formatCode>
                <c:ptCount val="35"/>
                <c:pt idx="26" formatCode="_(&quot;$&quot;* #,##0_);_(&quot;$&quot;* \(#,##0\);_(&quot;$&quot;* &quot;-&quot;_);_(@_)">
                  <c:v>1978892.43</c:v>
                </c:pt>
                <c:pt idx="27" formatCode="_(&quot;$&quot;* #,##0_);_(&quot;$&quot;* \(#,##0\);_(&quot;$&quot;* &quot;-&quot;_);_(@_)">
                  <c:v>2715233.81</c:v>
                </c:pt>
                <c:pt idx="28" formatCode="_(&quot;$&quot;* #,##0_);_(&quot;$&quot;* \(#,##0\);_(&quot;$&quot;* &quot;-&quot;_);_(@_)">
                  <c:v>3022760.94</c:v>
                </c:pt>
                <c:pt idx="29" formatCode="_(&quot;$&quot;* #,##0_);_(&quot;$&quot;* \(#,##0\);_(&quot;$&quot;* &quot;-&quot;_);_(@_)">
                  <c:v>3399132.71</c:v>
                </c:pt>
                <c:pt idx="30" formatCode="_(&quot;$&quot;* #,##0_);_(&quot;$&quot;* \(#,##0\);_(&quot;$&quot;* &quot;-&quot;_);_(@_)">
                  <c:v>3991889.2</c:v>
                </c:pt>
                <c:pt idx="31" formatCode="_(&quot;$&quot;* #,##0_);_(&quot;$&quot;* \(#,##0\);_(&quot;$&quot;* &quot;-&quot;_);_(@_)">
                  <c:v>3697146.45</c:v>
                </c:pt>
                <c:pt idx="32" formatCode="_(&quot;$&quot;* #,##0_);_(&quot;$&quot;* \(#,##0\);_(&quot;$&quot;* &quot;-&quot;_);_(@_)">
                  <c:v>3991900.5</c:v>
                </c:pt>
                <c:pt idx="33" formatCode="_(&quot;$&quot;* #,##0_);_(&quot;$&quot;* \(#,##0\);_(&quot;$&quot;* &quot;-&quot;_);_(@_)">
                  <c:v>3927077.05</c:v>
                </c:pt>
                <c:pt idx="34" formatCode="_(&quot;$&quot;* #,##0_);_(&quot;$&quot;* \(#,##0\);_(&quot;$&quot;* &quot;-&quot;_);_(@_)">
                  <c:v>4384837.38</c:v>
                </c:pt>
              </c:numCache>
            </c:numRef>
          </c:val>
          <c:smooth val="0"/>
          <c:extLst>
            <c:ext xmlns:c16="http://schemas.microsoft.com/office/drawing/2014/chart" uri="{C3380CC4-5D6E-409C-BE32-E72D297353CC}">
              <c16:uniqueId val="{00000001-B28F-48C1-9751-2EB23E5DE4C5}"/>
            </c:ext>
          </c:extLst>
        </c:ser>
        <c:ser>
          <c:idx val="2"/>
          <c:order val="2"/>
          <c:tx>
            <c:strRef>
              <c:f>'braf unresec qtr'!$K$43:$K$44</c:f>
              <c:strCache>
                <c:ptCount val="1"/>
                <c:pt idx="0">
                  <c:v>VEMURAFENIB</c:v>
                </c:pt>
              </c:strCache>
            </c:strRef>
          </c:tx>
          <c:spPr>
            <a:ln w="28575" cap="rnd">
              <a:solidFill>
                <a:schemeClr val="accent3"/>
              </a:solidFill>
              <a:round/>
            </a:ln>
            <a:effectLst/>
          </c:spPr>
          <c:marker>
            <c:symbol val="none"/>
          </c:marker>
          <c:cat>
            <c:strRef>
              <c:f>'braf unresec qtr'!$H$45:$H$80</c:f>
              <c:strCache>
                <c:ptCount val="35"/>
                <c:pt idx="0">
                  <c:v>2013Q4</c:v>
                </c:pt>
                <c:pt idx="1">
                  <c:v>2014Q1</c:v>
                </c:pt>
                <c:pt idx="2">
                  <c:v>2014Q2</c:v>
                </c:pt>
                <c:pt idx="3">
                  <c:v>2014Q3</c:v>
                </c:pt>
                <c:pt idx="4">
                  <c:v>2014Q4</c:v>
                </c:pt>
                <c:pt idx="5">
                  <c:v>2015Q1</c:v>
                </c:pt>
                <c:pt idx="6">
                  <c:v>2015Q2</c:v>
                </c:pt>
                <c:pt idx="7">
                  <c:v>2015Q3</c:v>
                </c:pt>
                <c:pt idx="8">
                  <c:v>2015Q4</c:v>
                </c:pt>
                <c:pt idx="9">
                  <c:v>2016Q1</c:v>
                </c:pt>
                <c:pt idx="10">
                  <c:v>2016Q2</c:v>
                </c:pt>
                <c:pt idx="11">
                  <c:v>2016Q3</c:v>
                </c:pt>
                <c:pt idx="12">
                  <c:v>2016Q4</c:v>
                </c:pt>
                <c:pt idx="13">
                  <c:v>2017Q1</c:v>
                </c:pt>
                <c:pt idx="14">
                  <c:v>2017Q2</c:v>
                </c:pt>
                <c:pt idx="15">
                  <c:v>2017Q3</c:v>
                </c:pt>
                <c:pt idx="16">
                  <c:v>2017Q4</c:v>
                </c:pt>
                <c:pt idx="17">
                  <c:v>2018Q1</c:v>
                </c:pt>
                <c:pt idx="18">
                  <c:v>2018Q2</c:v>
                </c:pt>
                <c:pt idx="19">
                  <c:v>2018Q3</c:v>
                </c:pt>
                <c:pt idx="20">
                  <c:v>2018Q4</c:v>
                </c:pt>
                <c:pt idx="21">
                  <c:v>2019Q1</c:v>
                </c:pt>
                <c:pt idx="22">
                  <c:v>2019Q2</c:v>
                </c:pt>
                <c:pt idx="23">
                  <c:v>2019Q3</c:v>
                </c:pt>
                <c:pt idx="24">
                  <c:v>2019Q4</c:v>
                </c:pt>
                <c:pt idx="25">
                  <c:v>2020Q1</c:v>
                </c:pt>
                <c:pt idx="26">
                  <c:v>2020Q2</c:v>
                </c:pt>
                <c:pt idx="27">
                  <c:v>2020Q3</c:v>
                </c:pt>
                <c:pt idx="28">
                  <c:v>2020Q4</c:v>
                </c:pt>
                <c:pt idx="29">
                  <c:v>2021Q1</c:v>
                </c:pt>
                <c:pt idx="30">
                  <c:v>2021Q2</c:v>
                </c:pt>
                <c:pt idx="31">
                  <c:v>2021Q3</c:v>
                </c:pt>
                <c:pt idx="32">
                  <c:v>2021Q4</c:v>
                </c:pt>
                <c:pt idx="33">
                  <c:v>2022Q1</c:v>
                </c:pt>
                <c:pt idx="34">
                  <c:v>2022Q2</c:v>
                </c:pt>
              </c:strCache>
            </c:strRef>
          </c:cat>
          <c:val>
            <c:numRef>
              <c:f>'braf unresec qtr'!$K$45:$K$80</c:f>
              <c:numCache>
                <c:formatCode>General</c:formatCode>
                <c:ptCount val="35"/>
                <c:pt idx="14" formatCode="_(&quot;$&quot;* #,##0_);_(&quot;$&quot;* \(#,##0\);_(&quot;$&quot;* &quot;-&quot;_);_(@_)">
                  <c:v>514416.51</c:v>
                </c:pt>
                <c:pt idx="15" formatCode="_(&quot;$&quot;* #,##0_);_(&quot;$&quot;* \(#,##0\);_(&quot;$&quot;* &quot;-&quot;_);_(@_)">
                  <c:v>960744.93</c:v>
                </c:pt>
                <c:pt idx="16" formatCode="_(&quot;$&quot;* #,##0_);_(&quot;$&quot;* \(#,##0\);_(&quot;$&quot;* &quot;-&quot;_);_(@_)">
                  <c:v>1197820.8600000001</c:v>
                </c:pt>
                <c:pt idx="17" formatCode="_(&quot;$&quot;* #,##0_);_(&quot;$&quot;* \(#,##0\);_(&quot;$&quot;* &quot;-&quot;_);_(@_)">
                  <c:v>1173895.2</c:v>
                </c:pt>
                <c:pt idx="18" formatCode="_(&quot;$&quot;* #,##0_);_(&quot;$&quot;* \(#,##0\);_(&quot;$&quot;* &quot;-&quot;_);_(@_)">
                  <c:v>1387228.84</c:v>
                </c:pt>
                <c:pt idx="19" formatCode="_(&quot;$&quot;* #,##0_);_(&quot;$&quot;* \(#,##0\);_(&quot;$&quot;* &quot;-&quot;_);_(@_)">
                  <c:v>1401008.13</c:v>
                </c:pt>
                <c:pt idx="20" formatCode="_(&quot;$&quot;* #,##0_);_(&quot;$&quot;* \(#,##0\);_(&quot;$&quot;* &quot;-&quot;_);_(@_)">
                  <c:v>1483362.93</c:v>
                </c:pt>
                <c:pt idx="21" formatCode="_(&quot;$&quot;* #,##0_);_(&quot;$&quot;* \(#,##0\);_(&quot;$&quot;* &quot;-&quot;_);_(@_)">
                  <c:v>1079024.8899999999</c:v>
                </c:pt>
                <c:pt idx="22" formatCode="_(&quot;$&quot;* #,##0_);_(&quot;$&quot;* \(#,##0\);_(&quot;$&quot;* &quot;-&quot;_);_(@_)">
                  <c:v>1117104.93</c:v>
                </c:pt>
                <c:pt idx="23" formatCode="_(&quot;$&quot;* #,##0_);_(&quot;$&quot;* \(#,##0\);_(&quot;$&quot;* &quot;-&quot;_);_(@_)">
                  <c:v>1106341.92</c:v>
                </c:pt>
                <c:pt idx="24" formatCode="_(&quot;$&quot;* #,##0_);_(&quot;$&quot;* \(#,##0\);_(&quot;$&quot;* &quot;-&quot;_);_(@_)">
                  <c:v>1062204.26</c:v>
                </c:pt>
                <c:pt idx="25" formatCode="_(&quot;$&quot;* #,##0_);_(&quot;$&quot;* \(#,##0\);_(&quot;$&quot;* &quot;-&quot;_);_(@_)">
                  <c:v>1263142.28</c:v>
                </c:pt>
                <c:pt idx="26" formatCode="_(&quot;$&quot;* #,##0_);_(&quot;$&quot;* \(#,##0\);_(&quot;$&quot;* &quot;-&quot;_);_(@_)">
                  <c:v>913718.15</c:v>
                </c:pt>
                <c:pt idx="27" formatCode="_(&quot;$&quot;* #,##0_);_(&quot;$&quot;* \(#,##0\);_(&quot;$&quot;* &quot;-&quot;_);_(@_)">
                  <c:v>903735.42</c:v>
                </c:pt>
                <c:pt idx="28" formatCode="_(&quot;$&quot;* #,##0_);_(&quot;$&quot;* \(#,##0\);_(&quot;$&quot;* &quot;-&quot;_);_(@_)">
                  <c:v>677181.18</c:v>
                </c:pt>
                <c:pt idx="29" formatCode="_(&quot;$&quot;* #,##0_);_(&quot;$&quot;* \(#,##0\);_(&quot;$&quot;* &quot;-&quot;_);_(@_)">
                  <c:v>559849.36</c:v>
                </c:pt>
                <c:pt idx="30" formatCode="_(&quot;$&quot;* #,##0_);_(&quot;$&quot;* \(#,##0\);_(&quot;$&quot;* &quot;-&quot;_);_(@_)">
                  <c:v>598636.1</c:v>
                </c:pt>
                <c:pt idx="31" formatCode="_(&quot;$&quot;* #,##0_);_(&quot;$&quot;* \(#,##0\);_(&quot;$&quot;* &quot;-&quot;_);_(@_)">
                  <c:v>584513.97</c:v>
                </c:pt>
                <c:pt idx="32" formatCode="_(&quot;$&quot;* #,##0_);_(&quot;$&quot;* \(#,##0\);_(&quot;$&quot;* &quot;-&quot;_);_(@_)">
                  <c:v>595352.56000000006</c:v>
                </c:pt>
                <c:pt idx="33" formatCode="_(&quot;$&quot;* #,##0_);_(&quot;$&quot;* \(#,##0\);_(&quot;$&quot;* &quot;-&quot;_);_(@_)">
                  <c:v>615825.66</c:v>
                </c:pt>
                <c:pt idx="34" formatCode="_(&quot;$&quot;* #,##0_);_(&quot;$&quot;* \(#,##0\);_(&quot;$&quot;* &quot;-&quot;_);_(@_)">
                  <c:v>402678.52</c:v>
                </c:pt>
              </c:numCache>
            </c:numRef>
          </c:val>
          <c:smooth val="0"/>
          <c:extLst>
            <c:ext xmlns:c16="http://schemas.microsoft.com/office/drawing/2014/chart" uri="{C3380CC4-5D6E-409C-BE32-E72D297353CC}">
              <c16:uniqueId val="{00000002-B28F-48C1-9751-2EB23E5DE4C5}"/>
            </c:ext>
          </c:extLst>
        </c:ser>
        <c:dLbls>
          <c:showLegendKey val="0"/>
          <c:showVal val="0"/>
          <c:showCatName val="0"/>
          <c:showSerName val="0"/>
          <c:showPercent val="0"/>
          <c:showBubbleSize val="0"/>
        </c:dLbls>
        <c:smooth val="0"/>
        <c:axId val="774627568"/>
        <c:axId val="774627896"/>
      </c:lineChart>
      <c:catAx>
        <c:axId val="774627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4627896"/>
        <c:crosses val="autoZero"/>
        <c:auto val="1"/>
        <c:lblAlgn val="ctr"/>
        <c:lblOffset val="100"/>
        <c:noMultiLvlLbl val="0"/>
      </c:catAx>
      <c:valAx>
        <c:axId val="774627896"/>
        <c:scaling>
          <c:orientation val="minMax"/>
        </c:scaling>
        <c:delete val="0"/>
        <c:axPos val="l"/>
        <c:majorGridlines>
          <c:spPr>
            <a:ln w="9525" cap="flat" cmpd="sng" algn="ctr">
              <a:solidFill>
                <a:schemeClr val="tx1">
                  <a:lumMod val="15000"/>
                  <a:lumOff val="85000"/>
                </a:schemeClr>
              </a:solidFill>
              <a:round/>
            </a:ln>
            <a:effectLst/>
          </c:spPr>
        </c:majorGridlines>
        <c:numFmt formatCode="_(&quot;$&quot;* #,##0_);_(&quot;$&quot;* \(#,##0\);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4627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[utilisation.xlsx]Other qtr!PivotTable12</c:name>
    <c:fmtId val="-1"/>
  </c:pivotSource>
  <c:chart>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'Other qtr'!$I$96:$I$97</c:f>
              <c:strCache>
                <c:ptCount val="1"/>
                <c:pt idx="0">
                  <c:v>FOTEMUSTINE</c:v>
                </c:pt>
              </c:strCache>
            </c:strRef>
          </c:tx>
          <c:spPr>
            <a:ln w="28575" cap="rnd">
              <a:solidFill>
                <a:schemeClr val="accent1"/>
              </a:solidFill>
              <a:round/>
            </a:ln>
            <a:effectLst/>
          </c:spPr>
          <c:marker>
            <c:symbol val="none"/>
          </c:marker>
          <c:cat>
            <c:strRef>
              <c:f>'Other qtr'!$H$98:$H$186</c:f>
              <c:strCache>
                <c:ptCount val="88"/>
                <c:pt idx="0">
                  <c:v>2000Q4</c:v>
                </c:pt>
                <c:pt idx="1">
                  <c:v>2001Q1</c:v>
                </c:pt>
                <c:pt idx="2">
                  <c:v>2001Q2</c:v>
                </c:pt>
                <c:pt idx="3">
                  <c:v>2001Q3</c:v>
                </c:pt>
                <c:pt idx="4">
                  <c:v>2001Q4</c:v>
                </c:pt>
                <c:pt idx="5">
                  <c:v>2002Q1</c:v>
                </c:pt>
                <c:pt idx="6">
                  <c:v>2002Q2</c:v>
                </c:pt>
                <c:pt idx="7">
                  <c:v>2002Q3</c:v>
                </c:pt>
                <c:pt idx="8">
                  <c:v>2002Q4</c:v>
                </c:pt>
                <c:pt idx="9">
                  <c:v>2003Q1</c:v>
                </c:pt>
                <c:pt idx="10">
                  <c:v>2003Q2</c:v>
                </c:pt>
                <c:pt idx="11">
                  <c:v>2003Q3</c:v>
                </c:pt>
                <c:pt idx="12">
                  <c:v>2003Q4</c:v>
                </c:pt>
                <c:pt idx="13">
                  <c:v>2004Q1</c:v>
                </c:pt>
                <c:pt idx="14">
                  <c:v>2004Q2</c:v>
                </c:pt>
                <c:pt idx="15">
                  <c:v>2004Q3</c:v>
                </c:pt>
                <c:pt idx="16">
                  <c:v>2004Q4</c:v>
                </c:pt>
                <c:pt idx="17">
                  <c:v>2005Q1</c:v>
                </c:pt>
                <c:pt idx="18">
                  <c:v>2005Q2</c:v>
                </c:pt>
                <c:pt idx="19">
                  <c:v>2005Q3</c:v>
                </c:pt>
                <c:pt idx="20">
                  <c:v>2005Q4</c:v>
                </c:pt>
                <c:pt idx="21">
                  <c:v>2006Q1</c:v>
                </c:pt>
                <c:pt idx="22">
                  <c:v>2006Q2</c:v>
                </c:pt>
                <c:pt idx="23">
                  <c:v>2006Q3</c:v>
                </c:pt>
                <c:pt idx="24">
                  <c:v>2006Q4</c:v>
                </c:pt>
                <c:pt idx="25">
                  <c:v>2007Q1</c:v>
                </c:pt>
                <c:pt idx="26">
                  <c:v>2007Q2</c:v>
                </c:pt>
                <c:pt idx="27">
                  <c:v>2007Q3</c:v>
                </c:pt>
                <c:pt idx="28">
                  <c:v>2007Q4</c:v>
                </c:pt>
                <c:pt idx="29">
                  <c:v>2008Q1</c:v>
                </c:pt>
                <c:pt idx="30">
                  <c:v>2008Q2</c:v>
                </c:pt>
                <c:pt idx="31">
                  <c:v>2008Q3</c:v>
                </c:pt>
                <c:pt idx="32">
                  <c:v>2008Q4</c:v>
                </c:pt>
                <c:pt idx="33">
                  <c:v>2009Q1</c:v>
                </c:pt>
                <c:pt idx="34">
                  <c:v>2009Q2</c:v>
                </c:pt>
                <c:pt idx="35">
                  <c:v>2009Q3</c:v>
                </c:pt>
                <c:pt idx="36">
                  <c:v>2009Q4</c:v>
                </c:pt>
                <c:pt idx="37">
                  <c:v>2010Q1</c:v>
                </c:pt>
                <c:pt idx="38">
                  <c:v>2010Q2</c:v>
                </c:pt>
                <c:pt idx="39">
                  <c:v>2010Q3</c:v>
                </c:pt>
                <c:pt idx="40">
                  <c:v>2010Q4</c:v>
                </c:pt>
                <c:pt idx="41">
                  <c:v>2011Q1</c:v>
                </c:pt>
                <c:pt idx="42">
                  <c:v>2011Q2</c:v>
                </c:pt>
                <c:pt idx="43">
                  <c:v>2011Q3</c:v>
                </c:pt>
                <c:pt idx="44">
                  <c:v>2011Q4</c:v>
                </c:pt>
                <c:pt idx="45">
                  <c:v>2012Q1</c:v>
                </c:pt>
                <c:pt idx="46">
                  <c:v>2012Q2</c:v>
                </c:pt>
                <c:pt idx="47">
                  <c:v>2012Q3</c:v>
                </c:pt>
                <c:pt idx="48">
                  <c:v>2012Q4</c:v>
                </c:pt>
                <c:pt idx="49">
                  <c:v>2013Q1</c:v>
                </c:pt>
                <c:pt idx="50">
                  <c:v>2013Q2</c:v>
                </c:pt>
                <c:pt idx="51">
                  <c:v>2013Q3</c:v>
                </c:pt>
                <c:pt idx="52">
                  <c:v>2013Q4</c:v>
                </c:pt>
                <c:pt idx="53">
                  <c:v>2014Q1</c:v>
                </c:pt>
                <c:pt idx="54">
                  <c:v>2014Q2</c:v>
                </c:pt>
                <c:pt idx="55">
                  <c:v>2014Q3</c:v>
                </c:pt>
                <c:pt idx="56">
                  <c:v>2014Q4</c:v>
                </c:pt>
                <c:pt idx="57">
                  <c:v>2015Q1</c:v>
                </c:pt>
                <c:pt idx="58">
                  <c:v>2015Q2</c:v>
                </c:pt>
                <c:pt idx="59">
                  <c:v>2015Q3</c:v>
                </c:pt>
                <c:pt idx="60">
                  <c:v>2015Q4</c:v>
                </c:pt>
                <c:pt idx="61">
                  <c:v>2016Q1</c:v>
                </c:pt>
                <c:pt idx="62">
                  <c:v>2016Q2</c:v>
                </c:pt>
                <c:pt idx="63">
                  <c:v>2016Q3</c:v>
                </c:pt>
                <c:pt idx="64">
                  <c:v>2016Q4</c:v>
                </c:pt>
                <c:pt idx="65">
                  <c:v>2017Q1</c:v>
                </c:pt>
                <c:pt idx="66">
                  <c:v>2017Q2</c:v>
                </c:pt>
                <c:pt idx="67">
                  <c:v>2017Q3</c:v>
                </c:pt>
                <c:pt idx="68">
                  <c:v>2017Q4</c:v>
                </c:pt>
                <c:pt idx="69">
                  <c:v>2018Q1</c:v>
                </c:pt>
                <c:pt idx="70">
                  <c:v>2018Q2</c:v>
                </c:pt>
                <c:pt idx="71">
                  <c:v>2018Q3</c:v>
                </c:pt>
                <c:pt idx="72">
                  <c:v>2018Q4</c:v>
                </c:pt>
                <c:pt idx="73">
                  <c:v>2019Q1</c:v>
                </c:pt>
                <c:pt idx="74">
                  <c:v>2019Q2</c:v>
                </c:pt>
                <c:pt idx="75">
                  <c:v>2019Q3</c:v>
                </c:pt>
                <c:pt idx="76">
                  <c:v>2019Q4</c:v>
                </c:pt>
                <c:pt idx="77">
                  <c:v>2020Q1</c:v>
                </c:pt>
                <c:pt idx="78">
                  <c:v>2020Q2</c:v>
                </c:pt>
                <c:pt idx="79">
                  <c:v>2020Q3</c:v>
                </c:pt>
                <c:pt idx="80">
                  <c:v>2020Q4</c:v>
                </c:pt>
                <c:pt idx="81">
                  <c:v>2021Q1</c:v>
                </c:pt>
                <c:pt idx="82">
                  <c:v>2021Q2</c:v>
                </c:pt>
                <c:pt idx="83">
                  <c:v>2021Q3</c:v>
                </c:pt>
                <c:pt idx="84">
                  <c:v>2021Q4</c:v>
                </c:pt>
                <c:pt idx="85">
                  <c:v>2022Q1</c:v>
                </c:pt>
                <c:pt idx="86">
                  <c:v>2022Q2</c:v>
                </c:pt>
                <c:pt idx="87">
                  <c:v>2022Q3</c:v>
                </c:pt>
              </c:strCache>
            </c:strRef>
          </c:cat>
          <c:val>
            <c:numRef>
              <c:f>'Other qtr'!$I$98:$I$186</c:f>
              <c:numCache>
                <c:formatCode>General</c:formatCode>
                <c:ptCount val="88"/>
                <c:pt idx="18" formatCode="_(&quot;$&quot;* #,##0_);_(&quot;$&quot;* \(#,##0\);_(&quot;$&quot;* &quot;-&quot;_);_(@_)">
                  <c:v>178887.83</c:v>
                </c:pt>
                <c:pt idx="19" formatCode="_(&quot;$&quot;* #,##0_);_(&quot;$&quot;* \(#,##0\);_(&quot;$&quot;* &quot;-&quot;_);_(@_)">
                  <c:v>222377.27</c:v>
                </c:pt>
                <c:pt idx="20" formatCode="_(&quot;$&quot;* #,##0_);_(&quot;$&quot;* \(#,##0\);_(&quot;$&quot;* &quot;-&quot;_);_(@_)">
                  <c:v>237718.64</c:v>
                </c:pt>
                <c:pt idx="21" formatCode="_(&quot;$&quot;* #,##0_);_(&quot;$&quot;* \(#,##0\);_(&quot;$&quot;* &quot;-&quot;_);_(@_)">
                  <c:v>242627.48</c:v>
                </c:pt>
                <c:pt idx="22" formatCode="_(&quot;$&quot;* #,##0_);_(&quot;$&quot;* \(#,##0\);_(&quot;$&quot;* &quot;-&quot;_);_(@_)">
                  <c:v>306572.59999999998</c:v>
                </c:pt>
                <c:pt idx="23" formatCode="_(&quot;$&quot;* #,##0_);_(&quot;$&quot;* \(#,##0\);_(&quot;$&quot;* &quot;-&quot;_);_(@_)">
                  <c:v>248075.81</c:v>
                </c:pt>
                <c:pt idx="24" formatCode="_(&quot;$&quot;* #,##0_);_(&quot;$&quot;* \(#,##0\);_(&quot;$&quot;* &quot;-&quot;_);_(@_)">
                  <c:v>249187.58</c:v>
                </c:pt>
                <c:pt idx="25" formatCode="_(&quot;$&quot;* #,##0_);_(&quot;$&quot;* \(#,##0\);_(&quot;$&quot;* &quot;-&quot;_);_(@_)">
                  <c:v>241659.03</c:v>
                </c:pt>
                <c:pt idx="26" formatCode="_(&quot;$&quot;* #,##0_);_(&quot;$&quot;* \(#,##0\);_(&quot;$&quot;* &quot;-&quot;_);_(@_)">
                  <c:v>289300.34000000003</c:v>
                </c:pt>
                <c:pt idx="27" formatCode="_(&quot;$&quot;* #,##0_);_(&quot;$&quot;* \(#,##0\);_(&quot;$&quot;* &quot;-&quot;_);_(@_)">
                  <c:v>308017.48</c:v>
                </c:pt>
                <c:pt idx="28" formatCode="_(&quot;$&quot;* #,##0_);_(&quot;$&quot;* \(#,##0\);_(&quot;$&quot;* &quot;-&quot;_);_(@_)">
                  <c:v>345712.82</c:v>
                </c:pt>
                <c:pt idx="29" formatCode="_(&quot;$&quot;* #,##0_);_(&quot;$&quot;* \(#,##0\);_(&quot;$&quot;* &quot;-&quot;_);_(@_)">
                  <c:v>360639.7</c:v>
                </c:pt>
                <c:pt idx="30" formatCode="_(&quot;$&quot;* #,##0_);_(&quot;$&quot;* \(#,##0\);_(&quot;$&quot;* &quot;-&quot;_);_(@_)">
                  <c:v>475420.92</c:v>
                </c:pt>
                <c:pt idx="31" formatCode="_(&quot;$&quot;* #,##0_);_(&quot;$&quot;* \(#,##0\);_(&quot;$&quot;* &quot;-&quot;_);_(@_)">
                  <c:v>357355.94</c:v>
                </c:pt>
                <c:pt idx="32" formatCode="_(&quot;$&quot;* #,##0_);_(&quot;$&quot;* \(#,##0\);_(&quot;$&quot;* &quot;-&quot;_);_(@_)">
                  <c:v>374416.3</c:v>
                </c:pt>
                <c:pt idx="33" formatCode="_(&quot;$&quot;* #,##0_);_(&quot;$&quot;* \(#,##0\);_(&quot;$&quot;* &quot;-&quot;_);_(@_)">
                  <c:v>457176.58</c:v>
                </c:pt>
                <c:pt idx="34" formatCode="_(&quot;$&quot;* #,##0_);_(&quot;$&quot;* \(#,##0\);_(&quot;$&quot;* &quot;-&quot;_);_(@_)">
                  <c:v>456203.69</c:v>
                </c:pt>
                <c:pt idx="35" formatCode="_(&quot;$&quot;* #,##0_);_(&quot;$&quot;* \(#,##0\);_(&quot;$&quot;* &quot;-&quot;_);_(@_)">
                  <c:v>363210.42</c:v>
                </c:pt>
                <c:pt idx="36" formatCode="_(&quot;$&quot;* #,##0_);_(&quot;$&quot;* \(#,##0\);_(&quot;$&quot;* &quot;-&quot;_);_(@_)">
                  <c:v>317632.09999999998</c:v>
                </c:pt>
                <c:pt idx="37" formatCode="_(&quot;$&quot;* #,##0_);_(&quot;$&quot;* \(#,##0\);_(&quot;$&quot;* &quot;-&quot;_);_(@_)">
                  <c:v>271805.59999999998</c:v>
                </c:pt>
                <c:pt idx="38" formatCode="_(&quot;$&quot;* #,##0_);_(&quot;$&quot;* \(#,##0\);_(&quot;$&quot;* &quot;-&quot;_);_(@_)">
                  <c:v>322108.74</c:v>
                </c:pt>
                <c:pt idx="39" formatCode="_(&quot;$&quot;* #,##0_);_(&quot;$&quot;* \(#,##0\);_(&quot;$&quot;* &quot;-&quot;_);_(@_)">
                  <c:v>374827.45</c:v>
                </c:pt>
                <c:pt idx="40" formatCode="_(&quot;$&quot;* #,##0_);_(&quot;$&quot;* \(#,##0\);_(&quot;$&quot;* &quot;-&quot;_);_(@_)">
                  <c:v>405523.82</c:v>
                </c:pt>
                <c:pt idx="41" formatCode="_(&quot;$&quot;* #,##0_);_(&quot;$&quot;* \(#,##0\);_(&quot;$&quot;* &quot;-&quot;_);_(@_)">
                  <c:v>377636.9</c:v>
                </c:pt>
                <c:pt idx="42" formatCode="_(&quot;$&quot;* #,##0_);_(&quot;$&quot;* \(#,##0\);_(&quot;$&quot;* &quot;-&quot;_);_(@_)">
                  <c:v>290473.34000000003</c:v>
                </c:pt>
                <c:pt idx="43" formatCode="_(&quot;$&quot;* #,##0_);_(&quot;$&quot;* \(#,##0\);_(&quot;$&quot;* &quot;-&quot;_);_(@_)">
                  <c:v>251995.2</c:v>
                </c:pt>
                <c:pt idx="44" formatCode="_(&quot;$&quot;* #,##0_);_(&quot;$&quot;* \(#,##0\);_(&quot;$&quot;* &quot;-&quot;_);_(@_)">
                  <c:v>193795.20000000001</c:v>
                </c:pt>
                <c:pt idx="45" formatCode="_(&quot;$&quot;* #,##0_);_(&quot;$&quot;* \(#,##0\);_(&quot;$&quot;* &quot;-&quot;_);_(@_)">
                  <c:v>257822.39</c:v>
                </c:pt>
                <c:pt idx="46" formatCode="_(&quot;$&quot;* #,##0_);_(&quot;$&quot;* \(#,##0\);_(&quot;$&quot;* &quot;-&quot;_);_(@_)">
                  <c:v>250766.69</c:v>
                </c:pt>
                <c:pt idx="47" formatCode="_(&quot;$&quot;* #,##0_);_(&quot;$&quot;* \(#,##0\);_(&quot;$&quot;* &quot;-&quot;_);_(@_)">
                  <c:v>250029.56</c:v>
                </c:pt>
                <c:pt idx="48" formatCode="_(&quot;$&quot;* #,##0_);_(&quot;$&quot;* \(#,##0\);_(&quot;$&quot;* &quot;-&quot;_);_(@_)">
                  <c:v>267935.64</c:v>
                </c:pt>
                <c:pt idx="49" formatCode="_(&quot;$&quot;* #,##0_);_(&quot;$&quot;* \(#,##0\);_(&quot;$&quot;* &quot;-&quot;_);_(@_)">
                  <c:v>315330.88</c:v>
                </c:pt>
                <c:pt idx="50" formatCode="_(&quot;$&quot;* #,##0_);_(&quot;$&quot;* \(#,##0\);_(&quot;$&quot;* &quot;-&quot;_);_(@_)">
                  <c:v>222903.85</c:v>
                </c:pt>
                <c:pt idx="51" formatCode="_(&quot;$&quot;* #,##0_);_(&quot;$&quot;* \(#,##0\);_(&quot;$&quot;* &quot;-&quot;_);_(@_)">
                  <c:v>128389.73</c:v>
                </c:pt>
                <c:pt idx="52" formatCode="_(&quot;$&quot;* #,##0_);_(&quot;$&quot;* \(#,##0\);_(&quot;$&quot;* &quot;-&quot;_);_(@_)">
                  <c:v>75534.19</c:v>
                </c:pt>
                <c:pt idx="53" formatCode="_(&quot;$&quot;* #,##0_);_(&quot;$&quot;* \(#,##0\);_(&quot;$&quot;* &quot;-&quot;_);_(@_)">
                  <c:v>84645.33</c:v>
                </c:pt>
                <c:pt idx="54" formatCode="_(&quot;$&quot;* #,##0_);_(&quot;$&quot;* \(#,##0\);_(&quot;$&quot;* &quot;-&quot;_);_(@_)">
                  <c:v>83066.78</c:v>
                </c:pt>
                <c:pt idx="55" formatCode="_(&quot;$&quot;* #,##0_);_(&quot;$&quot;* \(#,##0\);_(&quot;$&quot;* &quot;-&quot;_);_(@_)">
                  <c:v>52033.75</c:v>
                </c:pt>
                <c:pt idx="56" formatCode="_(&quot;$&quot;* #,##0_);_(&quot;$&quot;* \(#,##0\);_(&quot;$&quot;* &quot;-&quot;_);_(@_)">
                  <c:v>53631.1</c:v>
                </c:pt>
                <c:pt idx="57" formatCode="_(&quot;$&quot;* #,##0_);_(&quot;$&quot;* \(#,##0\);_(&quot;$&quot;* &quot;-&quot;_);_(@_)">
                  <c:v>44916.15</c:v>
                </c:pt>
                <c:pt idx="58" formatCode="_(&quot;$&quot;* #,##0_);_(&quot;$&quot;* \(#,##0\);_(&quot;$&quot;* &quot;-&quot;_);_(@_)">
                  <c:v>37892.99</c:v>
                </c:pt>
                <c:pt idx="59" formatCode="_(&quot;$&quot;* #,##0_);_(&quot;$&quot;* \(#,##0\);_(&quot;$&quot;* &quot;-&quot;_);_(@_)">
                  <c:v>15336.12</c:v>
                </c:pt>
                <c:pt idx="60" formatCode="_(&quot;$&quot;* #,##0_);_(&quot;$&quot;* \(#,##0\);_(&quot;$&quot;* &quot;-&quot;_);_(@_)">
                  <c:v>22865.37</c:v>
                </c:pt>
                <c:pt idx="61" formatCode="_(&quot;$&quot;* #,##0_);_(&quot;$&quot;* \(#,##0\);_(&quot;$&quot;* &quot;-&quot;_);_(@_)">
                  <c:v>18081.84</c:v>
                </c:pt>
                <c:pt idx="62" formatCode="_(&quot;$&quot;* #,##0_);_(&quot;$&quot;* \(#,##0\);_(&quot;$&quot;* &quot;-&quot;_);_(@_)">
                  <c:v>28415.38</c:v>
                </c:pt>
                <c:pt idx="63" formatCode="_(&quot;$&quot;* #,##0_);_(&quot;$&quot;* \(#,##0\);_(&quot;$&quot;* &quot;-&quot;_);_(@_)">
                  <c:v>28231.06</c:v>
                </c:pt>
                <c:pt idx="64" formatCode="_(&quot;$&quot;* #,##0_);_(&quot;$&quot;* \(#,##0\);_(&quot;$&quot;* &quot;-&quot;_);_(@_)">
                  <c:v>22890.58</c:v>
                </c:pt>
                <c:pt idx="65" formatCode="_(&quot;$&quot;* #,##0_);_(&quot;$&quot;* \(#,##0\);_(&quot;$&quot;* &quot;-&quot;_);_(@_)">
                  <c:v>28100.720000000001</c:v>
                </c:pt>
                <c:pt idx="66" formatCode="_(&quot;$&quot;* #,##0_);_(&quot;$&quot;* \(#,##0\);_(&quot;$&quot;* &quot;-&quot;_);_(@_)">
                  <c:v>43429.06</c:v>
                </c:pt>
                <c:pt idx="67" formatCode="_(&quot;$&quot;* #,##0_);_(&quot;$&quot;* \(#,##0\);_(&quot;$&quot;* &quot;-&quot;_);_(@_)">
                  <c:v>33400.39</c:v>
                </c:pt>
                <c:pt idx="68" formatCode="_(&quot;$&quot;* #,##0_);_(&quot;$&quot;* \(#,##0\);_(&quot;$&quot;* &quot;-&quot;_);_(@_)">
                  <c:v>36564.120000000003</c:v>
                </c:pt>
                <c:pt idx="69" formatCode="_(&quot;$&quot;* #,##0_);_(&quot;$&quot;* \(#,##0\);_(&quot;$&quot;* &quot;-&quot;_);_(@_)">
                  <c:v>19096.79</c:v>
                </c:pt>
                <c:pt idx="70" formatCode="_(&quot;$&quot;* #,##0_);_(&quot;$&quot;* \(#,##0\);_(&quot;$&quot;* &quot;-&quot;_);_(@_)">
                  <c:v>1167</c:v>
                </c:pt>
                <c:pt idx="71" formatCode="_(&quot;$&quot;* #,##0_);_(&quot;$&quot;* \(#,##0\);_(&quot;$&quot;* &quot;-&quot;_);_(@_)">
                  <c:v>4288.82</c:v>
                </c:pt>
                <c:pt idx="72" formatCode="_(&quot;$&quot;* #,##0_);_(&quot;$&quot;* \(#,##0\);_(&quot;$&quot;* &quot;-&quot;_);_(@_)">
                  <c:v>5370.9</c:v>
                </c:pt>
                <c:pt idx="73" formatCode="_(&quot;$&quot;* #,##0_);_(&quot;$&quot;* \(#,##0\);_(&quot;$&quot;* &quot;-&quot;_);_(@_)">
                  <c:v>2164.16</c:v>
                </c:pt>
                <c:pt idx="74" formatCode="_(&quot;$&quot;* #,##0_);_(&quot;$&quot;* \(#,##0\);_(&quot;$&quot;* &quot;-&quot;_);_(@_)">
                  <c:v>11314.46</c:v>
                </c:pt>
                <c:pt idx="75" formatCode="_(&quot;$&quot;* #,##0_);_(&quot;$&quot;* \(#,##0\);_(&quot;$&quot;* &quot;-&quot;_);_(@_)">
                  <c:v>5320.92</c:v>
                </c:pt>
                <c:pt idx="76" formatCode="_(&quot;$&quot;* #,##0_);_(&quot;$&quot;* \(#,##0\);_(&quot;$&quot;* &quot;-&quot;_);_(@_)">
                  <c:v>5351.14</c:v>
                </c:pt>
                <c:pt idx="77" formatCode="_(&quot;$&quot;* #,##0_);_(&quot;$&quot;* \(#,##0\);_(&quot;$&quot;* &quot;-&quot;_);_(@_)">
                  <c:v>9603.34</c:v>
                </c:pt>
                <c:pt idx="78" formatCode="_(&quot;$&quot;* #,##0_);_(&quot;$&quot;* \(#,##0\);_(&quot;$&quot;* &quot;-&quot;_);_(@_)">
                  <c:v>9118.07</c:v>
                </c:pt>
                <c:pt idx="79" formatCode="_(&quot;$&quot;* #,##0_);_(&quot;$&quot;* \(#,##0\);_(&quot;$&quot;* &quot;-&quot;_);_(@_)">
                  <c:v>15457.6</c:v>
                </c:pt>
                <c:pt idx="80" formatCode="_(&quot;$&quot;* #,##0_);_(&quot;$&quot;* \(#,##0\);_(&quot;$&quot;* &quot;-&quot;_);_(@_)">
                  <c:v>28331.09</c:v>
                </c:pt>
                <c:pt idx="81" formatCode="_(&quot;$&quot;* #,##0_);_(&quot;$&quot;* \(#,##0\);_(&quot;$&quot;* &quot;-&quot;_);_(@_)">
                  <c:v>7293.18</c:v>
                </c:pt>
                <c:pt idx="82" formatCode="_(&quot;$&quot;* #,##0_);_(&quot;$&quot;* \(#,##0\);_(&quot;$&quot;* &quot;-&quot;_);_(@_)">
                  <c:v>4071.36</c:v>
                </c:pt>
                <c:pt idx="83" formatCode="_(&quot;$&quot;* #,##0_);_(&quot;$&quot;* \(#,##0\);_(&quot;$&quot;* &quot;-&quot;_);_(@_)">
                  <c:v>7136.13</c:v>
                </c:pt>
                <c:pt idx="84" formatCode="_(&quot;$&quot;* #,##0_);_(&quot;$&quot;* \(#,##0\);_(&quot;$&quot;* &quot;-&quot;_);_(@_)">
                  <c:v>1020.39</c:v>
                </c:pt>
                <c:pt idx="85" formatCode="_(&quot;$&quot;* #,##0_);_(&quot;$&quot;* \(#,##0\);_(&quot;$&quot;* &quot;-&quot;_);_(@_)">
                  <c:v>7093.43</c:v>
                </c:pt>
                <c:pt idx="86" formatCode="_(&quot;$&quot;* #,##0_);_(&quot;$&quot;* \(#,##0\);_(&quot;$&quot;* &quot;-&quot;_);_(@_)">
                  <c:v>4792.6499999999996</c:v>
                </c:pt>
                <c:pt idx="87" formatCode="_(&quot;$&quot;* #,##0_);_(&quot;$&quot;* \(#,##0\);_(&quot;$&quot;* &quot;-&quot;_);_(@_)">
                  <c:v>1935.64</c:v>
                </c:pt>
              </c:numCache>
            </c:numRef>
          </c:val>
          <c:smooth val="0"/>
          <c:extLst>
            <c:ext xmlns:c16="http://schemas.microsoft.com/office/drawing/2014/chart" uri="{C3380CC4-5D6E-409C-BE32-E72D297353CC}">
              <c16:uniqueId val="{00000000-6075-46C6-A627-4617255264E7}"/>
            </c:ext>
          </c:extLst>
        </c:ser>
        <c:ser>
          <c:idx val="1"/>
          <c:order val="1"/>
          <c:tx>
            <c:strRef>
              <c:f>'Other qtr'!$J$96:$J$97</c:f>
              <c:strCache>
                <c:ptCount val="1"/>
                <c:pt idx="0">
                  <c:v>INTERFERON ALFA-2B</c:v>
                </c:pt>
              </c:strCache>
            </c:strRef>
          </c:tx>
          <c:spPr>
            <a:ln w="28575" cap="rnd">
              <a:solidFill>
                <a:schemeClr val="accent2"/>
              </a:solidFill>
              <a:round/>
            </a:ln>
            <a:effectLst/>
          </c:spPr>
          <c:marker>
            <c:symbol val="none"/>
          </c:marker>
          <c:cat>
            <c:strRef>
              <c:f>'Other qtr'!$H$98:$H$186</c:f>
              <c:strCache>
                <c:ptCount val="88"/>
                <c:pt idx="0">
                  <c:v>2000Q4</c:v>
                </c:pt>
                <c:pt idx="1">
                  <c:v>2001Q1</c:v>
                </c:pt>
                <c:pt idx="2">
                  <c:v>2001Q2</c:v>
                </c:pt>
                <c:pt idx="3">
                  <c:v>2001Q3</c:v>
                </c:pt>
                <c:pt idx="4">
                  <c:v>2001Q4</c:v>
                </c:pt>
                <c:pt idx="5">
                  <c:v>2002Q1</c:v>
                </c:pt>
                <c:pt idx="6">
                  <c:v>2002Q2</c:v>
                </c:pt>
                <c:pt idx="7">
                  <c:v>2002Q3</c:v>
                </c:pt>
                <c:pt idx="8">
                  <c:v>2002Q4</c:v>
                </c:pt>
                <c:pt idx="9">
                  <c:v>2003Q1</c:v>
                </c:pt>
                <c:pt idx="10">
                  <c:v>2003Q2</c:v>
                </c:pt>
                <c:pt idx="11">
                  <c:v>2003Q3</c:v>
                </c:pt>
                <c:pt idx="12">
                  <c:v>2003Q4</c:v>
                </c:pt>
                <c:pt idx="13">
                  <c:v>2004Q1</c:v>
                </c:pt>
                <c:pt idx="14">
                  <c:v>2004Q2</c:v>
                </c:pt>
                <c:pt idx="15">
                  <c:v>2004Q3</c:v>
                </c:pt>
                <c:pt idx="16">
                  <c:v>2004Q4</c:v>
                </c:pt>
                <c:pt idx="17">
                  <c:v>2005Q1</c:v>
                </c:pt>
                <c:pt idx="18">
                  <c:v>2005Q2</c:v>
                </c:pt>
                <c:pt idx="19">
                  <c:v>2005Q3</c:v>
                </c:pt>
                <c:pt idx="20">
                  <c:v>2005Q4</c:v>
                </c:pt>
                <c:pt idx="21">
                  <c:v>2006Q1</c:v>
                </c:pt>
                <c:pt idx="22">
                  <c:v>2006Q2</c:v>
                </c:pt>
                <c:pt idx="23">
                  <c:v>2006Q3</c:v>
                </c:pt>
                <c:pt idx="24">
                  <c:v>2006Q4</c:v>
                </c:pt>
                <c:pt idx="25">
                  <c:v>2007Q1</c:v>
                </c:pt>
                <c:pt idx="26">
                  <c:v>2007Q2</c:v>
                </c:pt>
                <c:pt idx="27">
                  <c:v>2007Q3</c:v>
                </c:pt>
                <c:pt idx="28">
                  <c:v>2007Q4</c:v>
                </c:pt>
                <c:pt idx="29">
                  <c:v>2008Q1</c:v>
                </c:pt>
                <c:pt idx="30">
                  <c:v>2008Q2</c:v>
                </c:pt>
                <c:pt idx="31">
                  <c:v>2008Q3</c:v>
                </c:pt>
                <c:pt idx="32">
                  <c:v>2008Q4</c:v>
                </c:pt>
                <c:pt idx="33">
                  <c:v>2009Q1</c:v>
                </c:pt>
                <c:pt idx="34">
                  <c:v>2009Q2</c:v>
                </c:pt>
                <c:pt idx="35">
                  <c:v>2009Q3</c:v>
                </c:pt>
                <c:pt idx="36">
                  <c:v>2009Q4</c:v>
                </c:pt>
                <c:pt idx="37">
                  <c:v>2010Q1</c:v>
                </c:pt>
                <c:pt idx="38">
                  <c:v>2010Q2</c:v>
                </c:pt>
                <c:pt idx="39">
                  <c:v>2010Q3</c:v>
                </c:pt>
                <c:pt idx="40">
                  <c:v>2010Q4</c:v>
                </c:pt>
                <c:pt idx="41">
                  <c:v>2011Q1</c:v>
                </c:pt>
                <c:pt idx="42">
                  <c:v>2011Q2</c:v>
                </c:pt>
                <c:pt idx="43">
                  <c:v>2011Q3</c:v>
                </c:pt>
                <c:pt idx="44">
                  <c:v>2011Q4</c:v>
                </c:pt>
                <c:pt idx="45">
                  <c:v>2012Q1</c:v>
                </c:pt>
                <c:pt idx="46">
                  <c:v>2012Q2</c:v>
                </c:pt>
                <c:pt idx="47">
                  <c:v>2012Q3</c:v>
                </c:pt>
                <c:pt idx="48">
                  <c:v>2012Q4</c:v>
                </c:pt>
                <c:pt idx="49">
                  <c:v>2013Q1</c:v>
                </c:pt>
                <c:pt idx="50">
                  <c:v>2013Q2</c:v>
                </c:pt>
                <c:pt idx="51">
                  <c:v>2013Q3</c:v>
                </c:pt>
                <c:pt idx="52">
                  <c:v>2013Q4</c:v>
                </c:pt>
                <c:pt idx="53">
                  <c:v>2014Q1</c:v>
                </c:pt>
                <c:pt idx="54">
                  <c:v>2014Q2</c:v>
                </c:pt>
                <c:pt idx="55">
                  <c:v>2014Q3</c:v>
                </c:pt>
                <c:pt idx="56">
                  <c:v>2014Q4</c:v>
                </c:pt>
                <c:pt idx="57">
                  <c:v>2015Q1</c:v>
                </c:pt>
                <c:pt idx="58">
                  <c:v>2015Q2</c:v>
                </c:pt>
                <c:pt idx="59">
                  <c:v>2015Q3</c:v>
                </c:pt>
                <c:pt idx="60">
                  <c:v>2015Q4</c:v>
                </c:pt>
                <c:pt idx="61">
                  <c:v>2016Q1</c:v>
                </c:pt>
                <c:pt idx="62">
                  <c:v>2016Q2</c:v>
                </c:pt>
                <c:pt idx="63">
                  <c:v>2016Q3</c:v>
                </c:pt>
                <c:pt idx="64">
                  <c:v>2016Q4</c:v>
                </c:pt>
                <c:pt idx="65">
                  <c:v>2017Q1</c:v>
                </c:pt>
                <c:pt idx="66">
                  <c:v>2017Q2</c:v>
                </c:pt>
                <c:pt idx="67">
                  <c:v>2017Q3</c:v>
                </c:pt>
                <c:pt idx="68">
                  <c:v>2017Q4</c:v>
                </c:pt>
                <c:pt idx="69">
                  <c:v>2018Q1</c:v>
                </c:pt>
                <c:pt idx="70">
                  <c:v>2018Q2</c:v>
                </c:pt>
                <c:pt idx="71">
                  <c:v>2018Q3</c:v>
                </c:pt>
                <c:pt idx="72">
                  <c:v>2018Q4</c:v>
                </c:pt>
                <c:pt idx="73">
                  <c:v>2019Q1</c:v>
                </c:pt>
                <c:pt idx="74">
                  <c:v>2019Q2</c:v>
                </c:pt>
                <c:pt idx="75">
                  <c:v>2019Q3</c:v>
                </c:pt>
                <c:pt idx="76">
                  <c:v>2019Q4</c:v>
                </c:pt>
                <c:pt idx="77">
                  <c:v>2020Q1</c:v>
                </c:pt>
                <c:pt idx="78">
                  <c:v>2020Q2</c:v>
                </c:pt>
                <c:pt idx="79">
                  <c:v>2020Q3</c:v>
                </c:pt>
                <c:pt idx="80">
                  <c:v>2020Q4</c:v>
                </c:pt>
                <c:pt idx="81">
                  <c:v>2021Q1</c:v>
                </c:pt>
                <c:pt idx="82">
                  <c:v>2021Q2</c:v>
                </c:pt>
                <c:pt idx="83">
                  <c:v>2021Q3</c:v>
                </c:pt>
                <c:pt idx="84">
                  <c:v>2021Q4</c:v>
                </c:pt>
                <c:pt idx="85">
                  <c:v>2022Q1</c:v>
                </c:pt>
                <c:pt idx="86">
                  <c:v>2022Q2</c:v>
                </c:pt>
                <c:pt idx="87">
                  <c:v>2022Q3</c:v>
                </c:pt>
              </c:strCache>
            </c:strRef>
          </c:cat>
          <c:val>
            <c:numRef>
              <c:f>'Other qtr'!$J$98:$J$186</c:f>
              <c:numCache>
                <c:formatCode>_("$"* #,##0_);_("$"* \(#,##0\);_("$"* "-"_);_(@_)</c:formatCode>
                <c:ptCount val="88"/>
                <c:pt idx="0">
                  <c:v>18201.689999999999</c:v>
                </c:pt>
                <c:pt idx="1">
                  <c:v>41368.559999999998</c:v>
                </c:pt>
                <c:pt idx="2">
                  <c:v>92740.63</c:v>
                </c:pt>
                <c:pt idx="3">
                  <c:v>147640.07999999999</c:v>
                </c:pt>
                <c:pt idx="4">
                  <c:v>210365.59</c:v>
                </c:pt>
                <c:pt idx="5">
                  <c:v>182790.99</c:v>
                </c:pt>
                <c:pt idx="6">
                  <c:v>214282.45</c:v>
                </c:pt>
                <c:pt idx="7">
                  <c:v>170634.52</c:v>
                </c:pt>
                <c:pt idx="8">
                  <c:v>177851.34</c:v>
                </c:pt>
                <c:pt idx="9">
                  <c:v>168738.2</c:v>
                </c:pt>
                <c:pt idx="10">
                  <c:v>199240.54</c:v>
                </c:pt>
                <c:pt idx="11">
                  <c:v>224665.4</c:v>
                </c:pt>
                <c:pt idx="12">
                  <c:v>189948.89</c:v>
                </c:pt>
                <c:pt idx="13">
                  <c:v>149838.25</c:v>
                </c:pt>
                <c:pt idx="14">
                  <c:v>185949.58</c:v>
                </c:pt>
                <c:pt idx="15">
                  <c:v>171892.87</c:v>
                </c:pt>
                <c:pt idx="16">
                  <c:v>126622.03</c:v>
                </c:pt>
                <c:pt idx="17">
                  <c:v>131964.59</c:v>
                </c:pt>
                <c:pt idx="18">
                  <c:v>138697.59</c:v>
                </c:pt>
                <c:pt idx="19">
                  <c:v>181255.92</c:v>
                </c:pt>
                <c:pt idx="20">
                  <c:v>149758.39000000001</c:v>
                </c:pt>
                <c:pt idx="21">
                  <c:v>137293.26999999999</c:v>
                </c:pt>
                <c:pt idx="22">
                  <c:v>157589.93</c:v>
                </c:pt>
                <c:pt idx="23">
                  <c:v>123123.94</c:v>
                </c:pt>
                <c:pt idx="24">
                  <c:v>126280.22</c:v>
                </c:pt>
                <c:pt idx="25">
                  <c:v>177258.33</c:v>
                </c:pt>
                <c:pt idx="26">
                  <c:v>164996.44</c:v>
                </c:pt>
                <c:pt idx="27">
                  <c:v>168716.81</c:v>
                </c:pt>
                <c:pt idx="28">
                  <c:v>152953.72</c:v>
                </c:pt>
                <c:pt idx="29">
                  <c:v>114032.08</c:v>
                </c:pt>
                <c:pt idx="30">
                  <c:v>106763.78</c:v>
                </c:pt>
                <c:pt idx="31">
                  <c:v>144521.92000000001</c:v>
                </c:pt>
                <c:pt idx="32">
                  <c:v>193155.78</c:v>
                </c:pt>
                <c:pt idx="33">
                  <c:v>114154.46</c:v>
                </c:pt>
                <c:pt idx="34">
                  <c:v>128078.82</c:v>
                </c:pt>
                <c:pt idx="35">
                  <c:v>143078.13</c:v>
                </c:pt>
                <c:pt idx="36">
                  <c:v>143770.56</c:v>
                </c:pt>
                <c:pt idx="37">
                  <c:v>153000.68</c:v>
                </c:pt>
                <c:pt idx="38">
                  <c:v>143644.74</c:v>
                </c:pt>
                <c:pt idx="39">
                  <c:v>154979.12</c:v>
                </c:pt>
                <c:pt idx="40">
                  <c:v>178773.6</c:v>
                </c:pt>
                <c:pt idx="41">
                  <c:v>112905.78</c:v>
                </c:pt>
                <c:pt idx="42">
                  <c:v>139996.37</c:v>
                </c:pt>
                <c:pt idx="43">
                  <c:v>150308.54</c:v>
                </c:pt>
                <c:pt idx="44">
                  <c:v>244047.35</c:v>
                </c:pt>
                <c:pt idx="45">
                  <c:v>184912.19</c:v>
                </c:pt>
                <c:pt idx="46">
                  <c:v>194244.53</c:v>
                </c:pt>
                <c:pt idx="47">
                  <c:v>187148.52</c:v>
                </c:pt>
                <c:pt idx="48">
                  <c:v>132174.6</c:v>
                </c:pt>
                <c:pt idx="49">
                  <c:v>183696.93</c:v>
                </c:pt>
                <c:pt idx="50">
                  <c:v>183069.78</c:v>
                </c:pt>
                <c:pt idx="51">
                  <c:v>197700.5</c:v>
                </c:pt>
                <c:pt idx="52">
                  <c:v>181654.96</c:v>
                </c:pt>
                <c:pt idx="53">
                  <c:v>146838.06</c:v>
                </c:pt>
                <c:pt idx="54">
                  <c:v>209167.89</c:v>
                </c:pt>
                <c:pt idx="55">
                  <c:v>252904.79</c:v>
                </c:pt>
                <c:pt idx="56">
                  <c:v>144864.38</c:v>
                </c:pt>
                <c:pt idx="57">
                  <c:v>244658.55</c:v>
                </c:pt>
                <c:pt idx="58">
                  <c:v>148164.5</c:v>
                </c:pt>
                <c:pt idx="59">
                  <c:v>70057.48</c:v>
                </c:pt>
                <c:pt idx="60">
                  <c:v>102764.79</c:v>
                </c:pt>
                <c:pt idx="61">
                  <c:v>69046.62</c:v>
                </c:pt>
                <c:pt idx="62">
                  <c:v>37737.599999999999</c:v>
                </c:pt>
                <c:pt idx="63">
                  <c:v>49790.12</c:v>
                </c:pt>
                <c:pt idx="64">
                  <c:v>45976.02</c:v>
                </c:pt>
                <c:pt idx="65">
                  <c:v>29057.24</c:v>
                </c:pt>
                <c:pt idx="66">
                  <c:v>35130.71</c:v>
                </c:pt>
                <c:pt idx="67">
                  <c:v>34624.14</c:v>
                </c:pt>
                <c:pt idx="68">
                  <c:v>27460.91</c:v>
                </c:pt>
                <c:pt idx="69">
                  <c:v>24979.68</c:v>
                </c:pt>
                <c:pt idx="70">
                  <c:v>8766.49</c:v>
                </c:pt>
              </c:numCache>
            </c:numRef>
          </c:val>
          <c:smooth val="0"/>
          <c:extLst>
            <c:ext xmlns:c16="http://schemas.microsoft.com/office/drawing/2014/chart" uri="{C3380CC4-5D6E-409C-BE32-E72D297353CC}">
              <c16:uniqueId val="{00000001-6075-46C6-A627-4617255264E7}"/>
            </c:ext>
          </c:extLst>
        </c:ser>
        <c:dLbls>
          <c:showLegendKey val="0"/>
          <c:showVal val="0"/>
          <c:showCatName val="0"/>
          <c:showSerName val="0"/>
          <c:showPercent val="0"/>
          <c:showBubbleSize val="0"/>
        </c:dLbls>
        <c:smooth val="0"/>
        <c:axId val="930017880"/>
        <c:axId val="930022472"/>
      </c:lineChart>
      <c:catAx>
        <c:axId val="930017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0022472"/>
        <c:crosses val="autoZero"/>
        <c:auto val="1"/>
        <c:lblAlgn val="ctr"/>
        <c:lblOffset val="100"/>
        <c:noMultiLvlLbl val="0"/>
      </c:catAx>
      <c:valAx>
        <c:axId val="930022472"/>
        <c:scaling>
          <c:orientation val="minMax"/>
        </c:scaling>
        <c:delete val="0"/>
        <c:axPos val="l"/>
        <c:majorGridlines>
          <c:spPr>
            <a:ln w="9525" cap="flat" cmpd="sng" algn="ctr">
              <a:solidFill>
                <a:schemeClr val="tx1">
                  <a:lumMod val="15000"/>
                  <a:lumOff val="85000"/>
                </a:schemeClr>
              </a:solidFill>
              <a:round/>
            </a:ln>
            <a:effectLst/>
          </c:spPr>
        </c:majorGridlines>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0017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[unresectable nivo.xlsx]Sheet1!PivotTable1</c:name>
    <c:fmtId val="-1"/>
  </c:pivotSource>
  <c:chart>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Sheet1!$L$1</c:f>
              <c:strCache>
                <c:ptCount val="1"/>
                <c:pt idx="0">
                  <c:v>Prevalence Monotherapy</c:v>
                </c:pt>
              </c:strCache>
            </c:strRef>
          </c:tx>
          <c:spPr>
            <a:ln w="28575" cap="rnd">
              <a:solidFill>
                <a:schemeClr val="accent1"/>
              </a:solidFill>
              <a:round/>
            </a:ln>
            <a:effectLst/>
          </c:spPr>
          <c:marker>
            <c:symbol val="none"/>
          </c:marker>
          <c:cat>
            <c:strRef>
              <c:f>Sheet1!$K$2:$K$27</c:f>
              <c:strCache>
                <c:ptCount val="25"/>
                <c:pt idx="0">
                  <c:v>2016Q2</c:v>
                </c:pt>
                <c:pt idx="1">
                  <c:v>2016Q3</c:v>
                </c:pt>
                <c:pt idx="2">
                  <c:v>2016Q4</c:v>
                </c:pt>
                <c:pt idx="3">
                  <c:v>2017Q1</c:v>
                </c:pt>
                <c:pt idx="4">
                  <c:v>2017Q2</c:v>
                </c:pt>
                <c:pt idx="5">
                  <c:v>2017Q3</c:v>
                </c:pt>
                <c:pt idx="6">
                  <c:v>2017Q4</c:v>
                </c:pt>
                <c:pt idx="7">
                  <c:v>2018Q1</c:v>
                </c:pt>
                <c:pt idx="8">
                  <c:v>2018Q2</c:v>
                </c:pt>
                <c:pt idx="9">
                  <c:v>2018Q3</c:v>
                </c:pt>
                <c:pt idx="10">
                  <c:v>2018Q4</c:v>
                </c:pt>
                <c:pt idx="11">
                  <c:v>2019Q1</c:v>
                </c:pt>
                <c:pt idx="12">
                  <c:v>2019Q2</c:v>
                </c:pt>
                <c:pt idx="13">
                  <c:v>2019Q3</c:v>
                </c:pt>
                <c:pt idx="14">
                  <c:v>2019Q4</c:v>
                </c:pt>
                <c:pt idx="15">
                  <c:v>2020Q1</c:v>
                </c:pt>
                <c:pt idx="16">
                  <c:v>2020Q2</c:v>
                </c:pt>
                <c:pt idx="17">
                  <c:v>2020Q3</c:v>
                </c:pt>
                <c:pt idx="18">
                  <c:v>2020Q4</c:v>
                </c:pt>
                <c:pt idx="19">
                  <c:v>2021Q1</c:v>
                </c:pt>
                <c:pt idx="20">
                  <c:v>2021Q2</c:v>
                </c:pt>
                <c:pt idx="21">
                  <c:v>2021Q3</c:v>
                </c:pt>
                <c:pt idx="22">
                  <c:v>2021Q4</c:v>
                </c:pt>
                <c:pt idx="23">
                  <c:v>2022Q1</c:v>
                </c:pt>
                <c:pt idx="24">
                  <c:v>2022Q2</c:v>
                </c:pt>
              </c:strCache>
            </c:strRef>
          </c:cat>
          <c:val>
            <c:numRef>
              <c:f>Sheet1!$L$2:$L$27</c:f>
              <c:numCache>
                <c:formatCode>General</c:formatCode>
                <c:ptCount val="25"/>
                <c:pt idx="0">
                  <c:v>36</c:v>
                </c:pt>
                <c:pt idx="1">
                  <c:v>72</c:v>
                </c:pt>
                <c:pt idx="2">
                  <c:v>97</c:v>
                </c:pt>
                <c:pt idx="3">
                  <c:v>115</c:v>
                </c:pt>
                <c:pt idx="4">
                  <c:v>124</c:v>
                </c:pt>
                <c:pt idx="5">
                  <c:v>179</c:v>
                </c:pt>
                <c:pt idx="6">
                  <c:v>222</c:v>
                </c:pt>
                <c:pt idx="7">
                  <c:v>256</c:v>
                </c:pt>
                <c:pt idx="8">
                  <c:v>268</c:v>
                </c:pt>
                <c:pt idx="9">
                  <c:v>316</c:v>
                </c:pt>
                <c:pt idx="10">
                  <c:v>377</c:v>
                </c:pt>
                <c:pt idx="11">
                  <c:v>488</c:v>
                </c:pt>
                <c:pt idx="12">
                  <c:v>549</c:v>
                </c:pt>
                <c:pt idx="13">
                  <c:v>578</c:v>
                </c:pt>
                <c:pt idx="14">
                  <c:v>694</c:v>
                </c:pt>
                <c:pt idx="15">
                  <c:v>814</c:v>
                </c:pt>
                <c:pt idx="16">
                  <c:v>798</c:v>
                </c:pt>
                <c:pt idx="17">
                  <c:v>834</c:v>
                </c:pt>
                <c:pt idx="18">
                  <c:v>839</c:v>
                </c:pt>
                <c:pt idx="19">
                  <c:v>838</c:v>
                </c:pt>
                <c:pt idx="20">
                  <c:v>817</c:v>
                </c:pt>
                <c:pt idx="21">
                  <c:v>841</c:v>
                </c:pt>
                <c:pt idx="22">
                  <c:v>856</c:v>
                </c:pt>
                <c:pt idx="23">
                  <c:v>856</c:v>
                </c:pt>
                <c:pt idx="24">
                  <c:v>855</c:v>
                </c:pt>
              </c:numCache>
            </c:numRef>
          </c:val>
          <c:smooth val="0"/>
          <c:extLst>
            <c:ext xmlns:c16="http://schemas.microsoft.com/office/drawing/2014/chart" uri="{C3380CC4-5D6E-409C-BE32-E72D297353CC}">
              <c16:uniqueId val="{00000000-BF14-4555-9BC5-AC41AE55A5BA}"/>
            </c:ext>
          </c:extLst>
        </c:ser>
        <c:ser>
          <c:idx val="1"/>
          <c:order val="1"/>
          <c:tx>
            <c:strRef>
              <c:f>Sheet1!$M$1</c:f>
              <c:strCache>
                <c:ptCount val="1"/>
                <c:pt idx="0">
                  <c:v>Initiators monotherapy</c:v>
                </c:pt>
              </c:strCache>
            </c:strRef>
          </c:tx>
          <c:spPr>
            <a:ln w="28575" cap="rnd">
              <a:solidFill>
                <a:schemeClr val="accent2"/>
              </a:solidFill>
              <a:round/>
            </a:ln>
            <a:effectLst/>
          </c:spPr>
          <c:marker>
            <c:symbol val="none"/>
          </c:marker>
          <c:cat>
            <c:strRef>
              <c:f>Sheet1!$K$2:$K$27</c:f>
              <c:strCache>
                <c:ptCount val="25"/>
                <c:pt idx="0">
                  <c:v>2016Q2</c:v>
                </c:pt>
                <c:pt idx="1">
                  <c:v>2016Q3</c:v>
                </c:pt>
                <c:pt idx="2">
                  <c:v>2016Q4</c:v>
                </c:pt>
                <c:pt idx="3">
                  <c:v>2017Q1</c:v>
                </c:pt>
                <c:pt idx="4">
                  <c:v>2017Q2</c:v>
                </c:pt>
                <c:pt idx="5">
                  <c:v>2017Q3</c:v>
                </c:pt>
                <c:pt idx="6">
                  <c:v>2017Q4</c:v>
                </c:pt>
                <c:pt idx="7">
                  <c:v>2018Q1</c:v>
                </c:pt>
                <c:pt idx="8">
                  <c:v>2018Q2</c:v>
                </c:pt>
                <c:pt idx="9">
                  <c:v>2018Q3</c:v>
                </c:pt>
                <c:pt idx="10">
                  <c:v>2018Q4</c:v>
                </c:pt>
                <c:pt idx="11">
                  <c:v>2019Q1</c:v>
                </c:pt>
                <c:pt idx="12">
                  <c:v>2019Q2</c:v>
                </c:pt>
                <c:pt idx="13">
                  <c:v>2019Q3</c:v>
                </c:pt>
                <c:pt idx="14">
                  <c:v>2019Q4</c:v>
                </c:pt>
                <c:pt idx="15">
                  <c:v>2020Q1</c:v>
                </c:pt>
                <c:pt idx="16">
                  <c:v>2020Q2</c:v>
                </c:pt>
                <c:pt idx="17">
                  <c:v>2020Q3</c:v>
                </c:pt>
                <c:pt idx="18">
                  <c:v>2020Q4</c:v>
                </c:pt>
                <c:pt idx="19">
                  <c:v>2021Q1</c:v>
                </c:pt>
                <c:pt idx="20">
                  <c:v>2021Q2</c:v>
                </c:pt>
                <c:pt idx="21">
                  <c:v>2021Q3</c:v>
                </c:pt>
                <c:pt idx="22">
                  <c:v>2021Q4</c:v>
                </c:pt>
                <c:pt idx="23">
                  <c:v>2022Q1</c:v>
                </c:pt>
                <c:pt idx="24">
                  <c:v>2022Q2</c:v>
                </c:pt>
              </c:strCache>
            </c:strRef>
          </c:cat>
          <c:val>
            <c:numRef>
              <c:f>Sheet1!$M$2:$M$27</c:f>
              <c:numCache>
                <c:formatCode>General</c:formatCode>
                <c:ptCount val="25"/>
                <c:pt idx="0">
                  <c:v>36</c:v>
                </c:pt>
                <c:pt idx="1">
                  <c:v>46</c:v>
                </c:pt>
                <c:pt idx="2">
                  <c:v>40</c:v>
                </c:pt>
                <c:pt idx="3">
                  <c:v>44</c:v>
                </c:pt>
                <c:pt idx="4">
                  <c:v>43</c:v>
                </c:pt>
                <c:pt idx="5">
                  <c:v>82</c:v>
                </c:pt>
                <c:pt idx="6">
                  <c:v>79</c:v>
                </c:pt>
                <c:pt idx="7">
                  <c:v>87</c:v>
                </c:pt>
                <c:pt idx="8">
                  <c:v>77</c:v>
                </c:pt>
                <c:pt idx="9">
                  <c:v>101</c:v>
                </c:pt>
                <c:pt idx="10">
                  <c:v>133</c:v>
                </c:pt>
                <c:pt idx="11">
                  <c:v>182</c:v>
                </c:pt>
                <c:pt idx="12">
                  <c:v>172</c:v>
                </c:pt>
                <c:pt idx="13">
                  <c:v>177</c:v>
                </c:pt>
                <c:pt idx="14">
                  <c:v>282</c:v>
                </c:pt>
                <c:pt idx="15">
                  <c:v>302</c:v>
                </c:pt>
                <c:pt idx="16">
                  <c:v>223</c:v>
                </c:pt>
                <c:pt idx="17">
                  <c:v>217</c:v>
                </c:pt>
                <c:pt idx="18">
                  <c:v>173</c:v>
                </c:pt>
                <c:pt idx="19">
                  <c:v>171</c:v>
                </c:pt>
                <c:pt idx="20">
                  <c:v>144</c:v>
                </c:pt>
                <c:pt idx="21">
                  <c:v>153</c:v>
                </c:pt>
                <c:pt idx="22">
                  <c:v>180</c:v>
                </c:pt>
                <c:pt idx="23">
                  <c:v>167</c:v>
                </c:pt>
                <c:pt idx="24">
                  <c:v>172</c:v>
                </c:pt>
              </c:numCache>
            </c:numRef>
          </c:val>
          <c:smooth val="0"/>
          <c:extLst>
            <c:ext xmlns:c16="http://schemas.microsoft.com/office/drawing/2014/chart" uri="{C3380CC4-5D6E-409C-BE32-E72D297353CC}">
              <c16:uniqueId val="{00000001-BF14-4555-9BC5-AC41AE55A5BA}"/>
            </c:ext>
          </c:extLst>
        </c:ser>
        <c:ser>
          <c:idx val="2"/>
          <c:order val="2"/>
          <c:tx>
            <c:strRef>
              <c:f>Sheet1!$N$1</c:f>
              <c:strCache>
                <c:ptCount val="1"/>
                <c:pt idx="0">
                  <c:v>Prevalence Combination</c:v>
                </c:pt>
              </c:strCache>
            </c:strRef>
          </c:tx>
          <c:spPr>
            <a:ln w="28575" cap="rnd">
              <a:solidFill>
                <a:schemeClr val="accent3"/>
              </a:solidFill>
              <a:round/>
            </a:ln>
            <a:effectLst/>
          </c:spPr>
          <c:marker>
            <c:symbol val="none"/>
          </c:marker>
          <c:cat>
            <c:strRef>
              <c:f>Sheet1!$K$2:$K$27</c:f>
              <c:strCache>
                <c:ptCount val="25"/>
                <c:pt idx="0">
                  <c:v>2016Q2</c:v>
                </c:pt>
                <c:pt idx="1">
                  <c:v>2016Q3</c:v>
                </c:pt>
                <c:pt idx="2">
                  <c:v>2016Q4</c:v>
                </c:pt>
                <c:pt idx="3">
                  <c:v>2017Q1</c:v>
                </c:pt>
                <c:pt idx="4">
                  <c:v>2017Q2</c:v>
                </c:pt>
                <c:pt idx="5">
                  <c:v>2017Q3</c:v>
                </c:pt>
                <c:pt idx="6">
                  <c:v>2017Q4</c:v>
                </c:pt>
                <c:pt idx="7">
                  <c:v>2018Q1</c:v>
                </c:pt>
                <c:pt idx="8">
                  <c:v>2018Q2</c:v>
                </c:pt>
                <c:pt idx="9">
                  <c:v>2018Q3</c:v>
                </c:pt>
                <c:pt idx="10">
                  <c:v>2018Q4</c:v>
                </c:pt>
                <c:pt idx="11">
                  <c:v>2019Q1</c:v>
                </c:pt>
                <c:pt idx="12">
                  <c:v>2019Q2</c:v>
                </c:pt>
                <c:pt idx="13">
                  <c:v>2019Q3</c:v>
                </c:pt>
                <c:pt idx="14">
                  <c:v>2019Q4</c:v>
                </c:pt>
                <c:pt idx="15">
                  <c:v>2020Q1</c:v>
                </c:pt>
                <c:pt idx="16">
                  <c:v>2020Q2</c:v>
                </c:pt>
                <c:pt idx="17">
                  <c:v>2020Q3</c:v>
                </c:pt>
                <c:pt idx="18">
                  <c:v>2020Q4</c:v>
                </c:pt>
                <c:pt idx="19">
                  <c:v>2021Q1</c:v>
                </c:pt>
                <c:pt idx="20">
                  <c:v>2021Q2</c:v>
                </c:pt>
                <c:pt idx="21">
                  <c:v>2021Q3</c:v>
                </c:pt>
                <c:pt idx="22">
                  <c:v>2021Q4</c:v>
                </c:pt>
                <c:pt idx="23">
                  <c:v>2022Q1</c:v>
                </c:pt>
                <c:pt idx="24">
                  <c:v>2022Q2</c:v>
                </c:pt>
              </c:strCache>
            </c:strRef>
          </c:cat>
          <c:val>
            <c:numRef>
              <c:f>Sheet1!$N$2:$N$27</c:f>
              <c:numCache>
                <c:formatCode>General</c:formatCode>
                <c:ptCount val="25"/>
                <c:pt idx="0">
                  <c:v>0</c:v>
                </c:pt>
                <c:pt idx="1">
                  <c:v>0</c:v>
                </c:pt>
                <c:pt idx="2">
                  <c:v>0</c:v>
                </c:pt>
                <c:pt idx="3">
                  <c:v>0</c:v>
                </c:pt>
                <c:pt idx="4">
                  <c:v>0</c:v>
                </c:pt>
                <c:pt idx="5">
                  <c:v>0</c:v>
                </c:pt>
                <c:pt idx="6">
                  <c:v>0</c:v>
                </c:pt>
                <c:pt idx="7">
                  <c:v>0</c:v>
                </c:pt>
                <c:pt idx="8">
                  <c:v>0</c:v>
                </c:pt>
                <c:pt idx="9">
                  <c:v>0</c:v>
                </c:pt>
                <c:pt idx="10">
                  <c:v>189</c:v>
                </c:pt>
                <c:pt idx="11">
                  <c:v>333</c:v>
                </c:pt>
                <c:pt idx="12">
                  <c:v>338</c:v>
                </c:pt>
                <c:pt idx="13">
                  <c:v>390</c:v>
                </c:pt>
                <c:pt idx="14">
                  <c:v>383</c:v>
                </c:pt>
                <c:pt idx="15">
                  <c:v>419</c:v>
                </c:pt>
                <c:pt idx="16">
                  <c:v>574</c:v>
                </c:pt>
                <c:pt idx="17">
                  <c:v>632</c:v>
                </c:pt>
                <c:pt idx="18">
                  <c:v>641</c:v>
                </c:pt>
                <c:pt idx="19">
                  <c:v>679</c:v>
                </c:pt>
                <c:pt idx="20">
                  <c:v>712</c:v>
                </c:pt>
                <c:pt idx="21">
                  <c:v>783</c:v>
                </c:pt>
                <c:pt idx="22">
                  <c:v>782</c:v>
                </c:pt>
                <c:pt idx="23">
                  <c:v>808</c:v>
                </c:pt>
                <c:pt idx="24">
                  <c:v>837</c:v>
                </c:pt>
              </c:numCache>
            </c:numRef>
          </c:val>
          <c:smooth val="0"/>
          <c:extLst>
            <c:ext xmlns:c16="http://schemas.microsoft.com/office/drawing/2014/chart" uri="{C3380CC4-5D6E-409C-BE32-E72D297353CC}">
              <c16:uniqueId val="{00000002-BF14-4555-9BC5-AC41AE55A5BA}"/>
            </c:ext>
          </c:extLst>
        </c:ser>
        <c:ser>
          <c:idx val="3"/>
          <c:order val="3"/>
          <c:tx>
            <c:strRef>
              <c:f>Sheet1!$O$1</c:f>
              <c:strCache>
                <c:ptCount val="1"/>
                <c:pt idx="0">
                  <c:v>Initiators Combination</c:v>
                </c:pt>
              </c:strCache>
            </c:strRef>
          </c:tx>
          <c:spPr>
            <a:ln w="28575" cap="rnd">
              <a:solidFill>
                <a:schemeClr val="accent4"/>
              </a:solidFill>
              <a:round/>
            </a:ln>
            <a:effectLst/>
          </c:spPr>
          <c:marker>
            <c:symbol val="none"/>
          </c:marker>
          <c:cat>
            <c:strRef>
              <c:f>Sheet1!$K$2:$K$27</c:f>
              <c:strCache>
                <c:ptCount val="25"/>
                <c:pt idx="0">
                  <c:v>2016Q2</c:v>
                </c:pt>
                <c:pt idx="1">
                  <c:v>2016Q3</c:v>
                </c:pt>
                <c:pt idx="2">
                  <c:v>2016Q4</c:v>
                </c:pt>
                <c:pt idx="3">
                  <c:v>2017Q1</c:v>
                </c:pt>
                <c:pt idx="4">
                  <c:v>2017Q2</c:v>
                </c:pt>
                <c:pt idx="5">
                  <c:v>2017Q3</c:v>
                </c:pt>
                <c:pt idx="6">
                  <c:v>2017Q4</c:v>
                </c:pt>
                <c:pt idx="7">
                  <c:v>2018Q1</c:v>
                </c:pt>
                <c:pt idx="8">
                  <c:v>2018Q2</c:v>
                </c:pt>
                <c:pt idx="9">
                  <c:v>2018Q3</c:v>
                </c:pt>
                <c:pt idx="10">
                  <c:v>2018Q4</c:v>
                </c:pt>
                <c:pt idx="11">
                  <c:v>2019Q1</c:v>
                </c:pt>
                <c:pt idx="12">
                  <c:v>2019Q2</c:v>
                </c:pt>
                <c:pt idx="13">
                  <c:v>2019Q3</c:v>
                </c:pt>
                <c:pt idx="14">
                  <c:v>2019Q4</c:v>
                </c:pt>
                <c:pt idx="15">
                  <c:v>2020Q1</c:v>
                </c:pt>
                <c:pt idx="16">
                  <c:v>2020Q2</c:v>
                </c:pt>
                <c:pt idx="17">
                  <c:v>2020Q3</c:v>
                </c:pt>
                <c:pt idx="18">
                  <c:v>2020Q4</c:v>
                </c:pt>
                <c:pt idx="19">
                  <c:v>2021Q1</c:v>
                </c:pt>
                <c:pt idx="20">
                  <c:v>2021Q2</c:v>
                </c:pt>
                <c:pt idx="21">
                  <c:v>2021Q3</c:v>
                </c:pt>
                <c:pt idx="22">
                  <c:v>2021Q4</c:v>
                </c:pt>
                <c:pt idx="23">
                  <c:v>2022Q1</c:v>
                </c:pt>
                <c:pt idx="24">
                  <c:v>2022Q2</c:v>
                </c:pt>
              </c:strCache>
            </c:strRef>
          </c:cat>
          <c:val>
            <c:numRef>
              <c:f>Sheet1!$O$2:$O$27</c:f>
              <c:numCache>
                <c:formatCode>General</c:formatCode>
                <c:ptCount val="25"/>
                <c:pt idx="0">
                  <c:v>0</c:v>
                </c:pt>
                <c:pt idx="1">
                  <c:v>0</c:v>
                </c:pt>
                <c:pt idx="2">
                  <c:v>0</c:v>
                </c:pt>
                <c:pt idx="3">
                  <c:v>0</c:v>
                </c:pt>
                <c:pt idx="4">
                  <c:v>0</c:v>
                </c:pt>
                <c:pt idx="5">
                  <c:v>0</c:v>
                </c:pt>
                <c:pt idx="6">
                  <c:v>0</c:v>
                </c:pt>
                <c:pt idx="7">
                  <c:v>0</c:v>
                </c:pt>
                <c:pt idx="8">
                  <c:v>0</c:v>
                </c:pt>
                <c:pt idx="9">
                  <c:v>0</c:v>
                </c:pt>
                <c:pt idx="10">
                  <c:v>184</c:v>
                </c:pt>
                <c:pt idx="11">
                  <c:v>137</c:v>
                </c:pt>
                <c:pt idx="12">
                  <c:v>63</c:v>
                </c:pt>
                <c:pt idx="13">
                  <c:v>72</c:v>
                </c:pt>
                <c:pt idx="14">
                  <c:v>31</c:v>
                </c:pt>
                <c:pt idx="15">
                  <c:v>73</c:v>
                </c:pt>
                <c:pt idx="16">
                  <c:v>176</c:v>
                </c:pt>
                <c:pt idx="17">
                  <c:v>190</c:v>
                </c:pt>
                <c:pt idx="18">
                  <c:v>171</c:v>
                </c:pt>
                <c:pt idx="19">
                  <c:v>195</c:v>
                </c:pt>
                <c:pt idx="20">
                  <c:v>186</c:v>
                </c:pt>
                <c:pt idx="21">
                  <c:v>251</c:v>
                </c:pt>
                <c:pt idx="22">
                  <c:v>193</c:v>
                </c:pt>
                <c:pt idx="23">
                  <c:v>196</c:v>
                </c:pt>
                <c:pt idx="24">
                  <c:v>198</c:v>
                </c:pt>
              </c:numCache>
            </c:numRef>
          </c:val>
          <c:smooth val="0"/>
          <c:extLst>
            <c:ext xmlns:c16="http://schemas.microsoft.com/office/drawing/2014/chart" uri="{C3380CC4-5D6E-409C-BE32-E72D297353CC}">
              <c16:uniqueId val="{00000003-BF14-4555-9BC5-AC41AE55A5BA}"/>
            </c:ext>
          </c:extLst>
        </c:ser>
        <c:dLbls>
          <c:showLegendKey val="0"/>
          <c:showVal val="0"/>
          <c:showCatName val="0"/>
          <c:showSerName val="0"/>
          <c:showPercent val="0"/>
          <c:showBubbleSize val="0"/>
        </c:dLbls>
        <c:smooth val="0"/>
        <c:axId val="475172784"/>
        <c:axId val="475170816"/>
      </c:lineChart>
      <c:catAx>
        <c:axId val="47517278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5170816"/>
        <c:crosses val="autoZero"/>
        <c:auto val="1"/>
        <c:lblAlgn val="ctr"/>
        <c:lblOffset val="100"/>
        <c:noMultiLvlLbl val="0"/>
      </c:catAx>
      <c:valAx>
        <c:axId val="4751708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5172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[unresectable nivo.xlsx]Sheet3!PivotTable4</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areaChart>
        <c:grouping val="stacked"/>
        <c:varyColors val="0"/>
        <c:ser>
          <c:idx val="0"/>
          <c:order val="0"/>
          <c:tx>
            <c:strRef>
              <c:f>Sheet3!$B$3</c:f>
              <c:strCache>
                <c:ptCount val="1"/>
                <c:pt idx="0">
                  <c:v>PBS Cost Monotherapy</c:v>
                </c:pt>
              </c:strCache>
            </c:strRef>
          </c:tx>
          <c:spPr>
            <a:solidFill>
              <a:schemeClr val="accent1"/>
            </a:solidFill>
            <a:ln>
              <a:noFill/>
            </a:ln>
            <a:effectLst/>
          </c:spPr>
          <c:cat>
            <c:strRef>
              <c:f>Sheet3!$A$4:$A$29</c:f>
              <c:strCache>
                <c:ptCount val="25"/>
                <c:pt idx="0">
                  <c:v>2016Q2</c:v>
                </c:pt>
                <c:pt idx="1">
                  <c:v>2016Q3</c:v>
                </c:pt>
                <c:pt idx="2">
                  <c:v>2016Q4</c:v>
                </c:pt>
                <c:pt idx="3">
                  <c:v>2017Q1</c:v>
                </c:pt>
                <c:pt idx="4">
                  <c:v>2017Q2</c:v>
                </c:pt>
                <c:pt idx="5">
                  <c:v>2017Q3</c:v>
                </c:pt>
                <c:pt idx="6">
                  <c:v>2017Q4</c:v>
                </c:pt>
                <c:pt idx="7">
                  <c:v>2018Q1</c:v>
                </c:pt>
                <c:pt idx="8">
                  <c:v>2018Q2</c:v>
                </c:pt>
                <c:pt idx="9">
                  <c:v>2018Q3</c:v>
                </c:pt>
                <c:pt idx="10">
                  <c:v>2018Q4</c:v>
                </c:pt>
                <c:pt idx="11">
                  <c:v>2019Q1</c:v>
                </c:pt>
                <c:pt idx="12">
                  <c:v>2019Q2</c:v>
                </c:pt>
                <c:pt idx="13">
                  <c:v>2019Q3</c:v>
                </c:pt>
                <c:pt idx="14">
                  <c:v>2019Q4</c:v>
                </c:pt>
                <c:pt idx="15">
                  <c:v>2020Q1</c:v>
                </c:pt>
                <c:pt idx="16">
                  <c:v>2020Q2</c:v>
                </c:pt>
                <c:pt idx="17">
                  <c:v>2020Q3</c:v>
                </c:pt>
                <c:pt idx="18">
                  <c:v>2020Q4</c:v>
                </c:pt>
                <c:pt idx="19">
                  <c:v>2021Q1</c:v>
                </c:pt>
                <c:pt idx="20">
                  <c:v>2021Q2</c:v>
                </c:pt>
                <c:pt idx="21">
                  <c:v>2021Q3</c:v>
                </c:pt>
                <c:pt idx="22">
                  <c:v>2021Q4</c:v>
                </c:pt>
                <c:pt idx="23">
                  <c:v>2022Q1</c:v>
                </c:pt>
                <c:pt idx="24">
                  <c:v>2022Q2</c:v>
                </c:pt>
              </c:strCache>
            </c:strRef>
          </c:cat>
          <c:val>
            <c:numRef>
              <c:f>Sheet3!$B$4:$B$29</c:f>
              <c:numCache>
                <c:formatCode>"$"#,##0</c:formatCode>
                <c:ptCount val="25"/>
                <c:pt idx="0">
                  <c:v>535048.63</c:v>
                </c:pt>
                <c:pt idx="1">
                  <c:v>1401924.65</c:v>
                </c:pt>
                <c:pt idx="2">
                  <c:v>2083501.54</c:v>
                </c:pt>
                <c:pt idx="3">
                  <c:v>2655722.75</c:v>
                </c:pt>
                <c:pt idx="4">
                  <c:v>2851518.85</c:v>
                </c:pt>
                <c:pt idx="5">
                  <c:v>4025822.16</c:v>
                </c:pt>
                <c:pt idx="6">
                  <c:v>5256571.25</c:v>
                </c:pt>
                <c:pt idx="7">
                  <c:v>6088743.0300000003</c:v>
                </c:pt>
                <c:pt idx="8">
                  <c:v>6844660.4900000002</c:v>
                </c:pt>
                <c:pt idx="9">
                  <c:v>7538050.0999999996</c:v>
                </c:pt>
                <c:pt idx="10">
                  <c:v>8492096.0899999999</c:v>
                </c:pt>
                <c:pt idx="11">
                  <c:v>9533837.0899999999</c:v>
                </c:pt>
                <c:pt idx="12">
                  <c:v>10215512.779999999</c:v>
                </c:pt>
                <c:pt idx="13">
                  <c:v>10604345.23</c:v>
                </c:pt>
                <c:pt idx="14">
                  <c:v>13037469.119999999</c:v>
                </c:pt>
                <c:pt idx="15">
                  <c:v>15386770.779999999</c:v>
                </c:pt>
                <c:pt idx="16">
                  <c:v>19915364.489999998</c:v>
                </c:pt>
                <c:pt idx="17">
                  <c:v>20836924.859999999</c:v>
                </c:pt>
                <c:pt idx="18">
                  <c:v>21862856.100000001</c:v>
                </c:pt>
                <c:pt idx="19">
                  <c:v>21205552.620000001</c:v>
                </c:pt>
                <c:pt idx="20">
                  <c:v>20953662.91</c:v>
                </c:pt>
                <c:pt idx="21">
                  <c:v>21805073.670000002</c:v>
                </c:pt>
                <c:pt idx="22">
                  <c:v>21858255.960000001</c:v>
                </c:pt>
                <c:pt idx="23">
                  <c:v>21460330.059999999</c:v>
                </c:pt>
                <c:pt idx="24">
                  <c:v>20237544.210000001</c:v>
                </c:pt>
              </c:numCache>
            </c:numRef>
          </c:val>
          <c:extLst>
            <c:ext xmlns:c16="http://schemas.microsoft.com/office/drawing/2014/chart" uri="{C3380CC4-5D6E-409C-BE32-E72D297353CC}">
              <c16:uniqueId val="{00000000-BA82-4E5E-A90E-9D56C86301DA}"/>
            </c:ext>
          </c:extLst>
        </c:ser>
        <c:ser>
          <c:idx val="1"/>
          <c:order val="1"/>
          <c:tx>
            <c:strRef>
              <c:f>Sheet3!$C$3</c:f>
              <c:strCache>
                <c:ptCount val="1"/>
                <c:pt idx="0">
                  <c:v>PBS Cost Combination </c:v>
                </c:pt>
              </c:strCache>
            </c:strRef>
          </c:tx>
          <c:spPr>
            <a:solidFill>
              <a:schemeClr val="accent2"/>
            </a:solidFill>
            <a:ln>
              <a:noFill/>
            </a:ln>
            <a:effectLst/>
          </c:spPr>
          <c:cat>
            <c:strRef>
              <c:f>Sheet3!$A$4:$A$29</c:f>
              <c:strCache>
                <c:ptCount val="25"/>
                <c:pt idx="0">
                  <c:v>2016Q2</c:v>
                </c:pt>
                <c:pt idx="1">
                  <c:v>2016Q3</c:v>
                </c:pt>
                <c:pt idx="2">
                  <c:v>2016Q4</c:v>
                </c:pt>
                <c:pt idx="3">
                  <c:v>2017Q1</c:v>
                </c:pt>
                <c:pt idx="4">
                  <c:v>2017Q2</c:v>
                </c:pt>
                <c:pt idx="5">
                  <c:v>2017Q3</c:v>
                </c:pt>
                <c:pt idx="6">
                  <c:v>2017Q4</c:v>
                </c:pt>
                <c:pt idx="7">
                  <c:v>2018Q1</c:v>
                </c:pt>
                <c:pt idx="8">
                  <c:v>2018Q2</c:v>
                </c:pt>
                <c:pt idx="9">
                  <c:v>2018Q3</c:v>
                </c:pt>
                <c:pt idx="10">
                  <c:v>2018Q4</c:v>
                </c:pt>
                <c:pt idx="11">
                  <c:v>2019Q1</c:v>
                </c:pt>
                <c:pt idx="12">
                  <c:v>2019Q2</c:v>
                </c:pt>
                <c:pt idx="13">
                  <c:v>2019Q3</c:v>
                </c:pt>
                <c:pt idx="14">
                  <c:v>2019Q4</c:v>
                </c:pt>
                <c:pt idx="15">
                  <c:v>2020Q1</c:v>
                </c:pt>
                <c:pt idx="16">
                  <c:v>2020Q2</c:v>
                </c:pt>
                <c:pt idx="17">
                  <c:v>2020Q3</c:v>
                </c:pt>
                <c:pt idx="18">
                  <c:v>2020Q4</c:v>
                </c:pt>
                <c:pt idx="19">
                  <c:v>2021Q1</c:v>
                </c:pt>
                <c:pt idx="20">
                  <c:v>2021Q2</c:v>
                </c:pt>
                <c:pt idx="21">
                  <c:v>2021Q3</c:v>
                </c:pt>
                <c:pt idx="22">
                  <c:v>2021Q4</c:v>
                </c:pt>
                <c:pt idx="23">
                  <c:v>2022Q1</c:v>
                </c:pt>
                <c:pt idx="24">
                  <c:v>2022Q2</c:v>
                </c:pt>
              </c:strCache>
            </c:strRef>
          </c:cat>
          <c:val>
            <c:numRef>
              <c:f>Sheet3!$C$4:$C$29</c:f>
              <c:numCache>
                <c:formatCode>"$"#,##0</c:formatCode>
                <c:ptCount val="25"/>
                <c:pt idx="0">
                  <c:v>0</c:v>
                </c:pt>
                <c:pt idx="1">
                  <c:v>0</c:v>
                </c:pt>
                <c:pt idx="2">
                  <c:v>0</c:v>
                </c:pt>
                <c:pt idx="3">
                  <c:v>0</c:v>
                </c:pt>
                <c:pt idx="4">
                  <c:v>0</c:v>
                </c:pt>
                <c:pt idx="5">
                  <c:v>0</c:v>
                </c:pt>
                <c:pt idx="6">
                  <c:v>0</c:v>
                </c:pt>
                <c:pt idx="7">
                  <c:v>0</c:v>
                </c:pt>
                <c:pt idx="8">
                  <c:v>0</c:v>
                </c:pt>
                <c:pt idx="9">
                  <c:v>0</c:v>
                </c:pt>
                <c:pt idx="10">
                  <c:v>1325045.83</c:v>
                </c:pt>
                <c:pt idx="11">
                  <c:v>6247813.0999999996</c:v>
                </c:pt>
                <c:pt idx="12">
                  <c:v>6578784.4299999997</c:v>
                </c:pt>
                <c:pt idx="13">
                  <c:v>7921184.25</c:v>
                </c:pt>
                <c:pt idx="14">
                  <c:v>8799108.0999999996</c:v>
                </c:pt>
                <c:pt idx="15">
                  <c:v>8750936.8100000005</c:v>
                </c:pt>
                <c:pt idx="16">
                  <c:v>10315483.779999999</c:v>
                </c:pt>
                <c:pt idx="17">
                  <c:v>11551714.720000001</c:v>
                </c:pt>
                <c:pt idx="18">
                  <c:v>12042035.550000001</c:v>
                </c:pt>
                <c:pt idx="19">
                  <c:v>12654163.23</c:v>
                </c:pt>
                <c:pt idx="20">
                  <c:v>13458435.470000001</c:v>
                </c:pt>
                <c:pt idx="21">
                  <c:v>14424004.369999999</c:v>
                </c:pt>
                <c:pt idx="22">
                  <c:v>14705320.210000001</c:v>
                </c:pt>
                <c:pt idx="23">
                  <c:v>15765764.380000001</c:v>
                </c:pt>
                <c:pt idx="24">
                  <c:v>15236296.630000001</c:v>
                </c:pt>
              </c:numCache>
            </c:numRef>
          </c:val>
          <c:extLst>
            <c:ext xmlns:c16="http://schemas.microsoft.com/office/drawing/2014/chart" uri="{C3380CC4-5D6E-409C-BE32-E72D297353CC}">
              <c16:uniqueId val="{00000001-BA82-4E5E-A90E-9D56C86301DA}"/>
            </c:ext>
          </c:extLst>
        </c:ser>
        <c:dLbls>
          <c:showLegendKey val="0"/>
          <c:showVal val="0"/>
          <c:showCatName val="0"/>
          <c:showSerName val="0"/>
          <c:showPercent val="0"/>
          <c:showBubbleSize val="0"/>
        </c:dLbls>
        <c:axId val="733179944"/>
        <c:axId val="733180272"/>
      </c:areaChart>
      <c:catAx>
        <c:axId val="7331799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3180272"/>
        <c:crosses val="autoZero"/>
        <c:auto val="1"/>
        <c:lblAlgn val="ctr"/>
        <c:lblOffset val="100"/>
        <c:noMultiLvlLbl val="0"/>
      </c:catAx>
      <c:valAx>
        <c:axId val="7331802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Cost to PBS/RPBS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317994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[utilisation.xlsx]Sheet1!PivotTable1</c:name>
    <c:fmtId val="-1"/>
  </c:pivotSource>
  <c:chart>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Sheet1!$F$2:$F$3</c:f>
              <c:strCache>
                <c:ptCount val="1"/>
                <c:pt idx="0">
                  <c:v>Unresectable</c:v>
                </c:pt>
              </c:strCache>
            </c:strRef>
          </c:tx>
          <c:spPr>
            <a:ln w="28575" cap="rnd">
              <a:solidFill>
                <a:schemeClr val="accent1"/>
              </a:solidFill>
              <a:round/>
            </a:ln>
            <a:effectLst/>
          </c:spPr>
          <c:marker>
            <c:symbol val="none"/>
          </c:marker>
          <c:cat>
            <c:strRef>
              <c:f>Sheet1!$E$4:$E$11</c:f>
              <c:strCache>
                <c:ptCount val="7"/>
                <c:pt idx="0">
                  <c:v>2015</c:v>
                </c:pt>
                <c:pt idx="1">
                  <c:v>2016</c:v>
                </c:pt>
                <c:pt idx="2">
                  <c:v>2017</c:v>
                </c:pt>
                <c:pt idx="3">
                  <c:v>2018</c:v>
                </c:pt>
                <c:pt idx="4">
                  <c:v>2019</c:v>
                </c:pt>
                <c:pt idx="5">
                  <c:v>2020</c:v>
                </c:pt>
                <c:pt idx="6">
                  <c:v>2021</c:v>
                </c:pt>
              </c:strCache>
            </c:strRef>
          </c:cat>
          <c:val>
            <c:numRef>
              <c:f>Sheet1!$F$4:$F$11</c:f>
              <c:numCache>
                <c:formatCode>General</c:formatCode>
                <c:ptCount val="7"/>
                <c:pt idx="0">
                  <c:v>2222</c:v>
                </c:pt>
                <c:pt idx="1">
                  <c:v>3061</c:v>
                </c:pt>
                <c:pt idx="2">
                  <c:v>3820</c:v>
                </c:pt>
                <c:pt idx="3">
                  <c:v>4279</c:v>
                </c:pt>
                <c:pt idx="4">
                  <c:v>4536</c:v>
                </c:pt>
                <c:pt idx="5">
                  <c:v>4943</c:v>
                </c:pt>
                <c:pt idx="6">
                  <c:v>5009</c:v>
                </c:pt>
              </c:numCache>
            </c:numRef>
          </c:val>
          <c:smooth val="0"/>
          <c:extLst>
            <c:ext xmlns:c16="http://schemas.microsoft.com/office/drawing/2014/chart" uri="{C3380CC4-5D6E-409C-BE32-E72D297353CC}">
              <c16:uniqueId val="{00000000-A575-44BC-91F8-A9478809EA22}"/>
            </c:ext>
          </c:extLst>
        </c:ser>
        <c:ser>
          <c:idx val="1"/>
          <c:order val="1"/>
          <c:tx>
            <c:strRef>
              <c:f>Sheet1!$G$2:$G$3</c:f>
              <c:strCache>
                <c:ptCount val="1"/>
                <c:pt idx="0">
                  <c:v>Post complete surgical resection</c:v>
                </c:pt>
              </c:strCache>
            </c:strRef>
          </c:tx>
          <c:spPr>
            <a:ln w="28575" cap="rnd">
              <a:solidFill>
                <a:schemeClr val="accent2"/>
              </a:solidFill>
              <a:round/>
            </a:ln>
            <a:effectLst/>
          </c:spPr>
          <c:marker>
            <c:symbol val="none"/>
          </c:marker>
          <c:cat>
            <c:strRef>
              <c:f>Sheet1!$E$4:$E$11</c:f>
              <c:strCache>
                <c:ptCount val="7"/>
                <c:pt idx="0">
                  <c:v>2015</c:v>
                </c:pt>
                <c:pt idx="1">
                  <c:v>2016</c:v>
                </c:pt>
                <c:pt idx="2">
                  <c:v>2017</c:v>
                </c:pt>
                <c:pt idx="3">
                  <c:v>2018</c:v>
                </c:pt>
                <c:pt idx="4">
                  <c:v>2019</c:v>
                </c:pt>
                <c:pt idx="5">
                  <c:v>2020</c:v>
                </c:pt>
                <c:pt idx="6">
                  <c:v>2021</c:v>
                </c:pt>
              </c:strCache>
            </c:strRef>
          </c:cat>
          <c:val>
            <c:numRef>
              <c:f>Sheet1!$G$4:$G$11</c:f>
              <c:numCache>
                <c:formatCode>General</c:formatCode>
                <c:ptCount val="7"/>
                <c:pt idx="4">
                  <c:v>55</c:v>
                </c:pt>
                <c:pt idx="5">
                  <c:v>1434</c:v>
                </c:pt>
                <c:pt idx="6">
                  <c:v>1489</c:v>
                </c:pt>
              </c:numCache>
            </c:numRef>
          </c:val>
          <c:smooth val="0"/>
          <c:extLst>
            <c:ext xmlns:c16="http://schemas.microsoft.com/office/drawing/2014/chart" uri="{C3380CC4-5D6E-409C-BE32-E72D297353CC}">
              <c16:uniqueId val="{00000001-A575-44BC-91F8-A9478809EA22}"/>
            </c:ext>
          </c:extLst>
        </c:ser>
        <c:dLbls>
          <c:showLegendKey val="0"/>
          <c:showVal val="0"/>
          <c:showCatName val="0"/>
          <c:showSerName val="0"/>
          <c:showPercent val="0"/>
          <c:showBubbleSize val="0"/>
        </c:dLbls>
        <c:smooth val="0"/>
        <c:axId val="645428112"/>
        <c:axId val="645426472"/>
      </c:lineChart>
      <c:catAx>
        <c:axId val="645428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5426472"/>
        <c:crosses val="autoZero"/>
        <c:auto val="1"/>
        <c:lblAlgn val="ctr"/>
        <c:lblOffset val="100"/>
        <c:noMultiLvlLbl val="0"/>
      </c:catAx>
      <c:valAx>
        <c:axId val="6454264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5428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[utilisation.xlsx]pd1 resec qtr!PivotTable3</c:name>
    <c:fmtId val="-1"/>
  </c:pivotSource>
  <c:chart>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'pd1 resec qtr'!$J$1:$J$3</c:f>
              <c:strCache>
                <c:ptCount val="1"/>
                <c:pt idx="0">
                  <c:v>Nivolumab - Prevalent Patients</c:v>
                </c:pt>
              </c:strCache>
            </c:strRef>
          </c:tx>
          <c:spPr>
            <a:ln w="28575" cap="rnd">
              <a:solidFill>
                <a:schemeClr val="accent1"/>
              </a:solidFill>
              <a:round/>
            </a:ln>
            <a:effectLst/>
          </c:spPr>
          <c:marker>
            <c:symbol val="none"/>
          </c:marker>
          <c:cat>
            <c:strRef>
              <c:f>'pd1 resec qtr'!$I$4:$I$14</c:f>
              <c:strCache>
                <c:ptCount val="10"/>
                <c:pt idx="0">
                  <c:v>2020Q1</c:v>
                </c:pt>
                <c:pt idx="1">
                  <c:v>2020Q2</c:v>
                </c:pt>
                <c:pt idx="2">
                  <c:v>2020Q3</c:v>
                </c:pt>
                <c:pt idx="3">
                  <c:v>2020Q4</c:v>
                </c:pt>
                <c:pt idx="4">
                  <c:v>2021Q1</c:v>
                </c:pt>
                <c:pt idx="5">
                  <c:v>2021Q2</c:v>
                </c:pt>
                <c:pt idx="6">
                  <c:v>2021Q3</c:v>
                </c:pt>
                <c:pt idx="7">
                  <c:v>2021Q4</c:v>
                </c:pt>
                <c:pt idx="8">
                  <c:v>2022Q1</c:v>
                </c:pt>
                <c:pt idx="9">
                  <c:v>2022Q2</c:v>
                </c:pt>
              </c:strCache>
            </c:strRef>
          </c:cat>
          <c:val>
            <c:numRef>
              <c:f>'pd1 resec qtr'!$J$4:$J$14</c:f>
              <c:numCache>
                <c:formatCode>General</c:formatCode>
                <c:ptCount val="10"/>
                <c:pt idx="0">
                  <c:v>437</c:v>
                </c:pt>
                <c:pt idx="1">
                  <c:v>778</c:v>
                </c:pt>
                <c:pt idx="2">
                  <c:v>754</c:v>
                </c:pt>
                <c:pt idx="3">
                  <c:v>690</c:v>
                </c:pt>
                <c:pt idx="4">
                  <c:v>679</c:v>
                </c:pt>
                <c:pt idx="5">
                  <c:v>635</c:v>
                </c:pt>
                <c:pt idx="6">
                  <c:v>572</c:v>
                </c:pt>
                <c:pt idx="7">
                  <c:v>574</c:v>
                </c:pt>
                <c:pt idx="8">
                  <c:v>588</c:v>
                </c:pt>
                <c:pt idx="9">
                  <c:v>584</c:v>
                </c:pt>
              </c:numCache>
            </c:numRef>
          </c:val>
          <c:smooth val="0"/>
          <c:extLst>
            <c:ext xmlns:c16="http://schemas.microsoft.com/office/drawing/2014/chart" uri="{C3380CC4-5D6E-409C-BE32-E72D297353CC}">
              <c16:uniqueId val="{00000000-3683-44C4-A473-43E482F941CC}"/>
            </c:ext>
          </c:extLst>
        </c:ser>
        <c:ser>
          <c:idx val="1"/>
          <c:order val="1"/>
          <c:tx>
            <c:strRef>
              <c:f>'pd1 resec qtr'!$K$1:$K$3</c:f>
              <c:strCache>
                <c:ptCount val="1"/>
                <c:pt idx="0">
                  <c:v>Nivolumab - Initiators</c:v>
                </c:pt>
              </c:strCache>
            </c:strRef>
          </c:tx>
          <c:spPr>
            <a:ln w="28575" cap="rnd">
              <a:solidFill>
                <a:schemeClr val="accent2"/>
              </a:solidFill>
              <a:round/>
            </a:ln>
            <a:effectLst/>
          </c:spPr>
          <c:marker>
            <c:symbol val="none"/>
          </c:marker>
          <c:cat>
            <c:strRef>
              <c:f>'pd1 resec qtr'!$I$4:$I$14</c:f>
              <c:strCache>
                <c:ptCount val="10"/>
                <c:pt idx="0">
                  <c:v>2020Q1</c:v>
                </c:pt>
                <c:pt idx="1">
                  <c:v>2020Q2</c:v>
                </c:pt>
                <c:pt idx="2">
                  <c:v>2020Q3</c:v>
                </c:pt>
                <c:pt idx="3">
                  <c:v>2020Q4</c:v>
                </c:pt>
                <c:pt idx="4">
                  <c:v>2021Q1</c:v>
                </c:pt>
                <c:pt idx="5">
                  <c:v>2021Q2</c:v>
                </c:pt>
                <c:pt idx="6">
                  <c:v>2021Q3</c:v>
                </c:pt>
                <c:pt idx="7">
                  <c:v>2021Q4</c:v>
                </c:pt>
                <c:pt idx="8">
                  <c:v>2022Q1</c:v>
                </c:pt>
                <c:pt idx="9">
                  <c:v>2022Q2</c:v>
                </c:pt>
              </c:strCache>
            </c:strRef>
          </c:cat>
          <c:val>
            <c:numRef>
              <c:f>'pd1 resec qtr'!$K$4:$K$14</c:f>
              <c:numCache>
                <c:formatCode>General</c:formatCode>
                <c:ptCount val="10"/>
                <c:pt idx="0">
                  <c:v>437</c:v>
                </c:pt>
                <c:pt idx="1">
                  <c:v>398</c:v>
                </c:pt>
                <c:pt idx="2">
                  <c:v>184</c:v>
                </c:pt>
                <c:pt idx="3">
                  <c:v>162</c:v>
                </c:pt>
                <c:pt idx="4">
                  <c:v>188</c:v>
                </c:pt>
                <c:pt idx="5">
                  <c:v>158</c:v>
                </c:pt>
                <c:pt idx="6">
                  <c:v>140</c:v>
                </c:pt>
                <c:pt idx="7">
                  <c:v>163</c:v>
                </c:pt>
                <c:pt idx="8">
                  <c:v>181</c:v>
                </c:pt>
                <c:pt idx="9">
                  <c:v>157</c:v>
                </c:pt>
              </c:numCache>
            </c:numRef>
          </c:val>
          <c:smooth val="0"/>
          <c:extLst>
            <c:ext xmlns:c16="http://schemas.microsoft.com/office/drawing/2014/chart" uri="{C3380CC4-5D6E-409C-BE32-E72D297353CC}">
              <c16:uniqueId val="{00000001-3683-44C4-A473-43E482F941CC}"/>
            </c:ext>
          </c:extLst>
        </c:ser>
        <c:ser>
          <c:idx val="2"/>
          <c:order val="2"/>
          <c:tx>
            <c:strRef>
              <c:f>'pd1 resec qtr'!$L$1:$L$3</c:f>
              <c:strCache>
                <c:ptCount val="1"/>
                <c:pt idx="0">
                  <c:v>Pembrolizumab - Prevalent Patients</c:v>
                </c:pt>
              </c:strCache>
            </c:strRef>
          </c:tx>
          <c:spPr>
            <a:ln w="28575" cap="rnd">
              <a:solidFill>
                <a:schemeClr val="accent3"/>
              </a:solidFill>
              <a:round/>
            </a:ln>
            <a:effectLst/>
          </c:spPr>
          <c:marker>
            <c:symbol val="none"/>
          </c:marker>
          <c:cat>
            <c:strRef>
              <c:f>'pd1 resec qtr'!$I$4:$I$14</c:f>
              <c:strCache>
                <c:ptCount val="10"/>
                <c:pt idx="0">
                  <c:v>2020Q1</c:v>
                </c:pt>
                <c:pt idx="1">
                  <c:v>2020Q2</c:v>
                </c:pt>
                <c:pt idx="2">
                  <c:v>2020Q3</c:v>
                </c:pt>
                <c:pt idx="3">
                  <c:v>2020Q4</c:v>
                </c:pt>
                <c:pt idx="4">
                  <c:v>2021Q1</c:v>
                </c:pt>
                <c:pt idx="5">
                  <c:v>2021Q2</c:v>
                </c:pt>
                <c:pt idx="6">
                  <c:v>2021Q3</c:v>
                </c:pt>
                <c:pt idx="7">
                  <c:v>2021Q4</c:v>
                </c:pt>
                <c:pt idx="8">
                  <c:v>2022Q1</c:v>
                </c:pt>
                <c:pt idx="9">
                  <c:v>2022Q2</c:v>
                </c:pt>
              </c:strCache>
            </c:strRef>
          </c:cat>
          <c:val>
            <c:numRef>
              <c:f>'pd1 resec qtr'!$L$4:$L$14</c:f>
              <c:numCache>
                <c:formatCode>General</c:formatCode>
                <c:ptCount val="10"/>
                <c:pt idx="2">
                  <c:v>9</c:v>
                </c:pt>
                <c:pt idx="3">
                  <c:v>34</c:v>
                </c:pt>
                <c:pt idx="4">
                  <c:v>59</c:v>
                </c:pt>
                <c:pt idx="5">
                  <c:v>69</c:v>
                </c:pt>
                <c:pt idx="6">
                  <c:v>66</c:v>
                </c:pt>
                <c:pt idx="7">
                  <c:v>76</c:v>
                </c:pt>
                <c:pt idx="8">
                  <c:v>83</c:v>
                </c:pt>
                <c:pt idx="9">
                  <c:v>111</c:v>
                </c:pt>
              </c:numCache>
            </c:numRef>
          </c:val>
          <c:smooth val="0"/>
          <c:extLst>
            <c:ext xmlns:c16="http://schemas.microsoft.com/office/drawing/2014/chart" uri="{C3380CC4-5D6E-409C-BE32-E72D297353CC}">
              <c16:uniqueId val="{00000002-3683-44C4-A473-43E482F941CC}"/>
            </c:ext>
          </c:extLst>
        </c:ser>
        <c:ser>
          <c:idx val="3"/>
          <c:order val="3"/>
          <c:tx>
            <c:strRef>
              <c:f>'pd1 resec qtr'!$M$1:$M$3</c:f>
              <c:strCache>
                <c:ptCount val="1"/>
                <c:pt idx="0">
                  <c:v>Pembrolizumab - Initiators</c:v>
                </c:pt>
              </c:strCache>
            </c:strRef>
          </c:tx>
          <c:spPr>
            <a:ln w="28575" cap="rnd">
              <a:solidFill>
                <a:schemeClr val="accent4"/>
              </a:solidFill>
              <a:round/>
            </a:ln>
            <a:effectLst/>
          </c:spPr>
          <c:marker>
            <c:symbol val="none"/>
          </c:marker>
          <c:cat>
            <c:strRef>
              <c:f>'pd1 resec qtr'!$I$4:$I$14</c:f>
              <c:strCache>
                <c:ptCount val="10"/>
                <c:pt idx="0">
                  <c:v>2020Q1</c:v>
                </c:pt>
                <c:pt idx="1">
                  <c:v>2020Q2</c:v>
                </c:pt>
                <c:pt idx="2">
                  <c:v>2020Q3</c:v>
                </c:pt>
                <c:pt idx="3">
                  <c:v>2020Q4</c:v>
                </c:pt>
                <c:pt idx="4">
                  <c:v>2021Q1</c:v>
                </c:pt>
                <c:pt idx="5">
                  <c:v>2021Q2</c:v>
                </c:pt>
                <c:pt idx="6">
                  <c:v>2021Q3</c:v>
                </c:pt>
                <c:pt idx="7">
                  <c:v>2021Q4</c:v>
                </c:pt>
                <c:pt idx="8">
                  <c:v>2022Q1</c:v>
                </c:pt>
                <c:pt idx="9">
                  <c:v>2022Q2</c:v>
                </c:pt>
              </c:strCache>
            </c:strRef>
          </c:cat>
          <c:val>
            <c:numRef>
              <c:f>'pd1 resec qtr'!$M$4:$M$14</c:f>
              <c:numCache>
                <c:formatCode>General</c:formatCode>
                <c:ptCount val="10"/>
                <c:pt idx="2">
                  <c:v>9</c:v>
                </c:pt>
                <c:pt idx="3">
                  <c:v>27</c:v>
                </c:pt>
                <c:pt idx="4">
                  <c:v>34</c:v>
                </c:pt>
                <c:pt idx="5">
                  <c:v>21</c:v>
                </c:pt>
                <c:pt idx="6">
                  <c:v>19</c:v>
                </c:pt>
                <c:pt idx="7">
                  <c:v>22</c:v>
                </c:pt>
                <c:pt idx="8">
                  <c:v>29</c:v>
                </c:pt>
                <c:pt idx="9">
                  <c:v>51</c:v>
                </c:pt>
              </c:numCache>
            </c:numRef>
          </c:val>
          <c:smooth val="0"/>
          <c:extLst>
            <c:ext xmlns:c16="http://schemas.microsoft.com/office/drawing/2014/chart" uri="{C3380CC4-5D6E-409C-BE32-E72D297353CC}">
              <c16:uniqueId val="{00000003-3683-44C4-A473-43E482F941CC}"/>
            </c:ext>
          </c:extLst>
        </c:ser>
        <c:dLbls>
          <c:showLegendKey val="0"/>
          <c:showVal val="0"/>
          <c:showCatName val="0"/>
          <c:showSerName val="0"/>
          <c:showPercent val="0"/>
          <c:showBubbleSize val="0"/>
        </c:dLbls>
        <c:smooth val="0"/>
        <c:axId val="546907472"/>
        <c:axId val="546909768"/>
      </c:lineChart>
      <c:catAx>
        <c:axId val="546907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6909768"/>
        <c:crosses val="autoZero"/>
        <c:auto val="1"/>
        <c:lblAlgn val="ctr"/>
        <c:lblOffset val="100"/>
        <c:noMultiLvlLbl val="0"/>
      </c:catAx>
      <c:valAx>
        <c:axId val="5469097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6907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[utilisation.xlsx]braf-mek resec qtr!PivotTable5</c:name>
    <c:fmtId val="-1"/>
  </c:pivotSource>
  <c:chart>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'braf-mek resec qtr'!$J$1:$J$3</c:f>
              <c:strCache>
                <c:ptCount val="1"/>
                <c:pt idx="0">
                  <c:v>Dabrafenib - Prevalent Patients</c:v>
                </c:pt>
              </c:strCache>
            </c:strRef>
          </c:tx>
          <c:spPr>
            <a:ln w="28575" cap="rnd">
              <a:solidFill>
                <a:schemeClr val="accent1"/>
              </a:solidFill>
              <a:round/>
            </a:ln>
            <a:effectLst/>
          </c:spPr>
          <c:marker>
            <c:symbol val="none"/>
          </c:marker>
          <c:cat>
            <c:strRef>
              <c:f>'braf-mek resec qtr'!$I$4:$I$15</c:f>
              <c:strCache>
                <c:ptCount val="11"/>
                <c:pt idx="0">
                  <c:v>2019Q4</c:v>
                </c:pt>
                <c:pt idx="1">
                  <c:v>2020Q1</c:v>
                </c:pt>
                <c:pt idx="2">
                  <c:v>2020Q2</c:v>
                </c:pt>
                <c:pt idx="3">
                  <c:v>2020Q3</c:v>
                </c:pt>
                <c:pt idx="4">
                  <c:v>2020Q4</c:v>
                </c:pt>
                <c:pt idx="5">
                  <c:v>2021Q1</c:v>
                </c:pt>
                <c:pt idx="6">
                  <c:v>2021Q2</c:v>
                </c:pt>
                <c:pt idx="7">
                  <c:v>2021Q3</c:v>
                </c:pt>
                <c:pt idx="8">
                  <c:v>2021Q4</c:v>
                </c:pt>
                <c:pt idx="9">
                  <c:v>2022Q1</c:v>
                </c:pt>
                <c:pt idx="10">
                  <c:v>2022Q2</c:v>
                </c:pt>
              </c:strCache>
            </c:strRef>
          </c:cat>
          <c:val>
            <c:numRef>
              <c:f>'braf-mek resec qtr'!$J$4:$J$15</c:f>
              <c:numCache>
                <c:formatCode>General</c:formatCode>
                <c:ptCount val="11"/>
                <c:pt idx="0">
                  <c:v>51</c:v>
                </c:pt>
                <c:pt idx="1">
                  <c:v>79</c:v>
                </c:pt>
                <c:pt idx="2">
                  <c:v>91</c:v>
                </c:pt>
                <c:pt idx="3">
                  <c:v>103</c:v>
                </c:pt>
                <c:pt idx="4">
                  <c:v>100</c:v>
                </c:pt>
                <c:pt idx="5">
                  <c:v>106</c:v>
                </c:pt>
                <c:pt idx="6">
                  <c:v>99</c:v>
                </c:pt>
                <c:pt idx="7">
                  <c:v>94</c:v>
                </c:pt>
                <c:pt idx="8">
                  <c:v>103</c:v>
                </c:pt>
                <c:pt idx="9">
                  <c:v>99</c:v>
                </c:pt>
                <c:pt idx="10">
                  <c:v>95</c:v>
                </c:pt>
              </c:numCache>
            </c:numRef>
          </c:val>
          <c:smooth val="0"/>
          <c:extLst>
            <c:ext xmlns:c16="http://schemas.microsoft.com/office/drawing/2014/chart" uri="{C3380CC4-5D6E-409C-BE32-E72D297353CC}">
              <c16:uniqueId val="{00000000-88BE-458A-8BA9-80D379B01CC1}"/>
            </c:ext>
          </c:extLst>
        </c:ser>
        <c:ser>
          <c:idx val="1"/>
          <c:order val="1"/>
          <c:tx>
            <c:strRef>
              <c:f>'braf-mek resec qtr'!$K$1:$K$3</c:f>
              <c:strCache>
                <c:ptCount val="1"/>
                <c:pt idx="0">
                  <c:v>Dabrafenib - Initiators</c:v>
                </c:pt>
              </c:strCache>
            </c:strRef>
          </c:tx>
          <c:spPr>
            <a:ln w="28575" cap="rnd">
              <a:solidFill>
                <a:schemeClr val="accent2"/>
              </a:solidFill>
              <a:round/>
            </a:ln>
            <a:effectLst/>
          </c:spPr>
          <c:marker>
            <c:symbol val="none"/>
          </c:marker>
          <c:cat>
            <c:strRef>
              <c:f>'braf-mek resec qtr'!$I$4:$I$15</c:f>
              <c:strCache>
                <c:ptCount val="11"/>
                <c:pt idx="0">
                  <c:v>2019Q4</c:v>
                </c:pt>
                <c:pt idx="1">
                  <c:v>2020Q1</c:v>
                </c:pt>
                <c:pt idx="2">
                  <c:v>2020Q2</c:v>
                </c:pt>
                <c:pt idx="3">
                  <c:v>2020Q3</c:v>
                </c:pt>
                <c:pt idx="4">
                  <c:v>2020Q4</c:v>
                </c:pt>
                <c:pt idx="5">
                  <c:v>2021Q1</c:v>
                </c:pt>
                <c:pt idx="6">
                  <c:v>2021Q2</c:v>
                </c:pt>
                <c:pt idx="7">
                  <c:v>2021Q3</c:v>
                </c:pt>
                <c:pt idx="8">
                  <c:v>2021Q4</c:v>
                </c:pt>
                <c:pt idx="9">
                  <c:v>2022Q1</c:v>
                </c:pt>
                <c:pt idx="10">
                  <c:v>2022Q2</c:v>
                </c:pt>
              </c:strCache>
            </c:strRef>
          </c:cat>
          <c:val>
            <c:numRef>
              <c:f>'braf-mek resec qtr'!$K$4:$K$15</c:f>
              <c:numCache>
                <c:formatCode>General</c:formatCode>
                <c:ptCount val="11"/>
                <c:pt idx="0">
                  <c:v>51</c:v>
                </c:pt>
                <c:pt idx="1">
                  <c:v>42</c:v>
                </c:pt>
                <c:pt idx="2">
                  <c:v>36</c:v>
                </c:pt>
                <c:pt idx="3">
                  <c:v>39</c:v>
                </c:pt>
                <c:pt idx="4">
                  <c:v>37</c:v>
                </c:pt>
                <c:pt idx="5">
                  <c:v>40</c:v>
                </c:pt>
                <c:pt idx="6">
                  <c:v>41</c:v>
                </c:pt>
                <c:pt idx="7">
                  <c:v>28</c:v>
                </c:pt>
                <c:pt idx="8">
                  <c:v>28</c:v>
                </c:pt>
                <c:pt idx="9">
                  <c:v>39</c:v>
                </c:pt>
                <c:pt idx="10">
                  <c:v>31</c:v>
                </c:pt>
              </c:numCache>
            </c:numRef>
          </c:val>
          <c:smooth val="0"/>
          <c:extLst>
            <c:ext xmlns:c16="http://schemas.microsoft.com/office/drawing/2014/chart" uri="{C3380CC4-5D6E-409C-BE32-E72D297353CC}">
              <c16:uniqueId val="{00000001-88BE-458A-8BA9-80D379B01CC1}"/>
            </c:ext>
          </c:extLst>
        </c:ser>
        <c:ser>
          <c:idx val="2"/>
          <c:order val="2"/>
          <c:tx>
            <c:strRef>
              <c:f>'braf-mek resec qtr'!$L$1:$L$3</c:f>
              <c:strCache>
                <c:ptCount val="1"/>
                <c:pt idx="0">
                  <c:v>Trametinib - Prevalent Patients</c:v>
                </c:pt>
              </c:strCache>
            </c:strRef>
          </c:tx>
          <c:spPr>
            <a:ln w="28575" cap="rnd">
              <a:solidFill>
                <a:schemeClr val="accent3"/>
              </a:solidFill>
              <a:round/>
            </a:ln>
            <a:effectLst/>
          </c:spPr>
          <c:marker>
            <c:symbol val="none"/>
          </c:marker>
          <c:cat>
            <c:strRef>
              <c:f>'braf-mek resec qtr'!$I$4:$I$15</c:f>
              <c:strCache>
                <c:ptCount val="11"/>
                <c:pt idx="0">
                  <c:v>2019Q4</c:v>
                </c:pt>
                <c:pt idx="1">
                  <c:v>2020Q1</c:v>
                </c:pt>
                <c:pt idx="2">
                  <c:v>2020Q2</c:v>
                </c:pt>
                <c:pt idx="3">
                  <c:v>2020Q3</c:v>
                </c:pt>
                <c:pt idx="4">
                  <c:v>2020Q4</c:v>
                </c:pt>
                <c:pt idx="5">
                  <c:v>2021Q1</c:v>
                </c:pt>
                <c:pt idx="6">
                  <c:v>2021Q2</c:v>
                </c:pt>
                <c:pt idx="7">
                  <c:v>2021Q3</c:v>
                </c:pt>
                <c:pt idx="8">
                  <c:v>2021Q4</c:v>
                </c:pt>
                <c:pt idx="9">
                  <c:v>2022Q1</c:v>
                </c:pt>
                <c:pt idx="10">
                  <c:v>2022Q2</c:v>
                </c:pt>
              </c:strCache>
            </c:strRef>
          </c:cat>
          <c:val>
            <c:numRef>
              <c:f>'braf-mek resec qtr'!$L$4:$L$15</c:f>
              <c:numCache>
                <c:formatCode>General</c:formatCode>
                <c:ptCount val="11"/>
                <c:pt idx="0">
                  <c:v>46</c:v>
                </c:pt>
                <c:pt idx="1">
                  <c:v>80</c:v>
                </c:pt>
                <c:pt idx="2">
                  <c:v>96</c:v>
                </c:pt>
                <c:pt idx="3">
                  <c:v>104</c:v>
                </c:pt>
                <c:pt idx="4">
                  <c:v>102</c:v>
                </c:pt>
                <c:pt idx="5">
                  <c:v>104</c:v>
                </c:pt>
                <c:pt idx="6">
                  <c:v>93</c:v>
                </c:pt>
                <c:pt idx="7">
                  <c:v>86</c:v>
                </c:pt>
                <c:pt idx="8">
                  <c:v>101</c:v>
                </c:pt>
                <c:pt idx="9">
                  <c:v>100</c:v>
                </c:pt>
                <c:pt idx="10">
                  <c:v>96</c:v>
                </c:pt>
              </c:numCache>
            </c:numRef>
          </c:val>
          <c:smooth val="0"/>
          <c:extLst>
            <c:ext xmlns:c16="http://schemas.microsoft.com/office/drawing/2014/chart" uri="{C3380CC4-5D6E-409C-BE32-E72D297353CC}">
              <c16:uniqueId val="{00000002-88BE-458A-8BA9-80D379B01CC1}"/>
            </c:ext>
          </c:extLst>
        </c:ser>
        <c:ser>
          <c:idx val="3"/>
          <c:order val="3"/>
          <c:tx>
            <c:strRef>
              <c:f>'braf-mek resec qtr'!$M$1:$M$3</c:f>
              <c:strCache>
                <c:ptCount val="1"/>
                <c:pt idx="0">
                  <c:v>Trametinib - Initiators</c:v>
                </c:pt>
              </c:strCache>
            </c:strRef>
          </c:tx>
          <c:spPr>
            <a:ln w="28575" cap="rnd">
              <a:solidFill>
                <a:schemeClr val="accent4"/>
              </a:solidFill>
              <a:round/>
            </a:ln>
            <a:effectLst/>
          </c:spPr>
          <c:marker>
            <c:symbol val="none"/>
          </c:marker>
          <c:cat>
            <c:strRef>
              <c:f>'braf-mek resec qtr'!$I$4:$I$15</c:f>
              <c:strCache>
                <c:ptCount val="11"/>
                <c:pt idx="0">
                  <c:v>2019Q4</c:v>
                </c:pt>
                <c:pt idx="1">
                  <c:v>2020Q1</c:v>
                </c:pt>
                <c:pt idx="2">
                  <c:v>2020Q2</c:v>
                </c:pt>
                <c:pt idx="3">
                  <c:v>2020Q3</c:v>
                </c:pt>
                <c:pt idx="4">
                  <c:v>2020Q4</c:v>
                </c:pt>
                <c:pt idx="5">
                  <c:v>2021Q1</c:v>
                </c:pt>
                <c:pt idx="6">
                  <c:v>2021Q2</c:v>
                </c:pt>
                <c:pt idx="7">
                  <c:v>2021Q3</c:v>
                </c:pt>
                <c:pt idx="8">
                  <c:v>2021Q4</c:v>
                </c:pt>
                <c:pt idx="9">
                  <c:v>2022Q1</c:v>
                </c:pt>
                <c:pt idx="10">
                  <c:v>2022Q2</c:v>
                </c:pt>
              </c:strCache>
            </c:strRef>
          </c:cat>
          <c:val>
            <c:numRef>
              <c:f>'braf-mek resec qtr'!$M$4:$M$15</c:f>
              <c:numCache>
                <c:formatCode>General</c:formatCode>
                <c:ptCount val="11"/>
                <c:pt idx="0">
                  <c:v>46</c:v>
                </c:pt>
                <c:pt idx="1">
                  <c:v>45</c:v>
                </c:pt>
                <c:pt idx="2">
                  <c:v>41</c:v>
                </c:pt>
                <c:pt idx="3">
                  <c:v>39</c:v>
                </c:pt>
                <c:pt idx="4">
                  <c:v>40</c:v>
                </c:pt>
                <c:pt idx="5">
                  <c:v>35</c:v>
                </c:pt>
                <c:pt idx="6">
                  <c:v>40</c:v>
                </c:pt>
                <c:pt idx="7">
                  <c:v>27</c:v>
                </c:pt>
                <c:pt idx="8">
                  <c:v>26</c:v>
                </c:pt>
                <c:pt idx="9">
                  <c:v>38</c:v>
                </c:pt>
                <c:pt idx="10">
                  <c:v>34</c:v>
                </c:pt>
              </c:numCache>
            </c:numRef>
          </c:val>
          <c:smooth val="0"/>
          <c:extLst>
            <c:ext xmlns:c16="http://schemas.microsoft.com/office/drawing/2014/chart" uri="{C3380CC4-5D6E-409C-BE32-E72D297353CC}">
              <c16:uniqueId val="{00000003-88BE-458A-8BA9-80D379B01CC1}"/>
            </c:ext>
          </c:extLst>
        </c:ser>
        <c:dLbls>
          <c:showLegendKey val="0"/>
          <c:showVal val="0"/>
          <c:showCatName val="0"/>
          <c:showSerName val="0"/>
          <c:showPercent val="0"/>
          <c:showBubbleSize val="0"/>
        </c:dLbls>
        <c:smooth val="0"/>
        <c:axId val="397239744"/>
        <c:axId val="397248928"/>
      </c:lineChart>
      <c:catAx>
        <c:axId val="397239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7248928"/>
        <c:crosses val="autoZero"/>
        <c:auto val="1"/>
        <c:lblAlgn val="ctr"/>
        <c:lblOffset val="100"/>
        <c:noMultiLvlLbl val="0"/>
      </c:catAx>
      <c:valAx>
        <c:axId val="3972489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7239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[utilisation.xlsx]pd1 unresec qtr!PivotTable13</c:name>
    <c:fmtId val="-1"/>
  </c:pivotSource>
  <c:chart>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'pd1 unresec qtr'!$J$1:$J$3</c:f>
              <c:strCache>
                <c:ptCount val="1"/>
                <c:pt idx="0">
                  <c:v>IPILIMUMAB - Prevalent Patients</c:v>
                </c:pt>
              </c:strCache>
            </c:strRef>
          </c:tx>
          <c:spPr>
            <a:ln w="28575" cap="rnd">
              <a:solidFill>
                <a:schemeClr val="accent1"/>
              </a:solidFill>
              <a:round/>
            </a:ln>
            <a:effectLst/>
          </c:spPr>
          <c:marker>
            <c:symbol val="none"/>
          </c:marker>
          <c:cat>
            <c:strRef>
              <c:f>'pd1 unresec qtr'!$I$4:$I$40</c:f>
              <c:strCache>
                <c:ptCount val="36"/>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pt idx="32">
                  <c:v>2021Q3</c:v>
                </c:pt>
                <c:pt idx="33">
                  <c:v>2021Q4</c:v>
                </c:pt>
                <c:pt idx="34">
                  <c:v>2022Q1</c:v>
                </c:pt>
                <c:pt idx="35">
                  <c:v>2022Q2</c:v>
                </c:pt>
              </c:strCache>
            </c:strRef>
          </c:cat>
          <c:val>
            <c:numRef>
              <c:f>'pd1 unresec qtr'!$J$4:$J$40</c:f>
              <c:numCache>
                <c:formatCode>General</c:formatCode>
                <c:ptCount val="36"/>
                <c:pt idx="0">
                  <c:v>231</c:v>
                </c:pt>
                <c:pt idx="1">
                  <c:v>320</c:v>
                </c:pt>
                <c:pt idx="2">
                  <c:v>274</c:v>
                </c:pt>
                <c:pt idx="3">
                  <c:v>356</c:v>
                </c:pt>
                <c:pt idx="4">
                  <c:v>384</c:v>
                </c:pt>
                <c:pt idx="5">
                  <c:v>334</c:v>
                </c:pt>
                <c:pt idx="6">
                  <c:v>341</c:v>
                </c:pt>
                <c:pt idx="7">
                  <c:v>294</c:v>
                </c:pt>
                <c:pt idx="8">
                  <c:v>101</c:v>
                </c:pt>
                <c:pt idx="9">
                  <c:v>38</c:v>
                </c:pt>
                <c:pt idx="10">
                  <c:v>66</c:v>
                </c:pt>
                <c:pt idx="11">
                  <c:v>88</c:v>
                </c:pt>
                <c:pt idx="12">
                  <c:v>118</c:v>
                </c:pt>
                <c:pt idx="13">
                  <c:v>154</c:v>
                </c:pt>
                <c:pt idx="14">
                  <c:v>239</c:v>
                </c:pt>
                <c:pt idx="15">
                  <c:v>238</c:v>
                </c:pt>
                <c:pt idx="16">
                  <c:v>269</c:v>
                </c:pt>
                <c:pt idx="17">
                  <c:v>257</c:v>
                </c:pt>
                <c:pt idx="18">
                  <c:v>265</c:v>
                </c:pt>
                <c:pt idx="19">
                  <c:v>265</c:v>
                </c:pt>
                <c:pt idx="20">
                  <c:v>322</c:v>
                </c:pt>
                <c:pt idx="21">
                  <c:v>314</c:v>
                </c:pt>
                <c:pt idx="22">
                  <c:v>334</c:v>
                </c:pt>
                <c:pt idx="23">
                  <c:v>320</c:v>
                </c:pt>
                <c:pt idx="24">
                  <c:v>352</c:v>
                </c:pt>
                <c:pt idx="25">
                  <c:v>329</c:v>
                </c:pt>
                <c:pt idx="26">
                  <c:v>345</c:v>
                </c:pt>
                <c:pt idx="27">
                  <c:v>366</c:v>
                </c:pt>
                <c:pt idx="28">
                  <c:v>379</c:v>
                </c:pt>
                <c:pt idx="29">
                  <c:v>354</c:v>
                </c:pt>
                <c:pt idx="30">
                  <c:v>388</c:v>
                </c:pt>
                <c:pt idx="31">
                  <c:v>388</c:v>
                </c:pt>
                <c:pt idx="32">
                  <c:v>461</c:v>
                </c:pt>
                <c:pt idx="33">
                  <c:v>446</c:v>
                </c:pt>
                <c:pt idx="34">
                  <c:v>428</c:v>
                </c:pt>
                <c:pt idx="35">
                  <c:v>464</c:v>
                </c:pt>
              </c:numCache>
            </c:numRef>
          </c:val>
          <c:smooth val="0"/>
          <c:extLst>
            <c:ext xmlns:c16="http://schemas.microsoft.com/office/drawing/2014/chart" uri="{C3380CC4-5D6E-409C-BE32-E72D297353CC}">
              <c16:uniqueId val="{00000000-A742-425B-9143-B85A2E41ED20}"/>
            </c:ext>
          </c:extLst>
        </c:ser>
        <c:ser>
          <c:idx val="1"/>
          <c:order val="1"/>
          <c:tx>
            <c:strRef>
              <c:f>'pd1 unresec qtr'!$K$1:$K$3</c:f>
              <c:strCache>
                <c:ptCount val="1"/>
                <c:pt idx="0">
                  <c:v>IPILIMUMAB - Initiators</c:v>
                </c:pt>
              </c:strCache>
            </c:strRef>
          </c:tx>
          <c:spPr>
            <a:ln w="28575" cap="rnd">
              <a:solidFill>
                <a:schemeClr val="accent2"/>
              </a:solidFill>
              <a:round/>
            </a:ln>
            <a:effectLst/>
          </c:spPr>
          <c:marker>
            <c:symbol val="none"/>
          </c:marker>
          <c:cat>
            <c:strRef>
              <c:f>'pd1 unresec qtr'!$I$4:$I$40</c:f>
              <c:strCache>
                <c:ptCount val="36"/>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pt idx="32">
                  <c:v>2021Q3</c:v>
                </c:pt>
                <c:pt idx="33">
                  <c:v>2021Q4</c:v>
                </c:pt>
                <c:pt idx="34">
                  <c:v>2022Q1</c:v>
                </c:pt>
                <c:pt idx="35">
                  <c:v>2022Q2</c:v>
                </c:pt>
              </c:strCache>
            </c:strRef>
          </c:cat>
          <c:val>
            <c:numRef>
              <c:f>'pd1 unresec qtr'!$K$4:$K$40</c:f>
              <c:numCache>
                <c:formatCode>General</c:formatCode>
                <c:ptCount val="36"/>
                <c:pt idx="0">
                  <c:v>231</c:v>
                </c:pt>
                <c:pt idx="1">
                  <c:v>168</c:v>
                </c:pt>
                <c:pt idx="2">
                  <c:v>192</c:v>
                </c:pt>
                <c:pt idx="3">
                  <c:v>215</c:v>
                </c:pt>
                <c:pt idx="4">
                  <c:v>247</c:v>
                </c:pt>
                <c:pt idx="5">
                  <c:v>221</c:v>
                </c:pt>
                <c:pt idx="6">
                  <c:v>232</c:v>
                </c:pt>
                <c:pt idx="7">
                  <c:v>158</c:v>
                </c:pt>
                <c:pt idx="8">
                  <c:v>30</c:v>
                </c:pt>
                <c:pt idx="9">
                  <c:v>19</c:v>
                </c:pt>
                <c:pt idx="10">
                  <c:v>49</c:v>
                </c:pt>
                <c:pt idx="11">
                  <c:v>49</c:v>
                </c:pt>
                <c:pt idx="12">
                  <c:v>75</c:v>
                </c:pt>
                <c:pt idx="13">
                  <c:v>101</c:v>
                </c:pt>
                <c:pt idx="14">
                  <c:v>158</c:v>
                </c:pt>
                <c:pt idx="15">
                  <c:v>138</c:v>
                </c:pt>
                <c:pt idx="16">
                  <c:v>171</c:v>
                </c:pt>
                <c:pt idx="17">
                  <c:v>159</c:v>
                </c:pt>
                <c:pt idx="18">
                  <c:v>176</c:v>
                </c:pt>
                <c:pt idx="19">
                  <c:v>165</c:v>
                </c:pt>
                <c:pt idx="20">
                  <c:v>210</c:v>
                </c:pt>
                <c:pt idx="21">
                  <c:v>200</c:v>
                </c:pt>
                <c:pt idx="22">
                  <c:v>202</c:v>
                </c:pt>
                <c:pt idx="23">
                  <c:v>210</c:v>
                </c:pt>
                <c:pt idx="24">
                  <c:v>219</c:v>
                </c:pt>
                <c:pt idx="25">
                  <c:v>194</c:v>
                </c:pt>
                <c:pt idx="26">
                  <c:v>223</c:v>
                </c:pt>
                <c:pt idx="27">
                  <c:v>218</c:v>
                </c:pt>
                <c:pt idx="28">
                  <c:v>253</c:v>
                </c:pt>
                <c:pt idx="29">
                  <c:v>217</c:v>
                </c:pt>
                <c:pt idx="30">
                  <c:v>254</c:v>
                </c:pt>
                <c:pt idx="31">
                  <c:v>245</c:v>
                </c:pt>
                <c:pt idx="32">
                  <c:v>305</c:v>
                </c:pt>
                <c:pt idx="33">
                  <c:v>283</c:v>
                </c:pt>
                <c:pt idx="34">
                  <c:v>275</c:v>
                </c:pt>
                <c:pt idx="35">
                  <c:v>273</c:v>
                </c:pt>
              </c:numCache>
            </c:numRef>
          </c:val>
          <c:smooth val="0"/>
          <c:extLst>
            <c:ext xmlns:c16="http://schemas.microsoft.com/office/drawing/2014/chart" uri="{C3380CC4-5D6E-409C-BE32-E72D297353CC}">
              <c16:uniqueId val="{00000001-A742-425B-9143-B85A2E41ED20}"/>
            </c:ext>
          </c:extLst>
        </c:ser>
        <c:ser>
          <c:idx val="2"/>
          <c:order val="2"/>
          <c:tx>
            <c:strRef>
              <c:f>'pd1 unresec qtr'!$L$1:$L$3</c:f>
              <c:strCache>
                <c:ptCount val="1"/>
                <c:pt idx="0">
                  <c:v>NIVOLUMAB - Prevalent Patients</c:v>
                </c:pt>
              </c:strCache>
            </c:strRef>
          </c:tx>
          <c:spPr>
            <a:ln w="28575" cap="rnd">
              <a:solidFill>
                <a:schemeClr val="accent3"/>
              </a:solidFill>
              <a:round/>
            </a:ln>
            <a:effectLst/>
          </c:spPr>
          <c:marker>
            <c:symbol val="none"/>
          </c:marker>
          <c:cat>
            <c:strRef>
              <c:f>'pd1 unresec qtr'!$I$4:$I$40</c:f>
              <c:strCache>
                <c:ptCount val="36"/>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pt idx="32">
                  <c:v>2021Q3</c:v>
                </c:pt>
                <c:pt idx="33">
                  <c:v>2021Q4</c:v>
                </c:pt>
                <c:pt idx="34">
                  <c:v>2022Q1</c:v>
                </c:pt>
                <c:pt idx="35">
                  <c:v>2022Q2</c:v>
                </c:pt>
              </c:strCache>
            </c:strRef>
          </c:cat>
          <c:val>
            <c:numRef>
              <c:f>'pd1 unresec qtr'!$L$4:$L$40</c:f>
              <c:numCache>
                <c:formatCode>General</c:formatCode>
                <c:ptCount val="36"/>
                <c:pt idx="11">
                  <c:v>37</c:v>
                </c:pt>
                <c:pt idx="12">
                  <c:v>77</c:v>
                </c:pt>
                <c:pt idx="13">
                  <c:v>101</c:v>
                </c:pt>
                <c:pt idx="14">
                  <c:v>118</c:v>
                </c:pt>
                <c:pt idx="15">
                  <c:v>131</c:v>
                </c:pt>
                <c:pt idx="16">
                  <c:v>185</c:v>
                </c:pt>
                <c:pt idx="17">
                  <c:v>229</c:v>
                </c:pt>
                <c:pt idx="18">
                  <c:v>265</c:v>
                </c:pt>
                <c:pt idx="19">
                  <c:v>273</c:v>
                </c:pt>
                <c:pt idx="20">
                  <c:v>318</c:v>
                </c:pt>
                <c:pt idx="21">
                  <c:v>590</c:v>
                </c:pt>
                <c:pt idx="22">
                  <c:v>824</c:v>
                </c:pt>
                <c:pt idx="23">
                  <c:v>859</c:v>
                </c:pt>
                <c:pt idx="24">
                  <c:v>927</c:v>
                </c:pt>
                <c:pt idx="25">
                  <c:v>1033</c:v>
                </c:pt>
                <c:pt idx="26">
                  <c:v>1218</c:v>
                </c:pt>
                <c:pt idx="27">
                  <c:v>1372</c:v>
                </c:pt>
                <c:pt idx="28">
                  <c:v>1467</c:v>
                </c:pt>
                <c:pt idx="29">
                  <c:v>1480</c:v>
                </c:pt>
                <c:pt idx="30">
                  <c:v>1505</c:v>
                </c:pt>
                <c:pt idx="31">
                  <c:v>1517</c:v>
                </c:pt>
                <c:pt idx="32">
                  <c:v>1600</c:v>
                </c:pt>
                <c:pt idx="33">
                  <c:v>1615</c:v>
                </c:pt>
                <c:pt idx="34">
                  <c:v>1636</c:v>
                </c:pt>
                <c:pt idx="35">
                  <c:v>1663</c:v>
                </c:pt>
              </c:numCache>
            </c:numRef>
          </c:val>
          <c:smooth val="0"/>
          <c:extLst>
            <c:ext xmlns:c16="http://schemas.microsoft.com/office/drawing/2014/chart" uri="{C3380CC4-5D6E-409C-BE32-E72D297353CC}">
              <c16:uniqueId val="{00000002-A742-425B-9143-B85A2E41ED20}"/>
            </c:ext>
          </c:extLst>
        </c:ser>
        <c:ser>
          <c:idx val="3"/>
          <c:order val="3"/>
          <c:tx>
            <c:strRef>
              <c:f>'pd1 unresec qtr'!$M$1:$M$3</c:f>
              <c:strCache>
                <c:ptCount val="1"/>
                <c:pt idx="0">
                  <c:v>NIVOLUMAB - Initiators</c:v>
                </c:pt>
              </c:strCache>
            </c:strRef>
          </c:tx>
          <c:spPr>
            <a:ln w="28575" cap="rnd">
              <a:solidFill>
                <a:schemeClr val="accent4"/>
              </a:solidFill>
              <a:round/>
            </a:ln>
            <a:effectLst/>
          </c:spPr>
          <c:marker>
            <c:symbol val="none"/>
          </c:marker>
          <c:cat>
            <c:strRef>
              <c:f>'pd1 unresec qtr'!$I$4:$I$40</c:f>
              <c:strCache>
                <c:ptCount val="36"/>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pt idx="32">
                  <c:v>2021Q3</c:v>
                </c:pt>
                <c:pt idx="33">
                  <c:v>2021Q4</c:v>
                </c:pt>
                <c:pt idx="34">
                  <c:v>2022Q1</c:v>
                </c:pt>
                <c:pt idx="35">
                  <c:v>2022Q2</c:v>
                </c:pt>
              </c:strCache>
            </c:strRef>
          </c:cat>
          <c:val>
            <c:numRef>
              <c:f>'pd1 unresec qtr'!$M$4:$M$40</c:f>
              <c:numCache>
                <c:formatCode>General</c:formatCode>
                <c:ptCount val="36"/>
                <c:pt idx="11">
                  <c:v>37</c:v>
                </c:pt>
                <c:pt idx="12">
                  <c:v>50</c:v>
                </c:pt>
                <c:pt idx="13">
                  <c:v>43</c:v>
                </c:pt>
                <c:pt idx="14">
                  <c:v>46</c:v>
                </c:pt>
                <c:pt idx="15">
                  <c:v>47</c:v>
                </c:pt>
                <c:pt idx="16">
                  <c:v>84</c:v>
                </c:pt>
                <c:pt idx="17">
                  <c:v>83</c:v>
                </c:pt>
                <c:pt idx="18">
                  <c:v>92</c:v>
                </c:pt>
                <c:pt idx="19">
                  <c:v>78</c:v>
                </c:pt>
                <c:pt idx="20">
                  <c:v>101</c:v>
                </c:pt>
                <c:pt idx="21">
                  <c:v>343</c:v>
                </c:pt>
                <c:pt idx="22">
                  <c:v>339</c:v>
                </c:pt>
                <c:pt idx="23">
                  <c:v>245</c:v>
                </c:pt>
                <c:pt idx="24">
                  <c:v>264</c:v>
                </c:pt>
                <c:pt idx="25">
                  <c:v>318</c:v>
                </c:pt>
                <c:pt idx="26">
                  <c:v>396</c:v>
                </c:pt>
                <c:pt idx="27">
                  <c:v>423</c:v>
                </c:pt>
                <c:pt idx="28">
                  <c:v>424</c:v>
                </c:pt>
                <c:pt idx="29">
                  <c:v>356</c:v>
                </c:pt>
                <c:pt idx="30">
                  <c:v>369</c:v>
                </c:pt>
                <c:pt idx="31">
                  <c:v>335</c:v>
                </c:pt>
                <c:pt idx="32">
                  <c:v>409</c:v>
                </c:pt>
                <c:pt idx="33">
                  <c:v>385</c:v>
                </c:pt>
                <c:pt idx="34">
                  <c:v>371</c:v>
                </c:pt>
                <c:pt idx="35">
                  <c:v>373</c:v>
                </c:pt>
              </c:numCache>
            </c:numRef>
          </c:val>
          <c:smooth val="0"/>
          <c:extLst>
            <c:ext xmlns:c16="http://schemas.microsoft.com/office/drawing/2014/chart" uri="{C3380CC4-5D6E-409C-BE32-E72D297353CC}">
              <c16:uniqueId val="{00000003-A742-425B-9143-B85A2E41ED20}"/>
            </c:ext>
          </c:extLst>
        </c:ser>
        <c:ser>
          <c:idx val="4"/>
          <c:order val="4"/>
          <c:tx>
            <c:strRef>
              <c:f>'pd1 unresec qtr'!$N$1:$N$3</c:f>
              <c:strCache>
                <c:ptCount val="1"/>
                <c:pt idx="0">
                  <c:v>PEMBROLIZUMAB - Prevalent Patients</c:v>
                </c:pt>
              </c:strCache>
            </c:strRef>
          </c:tx>
          <c:spPr>
            <a:ln w="28575" cap="rnd">
              <a:solidFill>
                <a:schemeClr val="accent5"/>
              </a:solidFill>
              <a:round/>
            </a:ln>
            <a:effectLst/>
          </c:spPr>
          <c:marker>
            <c:symbol val="none"/>
          </c:marker>
          <c:cat>
            <c:strRef>
              <c:f>'pd1 unresec qtr'!$I$4:$I$40</c:f>
              <c:strCache>
                <c:ptCount val="36"/>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pt idx="32">
                  <c:v>2021Q3</c:v>
                </c:pt>
                <c:pt idx="33">
                  <c:v>2021Q4</c:v>
                </c:pt>
                <c:pt idx="34">
                  <c:v>2022Q1</c:v>
                </c:pt>
                <c:pt idx="35">
                  <c:v>2022Q2</c:v>
                </c:pt>
              </c:strCache>
            </c:strRef>
          </c:cat>
          <c:val>
            <c:numRef>
              <c:f>'pd1 unresec qtr'!$N$4:$N$40</c:f>
              <c:numCache>
                <c:formatCode>General</c:formatCode>
                <c:ptCount val="36"/>
                <c:pt idx="8">
                  <c:v>399</c:v>
                </c:pt>
                <c:pt idx="9">
                  <c:v>795</c:v>
                </c:pt>
                <c:pt idx="10">
                  <c:v>978</c:v>
                </c:pt>
                <c:pt idx="11">
                  <c:v>1113</c:v>
                </c:pt>
                <c:pt idx="12">
                  <c:v>1125</c:v>
                </c:pt>
                <c:pt idx="13">
                  <c:v>1152</c:v>
                </c:pt>
                <c:pt idx="14">
                  <c:v>1203</c:v>
                </c:pt>
                <c:pt idx="15">
                  <c:v>1197</c:v>
                </c:pt>
                <c:pt idx="16">
                  <c:v>1213</c:v>
                </c:pt>
                <c:pt idx="17">
                  <c:v>1269</c:v>
                </c:pt>
                <c:pt idx="18">
                  <c:v>1302</c:v>
                </c:pt>
                <c:pt idx="19">
                  <c:v>1337</c:v>
                </c:pt>
                <c:pt idx="20">
                  <c:v>1332</c:v>
                </c:pt>
                <c:pt idx="21">
                  <c:v>1303</c:v>
                </c:pt>
                <c:pt idx="22">
                  <c:v>1295</c:v>
                </c:pt>
                <c:pt idx="23">
                  <c:v>1269</c:v>
                </c:pt>
                <c:pt idx="24">
                  <c:v>1229</c:v>
                </c:pt>
                <c:pt idx="25">
                  <c:v>1130</c:v>
                </c:pt>
                <c:pt idx="26">
                  <c:v>1045</c:v>
                </c:pt>
                <c:pt idx="27">
                  <c:v>938</c:v>
                </c:pt>
                <c:pt idx="28">
                  <c:v>895</c:v>
                </c:pt>
                <c:pt idx="29">
                  <c:v>889</c:v>
                </c:pt>
                <c:pt idx="30">
                  <c:v>889</c:v>
                </c:pt>
                <c:pt idx="31">
                  <c:v>864</c:v>
                </c:pt>
                <c:pt idx="32">
                  <c:v>837</c:v>
                </c:pt>
                <c:pt idx="33">
                  <c:v>818</c:v>
                </c:pt>
                <c:pt idx="34">
                  <c:v>801</c:v>
                </c:pt>
                <c:pt idx="35">
                  <c:v>798</c:v>
                </c:pt>
              </c:numCache>
            </c:numRef>
          </c:val>
          <c:smooth val="0"/>
          <c:extLst>
            <c:ext xmlns:c16="http://schemas.microsoft.com/office/drawing/2014/chart" uri="{C3380CC4-5D6E-409C-BE32-E72D297353CC}">
              <c16:uniqueId val="{00000004-A742-425B-9143-B85A2E41ED20}"/>
            </c:ext>
          </c:extLst>
        </c:ser>
        <c:ser>
          <c:idx val="5"/>
          <c:order val="5"/>
          <c:tx>
            <c:strRef>
              <c:f>'pd1 unresec qtr'!$O$1:$O$3</c:f>
              <c:strCache>
                <c:ptCount val="1"/>
                <c:pt idx="0">
                  <c:v>PEMBROLIZUMAB - Initiators</c:v>
                </c:pt>
              </c:strCache>
            </c:strRef>
          </c:tx>
          <c:spPr>
            <a:ln w="28575" cap="rnd">
              <a:solidFill>
                <a:schemeClr val="accent6"/>
              </a:solidFill>
              <a:round/>
            </a:ln>
            <a:effectLst/>
          </c:spPr>
          <c:marker>
            <c:symbol val="none"/>
          </c:marker>
          <c:cat>
            <c:strRef>
              <c:f>'pd1 unresec qtr'!$I$4:$I$40</c:f>
              <c:strCache>
                <c:ptCount val="36"/>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pt idx="32">
                  <c:v>2021Q3</c:v>
                </c:pt>
                <c:pt idx="33">
                  <c:v>2021Q4</c:v>
                </c:pt>
                <c:pt idx="34">
                  <c:v>2022Q1</c:v>
                </c:pt>
                <c:pt idx="35">
                  <c:v>2022Q2</c:v>
                </c:pt>
              </c:strCache>
            </c:strRef>
          </c:cat>
          <c:val>
            <c:numRef>
              <c:f>'pd1 unresec qtr'!$O$4:$O$40</c:f>
              <c:numCache>
                <c:formatCode>General</c:formatCode>
                <c:ptCount val="36"/>
                <c:pt idx="8">
                  <c:v>399</c:v>
                </c:pt>
                <c:pt idx="9">
                  <c:v>443</c:v>
                </c:pt>
                <c:pt idx="10">
                  <c:v>356</c:v>
                </c:pt>
                <c:pt idx="11">
                  <c:v>359</c:v>
                </c:pt>
                <c:pt idx="12">
                  <c:v>285</c:v>
                </c:pt>
                <c:pt idx="13">
                  <c:v>282</c:v>
                </c:pt>
                <c:pt idx="14">
                  <c:v>278</c:v>
                </c:pt>
                <c:pt idx="15">
                  <c:v>264</c:v>
                </c:pt>
                <c:pt idx="16">
                  <c:v>259</c:v>
                </c:pt>
                <c:pt idx="17">
                  <c:v>289</c:v>
                </c:pt>
                <c:pt idx="18">
                  <c:v>274</c:v>
                </c:pt>
                <c:pt idx="19">
                  <c:v>272</c:v>
                </c:pt>
                <c:pt idx="20">
                  <c:v>267</c:v>
                </c:pt>
                <c:pt idx="21">
                  <c:v>240</c:v>
                </c:pt>
                <c:pt idx="22">
                  <c:v>237</c:v>
                </c:pt>
                <c:pt idx="23">
                  <c:v>209</c:v>
                </c:pt>
                <c:pt idx="24">
                  <c:v>198</c:v>
                </c:pt>
                <c:pt idx="25">
                  <c:v>152</c:v>
                </c:pt>
                <c:pt idx="26">
                  <c:v>138</c:v>
                </c:pt>
                <c:pt idx="27">
                  <c:v>133</c:v>
                </c:pt>
                <c:pt idx="28">
                  <c:v>140</c:v>
                </c:pt>
                <c:pt idx="29">
                  <c:v>177</c:v>
                </c:pt>
                <c:pt idx="30">
                  <c:v>161</c:v>
                </c:pt>
                <c:pt idx="31">
                  <c:v>148</c:v>
                </c:pt>
                <c:pt idx="32">
                  <c:v>149</c:v>
                </c:pt>
                <c:pt idx="33">
                  <c:v>126</c:v>
                </c:pt>
                <c:pt idx="34">
                  <c:v>149</c:v>
                </c:pt>
                <c:pt idx="35">
                  <c:v>139</c:v>
                </c:pt>
              </c:numCache>
            </c:numRef>
          </c:val>
          <c:smooth val="0"/>
          <c:extLst>
            <c:ext xmlns:c16="http://schemas.microsoft.com/office/drawing/2014/chart" uri="{C3380CC4-5D6E-409C-BE32-E72D297353CC}">
              <c16:uniqueId val="{00000005-A742-425B-9143-B85A2E41ED20}"/>
            </c:ext>
          </c:extLst>
        </c:ser>
        <c:dLbls>
          <c:showLegendKey val="0"/>
          <c:showVal val="0"/>
          <c:showCatName val="0"/>
          <c:showSerName val="0"/>
          <c:showPercent val="0"/>
          <c:showBubbleSize val="0"/>
        </c:dLbls>
        <c:smooth val="0"/>
        <c:axId val="547374224"/>
        <c:axId val="547373240"/>
      </c:lineChart>
      <c:catAx>
        <c:axId val="547374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7373240"/>
        <c:crosses val="autoZero"/>
        <c:auto val="1"/>
        <c:lblAlgn val="ctr"/>
        <c:lblOffset val="100"/>
        <c:noMultiLvlLbl val="0"/>
      </c:catAx>
      <c:valAx>
        <c:axId val="5473732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7374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[utilisation.xlsx]braf unresec qtr!PivotTable7</c:name>
    <c:fmtId val="-1"/>
  </c:pivotSource>
  <c:chart>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'braf unresec qtr'!$I$1:$I$3</c:f>
              <c:strCache>
                <c:ptCount val="1"/>
                <c:pt idx="0">
                  <c:v>DABRAFENIB - Prevalent Patients</c:v>
                </c:pt>
              </c:strCache>
            </c:strRef>
          </c:tx>
          <c:spPr>
            <a:ln w="28575" cap="rnd">
              <a:solidFill>
                <a:schemeClr val="accent1"/>
              </a:solidFill>
              <a:round/>
            </a:ln>
            <a:effectLst/>
          </c:spPr>
          <c:marker>
            <c:symbol val="none"/>
          </c:marker>
          <c:cat>
            <c:strRef>
              <c:f>'braf unresec qtr'!$H$4:$H$39</c:f>
              <c:strCache>
                <c:ptCount val="35"/>
                <c:pt idx="0">
                  <c:v>2013Q4</c:v>
                </c:pt>
                <c:pt idx="1">
                  <c:v>2014Q1</c:v>
                </c:pt>
                <c:pt idx="2">
                  <c:v>2014Q2</c:v>
                </c:pt>
                <c:pt idx="3">
                  <c:v>2014Q3</c:v>
                </c:pt>
                <c:pt idx="4">
                  <c:v>2014Q4</c:v>
                </c:pt>
                <c:pt idx="5">
                  <c:v>2015Q1</c:v>
                </c:pt>
                <c:pt idx="6">
                  <c:v>2015Q2</c:v>
                </c:pt>
                <c:pt idx="7">
                  <c:v>2015Q3</c:v>
                </c:pt>
                <c:pt idx="8">
                  <c:v>2015Q4</c:v>
                </c:pt>
                <c:pt idx="9">
                  <c:v>2016Q1</c:v>
                </c:pt>
                <c:pt idx="10">
                  <c:v>2016Q2</c:v>
                </c:pt>
                <c:pt idx="11">
                  <c:v>2016Q3</c:v>
                </c:pt>
                <c:pt idx="12">
                  <c:v>2016Q4</c:v>
                </c:pt>
                <c:pt idx="13">
                  <c:v>2017Q1</c:v>
                </c:pt>
                <c:pt idx="14">
                  <c:v>2017Q2</c:v>
                </c:pt>
                <c:pt idx="15">
                  <c:v>2017Q3</c:v>
                </c:pt>
                <c:pt idx="16">
                  <c:v>2017Q4</c:v>
                </c:pt>
                <c:pt idx="17">
                  <c:v>2018Q1</c:v>
                </c:pt>
                <c:pt idx="18">
                  <c:v>2018Q2</c:v>
                </c:pt>
                <c:pt idx="19">
                  <c:v>2018Q3</c:v>
                </c:pt>
                <c:pt idx="20">
                  <c:v>2018Q4</c:v>
                </c:pt>
                <c:pt idx="21">
                  <c:v>2019Q1</c:v>
                </c:pt>
                <c:pt idx="22">
                  <c:v>2019Q2</c:v>
                </c:pt>
                <c:pt idx="23">
                  <c:v>2019Q3</c:v>
                </c:pt>
                <c:pt idx="24">
                  <c:v>2019Q4</c:v>
                </c:pt>
                <c:pt idx="25">
                  <c:v>2020Q1</c:v>
                </c:pt>
                <c:pt idx="26">
                  <c:v>2020Q2</c:v>
                </c:pt>
                <c:pt idx="27">
                  <c:v>2020Q3</c:v>
                </c:pt>
                <c:pt idx="28">
                  <c:v>2020Q4</c:v>
                </c:pt>
                <c:pt idx="29">
                  <c:v>2021Q1</c:v>
                </c:pt>
                <c:pt idx="30">
                  <c:v>2021Q2</c:v>
                </c:pt>
                <c:pt idx="31">
                  <c:v>2021Q3</c:v>
                </c:pt>
                <c:pt idx="32">
                  <c:v>2021Q4</c:v>
                </c:pt>
                <c:pt idx="33">
                  <c:v>2022Q1</c:v>
                </c:pt>
                <c:pt idx="34">
                  <c:v>2022Q2</c:v>
                </c:pt>
              </c:strCache>
            </c:strRef>
          </c:cat>
          <c:val>
            <c:numRef>
              <c:f>'braf unresec qtr'!$I$4:$I$39</c:f>
              <c:numCache>
                <c:formatCode>General</c:formatCode>
                <c:ptCount val="35"/>
                <c:pt idx="0">
                  <c:v>85</c:v>
                </c:pt>
                <c:pt idx="1">
                  <c:v>332</c:v>
                </c:pt>
                <c:pt idx="2">
                  <c:v>431</c:v>
                </c:pt>
                <c:pt idx="3">
                  <c:v>476</c:v>
                </c:pt>
                <c:pt idx="4">
                  <c:v>509</c:v>
                </c:pt>
                <c:pt idx="5">
                  <c:v>567</c:v>
                </c:pt>
                <c:pt idx="6">
                  <c:v>572</c:v>
                </c:pt>
                <c:pt idx="7">
                  <c:v>590</c:v>
                </c:pt>
                <c:pt idx="8">
                  <c:v>586</c:v>
                </c:pt>
                <c:pt idx="9">
                  <c:v>599</c:v>
                </c:pt>
                <c:pt idx="10">
                  <c:v>657</c:v>
                </c:pt>
                <c:pt idx="11">
                  <c:v>630</c:v>
                </c:pt>
                <c:pt idx="12">
                  <c:v>668</c:v>
                </c:pt>
                <c:pt idx="13">
                  <c:v>681</c:v>
                </c:pt>
                <c:pt idx="14">
                  <c:v>682</c:v>
                </c:pt>
                <c:pt idx="15">
                  <c:v>644</c:v>
                </c:pt>
                <c:pt idx="16">
                  <c:v>704</c:v>
                </c:pt>
                <c:pt idx="17">
                  <c:v>687</c:v>
                </c:pt>
                <c:pt idx="18">
                  <c:v>655</c:v>
                </c:pt>
                <c:pt idx="19">
                  <c:v>655</c:v>
                </c:pt>
                <c:pt idx="20">
                  <c:v>663</c:v>
                </c:pt>
                <c:pt idx="21">
                  <c:v>640</c:v>
                </c:pt>
                <c:pt idx="22">
                  <c:v>685</c:v>
                </c:pt>
                <c:pt idx="23">
                  <c:v>682</c:v>
                </c:pt>
                <c:pt idx="24">
                  <c:v>655</c:v>
                </c:pt>
                <c:pt idx="25">
                  <c:v>630</c:v>
                </c:pt>
                <c:pt idx="26">
                  <c:v>572</c:v>
                </c:pt>
                <c:pt idx="27">
                  <c:v>495</c:v>
                </c:pt>
                <c:pt idx="28">
                  <c:v>424</c:v>
                </c:pt>
                <c:pt idx="29">
                  <c:v>400</c:v>
                </c:pt>
                <c:pt idx="30">
                  <c:v>371</c:v>
                </c:pt>
                <c:pt idx="31">
                  <c:v>382</c:v>
                </c:pt>
                <c:pt idx="32">
                  <c:v>367</c:v>
                </c:pt>
                <c:pt idx="33">
                  <c:v>354</c:v>
                </c:pt>
                <c:pt idx="34">
                  <c:v>372</c:v>
                </c:pt>
              </c:numCache>
            </c:numRef>
          </c:val>
          <c:smooth val="0"/>
          <c:extLst>
            <c:ext xmlns:c16="http://schemas.microsoft.com/office/drawing/2014/chart" uri="{C3380CC4-5D6E-409C-BE32-E72D297353CC}">
              <c16:uniqueId val="{00000000-4536-4DA2-8E51-877933B2458E}"/>
            </c:ext>
          </c:extLst>
        </c:ser>
        <c:ser>
          <c:idx val="1"/>
          <c:order val="1"/>
          <c:tx>
            <c:strRef>
              <c:f>'braf unresec qtr'!$J$1:$J$3</c:f>
              <c:strCache>
                <c:ptCount val="1"/>
                <c:pt idx="0">
                  <c:v>DABRAFENIB - Initiators</c:v>
                </c:pt>
              </c:strCache>
            </c:strRef>
          </c:tx>
          <c:spPr>
            <a:ln w="28575" cap="rnd">
              <a:solidFill>
                <a:schemeClr val="accent2"/>
              </a:solidFill>
              <a:round/>
            </a:ln>
            <a:effectLst/>
          </c:spPr>
          <c:marker>
            <c:symbol val="none"/>
          </c:marker>
          <c:cat>
            <c:strRef>
              <c:f>'braf unresec qtr'!$H$4:$H$39</c:f>
              <c:strCache>
                <c:ptCount val="35"/>
                <c:pt idx="0">
                  <c:v>2013Q4</c:v>
                </c:pt>
                <c:pt idx="1">
                  <c:v>2014Q1</c:v>
                </c:pt>
                <c:pt idx="2">
                  <c:v>2014Q2</c:v>
                </c:pt>
                <c:pt idx="3">
                  <c:v>2014Q3</c:v>
                </c:pt>
                <c:pt idx="4">
                  <c:v>2014Q4</c:v>
                </c:pt>
                <c:pt idx="5">
                  <c:v>2015Q1</c:v>
                </c:pt>
                <c:pt idx="6">
                  <c:v>2015Q2</c:v>
                </c:pt>
                <c:pt idx="7">
                  <c:v>2015Q3</c:v>
                </c:pt>
                <c:pt idx="8">
                  <c:v>2015Q4</c:v>
                </c:pt>
                <c:pt idx="9">
                  <c:v>2016Q1</c:v>
                </c:pt>
                <c:pt idx="10">
                  <c:v>2016Q2</c:v>
                </c:pt>
                <c:pt idx="11">
                  <c:v>2016Q3</c:v>
                </c:pt>
                <c:pt idx="12">
                  <c:v>2016Q4</c:v>
                </c:pt>
                <c:pt idx="13">
                  <c:v>2017Q1</c:v>
                </c:pt>
                <c:pt idx="14">
                  <c:v>2017Q2</c:v>
                </c:pt>
                <c:pt idx="15">
                  <c:v>2017Q3</c:v>
                </c:pt>
                <c:pt idx="16">
                  <c:v>2017Q4</c:v>
                </c:pt>
                <c:pt idx="17">
                  <c:v>2018Q1</c:v>
                </c:pt>
                <c:pt idx="18">
                  <c:v>2018Q2</c:v>
                </c:pt>
                <c:pt idx="19">
                  <c:v>2018Q3</c:v>
                </c:pt>
                <c:pt idx="20">
                  <c:v>2018Q4</c:v>
                </c:pt>
                <c:pt idx="21">
                  <c:v>2019Q1</c:v>
                </c:pt>
                <c:pt idx="22">
                  <c:v>2019Q2</c:v>
                </c:pt>
                <c:pt idx="23">
                  <c:v>2019Q3</c:v>
                </c:pt>
                <c:pt idx="24">
                  <c:v>2019Q4</c:v>
                </c:pt>
                <c:pt idx="25">
                  <c:v>2020Q1</c:v>
                </c:pt>
                <c:pt idx="26">
                  <c:v>2020Q2</c:v>
                </c:pt>
                <c:pt idx="27">
                  <c:v>2020Q3</c:v>
                </c:pt>
                <c:pt idx="28">
                  <c:v>2020Q4</c:v>
                </c:pt>
                <c:pt idx="29">
                  <c:v>2021Q1</c:v>
                </c:pt>
                <c:pt idx="30">
                  <c:v>2021Q2</c:v>
                </c:pt>
                <c:pt idx="31">
                  <c:v>2021Q3</c:v>
                </c:pt>
                <c:pt idx="32">
                  <c:v>2021Q4</c:v>
                </c:pt>
                <c:pt idx="33">
                  <c:v>2022Q1</c:v>
                </c:pt>
                <c:pt idx="34">
                  <c:v>2022Q2</c:v>
                </c:pt>
              </c:strCache>
            </c:strRef>
          </c:cat>
          <c:val>
            <c:numRef>
              <c:f>'braf unresec qtr'!$J$4:$J$39</c:f>
              <c:numCache>
                <c:formatCode>General</c:formatCode>
                <c:ptCount val="35"/>
                <c:pt idx="0">
                  <c:v>85</c:v>
                </c:pt>
                <c:pt idx="1">
                  <c:v>258</c:v>
                </c:pt>
                <c:pt idx="2">
                  <c:v>165</c:v>
                </c:pt>
                <c:pt idx="3">
                  <c:v>148</c:v>
                </c:pt>
                <c:pt idx="4">
                  <c:v>153</c:v>
                </c:pt>
                <c:pt idx="5">
                  <c:v>151</c:v>
                </c:pt>
                <c:pt idx="6">
                  <c:v>145</c:v>
                </c:pt>
                <c:pt idx="7">
                  <c:v>154</c:v>
                </c:pt>
                <c:pt idx="8">
                  <c:v>139</c:v>
                </c:pt>
                <c:pt idx="9">
                  <c:v>129</c:v>
                </c:pt>
                <c:pt idx="10">
                  <c:v>162</c:v>
                </c:pt>
                <c:pt idx="11">
                  <c:v>130</c:v>
                </c:pt>
                <c:pt idx="12">
                  <c:v>164</c:v>
                </c:pt>
                <c:pt idx="13">
                  <c:v>144</c:v>
                </c:pt>
                <c:pt idx="14">
                  <c:v>147</c:v>
                </c:pt>
                <c:pt idx="15">
                  <c:v>129</c:v>
                </c:pt>
                <c:pt idx="16">
                  <c:v>180</c:v>
                </c:pt>
                <c:pt idx="17">
                  <c:v>129</c:v>
                </c:pt>
                <c:pt idx="18">
                  <c:v>117</c:v>
                </c:pt>
                <c:pt idx="19">
                  <c:v>161</c:v>
                </c:pt>
                <c:pt idx="20">
                  <c:v>148</c:v>
                </c:pt>
                <c:pt idx="21">
                  <c:v>135</c:v>
                </c:pt>
                <c:pt idx="22">
                  <c:v>156</c:v>
                </c:pt>
                <c:pt idx="23">
                  <c:v>141</c:v>
                </c:pt>
                <c:pt idx="24">
                  <c:v>126</c:v>
                </c:pt>
                <c:pt idx="25">
                  <c:v>112</c:v>
                </c:pt>
                <c:pt idx="26">
                  <c:v>82</c:v>
                </c:pt>
                <c:pt idx="27">
                  <c:v>59</c:v>
                </c:pt>
                <c:pt idx="28">
                  <c:v>49</c:v>
                </c:pt>
                <c:pt idx="29">
                  <c:v>61</c:v>
                </c:pt>
                <c:pt idx="30">
                  <c:v>41</c:v>
                </c:pt>
                <c:pt idx="31">
                  <c:v>46</c:v>
                </c:pt>
                <c:pt idx="32">
                  <c:v>46</c:v>
                </c:pt>
                <c:pt idx="33">
                  <c:v>58</c:v>
                </c:pt>
                <c:pt idx="34">
                  <c:v>51</c:v>
                </c:pt>
              </c:numCache>
            </c:numRef>
          </c:val>
          <c:smooth val="0"/>
          <c:extLst>
            <c:ext xmlns:c16="http://schemas.microsoft.com/office/drawing/2014/chart" uri="{C3380CC4-5D6E-409C-BE32-E72D297353CC}">
              <c16:uniqueId val="{00000001-4536-4DA2-8E51-877933B2458E}"/>
            </c:ext>
          </c:extLst>
        </c:ser>
        <c:ser>
          <c:idx val="2"/>
          <c:order val="2"/>
          <c:tx>
            <c:strRef>
              <c:f>'braf unresec qtr'!$K$1:$K$3</c:f>
              <c:strCache>
                <c:ptCount val="1"/>
                <c:pt idx="0">
                  <c:v>ENCORAFENIB - Prevalent Patients</c:v>
                </c:pt>
              </c:strCache>
            </c:strRef>
          </c:tx>
          <c:spPr>
            <a:ln w="28575" cap="rnd">
              <a:solidFill>
                <a:schemeClr val="accent3"/>
              </a:solidFill>
              <a:round/>
            </a:ln>
            <a:effectLst/>
          </c:spPr>
          <c:marker>
            <c:symbol val="none"/>
          </c:marker>
          <c:cat>
            <c:strRef>
              <c:f>'braf unresec qtr'!$H$4:$H$39</c:f>
              <c:strCache>
                <c:ptCount val="35"/>
                <c:pt idx="0">
                  <c:v>2013Q4</c:v>
                </c:pt>
                <c:pt idx="1">
                  <c:v>2014Q1</c:v>
                </c:pt>
                <c:pt idx="2">
                  <c:v>2014Q2</c:v>
                </c:pt>
                <c:pt idx="3">
                  <c:v>2014Q3</c:v>
                </c:pt>
                <c:pt idx="4">
                  <c:v>2014Q4</c:v>
                </c:pt>
                <c:pt idx="5">
                  <c:v>2015Q1</c:v>
                </c:pt>
                <c:pt idx="6">
                  <c:v>2015Q2</c:v>
                </c:pt>
                <c:pt idx="7">
                  <c:v>2015Q3</c:v>
                </c:pt>
                <c:pt idx="8">
                  <c:v>2015Q4</c:v>
                </c:pt>
                <c:pt idx="9">
                  <c:v>2016Q1</c:v>
                </c:pt>
                <c:pt idx="10">
                  <c:v>2016Q2</c:v>
                </c:pt>
                <c:pt idx="11">
                  <c:v>2016Q3</c:v>
                </c:pt>
                <c:pt idx="12">
                  <c:v>2016Q4</c:v>
                </c:pt>
                <c:pt idx="13">
                  <c:v>2017Q1</c:v>
                </c:pt>
                <c:pt idx="14">
                  <c:v>2017Q2</c:v>
                </c:pt>
                <c:pt idx="15">
                  <c:v>2017Q3</c:v>
                </c:pt>
                <c:pt idx="16">
                  <c:v>2017Q4</c:v>
                </c:pt>
                <c:pt idx="17">
                  <c:v>2018Q1</c:v>
                </c:pt>
                <c:pt idx="18">
                  <c:v>2018Q2</c:v>
                </c:pt>
                <c:pt idx="19">
                  <c:v>2018Q3</c:v>
                </c:pt>
                <c:pt idx="20">
                  <c:v>2018Q4</c:v>
                </c:pt>
                <c:pt idx="21">
                  <c:v>2019Q1</c:v>
                </c:pt>
                <c:pt idx="22">
                  <c:v>2019Q2</c:v>
                </c:pt>
                <c:pt idx="23">
                  <c:v>2019Q3</c:v>
                </c:pt>
                <c:pt idx="24">
                  <c:v>2019Q4</c:v>
                </c:pt>
                <c:pt idx="25">
                  <c:v>2020Q1</c:v>
                </c:pt>
                <c:pt idx="26">
                  <c:v>2020Q2</c:v>
                </c:pt>
                <c:pt idx="27">
                  <c:v>2020Q3</c:v>
                </c:pt>
                <c:pt idx="28">
                  <c:v>2020Q4</c:v>
                </c:pt>
                <c:pt idx="29">
                  <c:v>2021Q1</c:v>
                </c:pt>
                <c:pt idx="30">
                  <c:v>2021Q2</c:v>
                </c:pt>
                <c:pt idx="31">
                  <c:v>2021Q3</c:v>
                </c:pt>
                <c:pt idx="32">
                  <c:v>2021Q4</c:v>
                </c:pt>
                <c:pt idx="33">
                  <c:v>2022Q1</c:v>
                </c:pt>
                <c:pt idx="34">
                  <c:v>2022Q2</c:v>
                </c:pt>
              </c:strCache>
            </c:strRef>
          </c:cat>
          <c:val>
            <c:numRef>
              <c:f>'braf unresec qtr'!$K$4:$K$39</c:f>
              <c:numCache>
                <c:formatCode>General</c:formatCode>
                <c:ptCount val="35"/>
                <c:pt idx="26">
                  <c:v>136</c:v>
                </c:pt>
                <c:pt idx="27">
                  <c:v>174</c:v>
                </c:pt>
                <c:pt idx="28">
                  <c:v>190</c:v>
                </c:pt>
                <c:pt idx="29">
                  <c:v>228</c:v>
                </c:pt>
                <c:pt idx="30">
                  <c:v>252</c:v>
                </c:pt>
                <c:pt idx="31">
                  <c:v>236</c:v>
                </c:pt>
                <c:pt idx="32">
                  <c:v>243</c:v>
                </c:pt>
                <c:pt idx="33">
                  <c:v>246</c:v>
                </c:pt>
                <c:pt idx="34">
                  <c:v>276</c:v>
                </c:pt>
              </c:numCache>
            </c:numRef>
          </c:val>
          <c:smooth val="0"/>
          <c:extLst>
            <c:ext xmlns:c16="http://schemas.microsoft.com/office/drawing/2014/chart" uri="{C3380CC4-5D6E-409C-BE32-E72D297353CC}">
              <c16:uniqueId val="{00000002-4536-4DA2-8E51-877933B2458E}"/>
            </c:ext>
          </c:extLst>
        </c:ser>
        <c:ser>
          <c:idx val="3"/>
          <c:order val="3"/>
          <c:tx>
            <c:strRef>
              <c:f>'braf unresec qtr'!$L$1:$L$3</c:f>
              <c:strCache>
                <c:ptCount val="1"/>
                <c:pt idx="0">
                  <c:v>ENCORAFENIB - Initiators</c:v>
                </c:pt>
              </c:strCache>
            </c:strRef>
          </c:tx>
          <c:spPr>
            <a:ln w="28575" cap="rnd">
              <a:solidFill>
                <a:schemeClr val="accent4"/>
              </a:solidFill>
              <a:round/>
            </a:ln>
            <a:effectLst/>
          </c:spPr>
          <c:marker>
            <c:symbol val="none"/>
          </c:marker>
          <c:cat>
            <c:strRef>
              <c:f>'braf unresec qtr'!$H$4:$H$39</c:f>
              <c:strCache>
                <c:ptCount val="35"/>
                <c:pt idx="0">
                  <c:v>2013Q4</c:v>
                </c:pt>
                <c:pt idx="1">
                  <c:v>2014Q1</c:v>
                </c:pt>
                <c:pt idx="2">
                  <c:v>2014Q2</c:v>
                </c:pt>
                <c:pt idx="3">
                  <c:v>2014Q3</c:v>
                </c:pt>
                <c:pt idx="4">
                  <c:v>2014Q4</c:v>
                </c:pt>
                <c:pt idx="5">
                  <c:v>2015Q1</c:v>
                </c:pt>
                <c:pt idx="6">
                  <c:v>2015Q2</c:v>
                </c:pt>
                <c:pt idx="7">
                  <c:v>2015Q3</c:v>
                </c:pt>
                <c:pt idx="8">
                  <c:v>2015Q4</c:v>
                </c:pt>
                <c:pt idx="9">
                  <c:v>2016Q1</c:v>
                </c:pt>
                <c:pt idx="10">
                  <c:v>2016Q2</c:v>
                </c:pt>
                <c:pt idx="11">
                  <c:v>2016Q3</c:v>
                </c:pt>
                <c:pt idx="12">
                  <c:v>2016Q4</c:v>
                </c:pt>
                <c:pt idx="13">
                  <c:v>2017Q1</c:v>
                </c:pt>
                <c:pt idx="14">
                  <c:v>2017Q2</c:v>
                </c:pt>
                <c:pt idx="15">
                  <c:v>2017Q3</c:v>
                </c:pt>
                <c:pt idx="16">
                  <c:v>2017Q4</c:v>
                </c:pt>
                <c:pt idx="17">
                  <c:v>2018Q1</c:v>
                </c:pt>
                <c:pt idx="18">
                  <c:v>2018Q2</c:v>
                </c:pt>
                <c:pt idx="19">
                  <c:v>2018Q3</c:v>
                </c:pt>
                <c:pt idx="20">
                  <c:v>2018Q4</c:v>
                </c:pt>
                <c:pt idx="21">
                  <c:v>2019Q1</c:v>
                </c:pt>
                <c:pt idx="22">
                  <c:v>2019Q2</c:v>
                </c:pt>
                <c:pt idx="23">
                  <c:v>2019Q3</c:v>
                </c:pt>
                <c:pt idx="24">
                  <c:v>2019Q4</c:v>
                </c:pt>
                <c:pt idx="25">
                  <c:v>2020Q1</c:v>
                </c:pt>
                <c:pt idx="26">
                  <c:v>2020Q2</c:v>
                </c:pt>
                <c:pt idx="27">
                  <c:v>2020Q3</c:v>
                </c:pt>
                <c:pt idx="28">
                  <c:v>2020Q4</c:v>
                </c:pt>
                <c:pt idx="29">
                  <c:v>2021Q1</c:v>
                </c:pt>
                <c:pt idx="30">
                  <c:v>2021Q2</c:v>
                </c:pt>
                <c:pt idx="31">
                  <c:v>2021Q3</c:v>
                </c:pt>
                <c:pt idx="32">
                  <c:v>2021Q4</c:v>
                </c:pt>
                <c:pt idx="33">
                  <c:v>2022Q1</c:v>
                </c:pt>
                <c:pt idx="34">
                  <c:v>2022Q2</c:v>
                </c:pt>
              </c:strCache>
            </c:strRef>
          </c:cat>
          <c:val>
            <c:numRef>
              <c:f>'braf unresec qtr'!$L$4:$L$39</c:f>
              <c:numCache>
                <c:formatCode>General</c:formatCode>
                <c:ptCount val="35"/>
                <c:pt idx="26">
                  <c:v>136</c:v>
                </c:pt>
                <c:pt idx="27">
                  <c:v>64</c:v>
                </c:pt>
                <c:pt idx="28">
                  <c:v>58</c:v>
                </c:pt>
                <c:pt idx="29">
                  <c:v>77</c:v>
                </c:pt>
                <c:pt idx="30">
                  <c:v>65</c:v>
                </c:pt>
                <c:pt idx="31">
                  <c:v>41</c:v>
                </c:pt>
                <c:pt idx="32">
                  <c:v>60</c:v>
                </c:pt>
                <c:pt idx="33">
                  <c:v>45</c:v>
                </c:pt>
                <c:pt idx="34">
                  <c:v>76</c:v>
                </c:pt>
              </c:numCache>
            </c:numRef>
          </c:val>
          <c:smooth val="0"/>
          <c:extLst>
            <c:ext xmlns:c16="http://schemas.microsoft.com/office/drawing/2014/chart" uri="{C3380CC4-5D6E-409C-BE32-E72D297353CC}">
              <c16:uniqueId val="{00000003-4536-4DA2-8E51-877933B2458E}"/>
            </c:ext>
          </c:extLst>
        </c:ser>
        <c:ser>
          <c:idx val="4"/>
          <c:order val="4"/>
          <c:tx>
            <c:strRef>
              <c:f>'braf unresec qtr'!$M$1:$M$3</c:f>
              <c:strCache>
                <c:ptCount val="1"/>
                <c:pt idx="0">
                  <c:v>VEMURAFENIB - Prevalent Patients</c:v>
                </c:pt>
              </c:strCache>
            </c:strRef>
          </c:tx>
          <c:spPr>
            <a:ln w="28575" cap="rnd">
              <a:solidFill>
                <a:schemeClr val="accent5"/>
              </a:solidFill>
              <a:round/>
            </a:ln>
            <a:effectLst/>
          </c:spPr>
          <c:marker>
            <c:symbol val="none"/>
          </c:marker>
          <c:cat>
            <c:strRef>
              <c:f>'braf unresec qtr'!$H$4:$H$39</c:f>
              <c:strCache>
                <c:ptCount val="35"/>
                <c:pt idx="0">
                  <c:v>2013Q4</c:v>
                </c:pt>
                <c:pt idx="1">
                  <c:v>2014Q1</c:v>
                </c:pt>
                <c:pt idx="2">
                  <c:v>2014Q2</c:v>
                </c:pt>
                <c:pt idx="3">
                  <c:v>2014Q3</c:v>
                </c:pt>
                <c:pt idx="4">
                  <c:v>2014Q4</c:v>
                </c:pt>
                <c:pt idx="5">
                  <c:v>2015Q1</c:v>
                </c:pt>
                <c:pt idx="6">
                  <c:v>2015Q2</c:v>
                </c:pt>
                <c:pt idx="7">
                  <c:v>2015Q3</c:v>
                </c:pt>
                <c:pt idx="8">
                  <c:v>2015Q4</c:v>
                </c:pt>
                <c:pt idx="9">
                  <c:v>2016Q1</c:v>
                </c:pt>
                <c:pt idx="10">
                  <c:v>2016Q2</c:v>
                </c:pt>
                <c:pt idx="11">
                  <c:v>2016Q3</c:v>
                </c:pt>
                <c:pt idx="12">
                  <c:v>2016Q4</c:v>
                </c:pt>
                <c:pt idx="13">
                  <c:v>2017Q1</c:v>
                </c:pt>
                <c:pt idx="14">
                  <c:v>2017Q2</c:v>
                </c:pt>
                <c:pt idx="15">
                  <c:v>2017Q3</c:v>
                </c:pt>
                <c:pt idx="16">
                  <c:v>2017Q4</c:v>
                </c:pt>
                <c:pt idx="17">
                  <c:v>2018Q1</c:v>
                </c:pt>
                <c:pt idx="18">
                  <c:v>2018Q2</c:v>
                </c:pt>
                <c:pt idx="19">
                  <c:v>2018Q3</c:v>
                </c:pt>
                <c:pt idx="20">
                  <c:v>2018Q4</c:v>
                </c:pt>
                <c:pt idx="21">
                  <c:v>2019Q1</c:v>
                </c:pt>
                <c:pt idx="22">
                  <c:v>2019Q2</c:v>
                </c:pt>
                <c:pt idx="23">
                  <c:v>2019Q3</c:v>
                </c:pt>
                <c:pt idx="24">
                  <c:v>2019Q4</c:v>
                </c:pt>
                <c:pt idx="25">
                  <c:v>2020Q1</c:v>
                </c:pt>
                <c:pt idx="26">
                  <c:v>2020Q2</c:v>
                </c:pt>
                <c:pt idx="27">
                  <c:v>2020Q3</c:v>
                </c:pt>
                <c:pt idx="28">
                  <c:v>2020Q4</c:v>
                </c:pt>
                <c:pt idx="29">
                  <c:v>2021Q1</c:v>
                </c:pt>
                <c:pt idx="30">
                  <c:v>2021Q2</c:v>
                </c:pt>
                <c:pt idx="31">
                  <c:v>2021Q3</c:v>
                </c:pt>
                <c:pt idx="32">
                  <c:v>2021Q4</c:v>
                </c:pt>
                <c:pt idx="33">
                  <c:v>2022Q1</c:v>
                </c:pt>
                <c:pt idx="34">
                  <c:v>2022Q2</c:v>
                </c:pt>
              </c:strCache>
            </c:strRef>
          </c:cat>
          <c:val>
            <c:numRef>
              <c:f>'braf unresec qtr'!$M$4:$M$39</c:f>
              <c:numCache>
                <c:formatCode>General</c:formatCode>
                <c:ptCount val="35"/>
                <c:pt idx="14">
                  <c:v>41</c:v>
                </c:pt>
                <c:pt idx="15">
                  <c:v>60</c:v>
                </c:pt>
                <c:pt idx="16">
                  <c:v>76</c:v>
                </c:pt>
                <c:pt idx="17">
                  <c:v>78</c:v>
                </c:pt>
                <c:pt idx="18">
                  <c:v>91</c:v>
                </c:pt>
                <c:pt idx="19">
                  <c:v>95</c:v>
                </c:pt>
                <c:pt idx="20">
                  <c:v>92</c:v>
                </c:pt>
                <c:pt idx="21">
                  <c:v>71</c:v>
                </c:pt>
                <c:pt idx="22">
                  <c:v>71</c:v>
                </c:pt>
                <c:pt idx="23">
                  <c:v>64</c:v>
                </c:pt>
                <c:pt idx="24">
                  <c:v>70</c:v>
                </c:pt>
                <c:pt idx="25">
                  <c:v>73</c:v>
                </c:pt>
                <c:pt idx="26">
                  <c:v>54</c:v>
                </c:pt>
                <c:pt idx="27">
                  <c:v>56</c:v>
                </c:pt>
                <c:pt idx="28">
                  <c:v>46</c:v>
                </c:pt>
                <c:pt idx="29">
                  <c:v>40</c:v>
                </c:pt>
                <c:pt idx="30">
                  <c:v>44</c:v>
                </c:pt>
                <c:pt idx="31">
                  <c:v>42</c:v>
                </c:pt>
                <c:pt idx="32">
                  <c:v>39</c:v>
                </c:pt>
                <c:pt idx="33">
                  <c:v>42</c:v>
                </c:pt>
                <c:pt idx="34">
                  <c:v>31</c:v>
                </c:pt>
              </c:numCache>
            </c:numRef>
          </c:val>
          <c:smooth val="0"/>
          <c:extLst>
            <c:ext xmlns:c16="http://schemas.microsoft.com/office/drawing/2014/chart" uri="{C3380CC4-5D6E-409C-BE32-E72D297353CC}">
              <c16:uniqueId val="{00000004-4536-4DA2-8E51-877933B2458E}"/>
            </c:ext>
          </c:extLst>
        </c:ser>
        <c:ser>
          <c:idx val="5"/>
          <c:order val="5"/>
          <c:tx>
            <c:strRef>
              <c:f>'braf unresec qtr'!$N$1:$N$3</c:f>
              <c:strCache>
                <c:ptCount val="1"/>
                <c:pt idx="0">
                  <c:v>VEMURAFENIB - Initiators</c:v>
                </c:pt>
              </c:strCache>
            </c:strRef>
          </c:tx>
          <c:spPr>
            <a:ln w="28575" cap="rnd">
              <a:solidFill>
                <a:schemeClr val="accent6"/>
              </a:solidFill>
              <a:round/>
            </a:ln>
            <a:effectLst/>
          </c:spPr>
          <c:marker>
            <c:symbol val="none"/>
          </c:marker>
          <c:cat>
            <c:strRef>
              <c:f>'braf unresec qtr'!$H$4:$H$39</c:f>
              <c:strCache>
                <c:ptCount val="35"/>
                <c:pt idx="0">
                  <c:v>2013Q4</c:v>
                </c:pt>
                <c:pt idx="1">
                  <c:v>2014Q1</c:v>
                </c:pt>
                <c:pt idx="2">
                  <c:v>2014Q2</c:v>
                </c:pt>
                <c:pt idx="3">
                  <c:v>2014Q3</c:v>
                </c:pt>
                <c:pt idx="4">
                  <c:v>2014Q4</c:v>
                </c:pt>
                <c:pt idx="5">
                  <c:v>2015Q1</c:v>
                </c:pt>
                <c:pt idx="6">
                  <c:v>2015Q2</c:v>
                </c:pt>
                <c:pt idx="7">
                  <c:v>2015Q3</c:v>
                </c:pt>
                <c:pt idx="8">
                  <c:v>2015Q4</c:v>
                </c:pt>
                <c:pt idx="9">
                  <c:v>2016Q1</c:v>
                </c:pt>
                <c:pt idx="10">
                  <c:v>2016Q2</c:v>
                </c:pt>
                <c:pt idx="11">
                  <c:v>2016Q3</c:v>
                </c:pt>
                <c:pt idx="12">
                  <c:v>2016Q4</c:v>
                </c:pt>
                <c:pt idx="13">
                  <c:v>2017Q1</c:v>
                </c:pt>
                <c:pt idx="14">
                  <c:v>2017Q2</c:v>
                </c:pt>
                <c:pt idx="15">
                  <c:v>2017Q3</c:v>
                </c:pt>
                <c:pt idx="16">
                  <c:v>2017Q4</c:v>
                </c:pt>
                <c:pt idx="17">
                  <c:v>2018Q1</c:v>
                </c:pt>
                <c:pt idx="18">
                  <c:v>2018Q2</c:v>
                </c:pt>
                <c:pt idx="19">
                  <c:v>2018Q3</c:v>
                </c:pt>
                <c:pt idx="20">
                  <c:v>2018Q4</c:v>
                </c:pt>
                <c:pt idx="21">
                  <c:v>2019Q1</c:v>
                </c:pt>
                <c:pt idx="22">
                  <c:v>2019Q2</c:v>
                </c:pt>
                <c:pt idx="23">
                  <c:v>2019Q3</c:v>
                </c:pt>
                <c:pt idx="24">
                  <c:v>2019Q4</c:v>
                </c:pt>
                <c:pt idx="25">
                  <c:v>2020Q1</c:v>
                </c:pt>
                <c:pt idx="26">
                  <c:v>2020Q2</c:v>
                </c:pt>
                <c:pt idx="27">
                  <c:v>2020Q3</c:v>
                </c:pt>
                <c:pt idx="28">
                  <c:v>2020Q4</c:v>
                </c:pt>
                <c:pt idx="29">
                  <c:v>2021Q1</c:v>
                </c:pt>
                <c:pt idx="30">
                  <c:v>2021Q2</c:v>
                </c:pt>
                <c:pt idx="31">
                  <c:v>2021Q3</c:v>
                </c:pt>
                <c:pt idx="32">
                  <c:v>2021Q4</c:v>
                </c:pt>
                <c:pt idx="33">
                  <c:v>2022Q1</c:v>
                </c:pt>
                <c:pt idx="34">
                  <c:v>2022Q2</c:v>
                </c:pt>
              </c:strCache>
            </c:strRef>
          </c:cat>
          <c:val>
            <c:numRef>
              <c:f>'braf unresec qtr'!$N$4:$N$39</c:f>
              <c:numCache>
                <c:formatCode>General</c:formatCode>
                <c:ptCount val="35"/>
                <c:pt idx="14">
                  <c:v>41</c:v>
                </c:pt>
                <c:pt idx="15">
                  <c:v>35</c:v>
                </c:pt>
                <c:pt idx="16">
                  <c:v>39</c:v>
                </c:pt>
                <c:pt idx="17">
                  <c:v>25</c:v>
                </c:pt>
                <c:pt idx="18">
                  <c:v>36</c:v>
                </c:pt>
                <c:pt idx="19">
                  <c:v>33</c:v>
                </c:pt>
                <c:pt idx="20">
                  <c:v>30</c:v>
                </c:pt>
                <c:pt idx="21">
                  <c:v>20</c:v>
                </c:pt>
                <c:pt idx="22">
                  <c:v>22</c:v>
                </c:pt>
                <c:pt idx="23">
                  <c:v>20</c:v>
                </c:pt>
                <c:pt idx="24">
                  <c:v>24</c:v>
                </c:pt>
                <c:pt idx="25">
                  <c:v>25</c:v>
                </c:pt>
                <c:pt idx="26">
                  <c:v>9</c:v>
                </c:pt>
                <c:pt idx="27">
                  <c:v>13</c:v>
                </c:pt>
                <c:pt idx="28">
                  <c:v>5</c:v>
                </c:pt>
                <c:pt idx="29">
                  <c:v>7</c:v>
                </c:pt>
                <c:pt idx="30">
                  <c:v>8</c:v>
                </c:pt>
                <c:pt idx="31">
                  <c:v>7</c:v>
                </c:pt>
                <c:pt idx="32">
                  <c:v>5</c:v>
                </c:pt>
                <c:pt idx="33">
                  <c:v>8</c:v>
                </c:pt>
                <c:pt idx="34">
                  <c:v>6</c:v>
                </c:pt>
              </c:numCache>
            </c:numRef>
          </c:val>
          <c:smooth val="0"/>
          <c:extLst>
            <c:ext xmlns:c16="http://schemas.microsoft.com/office/drawing/2014/chart" uri="{C3380CC4-5D6E-409C-BE32-E72D297353CC}">
              <c16:uniqueId val="{00000005-4536-4DA2-8E51-877933B2458E}"/>
            </c:ext>
          </c:extLst>
        </c:ser>
        <c:dLbls>
          <c:showLegendKey val="0"/>
          <c:showVal val="0"/>
          <c:showCatName val="0"/>
          <c:showSerName val="0"/>
          <c:showPercent val="0"/>
          <c:showBubbleSize val="0"/>
        </c:dLbls>
        <c:smooth val="0"/>
        <c:axId val="536583744"/>
        <c:axId val="536580464"/>
      </c:lineChart>
      <c:catAx>
        <c:axId val="536583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6580464"/>
        <c:crosses val="autoZero"/>
        <c:auto val="1"/>
        <c:lblAlgn val="ctr"/>
        <c:lblOffset val="100"/>
        <c:noMultiLvlLbl val="0"/>
      </c:catAx>
      <c:valAx>
        <c:axId val="5365804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6583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[utilisation.xlsx]mek unresec qtr!PivotTable9</c:name>
    <c:fmtId val="-1"/>
  </c:pivotSource>
  <c:chart>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'mek unresec qtr'!$I$1:$I$3</c:f>
              <c:strCache>
                <c:ptCount val="1"/>
                <c:pt idx="0">
                  <c:v>BINIMETINIB - Prevalent Patients</c:v>
                </c:pt>
              </c:strCache>
            </c:strRef>
          </c:tx>
          <c:spPr>
            <a:ln w="28575" cap="rnd">
              <a:solidFill>
                <a:schemeClr val="accent1"/>
              </a:solidFill>
              <a:round/>
            </a:ln>
            <a:effectLst/>
          </c:spPr>
          <c:marker>
            <c:symbol val="none"/>
          </c:marker>
          <c:cat>
            <c:strRef>
              <c:f>'mek unresec qtr'!$H$4:$H$32</c:f>
              <c:strCache>
                <c:ptCount val="28"/>
                <c:pt idx="0">
                  <c:v>2015Q3</c:v>
                </c:pt>
                <c:pt idx="1">
                  <c:v>2015Q4</c:v>
                </c:pt>
                <c:pt idx="2">
                  <c:v>2016Q1</c:v>
                </c:pt>
                <c:pt idx="3">
                  <c:v>2016Q2</c:v>
                </c:pt>
                <c:pt idx="4">
                  <c:v>2016Q3</c:v>
                </c:pt>
                <c:pt idx="5">
                  <c:v>2016Q4</c:v>
                </c:pt>
                <c:pt idx="6">
                  <c:v>2017Q1</c:v>
                </c:pt>
                <c:pt idx="7">
                  <c:v>2017Q2</c:v>
                </c:pt>
                <c:pt idx="8">
                  <c:v>2017Q3</c:v>
                </c:pt>
                <c:pt idx="9">
                  <c:v>2017Q4</c:v>
                </c:pt>
                <c:pt idx="10">
                  <c:v>2018Q1</c:v>
                </c:pt>
                <c:pt idx="11">
                  <c:v>2018Q2</c:v>
                </c:pt>
                <c:pt idx="12">
                  <c:v>2018Q3</c:v>
                </c:pt>
                <c:pt idx="13">
                  <c:v>2018Q4</c:v>
                </c:pt>
                <c:pt idx="14">
                  <c:v>2019Q1</c:v>
                </c:pt>
                <c:pt idx="15">
                  <c:v>2019Q2</c:v>
                </c:pt>
                <c:pt idx="16">
                  <c:v>2019Q3</c:v>
                </c:pt>
                <c:pt idx="17">
                  <c:v>2019Q4</c:v>
                </c:pt>
                <c:pt idx="18">
                  <c:v>2020Q1</c:v>
                </c:pt>
                <c:pt idx="19">
                  <c:v>2020Q2</c:v>
                </c:pt>
                <c:pt idx="20">
                  <c:v>2020Q3</c:v>
                </c:pt>
                <c:pt idx="21">
                  <c:v>2020Q4</c:v>
                </c:pt>
                <c:pt idx="22">
                  <c:v>2021Q1</c:v>
                </c:pt>
                <c:pt idx="23">
                  <c:v>2021Q2</c:v>
                </c:pt>
                <c:pt idx="24">
                  <c:v>2021Q3</c:v>
                </c:pt>
                <c:pt idx="25">
                  <c:v>2021Q4</c:v>
                </c:pt>
                <c:pt idx="26">
                  <c:v>2022Q1</c:v>
                </c:pt>
                <c:pt idx="27">
                  <c:v>2022Q2</c:v>
                </c:pt>
              </c:strCache>
            </c:strRef>
          </c:cat>
          <c:val>
            <c:numRef>
              <c:f>'mek unresec qtr'!$I$4:$I$32</c:f>
              <c:numCache>
                <c:formatCode>General</c:formatCode>
                <c:ptCount val="28"/>
                <c:pt idx="19">
                  <c:v>133</c:v>
                </c:pt>
                <c:pt idx="20">
                  <c:v>171</c:v>
                </c:pt>
                <c:pt idx="21">
                  <c:v>187</c:v>
                </c:pt>
                <c:pt idx="22">
                  <c:v>223</c:v>
                </c:pt>
                <c:pt idx="23">
                  <c:v>251</c:v>
                </c:pt>
                <c:pt idx="24">
                  <c:v>237</c:v>
                </c:pt>
                <c:pt idx="25">
                  <c:v>243</c:v>
                </c:pt>
                <c:pt idx="26">
                  <c:v>246</c:v>
                </c:pt>
                <c:pt idx="27">
                  <c:v>275</c:v>
                </c:pt>
              </c:numCache>
            </c:numRef>
          </c:val>
          <c:smooth val="0"/>
          <c:extLst>
            <c:ext xmlns:c16="http://schemas.microsoft.com/office/drawing/2014/chart" uri="{C3380CC4-5D6E-409C-BE32-E72D297353CC}">
              <c16:uniqueId val="{00000000-F47E-4BA5-99FE-144570FCBC6F}"/>
            </c:ext>
          </c:extLst>
        </c:ser>
        <c:ser>
          <c:idx val="1"/>
          <c:order val="1"/>
          <c:tx>
            <c:strRef>
              <c:f>'mek unresec qtr'!$J$1:$J$3</c:f>
              <c:strCache>
                <c:ptCount val="1"/>
                <c:pt idx="0">
                  <c:v>BINIMETINIB - Initiators</c:v>
                </c:pt>
              </c:strCache>
            </c:strRef>
          </c:tx>
          <c:spPr>
            <a:ln w="28575" cap="rnd">
              <a:solidFill>
                <a:schemeClr val="accent2"/>
              </a:solidFill>
              <a:round/>
            </a:ln>
            <a:effectLst/>
          </c:spPr>
          <c:marker>
            <c:symbol val="none"/>
          </c:marker>
          <c:cat>
            <c:strRef>
              <c:f>'mek unresec qtr'!$H$4:$H$32</c:f>
              <c:strCache>
                <c:ptCount val="28"/>
                <c:pt idx="0">
                  <c:v>2015Q3</c:v>
                </c:pt>
                <c:pt idx="1">
                  <c:v>2015Q4</c:v>
                </c:pt>
                <c:pt idx="2">
                  <c:v>2016Q1</c:v>
                </c:pt>
                <c:pt idx="3">
                  <c:v>2016Q2</c:v>
                </c:pt>
                <c:pt idx="4">
                  <c:v>2016Q3</c:v>
                </c:pt>
                <c:pt idx="5">
                  <c:v>2016Q4</c:v>
                </c:pt>
                <c:pt idx="6">
                  <c:v>2017Q1</c:v>
                </c:pt>
                <c:pt idx="7">
                  <c:v>2017Q2</c:v>
                </c:pt>
                <c:pt idx="8">
                  <c:v>2017Q3</c:v>
                </c:pt>
                <c:pt idx="9">
                  <c:v>2017Q4</c:v>
                </c:pt>
                <c:pt idx="10">
                  <c:v>2018Q1</c:v>
                </c:pt>
                <c:pt idx="11">
                  <c:v>2018Q2</c:v>
                </c:pt>
                <c:pt idx="12">
                  <c:v>2018Q3</c:v>
                </c:pt>
                <c:pt idx="13">
                  <c:v>2018Q4</c:v>
                </c:pt>
                <c:pt idx="14">
                  <c:v>2019Q1</c:v>
                </c:pt>
                <c:pt idx="15">
                  <c:v>2019Q2</c:v>
                </c:pt>
                <c:pt idx="16">
                  <c:v>2019Q3</c:v>
                </c:pt>
                <c:pt idx="17">
                  <c:v>2019Q4</c:v>
                </c:pt>
                <c:pt idx="18">
                  <c:v>2020Q1</c:v>
                </c:pt>
                <c:pt idx="19">
                  <c:v>2020Q2</c:v>
                </c:pt>
                <c:pt idx="20">
                  <c:v>2020Q3</c:v>
                </c:pt>
                <c:pt idx="21">
                  <c:v>2020Q4</c:v>
                </c:pt>
                <c:pt idx="22">
                  <c:v>2021Q1</c:v>
                </c:pt>
                <c:pt idx="23">
                  <c:v>2021Q2</c:v>
                </c:pt>
                <c:pt idx="24">
                  <c:v>2021Q3</c:v>
                </c:pt>
                <c:pt idx="25">
                  <c:v>2021Q4</c:v>
                </c:pt>
                <c:pt idx="26">
                  <c:v>2022Q1</c:v>
                </c:pt>
                <c:pt idx="27">
                  <c:v>2022Q2</c:v>
                </c:pt>
              </c:strCache>
            </c:strRef>
          </c:cat>
          <c:val>
            <c:numRef>
              <c:f>'mek unresec qtr'!$J$4:$J$32</c:f>
              <c:numCache>
                <c:formatCode>General</c:formatCode>
                <c:ptCount val="28"/>
                <c:pt idx="19">
                  <c:v>133</c:v>
                </c:pt>
                <c:pt idx="20">
                  <c:v>61</c:v>
                </c:pt>
                <c:pt idx="21">
                  <c:v>58</c:v>
                </c:pt>
                <c:pt idx="22">
                  <c:v>74</c:v>
                </c:pt>
                <c:pt idx="23">
                  <c:v>63</c:v>
                </c:pt>
                <c:pt idx="24">
                  <c:v>40</c:v>
                </c:pt>
                <c:pt idx="25">
                  <c:v>59</c:v>
                </c:pt>
                <c:pt idx="26">
                  <c:v>45</c:v>
                </c:pt>
                <c:pt idx="27">
                  <c:v>73</c:v>
                </c:pt>
              </c:numCache>
            </c:numRef>
          </c:val>
          <c:smooth val="0"/>
          <c:extLst>
            <c:ext xmlns:c16="http://schemas.microsoft.com/office/drawing/2014/chart" uri="{C3380CC4-5D6E-409C-BE32-E72D297353CC}">
              <c16:uniqueId val="{00000001-F47E-4BA5-99FE-144570FCBC6F}"/>
            </c:ext>
          </c:extLst>
        </c:ser>
        <c:ser>
          <c:idx val="2"/>
          <c:order val="2"/>
          <c:tx>
            <c:strRef>
              <c:f>'mek unresec qtr'!$K$1:$K$3</c:f>
              <c:strCache>
                <c:ptCount val="1"/>
                <c:pt idx="0">
                  <c:v>COBIMETINIB - Prevalent Patients</c:v>
                </c:pt>
              </c:strCache>
            </c:strRef>
          </c:tx>
          <c:spPr>
            <a:ln w="28575" cap="rnd">
              <a:solidFill>
                <a:schemeClr val="accent3"/>
              </a:solidFill>
              <a:round/>
            </a:ln>
            <a:effectLst/>
          </c:spPr>
          <c:marker>
            <c:symbol val="none"/>
          </c:marker>
          <c:cat>
            <c:strRef>
              <c:f>'mek unresec qtr'!$H$4:$H$32</c:f>
              <c:strCache>
                <c:ptCount val="28"/>
                <c:pt idx="0">
                  <c:v>2015Q3</c:v>
                </c:pt>
                <c:pt idx="1">
                  <c:v>2015Q4</c:v>
                </c:pt>
                <c:pt idx="2">
                  <c:v>2016Q1</c:v>
                </c:pt>
                <c:pt idx="3">
                  <c:v>2016Q2</c:v>
                </c:pt>
                <c:pt idx="4">
                  <c:v>2016Q3</c:v>
                </c:pt>
                <c:pt idx="5">
                  <c:v>2016Q4</c:v>
                </c:pt>
                <c:pt idx="6">
                  <c:v>2017Q1</c:v>
                </c:pt>
                <c:pt idx="7">
                  <c:v>2017Q2</c:v>
                </c:pt>
                <c:pt idx="8">
                  <c:v>2017Q3</c:v>
                </c:pt>
                <c:pt idx="9">
                  <c:v>2017Q4</c:v>
                </c:pt>
                <c:pt idx="10">
                  <c:v>2018Q1</c:v>
                </c:pt>
                <c:pt idx="11">
                  <c:v>2018Q2</c:v>
                </c:pt>
                <c:pt idx="12">
                  <c:v>2018Q3</c:v>
                </c:pt>
                <c:pt idx="13">
                  <c:v>2018Q4</c:v>
                </c:pt>
                <c:pt idx="14">
                  <c:v>2019Q1</c:v>
                </c:pt>
                <c:pt idx="15">
                  <c:v>2019Q2</c:v>
                </c:pt>
                <c:pt idx="16">
                  <c:v>2019Q3</c:v>
                </c:pt>
                <c:pt idx="17">
                  <c:v>2019Q4</c:v>
                </c:pt>
                <c:pt idx="18">
                  <c:v>2020Q1</c:v>
                </c:pt>
                <c:pt idx="19">
                  <c:v>2020Q2</c:v>
                </c:pt>
                <c:pt idx="20">
                  <c:v>2020Q3</c:v>
                </c:pt>
                <c:pt idx="21">
                  <c:v>2020Q4</c:v>
                </c:pt>
                <c:pt idx="22">
                  <c:v>2021Q1</c:v>
                </c:pt>
                <c:pt idx="23">
                  <c:v>2021Q2</c:v>
                </c:pt>
                <c:pt idx="24">
                  <c:v>2021Q3</c:v>
                </c:pt>
                <c:pt idx="25">
                  <c:v>2021Q4</c:v>
                </c:pt>
                <c:pt idx="26">
                  <c:v>2022Q1</c:v>
                </c:pt>
                <c:pt idx="27">
                  <c:v>2022Q2</c:v>
                </c:pt>
              </c:strCache>
            </c:strRef>
          </c:cat>
          <c:val>
            <c:numRef>
              <c:f>'mek unresec qtr'!$K$4:$K$32</c:f>
              <c:numCache>
                <c:formatCode>General</c:formatCode>
                <c:ptCount val="28"/>
                <c:pt idx="7">
                  <c:v>38</c:v>
                </c:pt>
                <c:pt idx="8">
                  <c:v>52</c:v>
                </c:pt>
                <c:pt idx="9">
                  <c:v>65</c:v>
                </c:pt>
                <c:pt idx="10">
                  <c:v>67</c:v>
                </c:pt>
                <c:pt idx="11">
                  <c:v>77</c:v>
                </c:pt>
                <c:pt idx="12">
                  <c:v>83</c:v>
                </c:pt>
                <c:pt idx="13">
                  <c:v>80</c:v>
                </c:pt>
                <c:pt idx="14">
                  <c:v>64</c:v>
                </c:pt>
                <c:pt idx="15">
                  <c:v>56</c:v>
                </c:pt>
                <c:pt idx="16">
                  <c:v>53</c:v>
                </c:pt>
                <c:pt idx="17">
                  <c:v>62</c:v>
                </c:pt>
                <c:pt idx="18">
                  <c:v>66</c:v>
                </c:pt>
                <c:pt idx="19">
                  <c:v>47</c:v>
                </c:pt>
                <c:pt idx="20">
                  <c:v>49</c:v>
                </c:pt>
                <c:pt idx="21">
                  <c:v>36</c:v>
                </c:pt>
                <c:pt idx="22">
                  <c:v>35</c:v>
                </c:pt>
                <c:pt idx="23">
                  <c:v>37</c:v>
                </c:pt>
                <c:pt idx="24">
                  <c:v>36</c:v>
                </c:pt>
                <c:pt idx="25">
                  <c:v>35</c:v>
                </c:pt>
                <c:pt idx="26">
                  <c:v>35</c:v>
                </c:pt>
                <c:pt idx="27">
                  <c:v>24</c:v>
                </c:pt>
              </c:numCache>
            </c:numRef>
          </c:val>
          <c:smooth val="0"/>
          <c:extLst>
            <c:ext xmlns:c16="http://schemas.microsoft.com/office/drawing/2014/chart" uri="{C3380CC4-5D6E-409C-BE32-E72D297353CC}">
              <c16:uniqueId val="{00000002-F47E-4BA5-99FE-144570FCBC6F}"/>
            </c:ext>
          </c:extLst>
        </c:ser>
        <c:ser>
          <c:idx val="3"/>
          <c:order val="3"/>
          <c:tx>
            <c:strRef>
              <c:f>'mek unresec qtr'!$L$1:$L$3</c:f>
              <c:strCache>
                <c:ptCount val="1"/>
                <c:pt idx="0">
                  <c:v>COBIMETINIB - Initiators</c:v>
                </c:pt>
              </c:strCache>
            </c:strRef>
          </c:tx>
          <c:spPr>
            <a:ln w="28575" cap="rnd">
              <a:solidFill>
                <a:schemeClr val="accent4"/>
              </a:solidFill>
              <a:round/>
            </a:ln>
            <a:effectLst/>
          </c:spPr>
          <c:marker>
            <c:symbol val="none"/>
          </c:marker>
          <c:cat>
            <c:strRef>
              <c:f>'mek unresec qtr'!$H$4:$H$32</c:f>
              <c:strCache>
                <c:ptCount val="28"/>
                <c:pt idx="0">
                  <c:v>2015Q3</c:v>
                </c:pt>
                <c:pt idx="1">
                  <c:v>2015Q4</c:v>
                </c:pt>
                <c:pt idx="2">
                  <c:v>2016Q1</c:v>
                </c:pt>
                <c:pt idx="3">
                  <c:v>2016Q2</c:v>
                </c:pt>
                <c:pt idx="4">
                  <c:v>2016Q3</c:v>
                </c:pt>
                <c:pt idx="5">
                  <c:v>2016Q4</c:v>
                </c:pt>
                <c:pt idx="6">
                  <c:v>2017Q1</c:v>
                </c:pt>
                <c:pt idx="7">
                  <c:v>2017Q2</c:v>
                </c:pt>
                <c:pt idx="8">
                  <c:v>2017Q3</c:v>
                </c:pt>
                <c:pt idx="9">
                  <c:v>2017Q4</c:v>
                </c:pt>
                <c:pt idx="10">
                  <c:v>2018Q1</c:v>
                </c:pt>
                <c:pt idx="11">
                  <c:v>2018Q2</c:v>
                </c:pt>
                <c:pt idx="12">
                  <c:v>2018Q3</c:v>
                </c:pt>
                <c:pt idx="13">
                  <c:v>2018Q4</c:v>
                </c:pt>
                <c:pt idx="14">
                  <c:v>2019Q1</c:v>
                </c:pt>
                <c:pt idx="15">
                  <c:v>2019Q2</c:v>
                </c:pt>
                <c:pt idx="16">
                  <c:v>2019Q3</c:v>
                </c:pt>
                <c:pt idx="17">
                  <c:v>2019Q4</c:v>
                </c:pt>
                <c:pt idx="18">
                  <c:v>2020Q1</c:v>
                </c:pt>
                <c:pt idx="19">
                  <c:v>2020Q2</c:v>
                </c:pt>
                <c:pt idx="20">
                  <c:v>2020Q3</c:v>
                </c:pt>
                <c:pt idx="21">
                  <c:v>2020Q4</c:v>
                </c:pt>
                <c:pt idx="22">
                  <c:v>2021Q1</c:v>
                </c:pt>
                <c:pt idx="23">
                  <c:v>2021Q2</c:v>
                </c:pt>
                <c:pt idx="24">
                  <c:v>2021Q3</c:v>
                </c:pt>
                <c:pt idx="25">
                  <c:v>2021Q4</c:v>
                </c:pt>
                <c:pt idx="26">
                  <c:v>2022Q1</c:v>
                </c:pt>
                <c:pt idx="27">
                  <c:v>2022Q2</c:v>
                </c:pt>
              </c:strCache>
            </c:strRef>
          </c:cat>
          <c:val>
            <c:numRef>
              <c:f>'mek unresec qtr'!$L$4:$L$32</c:f>
              <c:numCache>
                <c:formatCode>General</c:formatCode>
                <c:ptCount val="28"/>
                <c:pt idx="7">
                  <c:v>38</c:v>
                </c:pt>
                <c:pt idx="8">
                  <c:v>29</c:v>
                </c:pt>
                <c:pt idx="9">
                  <c:v>36</c:v>
                </c:pt>
                <c:pt idx="10">
                  <c:v>21</c:v>
                </c:pt>
                <c:pt idx="11">
                  <c:v>34</c:v>
                </c:pt>
                <c:pt idx="12">
                  <c:v>32</c:v>
                </c:pt>
                <c:pt idx="13">
                  <c:v>30</c:v>
                </c:pt>
                <c:pt idx="14">
                  <c:v>20</c:v>
                </c:pt>
                <c:pt idx="15">
                  <c:v>19</c:v>
                </c:pt>
                <c:pt idx="16">
                  <c:v>19</c:v>
                </c:pt>
                <c:pt idx="17">
                  <c:v>24</c:v>
                </c:pt>
                <c:pt idx="18">
                  <c:v>26</c:v>
                </c:pt>
                <c:pt idx="19">
                  <c:v>7</c:v>
                </c:pt>
                <c:pt idx="20">
                  <c:v>12</c:v>
                </c:pt>
                <c:pt idx="21">
                  <c:v>5</c:v>
                </c:pt>
                <c:pt idx="22">
                  <c:v>5</c:v>
                </c:pt>
                <c:pt idx="23">
                  <c:v>5</c:v>
                </c:pt>
                <c:pt idx="24">
                  <c:v>5</c:v>
                </c:pt>
                <c:pt idx="25">
                  <c:v>5</c:v>
                </c:pt>
                <c:pt idx="26">
                  <c:v>5</c:v>
                </c:pt>
                <c:pt idx="27">
                  <c:v>5</c:v>
                </c:pt>
              </c:numCache>
            </c:numRef>
          </c:val>
          <c:smooth val="0"/>
          <c:extLst>
            <c:ext xmlns:c16="http://schemas.microsoft.com/office/drawing/2014/chart" uri="{C3380CC4-5D6E-409C-BE32-E72D297353CC}">
              <c16:uniqueId val="{00000003-F47E-4BA5-99FE-144570FCBC6F}"/>
            </c:ext>
          </c:extLst>
        </c:ser>
        <c:ser>
          <c:idx val="4"/>
          <c:order val="4"/>
          <c:tx>
            <c:strRef>
              <c:f>'mek unresec qtr'!$M$1:$M$3</c:f>
              <c:strCache>
                <c:ptCount val="1"/>
                <c:pt idx="0">
                  <c:v>TRAMETINIB - Prevalent Patients</c:v>
                </c:pt>
              </c:strCache>
            </c:strRef>
          </c:tx>
          <c:spPr>
            <a:ln w="28575" cap="rnd">
              <a:solidFill>
                <a:schemeClr val="accent5"/>
              </a:solidFill>
              <a:round/>
            </a:ln>
            <a:effectLst/>
          </c:spPr>
          <c:marker>
            <c:symbol val="none"/>
          </c:marker>
          <c:cat>
            <c:strRef>
              <c:f>'mek unresec qtr'!$H$4:$H$32</c:f>
              <c:strCache>
                <c:ptCount val="28"/>
                <c:pt idx="0">
                  <c:v>2015Q3</c:v>
                </c:pt>
                <c:pt idx="1">
                  <c:v>2015Q4</c:v>
                </c:pt>
                <c:pt idx="2">
                  <c:v>2016Q1</c:v>
                </c:pt>
                <c:pt idx="3">
                  <c:v>2016Q2</c:v>
                </c:pt>
                <c:pt idx="4">
                  <c:v>2016Q3</c:v>
                </c:pt>
                <c:pt idx="5">
                  <c:v>2016Q4</c:v>
                </c:pt>
                <c:pt idx="6">
                  <c:v>2017Q1</c:v>
                </c:pt>
                <c:pt idx="7">
                  <c:v>2017Q2</c:v>
                </c:pt>
                <c:pt idx="8">
                  <c:v>2017Q3</c:v>
                </c:pt>
                <c:pt idx="9">
                  <c:v>2017Q4</c:v>
                </c:pt>
                <c:pt idx="10">
                  <c:v>2018Q1</c:v>
                </c:pt>
                <c:pt idx="11">
                  <c:v>2018Q2</c:v>
                </c:pt>
                <c:pt idx="12">
                  <c:v>2018Q3</c:v>
                </c:pt>
                <c:pt idx="13">
                  <c:v>2018Q4</c:v>
                </c:pt>
                <c:pt idx="14">
                  <c:v>2019Q1</c:v>
                </c:pt>
                <c:pt idx="15">
                  <c:v>2019Q2</c:v>
                </c:pt>
                <c:pt idx="16">
                  <c:v>2019Q3</c:v>
                </c:pt>
                <c:pt idx="17">
                  <c:v>2019Q4</c:v>
                </c:pt>
                <c:pt idx="18">
                  <c:v>2020Q1</c:v>
                </c:pt>
                <c:pt idx="19">
                  <c:v>2020Q2</c:v>
                </c:pt>
                <c:pt idx="20">
                  <c:v>2020Q3</c:v>
                </c:pt>
                <c:pt idx="21">
                  <c:v>2020Q4</c:v>
                </c:pt>
                <c:pt idx="22">
                  <c:v>2021Q1</c:v>
                </c:pt>
                <c:pt idx="23">
                  <c:v>2021Q2</c:v>
                </c:pt>
                <c:pt idx="24">
                  <c:v>2021Q3</c:v>
                </c:pt>
                <c:pt idx="25">
                  <c:v>2021Q4</c:v>
                </c:pt>
                <c:pt idx="26">
                  <c:v>2022Q1</c:v>
                </c:pt>
                <c:pt idx="27">
                  <c:v>2022Q2</c:v>
                </c:pt>
              </c:strCache>
            </c:strRef>
          </c:cat>
          <c:val>
            <c:numRef>
              <c:f>'mek unresec qtr'!$M$4:$M$32</c:f>
              <c:numCache>
                <c:formatCode>General</c:formatCode>
                <c:ptCount val="28"/>
                <c:pt idx="0">
                  <c:v>428</c:v>
                </c:pt>
                <c:pt idx="1">
                  <c:v>548</c:v>
                </c:pt>
                <c:pt idx="2">
                  <c:v>567</c:v>
                </c:pt>
                <c:pt idx="3">
                  <c:v>626</c:v>
                </c:pt>
                <c:pt idx="4">
                  <c:v>619</c:v>
                </c:pt>
                <c:pt idx="5">
                  <c:v>648</c:v>
                </c:pt>
                <c:pt idx="6">
                  <c:v>661</c:v>
                </c:pt>
                <c:pt idx="7">
                  <c:v>670</c:v>
                </c:pt>
                <c:pt idx="8">
                  <c:v>634</c:v>
                </c:pt>
                <c:pt idx="9">
                  <c:v>699</c:v>
                </c:pt>
                <c:pt idx="10">
                  <c:v>678</c:v>
                </c:pt>
                <c:pt idx="11">
                  <c:v>649</c:v>
                </c:pt>
                <c:pt idx="12">
                  <c:v>652</c:v>
                </c:pt>
                <c:pt idx="13">
                  <c:v>658</c:v>
                </c:pt>
                <c:pt idx="14">
                  <c:v>634</c:v>
                </c:pt>
                <c:pt idx="15">
                  <c:v>670</c:v>
                </c:pt>
                <c:pt idx="16">
                  <c:v>670</c:v>
                </c:pt>
                <c:pt idx="17">
                  <c:v>649</c:v>
                </c:pt>
                <c:pt idx="18">
                  <c:v>635</c:v>
                </c:pt>
                <c:pt idx="19">
                  <c:v>563</c:v>
                </c:pt>
                <c:pt idx="20">
                  <c:v>493</c:v>
                </c:pt>
                <c:pt idx="21">
                  <c:v>423</c:v>
                </c:pt>
                <c:pt idx="22">
                  <c:v>401</c:v>
                </c:pt>
                <c:pt idx="23">
                  <c:v>372</c:v>
                </c:pt>
                <c:pt idx="24">
                  <c:v>381</c:v>
                </c:pt>
                <c:pt idx="25">
                  <c:v>365</c:v>
                </c:pt>
                <c:pt idx="26">
                  <c:v>352</c:v>
                </c:pt>
                <c:pt idx="27">
                  <c:v>373</c:v>
                </c:pt>
              </c:numCache>
            </c:numRef>
          </c:val>
          <c:smooth val="0"/>
          <c:extLst>
            <c:ext xmlns:c16="http://schemas.microsoft.com/office/drawing/2014/chart" uri="{C3380CC4-5D6E-409C-BE32-E72D297353CC}">
              <c16:uniqueId val="{00000004-F47E-4BA5-99FE-144570FCBC6F}"/>
            </c:ext>
          </c:extLst>
        </c:ser>
        <c:ser>
          <c:idx val="5"/>
          <c:order val="5"/>
          <c:tx>
            <c:strRef>
              <c:f>'mek unresec qtr'!$N$1:$N$3</c:f>
              <c:strCache>
                <c:ptCount val="1"/>
                <c:pt idx="0">
                  <c:v>TRAMETINIB - Initiators</c:v>
                </c:pt>
              </c:strCache>
            </c:strRef>
          </c:tx>
          <c:spPr>
            <a:ln w="28575" cap="rnd">
              <a:solidFill>
                <a:schemeClr val="accent6"/>
              </a:solidFill>
              <a:round/>
            </a:ln>
            <a:effectLst/>
          </c:spPr>
          <c:marker>
            <c:symbol val="none"/>
          </c:marker>
          <c:cat>
            <c:strRef>
              <c:f>'mek unresec qtr'!$H$4:$H$32</c:f>
              <c:strCache>
                <c:ptCount val="28"/>
                <c:pt idx="0">
                  <c:v>2015Q3</c:v>
                </c:pt>
                <c:pt idx="1">
                  <c:v>2015Q4</c:v>
                </c:pt>
                <c:pt idx="2">
                  <c:v>2016Q1</c:v>
                </c:pt>
                <c:pt idx="3">
                  <c:v>2016Q2</c:v>
                </c:pt>
                <c:pt idx="4">
                  <c:v>2016Q3</c:v>
                </c:pt>
                <c:pt idx="5">
                  <c:v>2016Q4</c:v>
                </c:pt>
                <c:pt idx="6">
                  <c:v>2017Q1</c:v>
                </c:pt>
                <c:pt idx="7">
                  <c:v>2017Q2</c:v>
                </c:pt>
                <c:pt idx="8">
                  <c:v>2017Q3</c:v>
                </c:pt>
                <c:pt idx="9">
                  <c:v>2017Q4</c:v>
                </c:pt>
                <c:pt idx="10">
                  <c:v>2018Q1</c:v>
                </c:pt>
                <c:pt idx="11">
                  <c:v>2018Q2</c:v>
                </c:pt>
                <c:pt idx="12">
                  <c:v>2018Q3</c:v>
                </c:pt>
                <c:pt idx="13">
                  <c:v>2018Q4</c:v>
                </c:pt>
                <c:pt idx="14">
                  <c:v>2019Q1</c:v>
                </c:pt>
                <c:pt idx="15">
                  <c:v>2019Q2</c:v>
                </c:pt>
                <c:pt idx="16">
                  <c:v>2019Q3</c:v>
                </c:pt>
                <c:pt idx="17">
                  <c:v>2019Q4</c:v>
                </c:pt>
                <c:pt idx="18">
                  <c:v>2020Q1</c:v>
                </c:pt>
                <c:pt idx="19">
                  <c:v>2020Q2</c:v>
                </c:pt>
                <c:pt idx="20">
                  <c:v>2020Q3</c:v>
                </c:pt>
                <c:pt idx="21">
                  <c:v>2020Q4</c:v>
                </c:pt>
                <c:pt idx="22">
                  <c:v>2021Q1</c:v>
                </c:pt>
                <c:pt idx="23">
                  <c:v>2021Q2</c:v>
                </c:pt>
                <c:pt idx="24">
                  <c:v>2021Q3</c:v>
                </c:pt>
                <c:pt idx="25">
                  <c:v>2021Q4</c:v>
                </c:pt>
                <c:pt idx="26">
                  <c:v>2022Q1</c:v>
                </c:pt>
                <c:pt idx="27">
                  <c:v>2022Q2</c:v>
                </c:pt>
              </c:strCache>
            </c:strRef>
          </c:cat>
          <c:val>
            <c:numRef>
              <c:f>'mek unresec qtr'!$N$4:$N$32</c:f>
              <c:numCache>
                <c:formatCode>General</c:formatCode>
                <c:ptCount val="28"/>
                <c:pt idx="0">
                  <c:v>428</c:v>
                </c:pt>
                <c:pt idx="1">
                  <c:v>191</c:v>
                </c:pt>
                <c:pt idx="2">
                  <c:v>139</c:v>
                </c:pt>
                <c:pt idx="3">
                  <c:v>163</c:v>
                </c:pt>
                <c:pt idx="4">
                  <c:v>130</c:v>
                </c:pt>
                <c:pt idx="5">
                  <c:v>163</c:v>
                </c:pt>
                <c:pt idx="6">
                  <c:v>143</c:v>
                </c:pt>
                <c:pt idx="7">
                  <c:v>146</c:v>
                </c:pt>
                <c:pt idx="8">
                  <c:v>132</c:v>
                </c:pt>
                <c:pt idx="9">
                  <c:v>184</c:v>
                </c:pt>
                <c:pt idx="10">
                  <c:v>128</c:v>
                </c:pt>
                <c:pt idx="11">
                  <c:v>116</c:v>
                </c:pt>
                <c:pt idx="12">
                  <c:v>161</c:v>
                </c:pt>
                <c:pt idx="13">
                  <c:v>144</c:v>
                </c:pt>
                <c:pt idx="14">
                  <c:v>135</c:v>
                </c:pt>
                <c:pt idx="15">
                  <c:v>154</c:v>
                </c:pt>
                <c:pt idx="16">
                  <c:v>139</c:v>
                </c:pt>
                <c:pt idx="17">
                  <c:v>131</c:v>
                </c:pt>
                <c:pt idx="18">
                  <c:v>117</c:v>
                </c:pt>
                <c:pt idx="19">
                  <c:v>82</c:v>
                </c:pt>
                <c:pt idx="20">
                  <c:v>58</c:v>
                </c:pt>
                <c:pt idx="21">
                  <c:v>49</c:v>
                </c:pt>
                <c:pt idx="22">
                  <c:v>63</c:v>
                </c:pt>
                <c:pt idx="23">
                  <c:v>41</c:v>
                </c:pt>
                <c:pt idx="24">
                  <c:v>48</c:v>
                </c:pt>
                <c:pt idx="25">
                  <c:v>48</c:v>
                </c:pt>
                <c:pt idx="26">
                  <c:v>54</c:v>
                </c:pt>
                <c:pt idx="27">
                  <c:v>53</c:v>
                </c:pt>
              </c:numCache>
            </c:numRef>
          </c:val>
          <c:smooth val="0"/>
          <c:extLst>
            <c:ext xmlns:c16="http://schemas.microsoft.com/office/drawing/2014/chart" uri="{C3380CC4-5D6E-409C-BE32-E72D297353CC}">
              <c16:uniqueId val="{00000005-F47E-4BA5-99FE-144570FCBC6F}"/>
            </c:ext>
          </c:extLst>
        </c:ser>
        <c:dLbls>
          <c:showLegendKey val="0"/>
          <c:showVal val="0"/>
          <c:showCatName val="0"/>
          <c:showSerName val="0"/>
          <c:showPercent val="0"/>
          <c:showBubbleSize val="0"/>
        </c:dLbls>
        <c:smooth val="0"/>
        <c:axId val="894208776"/>
        <c:axId val="926703064"/>
      </c:lineChart>
      <c:catAx>
        <c:axId val="894208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6703064"/>
        <c:crosses val="autoZero"/>
        <c:auto val="1"/>
        <c:lblAlgn val="ctr"/>
        <c:lblOffset val="100"/>
        <c:noMultiLvlLbl val="0"/>
      </c:catAx>
      <c:valAx>
        <c:axId val="9267030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42087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[utilisation.xlsx]Other qtr!PivotTable11</c:name>
    <c:fmtId val="-1"/>
  </c:pivotSource>
  <c:chart>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'Other qtr'!$I$1:$I$3</c:f>
              <c:strCache>
                <c:ptCount val="1"/>
                <c:pt idx="0">
                  <c:v>FOTEMUSTINE - Prevalent Patients</c:v>
                </c:pt>
              </c:strCache>
            </c:strRef>
          </c:tx>
          <c:spPr>
            <a:ln w="28575" cap="rnd">
              <a:solidFill>
                <a:schemeClr val="accent1"/>
              </a:solidFill>
              <a:round/>
            </a:ln>
            <a:effectLst/>
          </c:spPr>
          <c:marker>
            <c:symbol val="none"/>
          </c:marker>
          <c:cat>
            <c:strRef>
              <c:f>'Other qtr'!$H$4:$H$91</c:f>
              <c:strCache>
                <c:ptCount val="87"/>
                <c:pt idx="0">
                  <c:v>2000Q4</c:v>
                </c:pt>
                <c:pt idx="1">
                  <c:v>2001Q1</c:v>
                </c:pt>
                <c:pt idx="2">
                  <c:v>2001Q2</c:v>
                </c:pt>
                <c:pt idx="3">
                  <c:v>2001Q3</c:v>
                </c:pt>
                <c:pt idx="4">
                  <c:v>2001Q4</c:v>
                </c:pt>
                <c:pt idx="5">
                  <c:v>2002Q1</c:v>
                </c:pt>
                <c:pt idx="6">
                  <c:v>2002Q2</c:v>
                </c:pt>
                <c:pt idx="7">
                  <c:v>2002Q3</c:v>
                </c:pt>
                <c:pt idx="8">
                  <c:v>2002Q4</c:v>
                </c:pt>
                <c:pt idx="9">
                  <c:v>2003Q1</c:v>
                </c:pt>
                <c:pt idx="10">
                  <c:v>2003Q2</c:v>
                </c:pt>
                <c:pt idx="11">
                  <c:v>2003Q3</c:v>
                </c:pt>
                <c:pt idx="12">
                  <c:v>2003Q4</c:v>
                </c:pt>
                <c:pt idx="13">
                  <c:v>2004Q1</c:v>
                </c:pt>
                <c:pt idx="14">
                  <c:v>2004Q2</c:v>
                </c:pt>
                <c:pt idx="15">
                  <c:v>2004Q3</c:v>
                </c:pt>
                <c:pt idx="16">
                  <c:v>2004Q4</c:v>
                </c:pt>
                <c:pt idx="17">
                  <c:v>2005Q1</c:v>
                </c:pt>
                <c:pt idx="18">
                  <c:v>2005Q2</c:v>
                </c:pt>
                <c:pt idx="19">
                  <c:v>2005Q3</c:v>
                </c:pt>
                <c:pt idx="20">
                  <c:v>2005Q4</c:v>
                </c:pt>
                <c:pt idx="21">
                  <c:v>2006Q1</c:v>
                </c:pt>
                <c:pt idx="22">
                  <c:v>2006Q2</c:v>
                </c:pt>
                <c:pt idx="23">
                  <c:v>2006Q3</c:v>
                </c:pt>
                <c:pt idx="24">
                  <c:v>2006Q4</c:v>
                </c:pt>
                <c:pt idx="25">
                  <c:v>2007Q1</c:v>
                </c:pt>
                <c:pt idx="26">
                  <c:v>2007Q2</c:v>
                </c:pt>
                <c:pt idx="27">
                  <c:v>2007Q3</c:v>
                </c:pt>
                <c:pt idx="28">
                  <c:v>2007Q4</c:v>
                </c:pt>
                <c:pt idx="29">
                  <c:v>2008Q1</c:v>
                </c:pt>
                <c:pt idx="30">
                  <c:v>2008Q2</c:v>
                </c:pt>
                <c:pt idx="31">
                  <c:v>2008Q3</c:v>
                </c:pt>
                <c:pt idx="32">
                  <c:v>2008Q4</c:v>
                </c:pt>
                <c:pt idx="33">
                  <c:v>2009Q1</c:v>
                </c:pt>
                <c:pt idx="34">
                  <c:v>2009Q2</c:v>
                </c:pt>
                <c:pt idx="35">
                  <c:v>2009Q3</c:v>
                </c:pt>
                <c:pt idx="36">
                  <c:v>2009Q4</c:v>
                </c:pt>
                <c:pt idx="37">
                  <c:v>2010Q1</c:v>
                </c:pt>
                <c:pt idx="38">
                  <c:v>2010Q2</c:v>
                </c:pt>
                <c:pt idx="39">
                  <c:v>2010Q3</c:v>
                </c:pt>
                <c:pt idx="40">
                  <c:v>2010Q4</c:v>
                </c:pt>
                <c:pt idx="41">
                  <c:v>2011Q1</c:v>
                </c:pt>
                <c:pt idx="42">
                  <c:v>2011Q2</c:v>
                </c:pt>
                <c:pt idx="43">
                  <c:v>2011Q3</c:v>
                </c:pt>
                <c:pt idx="44">
                  <c:v>2011Q4</c:v>
                </c:pt>
                <c:pt idx="45">
                  <c:v>2012Q1</c:v>
                </c:pt>
                <c:pt idx="46">
                  <c:v>2012Q2</c:v>
                </c:pt>
                <c:pt idx="47">
                  <c:v>2012Q3</c:v>
                </c:pt>
                <c:pt idx="48">
                  <c:v>2012Q4</c:v>
                </c:pt>
                <c:pt idx="49">
                  <c:v>2013Q1</c:v>
                </c:pt>
                <c:pt idx="50">
                  <c:v>2013Q2</c:v>
                </c:pt>
                <c:pt idx="51">
                  <c:v>2013Q3</c:v>
                </c:pt>
                <c:pt idx="52">
                  <c:v>2013Q4</c:v>
                </c:pt>
                <c:pt idx="53">
                  <c:v>2014Q1</c:v>
                </c:pt>
                <c:pt idx="54">
                  <c:v>2014Q2</c:v>
                </c:pt>
                <c:pt idx="55">
                  <c:v>2014Q3</c:v>
                </c:pt>
                <c:pt idx="56">
                  <c:v>2014Q4</c:v>
                </c:pt>
                <c:pt idx="57">
                  <c:v>2015Q1</c:v>
                </c:pt>
                <c:pt idx="58">
                  <c:v>2015Q2</c:v>
                </c:pt>
                <c:pt idx="59">
                  <c:v>2015Q3</c:v>
                </c:pt>
                <c:pt idx="60">
                  <c:v>2015Q4</c:v>
                </c:pt>
                <c:pt idx="61">
                  <c:v>2016Q1</c:v>
                </c:pt>
                <c:pt idx="62">
                  <c:v>2016Q2</c:v>
                </c:pt>
                <c:pt idx="63">
                  <c:v>2016Q3</c:v>
                </c:pt>
                <c:pt idx="64">
                  <c:v>2016Q4</c:v>
                </c:pt>
                <c:pt idx="65">
                  <c:v>2017Q1</c:v>
                </c:pt>
                <c:pt idx="66">
                  <c:v>2017Q2</c:v>
                </c:pt>
                <c:pt idx="67">
                  <c:v>2017Q3</c:v>
                </c:pt>
                <c:pt idx="68">
                  <c:v>2017Q4</c:v>
                </c:pt>
                <c:pt idx="69">
                  <c:v>2018Q1</c:v>
                </c:pt>
                <c:pt idx="70">
                  <c:v>2018Q2</c:v>
                </c:pt>
                <c:pt idx="71">
                  <c:v>2018Q3</c:v>
                </c:pt>
                <c:pt idx="72">
                  <c:v>2018Q4</c:v>
                </c:pt>
                <c:pt idx="73">
                  <c:v>2019Q1</c:v>
                </c:pt>
                <c:pt idx="74">
                  <c:v>2019Q2</c:v>
                </c:pt>
                <c:pt idx="75">
                  <c:v>2019Q3</c:v>
                </c:pt>
                <c:pt idx="76">
                  <c:v>2019Q4</c:v>
                </c:pt>
                <c:pt idx="77">
                  <c:v>2020Q1</c:v>
                </c:pt>
                <c:pt idx="78">
                  <c:v>2020Q2</c:v>
                </c:pt>
                <c:pt idx="79">
                  <c:v>2020Q3</c:v>
                </c:pt>
                <c:pt idx="80">
                  <c:v>2020Q4</c:v>
                </c:pt>
                <c:pt idx="81">
                  <c:v>2021Q1</c:v>
                </c:pt>
                <c:pt idx="82">
                  <c:v>2021Q2</c:v>
                </c:pt>
                <c:pt idx="83">
                  <c:v>2021Q3</c:v>
                </c:pt>
                <c:pt idx="84">
                  <c:v>2021Q4</c:v>
                </c:pt>
                <c:pt idx="85">
                  <c:v>2022Q1</c:v>
                </c:pt>
                <c:pt idx="86">
                  <c:v>2022Q2</c:v>
                </c:pt>
              </c:strCache>
            </c:strRef>
          </c:cat>
          <c:val>
            <c:numRef>
              <c:f>'Other qtr'!$I$4:$I$91</c:f>
              <c:numCache>
                <c:formatCode>General</c:formatCode>
                <c:ptCount val="87"/>
                <c:pt idx="18">
                  <c:v>57</c:v>
                </c:pt>
                <c:pt idx="19">
                  <c:v>75</c:v>
                </c:pt>
                <c:pt idx="20">
                  <c:v>84</c:v>
                </c:pt>
                <c:pt idx="21">
                  <c:v>76</c:v>
                </c:pt>
                <c:pt idx="22">
                  <c:v>93</c:v>
                </c:pt>
                <c:pt idx="23">
                  <c:v>96</c:v>
                </c:pt>
                <c:pt idx="24">
                  <c:v>87</c:v>
                </c:pt>
                <c:pt idx="25">
                  <c:v>97</c:v>
                </c:pt>
                <c:pt idx="26">
                  <c:v>104</c:v>
                </c:pt>
                <c:pt idx="27">
                  <c:v>89</c:v>
                </c:pt>
                <c:pt idx="28">
                  <c:v>104</c:v>
                </c:pt>
                <c:pt idx="29">
                  <c:v>114</c:v>
                </c:pt>
                <c:pt idx="30">
                  <c:v>123</c:v>
                </c:pt>
                <c:pt idx="31">
                  <c:v>113</c:v>
                </c:pt>
                <c:pt idx="32">
                  <c:v>112</c:v>
                </c:pt>
                <c:pt idx="33">
                  <c:v>134</c:v>
                </c:pt>
                <c:pt idx="34">
                  <c:v>124</c:v>
                </c:pt>
                <c:pt idx="35">
                  <c:v>107</c:v>
                </c:pt>
                <c:pt idx="36">
                  <c:v>93</c:v>
                </c:pt>
                <c:pt idx="37">
                  <c:v>93</c:v>
                </c:pt>
                <c:pt idx="38">
                  <c:v>102</c:v>
                </c:pt>
                <c:pt idx="39">
                  <c:v>108</c:v>
                </c:pt>
                <c:pt idx="40">
                  <c:v>113</c:v>
                </c:pt>
                <c:pt idx="41">
                  <c:v>113</c:v>
                </c:pt>
                <c:pt idx="42">
                  <c:v>90</c:v>
                </c:pt>
                <c:pt idx="43">
                  <c:v>82</c:v>
                </c:pt>
                <c:pt idx="44">
                  <c:v>67</c:v>
                </c:pt>
                <c:pt idx="45">
                  <c:v>78</c:v>
                </c:pt>
                <c:pt idx="46">
                  <c:v>64</c:v>
                </c:pt>
                <c:pt idx="47">
                  <c:v>62</c:v>
                </c:pt>
                <c:pt idx="48">
                  <c:v>73</c:v>
                </c:pt>
                <c:pt idx="49">
                  <c:v>75</c:v>
                </c:pt>
                <c:pt idx="50">
                  <c:v>62</c:v>
                </c:pt>
                <c:pt idx="51">
                  <c:v>37</c:v>
                </c:pt>
                <c:pt idx="52">
                  <c:v>23</c:v>
                </c:pt>
                <c:pt idx="53">
                  <c:v>20</c:v>
                </c:pt>
                <c:pt idx="54">
                  <c:v>21</c:v>
                </c:pt>
                <c:pt idx="55">
                  <c:v>15</c:v>
                </c:pt>
                <c:pt idx="56">
                  <c:v>16</c:v>
                </c:pt>
                <c:pt idx="57">
                  <c:v>11</c:v>
                </c:pt>
                <c:pt idx="58">
                  <c:v>11</c:v>
                </c:pt>
                <c:pt idx="59">
                  <c:v>7</c:v>
                </c:pt>
                <c:pt idx="60">
                  <c:v>7</c:v>
                </c:pt>
                <c:pt idx="61">
                  <c:v>6</c:v>
                </c:pt>
                <c:pt idx="62">
                  <c:v>9</c:v>
                </c:pt>
                <c:pt idx="63">
                  <c:v>7</c:v>
                </c:pt>
                <c:pt idx="64">
                  <c:v>4</c:v>
                </c:pt>
                <c:pt idx="65">
                  <c:v>9</c:v>
                </c:pt>
                <c:pt idx="66">
                  <c:v>11</c:v>
                </c:pt>
                <c:pt idx="67">
                  <c:v>9</c:v>
                </c:pt>
                <c:pt idx="68">
                  <c:v>10</c:v>
                </c:pt>
                <c:pt idx="69">
                  <c:v>5</c:v>
                </c:pt>
                <c:pt idx="70">
                  <c:v>5</c:v>
                </c:pt>
                <c:pt idx="71">
                  <c:v>5</c:v>
                </c:pt>
                <c:pt idx="72">
                  <c:v>5</c:v>
                </c:pt>
                <c:pt idx="73">
                  <c:v>5</c:v>
                </c:pt>
                <c:pt idx="74">
                  <c:v>5</c:v>
                </c:pt>
                <c:pt idx="75">
                  <c:v>5</c:v>
                </c:pt>
                <c:pt idx="76">
                  <c:v>5</c:v>
                </c:pt>
                <c:pt idx="77">
                  <c:v>5</c:v>
                </c:pt>
                <c:pt idx="78">
                  <c:v>5</c:v>
                </c:pt>
                <c:pt idx="79">
                  <c:v>5</c:v>
                </c:pt>
                <c:pt idx="80">
                  <c:v>5</c:v>
                </c:pt>
                <c:pt idx="81">
                  <c:v>5</c:v>
                </c:pt>
                <c:pt idx="82">
                  <c:v>5</c:v>
                </c:pt>
                <c:pt idx="83">
                  <c:v>5</c:v>
                </c:pt>
                <c:pt idx="84">
                  <c:v>5</c:v>
                </c:pt>
                <c:pt idx="85">
                  <c:v>5</c:v>
                </c:pt>
                <c:pt idx="86">
                  <c:v>5</c:v>
                </c:pt>
              </c:numCache>
            </c:numRef>
          </c:val>
          <c:smooth val="0"/>
          <c:extLst>
            <c:ext xmlns:c16="http://schemas.microsoft.com/office/drawing/2014/chart" uri="{C3380CC4-5D6E-409C-BE32-E72D297353CC}">
              <c16:uniqueId val="{00000000-BC18-4BB8-AF4D-B2BBF561D53B}"/>
            </c:ext>
          </c:extLst>
        </c:ser>
        <c:ser>
          <c:idx val="1"/>
          <c:order val="1"/>
          <c:tx>
            <c:strRef>
              <c:f>'Other qtr'!$J$1:$J$3</c:f>
              <c:strCache>
                <c:ptCount val="1"/>
                <c:pt idx="0">
                  <c:v>FOTEMUSTINE - Initiators</c:v>
                </c:pt>
              </c:strCache>
            </c:strRef>
          </c:tx>
          <c:spPr>
            <a:ln w="28575" cap="rnd">
              <a:solidFill>
                <a:schemeClr val="accent2"/>
              </a:solidFill>
              <a:round/>
            </a:ln>
            <a:effectLst/>
          </c:spPr>
          <c:marker>
            <c:symbol val="none"/>
          </c:marker>
          <c:cat>
            <c:strRef>
              <c:f>'Other qtr'!$H$4:$H$91</c:f>
              <c:strCache>
                <c:ptCount val="87"/>
                <c:pt idx="0">
                  <c:v>2000Q4</c:v>
                </c:pt>
                <c:pt idx="1">
                  <c:v>2001Q1</c:v>
                </c:pt>
                <c:pt idx="2">
                  <c:v>2001Q2</c:v>
                </c:pt>
                <c:pt idx="3">
                  <c:v>2001Q3</c:v>
                </c:pt>
                <c:pt idx="4">
                  <c:v>2001Q4</c:v>
                </c:pt>
                <c:pt idx="5">
                  <c:v>2002Q1</c:v>
                </c:pt>
                <c:pt idx="6">
                  <c:v>2002Q2</c:v>
                </c:pt>
                <c:pt idx="7">
                  <c:v>2002Q3</c:v>
                </c:pt>
                <c:pt idx="8">
                  <c:v>2002Q4</c:v>
                </c:pt>
                <c:pt idx="9">
                  <c:v>2003Q1</c:v>
                </c:pt>
                <c:pt idx="10">
                  <c:v>2003Q2</c:v>
                </c:pt>
                <c:pt idx="11">
                  <c:v>2003Q3</c:v>
                </c:pt>
                <c:pt idx="12">
                  <c:v>2003Q4</c:v>
                </c:pt>
                <c:pt idx="13">
                  <c:v>2004Q1</c:v>
                </c:pt>
                <c:pt idx="14">
                  <c:v>2004Q2</c:v>
                </c:pt>
                <c:pt idx="15">
                  <c:v>2004Q3</c:v>
                </c:pt>
                <c:pt idx="16">
                  <c:v>2004Q4</c:v>
                </c:pt>
                <c:pt idx="17">
                  <c:v>2005Q1</c:v>
                </c:pt>
                <c:pt idx="18">
                  <c:v>2005Q2</c:v>
                </c:pt>
                <c:pt idx="19">
                  <c:v>2005Q3</c:v>
                </c:pt>
                <c:pt idx="20">
                  <c:v>2005Q4</c:v>
                </c:pt>
                <c:pt idx="21">
                  <c:v>2006Q1</c:v>
                </c:pt>
                <c:pt idx="22">
                  <c:v>2006Q2</c:v>
                </c:pt>
                <c:pt idx="23">
                  <c:v>2006Q3</c:v>
                </c:pt>
                <c:pt idx="24">
                  <c:v>2006Q4</c:v>
                </c:pt>
                <c:pt idx="25">
                  <c:v>2007Q1</c:v>
                </c:pt>
                <c:pt idx="26">
                  <c:v>2007Q2</c:v>
                </c:pt>
                <c:pt idx="27">
                  <c:v>2007Q3</c:v>
                </c:pt>
                <c:pt idx="28">
                  <c:v>2007Q4</c:v>
                </c:pt>
                <c:pt idx="29">
                  <c:v>2008Q1</c:v>
                </c:pt>
                <c:pt idx="30">
                  <c:v>2008Q2</c:v>
                </c:pt>
                <c:pt idx="31">
                  <c:v>2008Q3</c:v>
                </c:pt>
                <c:pt idx="32">
                  <c:v>2008Q4</c:v>
                </c:pt>
                <c:pt idx="33">
                  <c:v>2009Q1</c:v>
                </c:pt>
                <c:pt idx="34">
                  <c:v>2009Q2</c:v>
                </c:pt>
                <c:pt idx="35">
                  <c:v>2009Q3</c:v>
                </c:pt>
                <c:pt idx="36">
                  <c:v>2009Q4</c:v>
                </c:pt>
                <c:pt idx="37">
                  <c:v>2010Q1</c:v>
                </c:pt>
                <c:pt idx="38">
                  <c:v>2010Q2</c:v>
                </c:pt>
                <c:pt idx="39">
                  <c:v>2010Q3</c:v>
                </c:pt>
                <c:pt idx="40">
                  <c:v>2010Q4</c:v>
                </c:pt>
                <c:pt idx="41">
                  <c:v>2011Q1</c:v>
                </c:pt>
                <c:pt idx="42">
                  <c:v>2011Q2</c:v>
                </c:pt>
                <c:pt idx="43">
                  <c:v>2011Q3</c:v>
                </c:pt>
                <c:pt idx="44">
                  <c:v>2011Q4</c:v>
                </c:pt>
                <c:pt idx="45">
                  <c:v>2012Q1</c:v>
                </c:pt>
                <c:pt idx="46">
                  <c:v>2012Q2</c:v>
                </c:pt>
                <c:pt idx="47">
                  <c:v>2012Q3</c:v>
                </c:pt>
                <c:pt idx="48">
                  <c:v>2012Q4</c:v>
                </c:pt>
                <c:pt idx="49">
                  <c:v>2013Q1</c:v>
                </c:pt>
                <c:pt idx="50">
                  <c:v>2013Q2</c:v>
                </c:pt>
                <c:pt idx="51">
                  <c:v>2013Q3</c:v>
                </c:pt>
                <c:pt idx="52">
                  <c:v>2013Q4</c:v>
                </c:pt>
                <c:pt idx="53">
                  <c:v>2014Q1</c:v>
                </c:pt>
                <c:pt idx="54">
                  <c:v>2014Q2</c:v>
                </c:pt>
                <c:pt idx="55">
                  <c:v>2014Q3</c:v>
                </c:pt>
                <c:pt idx="56">
                  <c:v>2014Q4</c:v>
                </c:pt>
                <c:pt idx="57">
                  <c:v>2015Q1</c:v>
                </c:pt>
                <c:pt idx="58">
                  <c:v>2015Q2</c:v>
                </c:pt>
                <c:pt idx="59">
                  <c:v>2015Q3</c:v>
                </c:pt>
                <c:pt idx="60">
                  <c:v>2015Q4</c:v>
                </c:pt>
                <c:pt idx="61">
                  <c:v>2016Q1</c:v>
                </c:pt>
                <c:pt idx="62">
                  <c:v>2016Q2</c:v>
                </c:pt>
                <c:pt idx="63">
                  <c:v>2016Q3</c:v>
                </c:pt>
                <c:pt idx="64">
                  <c:v>2016Q4</c:v>
                </c:pt>
                <c:pt idx="65">
                  <c:v>2017Q1</c:v>
                </c:pt>
                <c:pt idx="66">
                  <c:v>2017Q2</c:v>
                </c:pt>
                <c:pt idx="67">
                  <c:v>2017Q3</c:v>
                </c:pt>
                <c:pt idx="68">
                  <c:v>2017Q4</c:v>
                </c:pt>
                <c:pt idx="69">
                  <c:v>2018Q1</c:v>
                </c:pt>
                <c:pt idx="70">
                  <c:v>2018Q2</c:v>
                </c:pt>
                <c:pt idx="71">
                  <c:v>2018Q3</c:v>
                </c:pt>
                <c:pt idx="72">
                  <c:v>2018Q4</c:v>
                </c:pt>
                <c:pt idx="73">
                  <c:v>2019Q1</c:v>
                </c:pt>
                <c:pt idx="74">
                  <c:v>2019Q2</c:v>
                </c:pt>
                <c:pt idx="75">
                  <c:v>2019Q3</c:v>
                </c:pt>
                <c:pt idx="76">
                  <c:v>2019Q4</c:v>
                </c:pt>
                <c:pt idx="77">
                  <c:v>2020Q1</c:v>
                </c:pt>
                <c:pt idx="78">
                  <c:v>2020Q2</c:v>
                </c:pt>
                <c:pt idx="79">
                  <c:v>2020Q3</c:v>
                </c:pt>
                <c:pt idx="80">
                  <c:v>2020Q4</c:v>
                </c:pt>
                <c:pt idx="81">
                  <c:v>2021Q1</c:v>
                </c:pt>
                <c:pt idx="82">
                  <c:v>2021Q2</c:v>
                </c:pt>
                <c:pt idx="83">
                  <c:v>2021Q3</c:v>
                </c:pt>
                <c:pt idx="84">
                  <c:v>2021Q4</c:v>
                </c:pt>
                <c:pt idx="85">
                  <c:v>2022Q1</c:v>
                </c:pt>
                <c:pt idx="86">
                  <c:v>2022Q2</c:v>
                </c:pt>
              </c:strCache>
            </c:strRef>
          </c:cat>
          <c:val>
            <c:numRef>
              <c:f>'Other qtr'!$J$4:$J$91</c:f>
              <c:numCache>
                <c:formatCode>General</c:formatCode>
                <c:ptCount val="87"/>
                <c:pt idx="18">
                  <c:v>57</c:v>
                </c:pt>
                <c:pt idx="19">
                  <c:v>52</c:v>
                </c:pt>
                <c:pt idx="20">
                  <c:v>50</c:v>
                </c:pt>
                <c:pt idx="21">
                  <c:v>45</c:v>
                </c:pt>
                <c:pt idx="22">
                  <c:v>62</c:v>
                </c:pt>
                <c:pt idx="23">
                  <c:v>52</c:v>
                </c:pt>
                <c:pt idx="24">
                  <c:v>51</c:v>
                </c:pt>
                <c:pt idx="25">
                  <c:v>61</c:v>
                </c:pt>
                <c:pt idx="26">
                  <c:v>68</c:v>
                </c:pt>
                <c:pt idx="27">
                  <c:v>54</c:v>
                </c:pt>
                <c:pt idx="28">
                  <c:v>64</c:v>
                </c:pt>
                <c:pt idx="29">
                  <c:v>72</c:v>
                </c:pt>
                <c:pt idx="30">
                  <c:v>80</c:v>
                </c:pt>
                <c:pt idx="31">
                  <c:v>69</c:v>
                </c:pt>
                <c:pt idx="32">
                  <c:v>75</c:v>
                </c:pt>
                <c:pt idx="33">
                  <c:v>87</c:v>
                </c:pt>
                <c:pt idx="34">
                  <c:v>78</c:v>
                </c:pt>
                <c:pt idx="35">
                  <c:v>61</c:v>
                </c:pt>
                <c:pt idx="36">
                  <c:v>59</c:v>
                </c:pt>
                <c:pt idx="37">
                  <c:v>56</c:v>
                </c:pt>
                <c:pt idx="38">
                  <c:v>67</c:v>
                </c:pt>
                <c:pt idx="39">
                  <c:v>71</c:v>
                </c:pt>
                <c:pt idx="40">
                  <c:v>74</c:v>
                </c:pt>
                <c:pt idx="41">
                  <c:v>70</c:v>
                </c:pt>
                <c:pt idx="42">
                  <c:v>51</c:v>
                </c:pt>
                <c:pt idx="43">
                  <c:v>49</c:v>
                </c:pt>
                <c:pt idx="44">
                  <c:v>41</c:v>
                </c:pt>
                <c:pt idx="45">
                  <c:v>57</c:v>
                </c:pt>
                <c:pt idx="46">
                  <c:v>39</c:v>
                </c:pt>
                <c:pt idx="47">
                  <c:v>33</c:v>
                </c:pt>
                <c:pt idx="48">
                  <c:v>47</c:v>
                </c:pt>
                <c:pt idx="49">
                  <c:v>42</c:v>
                </c:pt>
                <c:pt idx="50">
                  <c:v>36</c:v>
                </c:pt>
                <c:pt idx="51">
                  <c:v>15</c:v>
                </c:pt>
                <c:pt idx="52">
                  <c:v>12</c:v>
                </c:pt>
                <c:pt idx="53">
                  <c:v>12</c:v>
                </c:pt>
                <c:pt idx="54">
                  <c:v>11</c:v>
                </c:pt>
                <c:pt idx="55">
                  <c:v>8</c:v>
                </c:pt>
                <c:pt idx="56">
                  <c:v>9</c:v>
                </c:pt>
                <c:pt idx="57">
                  <c:v>5</c:v>
                </c:pt>
                <c:pt idx="58">
                  <c:v>6</c:v>
                </c:pt>
                <c:pt idx="59">
                  <c:v>4</c:v>
                </c:pt>
                <c:pt idx="60">
                  <c:v>4</c:v>
                </c:pt>
                <c:pt idx="61">
                  <c:v>4</c:v>
                </c:pt>
                <c:pt idx="62">
                  <c:v>5</c:v>
                </c:pt>
                <c:pt idx="63">
                  <c:v>4</c:v>
                </c:pt>
                <c:pt idx="64">
                  <c:v>5</c:v>
                </c:pt>
                <c:pt idx="65">
                  <c:v>5</c:v>
                </c:pt>
                <c:pt idx="66">
                  <c:v>5</c:v>
                </c:pt>
                <c:pt idx="67">
                  <c:v>5</c:v>
                </c:pt>
                <c:pt idx="68">
                  <c:v>5</c:v>
                </c:pt>
                <c:pt idx="69">
                  <c:v>5</c:v>
                </c:pt>
                <c:pt idx="70">
                  <c:v>5</c:v>
                </c:pt>
                <c:pt idx="71">
                  <c:v>5</c:v>
                </c:pt>
                <c:pt idx="72">
                  <c:v>5</c:v>
                </c:pt>
                <c:pt idx="73">
                  <c:v>5</c:v>
                </c:pt>
                <c:pt idx="74">
                  <c:v>5</c:v>
                </c:pt>
                <c:pt idx="75">
                  <c:v>5</c:v>
                </c:pt>
                <c:pt idx="76">
                  <c:v>5</c:v>
                </c:pt>
                <c:pt idx="77">
                  <c:v>5</c:v>
                </c:pt>
                <c:pt idx="78">
                  <c:v>5</c:v>
                </c:pt>
                <c:pt idx="79">
                  <c:v>5</c:v>
                </c:pt>
                <c:pt idx="80">
                  <c:v>5</c:v>
                </c:pt>
                <c:pt idx="81">
                  <c:v>5</c:v>
                </c:pt>
                <c:pt idx="82">
                  <c:v>5</c:v>
                </c:pt>
                <c:pt idx="83">
                  <c:v>5</c:v>
                </c:pt>
                <c:pt idx="84">
                  <c:v>5</c:v>
                </c:pt>
                <c:pt idx="85">
                  <c:v>5</c:v>
                </c:pt>
                <c:pt idx="86">
                  <c:v>5</c:v>
                </c:pt>
              </c:numCache>
            </c:numRef>
          </c:val>
          <c:smooth val="0"/>
          <c:extLst>
            <c:ext xmlns:c16="http://schemas.microsoft.com/office/drawing/2014/chart" uri="{C3380CC4-5D6E-409C-BE32-E72D297353CC}">
              <c16:uniqueId val="{00000001-BC18-4BB8-AF4D-B2BBF561D53B}"/>
            </c:ext>
          </c:extLst>
        </c:ser>
        <c:ser>
          <c:idx val="2"/>
          <c:order val="2"/>
          <c:tx>
            <c:strRef>
              <c:f>'Other qtr'!$K$1:$K$3</c:f>
              <c:strCache>
                <c:ptCount val="1"/>
                <c:pt idx="0">
                  <c:v>INTERFERON ALFA-2B - Prevalent Patients</c:v>
                </c:pt>
              </c:strCache>
            </c:strRef>
          </c:tx>
          <c:spPr>
            <a:ln w="28575" cap="rnd">
              <a:solidFill>
                <a:schemeClr val="accent3"/>
              </a:solidFill>
              <a:round/>
            </a:ln>
            <a:effectLst/>
          </c:spPr>
          <c:marker>
            <c:symbol val="none"/>
          </c:marker>
          <c:cat>
            <c:strRef>
              <c:f>'Other qtr'!$H$4:$H$91</c:f>
              <c:strCache>
                <c:ptCount val="87"/>
                <c:pt idx="0">
                  <c:v>2000Q4</c:v>
                </c:pt>
                <c:pt idx="1">
                  <c:v>2001Q1</c:v>
                </c:pt>
                <c:pt idx="2">
                  <c:v>2001Q2</c:v>
                </c:pt>
                <c:pt idx="3">
                  <c:v>2001Q3</c:v>
                </c:pt>
                <c:pt idx="4">
                  <c:v>2001Q4</c:v>
                </c:pt>
                <c:pt idx="5">
                  <c:v>2002Q1</c:v>
                </c:pt>
                <c:pt idx="6">
                  <c:v>2002Q2</c:v>
                </c:pt>
                <c:pt idx="7">
                  <c:v>2002Q3</c:v>
                </c:pt>
                <c:pt idx="8">
                  <c:v>2002Q4</c:v>
                </c:pt>
                <c:pt idx="9">
                  <c:v>2003Q1</c:v>
                </c:pt>
                <c:pt idx="10">
                  <c:v>2003Q2</c:v>
                </c:pt>
                <c:pt idx="11">
                  <c:v>2003Q3</c:v>
                </c:pt>
                <c:pt idx="12">
                  <c:v>2003Q4</c:v>
                </c:pt>
                <c:pt idx="13">
                  <c:v>2004Q1</c:v>
                </c:pt>
                <c:pt idx="14">
                  <c:v>2004Q2</c:v>
                </c:pt>
                <c:pt idx="15">
                  <c:v>2004Q3</c:v>
                </c:pt>
                <c:pt idx="16">
                  <c:v>2004Q4</c:v>
                </c:pt>
                <c:pt idx="17">
                  <c:v>2005Q1</c:v>
                </c:pt>
                <c:pt idx="18">
                  <c:v>2005Q2</c:v>
                </c:pt>
                <c:pt idx="19">
                  <c:v>2005Q3</c:v>
                </c:pt>
                <c:pt idx="20">
                  <c:v>2005Q4</c:v>
                </c:pt>
                <c:pt idx="21">
                  <c:v>2006Q1</c:v>
                </c:pt>
                <c:pt idx="22">
                  <c:v>2006Q2</c:v>
                </c:pt>
                <c:pt idx="23">
                  <c:v>2006Q3</c:v>
                </c:pt>
                <c:pt idx="24">
                  <c:v>2006Q4</c:v>
                </c:pt>
                <c:pt idx="25">
                  <c:v>2007Q1</c:v>
                </c:pt>
                <c:pt idx="26">
                  <c:v>2007Q2</c:v>
                </c:pt>
                <c:pt idx="27">
                  <c:v>2007Q3</c:v>
                </c:pt>
                <c:pt idx="28">
                  <c:v>2007Q4</c:v>
                </c:pt>
                <c:pt idx="29">
                  <c:v>2008Q1</c:v>
                </c:pt>
                <c:pt idx="30">
                  <c:v>2008Q2</c:v>
                </c:pt>
                <c:pt idx="31">
                  <c:v>2008Q3</c:v>
                </c:pt>
                <c:pt idx="32">
                  <c:v>2008Q4</c:v>
                </c:pt>
                <c:pt idx="33">
                  <c:v>2009Q1</c:v>
                </c:pt>
                <c:pt idx="34">
                  <c:v>2009Q2</c:v>
                </c:pt>
                <c:pt idx="35">
                  <c:v>2009Q3</c:v>
                </c:pt>
                <c:pt idx="36">
                  <c:v>2009Q4</c:v>
                </c:pt>
                <c:pt idx="37">
                  <c:v>2010Q1</c:v>
                </c:pt>
                <c:pt idx="38">
                  <c:v>2010Q2</c:v>
                </c:pt>
                <c:pt idx="39">
                  <c:v>2010Q3</c:v>
                </c:pt>
                <c:pt idx="40">
                  <c:v>2010Q4</c:v>
                </c:pt>
                <c:pt idx="41">
                  <c:v>2011Q1</c:v>
                </c:pt>
                <c:pt idx="42">
                  <c:v>2011Q2</c:v>
                </c:pt>
                <c:pt idx="43">
                  <c:v>2011Q3</c:v>
                </c:pt>
                <c:pt idx="44">
                  <c:v>2011Q4</c:v>
                </c:pt>
                <c:pt idx="45">
                  <c:v>2012Q1</c:v>
                </c:pt>
                <c:pt idx="46">
                  <c:v>2012Q2</c:v>
                </c:pt>
                <c:pt idx="47">
                  <c:v>2012Q3</c:v>
                </c:pt>
                <c:pt idx="48">
                  <c:v>2012Q4</c:v>
                </c:pt>
                <c:pt idx="49">
                  <c:v>2013Q1</c:v>
                </c:pt>
                <c:pt idx="50">
                  <c:v>2013Q2</c:v>
                </c:pt>
                <c:pt idx="51">
                  <c:v>2013Q3</c:v>
                </c:pt>
                <c:pt idx="52">
                  <c:v>2013Q4</c:v>
                </c:pt>
                <c:pt idx="53">
                  <c:v>2014Q1</c:v>
                </c:pt>
                <c:pt idx="54">
                  <c:v>2014Q2</c:v>
                </c:pt>
                <c:pt idx="55">
                  <c:v>2014Q3</c:v>
                </c:pt>
                <c:pt idx="56">
                  <c:v>2014Q4</c:v>
                </c:pt>
                <c:pt idx="57">
                  <c:v>2015Q1</c:v>
                </c:pt>
                <c:pt idx="58">
                  <c:v>2015Q2</c:v>
                </c:pt>
                <c:pt idx="59">
                  <c:v>2015Q3</c:v>
                </c:pt>
                <c:pt idx="60">
                  <c:v>2015Q4</c:v>
                </c:pt>
                <c:pt idx="61">
                  <c:v>2016Q1</c:v>
                </c:pt>
                <c:pt idx="62">
                  <c:v>2016Q2</c:v>
                </c:pt>
                <c:pt idx="63">
                  <c:v>2016Q3</c:v>
                </c:pt>
                <c:pt idx="64">
                  <c:v>2016Q4</c:v>
                </c:pt>
                <c:pt idx="65">
                  <c:v>2017Q1</c:v>
                </c:pt>
                <c:pt idx="66">
                  <c:v>2017Q2</c:v>
                </c:pt>
                <c:pt idx="67">
                  <c:v>2017Q3</c:v>
                </c:pt>
                <c:pt idx="68">
                  <c:v>2017Q4</c:v>
                </c:pt>
                <c:pt idx="69">
                  <c:v>2018Q1</c:v>
                </c:pt>
                <c:pt idx="70">
                  <c:v>2018Q2</c:v>
                </c:pt>
                <c:pt idx="71">
                  <c:v>2018Q3</c:v>
                </c:pt>
                <c:pt idx="72">
                  <c:v>2018Q4</c:v>
                </c:pt>
                <c:pt idx="73">
                  <c:v>2019Q1</c:v>
                </c:pt>
                <c:pt idx="74">
                  <c:v>2019Q2</c:v>
                </c:pt>
                <c:pt idx="75">
                  <c:v>2019Q3</c:v>
                </c:pt>
                <c:pt idx="76">
                  <c:v>2019Q4</c:v>
                </c:pt>
                <c:pt idx="77">
                  <c:v>2020Q1</c:v>
                </c:pt>
                <c:pt idx="78">
                  <c:v>2020Q2</c:v>
                </c:pt>
                <c:pt idx="79">
                  <c:v>2020Q3</c:v>
                </c:pt>
                <c:pt idx="80">
                  <c:v>2020Q4</c:v>
                </c:pt>
                <c:pt idx="81">
                  <c:v>2021Q1</c:v>
                </c:pt>
                <c:pt idx="82">
                  <c:v>2021Q2</c:v>
                </c:pt>
                <c:pt idx="83">
                  <c:v>2021Q3</c:v>
                </c:pt>
                <c:pt idx="84">
                  <c:v>2021Q4</c:v>
                </c:pt>
                <c:pt idx="85">
                  <c:v>2022Q1</c:v>
                </c:pt>
                <c:pt idx="86">
                  <c:v>2022Q2</c:v>
                </c:pt>
              </c:strCache>
            </c:strRef>
          </c:cat>
          <c:val>
            <c:numRef>
              <c:f>'Other qtr'!$K$4:$K$91</c:f>
              <c:numCache>
                <c:formatCode>General</c:formatCode>
                <c:ptCount val="87"/>
                <c:pt idx="0">
                  <c:v>13</c:v>
                </c:pt>
                <c:pt idx="1">
                  <c:v>25</c:v>
                </c:pt>
                <c:pt idx="2">
                  <c:v>39</c:v>
                </c:pt>
                <c:pt idx="3">
                  <c:v>41</c:v>
                </c:pt>
                <c:pt idx="4">
                  <c:v>53</c:v>
                </c:pt>
                <c:pt idx="5">
                  <c:v>44</c:v>
                </c:pt>
                <c:pt idx="6">
                  <c:v>50</c:v>
                </c:pt>
                <c:pt idx="7">
                  <c:v>52</c:v>
                </c:pt>
                <c:pt idx="8">
                  <c:v>51</c:v>
                </c:pt>
                <c:pt idx="9">
                  <c:v>48</c:v>
                </c:pt>
                <c:pt idx="10">
                  <c:v>54</c:v>
                </c:pt>
                <c:pt idx="11">
                  <c:v>56</c:v>
                </c:pt>
                <c:pt idx="12">
                  <c:v>47</c:v>
                </c:pt>
                <c:pt idx="13">
                  <c:v>38</c:v>
                </c:pt>
                <c:pt idx="14">
                  <c:v>38</c:v>
                </c:pt>
                <c:pt idx="15">
                  <c:v>43</c:v>
                </c:pt>
                <c:pt idx="16">
                  <c:v>35</c:v>
                </c:pt>
                <c:pt idx="17">
                  <c:v>27</c:v>
                </c:pt>
                <c:pt idx="18">
                  <c:v>30</c:v>
                </c:pt>
                <c:pt idx="19">
                  <c:v>36</c:v>
                </c:pt>
                <c:pt idx="20">
                  <c:v>30</c:v>
                </c:pt>
                <c:pt idx="21">
                  <c:v>28</c:v>
                </c:pt>
                <c:pt idx="22">
                  <c:v>37</c:v>
                </c:pt>
                <c:pt idx="23">
                  <c:v>27</c:v>
                </c:pt>
                <c:pt idx="24">
                  <c:v>26</c:v>
                </c:pt>
                <c:pt idx="25">
                  <c:v>35</c:v>
                </c:pt>
                <c:pt idx="26">
                  <c:v>29</c:v>
                </c:pt>
                <c:pt idx="27">
                  <c:v>29</c:v>
                </c:pt>
                <c:pt idx="28">
                  <c:v>29</c:v>
                </c:pt>
                <c:pt idx="29">
                  <c:v>22</c:v>
                </c:pt>
                <c:pt idx="30">
                  <c:v>17</c:v>
                </c:pt>
                <c:pt idx="31">
                  <c:v>16</c:v>
                </c:pt>
                <c:pt idx="32">
                  <c:v>24</c:v>
                </c:pt>
                <c:pt idx="33">
                  <c:v>18</c:v>
                </c:pt>
                <c:pt idx="34">
                  <c:v>27</c:v>
                </c:pt>
                <c:pt idx="35">
                  <c:v>28</c:v>
                </c:pt>
                <c:pt idx="36">
                  <c:v>23</c:v>
                </c:pt>
                <c:pt idx="37">
                  <c:v>24</c:v>
                </c:pt>
                <c:pt idx="38">
                  <c:v>24</c:v>
                </c:pt>
                <c:pt idx="39">
                  <c:v>23</c:v>
                </c:pt>
                <c:pt idx="40">
                  <c:v>25</c:v>
                </c:pt>
                <c:pt idx="41">
                  <c:v>22</c:v>
                </c:pt>
                <c:pt idx="42">
                  <c:v>29</c:v>
                </c:pt>
                <c:pt idx="43">
                  <c:v>32</c:v>
                </c:pt>
                <c:pt idx="44">
                  <c:v>36</c:v>
                </c:pt>
                <c:pt idx="45">
                  <c:v>40</c:v>
                </c:pt>
                <c:pt idx="46">
                  <c:v>38</c:v>
                </c:pt>
                <c:pt idx="47">
                  <c:v>36</c:v>
                </c:pt>
                <c:pt idx="48">
                  <c:v>29</c:v>
                </c:pt>
                <c:pt idx="49">
                  <c:v>41</c:v>
                </c:pt>
                <c:pt idx="50">
                  <c:v>44</c:v>
                </c:pt>
                <c:pt idx="51">
                  <c:v>43</c:v>
                </c:pt>
                <c:pt idx="52">
                  <c:v>39</c:v>
                </c:pt>
                <c:pt idx="53">
                  <c:v>37</c:v>
                </c:pt>
                <c:pt idx="54">
                  <c:v>39</c:v>
                </c:pt>
                <c:pt idx="55">
                  <c:v>46</c:v>
                </c:pt>
                <c:pt idx="56">
                  <c:v>36</c:v>
                </c:pt>
                <c:pt idx="57">
                  <c:v>42</c:v>
                </c:pt>
                <c:pt idx="58">
                  <c:v>32</c:v>
                </c:pt>
                <c:pt idx="59">
                  <c:v>23</c:v>
                </c:pt>
                <c:pt idx="60">
                  <c:v>24</c:v>
                </c:pt>
                <c:pt idx="61">
                  <c:v>21</c:v>
                </c:pt>
                <c:pt idx="62">
                  <c:v>15</c:v>
                </c:pt>
                <c:pt idx="63">
                  <c:v>11</c:v>
                </c:pt>
                <c:pt idx="64">
                  <c:v>14</c:v>
                </c:pt>
                <c:pt idx="65">
                  <c:v>10</c:v>
                </c:pt>
                <c:pt idx="66">
                  <c:v>10</c:v>
                </c:pt>
                <c:pt idx="67">
                  <c:v>10</c:v>
                </c:pt>
                <c:pt idx="68">
                  <c:v>11</c:v>
                </c:pt>
                <c:pt idx="69">
                  <c:v>11</c:v>
                </c:pt>
                <c:pt idx="70">
                  <c:v>8</c:v>
                </c:pt>
              </c:numCache>
            </c:numRef>
          </c:val>
          <c:smooth val="0"/>
          <c:extLst>
            <c:ext xmlns:c16="http://schemas.microsoft.com/office/drawing/2014/chart" uri="{C3380CC4-5D6E-409C-BE32-E72D297353CC}">
              <c16:uniqueId val="{00000002-BC18-4BB8-AF4D-B2BBF561D53B}"/>
            </c:ext>
          </c:extLst>
        </c:ser>
        <c:ser>
          <c:idx val="3"/>
          <c:order val="3"/>
          <c:tx>
            <c:strRef>
              <c:f>'Other qtr'!$L$1:$L$3</c:f>
              <c:strCache>
                <c:ptCount val="1"/>
                <c:pt idx="0">
                  <c:v>INTERFERON ALFA-2B - Initiators</c:v>
                </c:pt>
              </c:strCache>
            </c:strRef>
          </c:tx>
          <c:spPr>
            <a:ln w="28575" cap="rnd">
              <a:solidFill>
                <a:schemeClr val="accent4"/>
              </a:solidFill>
              <a:round/>
            </a:ln>
            <a:effectLst/>
          </c:spPr>
          <c:marker>
            <c:symbol val="none"/>
          </c:marker>
          <c:cat>
            <c:strRef>
              <c:f>'Other qtr'!$H$4:$H$91</c:f>
              <c:strCache>
                <c:ptCount val="87"/>
                <c:pt idx="0">
                  <c:v>2000Q4</c:v>
                </c:pt>
                <c:pt idx="1">
                  <c:v>2001Q1</c:v>
                </c:pt>
                <c:pt idx="2">
                  <c:v>2001Q2</c:v>
                </c:pt>
                <c:pt idx="3">
                  <c:v>2001Q3</c:v>
                </c:pt>
                <c:pt idx="4">
                  <c:v>2001Q4</c:v>
                </c:pt>
                <c:pt idx="5">
                  <c:v>2002Q1</c:v>
                </c:pt>
                <c:pt idx="6">
                  <c:v>2002Q2</c:v>
                </c:pt>
                <c:pt idx="7">
                  <c:v>2002Q3</c:v>
                </c:pt>
                <c:pt idx="8">
                  <c:v>2002Q4</c:v>
                </c:pt>
                <c:pt idx="9">
                  <c:v>2003Q1</c:v>
                </c:pt>
                <c:pt idx="10">
                  <c:v>2003Q2</c:v>
                </c:pt>
                <c:pt idx="11">
                  <c:v>2003Q3</c:v>
                </c:pt>
                <c:pt idx="12">
                  <c:v>2003Q4</c:v>
                </c:pt>
                <c:pt idx="13">
                  <c:v>2004Q1</c:v>
                </c:pt>
                <c:pt idx="14">
                  <c:v>2004Q2</c:v>
                </c:pt>
                <c:pt idx="15">
                  <c:v>2004Q3</c:v>
                </c:pt>
                <c:pt idx="16">
                  <c:v>2004Q4</c:v>
                </c:pt>
                <c:pt idx="17">
                  <c:v>2005Q1</c:v>
                </c:pt>
                <c:pt idx="18">
                  <c:v>2005Q2</c:v>
                </c:pt>
                <c:pt idx="19">
                  <c:v>2005Q3</c:v>
                </c:pt>
                <c:pt idx="20">
                  <c:v>2005Q4</c:v>
                </c:pt>
                <c:pt idx="21">
                  <c:v>2006Q1</c:v>
                </c:pt>
                <c:pt idx="22">
                  <c:v>2006Q2</c:v>
                </c:pt>
                <c:pt idx="23">
                  <c:v>2006Q3</c:v>
                </c:pt>
                <c:pt idx="24">
                  <c:v>2006Q4</c:v>
                </c:pt>
                <c:pt idx="25">
                  <c:v>2007Q1</c:v>
                </c:pt>
                <c:pt idx="26">
                  <c:v>2007Q2</c:v>
                </c:pt>
                <c:pt idx="27">
                  <c:v>2007Q3</c:v>
                </c:pt>
                <c:pt idx="28">
                  <c:v>2007Q4</c:v>
                </c:pt>
                <c:pt idx="29">
                  <c:v>2008Q1</c:v>
                </c:pt>
                <c:pt idx="30">
                  <c:v>2008Q2</c:v>
                </c:pt>
                <c:pt idx="31">
                  <c:v>2008Q3</c:v>
                </c:pt>
                <c:pt idx="32">
                  <c:v>2008Q4</c:v>
                </c:pt>
                <c:pt idx="33">
                  <c:v>2009Q1</c:v>
                </c:pt>
                <c:pt idx="34">
                  <c:v>2009Q2</c:v>
                </c:pt>
                <c:pt idx="35">
                  <c:v>2009Q3</c:v>
                </c:pt>
                <c:pt idx="36">
                  <c:v>2009Q4</c:v>
                </c:pt>
                <c:pt idx="37">
                  <c:v>2010Q1</c:v>
                </c:pt>
                <c:pt idx="38">
                  <c:v>2010Q2</c:v>
                </c:pt>
                <c:pt idx="39">
                  <c:v>2010Q3</c:v>
                </c:pt>
                <c:pt idx="40">
                  <c:v>2010Q4</c:v>
                </c:pt>
                <c:pt idx="41">
                  <c:v>2011Q1</c:v>
                </c:pt>
                <c:pt idx="42">
                  <c:v>2011Q2</c:v>
                </c:pt>
                <c:pt idx="43">
                  <c:v>2011Q3</c:v>
                </c:pt>
                <c:pt idx="44">
                  <c:v>2011Q4</c:v>
                </c:pt>
                <c:pt idx="45">
                  <c:v>2012Q1</c:v>
                </c:pt>
                <c:pt idx="46">
                  <c:v>2012Q2</c:v>
                </c:pt>
                <c:pt idx="47">
                  <c:v>2012Q3</c:v>
                </c:pt>
                <c:pt idx="48">
                  <c:v>2012Q4</c:v>
                </c:pt>
                <c:pt idx="49">
                  <c:v>2013Q1</c:v>
                </c:pt>
                <c:pt idx="50">
                  <c:v>2013Q2</c:v>
                </c:pt>
                <c:pt idx="51">
                  <c:v>2013Q3</c:v>
                </c:pt>
                <c:pt idx="52">
                  <c:v>2013Q4</c:v>
                </c:pt>
                <c:pt idx="53">
                  <c:v>2014Q1</c:v>
                </c:pt>
                <c:pt idx="54">
                  <c:v>2014Q2</c:v>
                </c:pt>
                <c:pt idx="55">
                  <c:v>2014Q3</c:v>
                </c:pt>
                <c:pt idx="56">
                  <c:v>2014Q4</c:v>
                </c:pt>
                <c:pt idx="57">
                  <c:v>2015Q1</c:v>
                </c:pt>
                <c:pt idx="58">
                  <c:v>2015Q2</c:v>
                </c:pt>
                <c:pt idx="59">
                  <c:v>2015Q3</c:v>
                </c:pt>
                <c:pt idx="60">
                  <c:v>2015Q4</c:v>
                </c:pt>
                <c:pt idx="61">
                  <c:v>2016Q1</c:v>
                </c:pt>
                <c:pt idx="62">
                  <c:v>2016Q2</c:v>
                </c:pt>
                <c:pt idx="63">
                  <c:v>2016Q3</c:v>
                </c:pt>
                <c:pt idx="64">
                  <c:v>2016Q4</c:v>
                </c:pt>
                <c:pt idx="65">
                  <c:v>2017Q1</c:v>
                </c:pt>
                <c:pt idx="66">
                  <c:v>2017Q2</c:v>
                </c:pt>
                <c:pt idx="67">
                  <c:v>2017Q3</c:v>
                </c:pt>
                <c:pt idx="68">
                  <c:v>2017Q4</c:v>
                </c:pt>
                <c:pt idx="69">
                  <c:v>2018Q1</c:v>
                </c:pt>
                <c:pt idx="70">
                  <c:v>2018Q2</c:v>
                </c:pt>
                <c:pt idx="71">
                  <c:v>2018Q3</c:v>
                </c:pt>
                <c:pt idx="72">
                  <c:v>2018Q4</c:v>
                </c:pt>
                <c:pt idx="73">
                  <c:v>2019Q1</c:v>
                </c:pt>
                <c:pt idx="74">
                  <c:v>2019Q2</c:v>
                </c:pt>
                <c:pt idx="75">
                  <c:v>2019Q3</c:v>
                </c:pt>
                <c:pt idx="76">
                  <c:v>2019Q4</c:v>
                </c:pt>
                <c:pt idx="77">
                  <c:v>2020Q1</c:v>
                </c:pt>
                <c:pt idx="78">
                  <c:v>2020Q2</c:v>
                </c:pt>
                <c:pt idx="79">
                  <c:v>2020Q3</c:v>
                </c:pt>
                <c:pt idx="80">
                  <c:v>2020Q4</c:v>
                </c:pt>
                <c:pt idx="81">
                  <c:v>2021Q1</c:v>
                </c:pt>
                <c:pt idx="82">
                  <c:v>2021Q2</c:v>
                </c:pt>
                <c:pt idx="83">
                  <c:v>2021Q3</c:v>
                </c:pt>
                <c:pt idx="84">
                  <c:v>2021Q4</c:v>
                </c:pt>
                <c:pt idx="85">
                  <c:v>2022Q1</c:v>
                </c:pt>
                <c:pt idx="86">
                  <c:v>2022Q2</c:v>
                </c:pt>
              </c:strCache>
            </c:strRef>
          </c:cat>
          <c:val>
            <c:numRef>
              <c:f>'Other qtr'!$L$4:$L$91</c:f>
              <c:numCache>
                <c:formatCode>General</c:formatCode>
                <c:ptCount val="87"/>
                <c:pt idx="0">
                  <c:v>13</c:v>
                </c:pt>
                <c:pt idx="1">
                  <c:v>16</c:v>
                </c:pt>
                <c:pt idx="2">
                  <c:v>21</c:v>
                </c:pt>
                <c:pt idx="3">
                  <c:v>19</c:v>
                </c:pt>
                <c:pt idx="4">
                  <c:v>25</c:v>
                </c:pt>
                <c:pt idx="5">
                  <c:v>14</c:v>
                </c:pt>
                <c:pt idx="6">
                  <c:v>17</c:v>
                </c:pt>
                <c:pt idx="7">
                  <c:v>19</c:v>
                </c:pt>
                <c:pt idx="8">
                  <c:v>23</c:v>
                </c:pt>
                <c:pt idx="9">
                  <c:v>21</c:v>
                </c:pt>
                <c:pt idx="10">
                  <c:v>21</c:v>
                </c:pt>
                <c:pt idx="11">
                  <c:v>24</c:v>
                </c:pt>
                <c:pt idx="12">
                  <c:v>13</c:v>
                </c:pt>
                <c:pt idx="13">
                  <c:v>15</c:v>
                </c:pt>
                <c:pt idx="14">
                  <c:v>20</c:v>
                </c:pt>
                <c:pt idx="15">
                  <c:v>14</c:v>
                </c:pt>
                <c:pt idx="16">
                  <c:v>10</c:v>
                </c:pt>
                <c:pt idx="17">
                  <c:v>8</c:v>
                </c:pt>
                <c:pt idx="18">
                  <c:v>11</c:v>
                </c:pt>
                <c:pt idx="19">
                  <c:v>13</c:v>
                </c:pt>
                <c:pt idx="20">
                  <c:v>11</c:v>
                </c:pt>
                <c:pt idx="21">
                  <c:v>10</c:v>
                </c:pt>
                <c:pt idx="22">
                  <c:v>14</c:v>
                </c:pt>
                <c:pt idx="23">
                  <c:v>7</c:v>
                </c:pt>
                <c:pt idx="24">
                  <c:v>10</c:v>
                </c:pt>
                <c:pt idx="25">
                  <c:v>17</c:v>
                </c:pt>
                <c:pt idx="26">
                  <c:v>10</c:v>
                </c:pt>
                <c:pt idx="27">
                  <c:v>15</c:v>
                </c:pt>
                <c:pt idx="28">
                  <c:v>12</c:v>
                </c:pt>
                <c:pt idx="29">
                  <c:v>4</c:v>
                </c:pt>
                <c:pt idx="30">
                  <c:v>5</c:v>
                </c:pt>
                <c:pt idx="31">
                  <c:v>9</c:v>
                </c:pt>
                <c:pt idx="32">
                  <c:v>16</c:v>
                </c:pt>
                <c:pt idx="33">
                  <c:v>6</c:v>
                </c:pt>
                <c:pt idx="34">
                  <c:v>13</c:v>
                </c:pt>
                <c:pt idx="35">
                  <c:v>10</c:v>
                </c:pt>
                <c:pt idx="36">
                  <c:v>8</c:v>
                </c:pt>
                <c:pt idx="37">
                  <c:v>11</c:v>
                </c:pt>
                <c:pt idx="38">
                  <c:v>6</c:v>
                </c:pt>
                <c:pt idx="39">
                  <c:v>10</c:v>
                </c:pt>
                <c:pt idx="40">
                  <c:v>15</c:v>
                </c:pt>
                <c:pt idx="41">
                  <c:v>9</c:v>
                </c:pt>
                <c:pt idx="42">
                  <c:v>16</c:v>
                </c:pt>
                <c:pt idx="43">
                  <c:v>17</c:v>
                </c:pt>
                <c:pt idx="44">
                  <c:v>18</c:v>
                </c:pt>
                <c:pt idx="45">
                  <c:v>17</c:v>
                </c:pt>
                <c:pt idx="46">
                  <c:v>7</c:v>
                </c:pt>
                <c:pt idx="47">
                  <c:v>16</c:v>
                </c:pt>
                <c:pt idx="48">
                  <c:v>7</c:v>
                </c:pt>
                <c:pt idx="49">
                  <c:v>20</c:v>
                </c:pt>
                <c:pt idx="50">
                  <c:v>17</c:v>
                </c:pt>
                <c:pt idx="51">
                  <c:v>14</c:v>
                </c:pt>
                <c:pt idx="52">
                  <c:v>10</c:v>
                </c:pt>
                <c:pt idx="53">
                  <c:v>14</c:v>
                </c:pt>
                <c:pt idx="54">
                  <c:v>14</c:v>
                </c:pt>
                <c:pt idx="55">
                  <c:v>17</c:v>
                </c:pt>
                <c:pt idx="56">
                  <c:v>6</c:v>
                </c:pt>
                <c:pt idx="57">
                  <c:v>13</c:v>
                </c:pt>
                <c:pt idx="58">
                  <c:v>6</c:v>
                </c:pt>
                <c:pt idx="59">
                  <c:v>5</c:v>
                </c:pt>
                <c:pt idx="60">
                  <c:v>5</c:v>
                </c:pt>
                <c:pt idx="61">
                  <c:v>5</c:v>
                </c:pt>
                <c:pt idx="62">
                  <c:v>5</c:v>
                </c:pt>
                <c:pt idx="63">
                  <c:v>5</c:v>
                </c:pt>
                <c:pt idx="64">
                  <c:v>5</c:v>
                </c:pt>
                <c:pt idx="65">
                  <c:v>5</c:v>
                </c:pt>
                <c:pt idx="66">
                  <c:v>5</c:v>
                </c:pt>
                <c:pt idx="67">
                  <c:v>5</c:v>
                </c:pt>
                <c:pt idx="68">
                  <c:v>5</c:v>
                </c:pt>
                <c:pt idx="69">
                  <c:v>5</c:v>
                </c:pt>
                <c:pt idx="70">
                  <c:v>5</c:v>
                </c:pt>
              </c:numCache>
            </c:numRef>
          </c:val>
          <c:smooth val="0"/>
          <c:extLst>
            <c:ext xmlns:c16="http://schemas.microsoft.com/office/drawing/2014/chart" uri="{C3380CC4-5D6E-409C-BE32-E72D297353CC}">
              <c16:uniqueId val="{00000003-BC18-4BB8-AF4D-B2BBF561D53B}"/>
            </c:ext>
          </c:extLst>
        </c:ser>
        <c:dLbls>
          <c:showLegendKey val="0"/>
          <c:showVal val="0"/>
          <c:showCatName val="0"/>
          <c:showSerName val="0"/>
          <c:showPercent val="0"/>
          <c:showBubbleSize val="0"/>
        </c:dLbls>
        <c:smooth val="0"/>
        <c:axId val="536947016"/>
        <c:axId val="536946360"/>
      </c:lineChart>
      <c:catAx>
        <c:axId val="536947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6946360"/>
        <c:crosses val="autoZero"/>
        <c:auto val="1"/>
        <c:lblAlgn val="ctr"/>
        <c:lblOffset val="100"/>
        <c:noMultiLvlLbl val="0"/>
      </c:catAx>
      <c:valAx>
        <c:axId val="5369463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6947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pivotSource>
    <c:name>[utilisation.xlsx]expenditure!PivotTable15</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areaChart>
        <c:grouping val="stacked"/>
        <c:varyColors val="0"/>
        <c:ser>
          <c:idx val="0"/>
          <c:order val="0"/>
          <c:tx>
            <c:strRef>
              <c:f>expenditure!$F$1:$F$2</c:f>
              <c:strCache>
                <c:ptCount val="1"/>
                <c:pt idx="0">
                  <c:v>Other</c:v>
                </c:pt>
              </c:strCache>
            </c:strRef>
          </c:tx>
          <c:spPr>
            <a:solidFill>
              <a:schemeClr val="accent1">
                <a:shade val="53000"/>
              </a:schemeClr>
            </a:solidFill>
            <a:ln>
              <a:noFill/>
            </a:ln>
            <a:effectLst/>
          </c:spPr>
          <c:cat>
            <c:strRef>
              <c:f>expenditure!$E$3:$E$41</c:f>
              <c:strCache>
                <c:ptCount val="38"/>
                <c:pt idx="0">
                  <c:v>2013Q1</c:v>
                </c:pt>
                <c:pt idx="1">
                  <c:v>2013Q2</c:v>
                </c:pt>
                <c:pt idx="2">
                  <c:v>2013Q3</c:v>
                </c:pt>
                <c:pt idx="3">
                  <c:v>2013Q4</c:v>
                </c:pt>
                <c:pt idx="4">
                  <c:v>2014Q1</c:v>
                </c:pt>
                <c:pt idx="5">
                  <c:v>2014Q2</c:v>
                </c:pt>
                <c:pt idx="6">
                  <c:v>2014Q3</c:v>
                </c:pt>
                <c:pt idx="7">
                  <c:v>2014Q4</c:v>
                </c:pt>
                <c:pt idx="8">
                  <c:v>2015Q1</c:v>
                </c:pt>
                <c:pt idx="9">
                  <c:v>2015Q2</c:v>
                </c:pt>
                <c:pt idx="10">
                  <c:v>2015Q3</c:v>
                </c:pt>
                <c:pt idx="11">
                  <c:v>2015Q4</c:v>
                </c:pt>
                <c:pt idx="12">
                  <c:v>2016Q1</c:v>
                </c:pt>
                <c:pt idx="13">
                  <c:v>2016Q2</c:v>
                </c:pt>
                <c:pt idx="14">
                  <c:v>2016Q3</c:v>
                </c:pt>
                <c:pt idx="15">
                  <c:v>2016Q4</c:v>
                </c:pt>
                <c:pt idx="16">
                  <c:v>2017Q1</c:v>
                </c:pt>
                <c:pt idx="17">
                  <c:v>2017Q2</c:v>
                </c:pt>
                <c:pt idx="18">
                  <c:v>2017Q3</c:v>
                </c:pt>
                <c:pt idx="19">
                  <c:v>2017Q4</c:v>
                </c:pt>
                <c:pt idx="20">
                  <c:v>2018Q1</c:v>
                </c:pt>
                <c:pt idx="21">
                  <c:v>2018Q2</c:v>
                </c:pt>
                <c:pt idx="22">
                  <c:v>2018Q3</c:v>
                </c:pt>
                <c:pt idx="23">
                  <c:v>2018Q4</c:v>
                </c:pt>
                <c:pt idx="24">
                  <c:v>2019Q1</c:v>
                </c:pt>
                <c:pt idx="25">
                  <c:v>2019Q2</c:v>
                </c:pt>
                <c:pt idx="26">
                  <c:v>2019Q3</c:v>
                </c:pt>
                <c:pt idx="27">
                  <c:v>2019Q4</c:v>
                </c:pt>
                <c:pt idx="28">
                  <c:v>2020Q1</c:v>
                </c:pt>
                <c:pt idx="29">
                  <c:v>2020Q2</c:v>
                </c:pt>
                <c:pt idx="30">
                  <c:v>2020Q3</c:v>
                </c:pt>
                <c:pt idx="31">
                  <c:v>2020Q4</c:v>
                </c:pt>
                <c:pt idx="32">
                  <c:v>2021Q1</c:v>
                </c:pt>
                <c:pt idx="33">
                  <c:v>2021Q2</c:v>
                </c:pt>
                <c:pt idx="34">
                  <c:v>2021Q3</c:v>
                </c:pt>
                <c:pt idx="35">
                  <c:v>2021Q4</c:v>
                </c:pt>
                <c:pt idx="36">
                  <c:v>2022Q1</c:v>
                </c:pt>
                <c:pt idx="37">
                  <c:v>2022Q2</c:v>
                </c:pt>
              </c:strCache>
            </c:strRef>
          </c:cat>
          <c:val>
            <c:numRef>
              <c:f>expenditure!$F$3:$F$41</c:f>
              <c:numCache>
                <c:formatCode>"$"#,##0</c:formatCode>
                <c:ptCount val="38"/>
                <c:pt idx="0">
                  <c:v>499027.81</c:v>
                </c:pt>
                <c:pt idx="1">
                  <c:v>405973.63</c:v>
                </c:pt>
                <c:pt idx="2">
                  <c:v>326090.23</c:v>
                </c:pt>
                <c:pt idx="3">
                  <c:v>257189.15</c:v>
                </c:pt>
                <c:pt idx="4">
                  <c:v>231483.39</c:v>
                </c:pt>
                <c:pt idx="5">
                  <c:v>292234.67000000004</c:v>
                </c:pt>
                <c:pt idx="6">
                  <c:v>304938.54000000004</c:v>
                </c:pt>
                <c:pt idx="7">
                  <c:v>198495.48</c:v>
                </c:pt>
                <c:pt idx="8">
                  <c:v>289574.7</c:v>
                </c:pt>
                <c:pt idx="9">
                  <c:v>186057.49</c:v>
                </c:pt>
                <c:pt idx="10">
                  <c:v>85393.599999999991</c:v>
                </c:pt>
                <c:pt idx="11">
                  <c:v>125630.15999999999</c:v>
                </c:pt>
                <c:pt idx="12">
                  <c:v>87128.459999999992</c:v>
                </c:pt>
                <c:pt idx="13">
                  <c:v>66152.98</c:v>
                </c:pt>
                <c:pt idx="14">
                  <c:v>78021.180000000008</c:v>
                </c:pt>
                <c:pt idx="15">
                  <c:v>68866.600000000006</c:v>
                </c:pt>
                <c:pt idx="16">
                  <c:v>57157.960000000006</c:v>
                </c:pt>
                <c:pt idx="17">
                  <c:v>78559.76999999999</c:v>
                </c:pt>
                <c:pt idx="18">
                  <c:v>68024.53</c:v>
                </c:pt>
                <c:pt idx="19">
                  <c:v>64025.03</c:v>
                </c:pt>
                <c:pt idx="20">
                  <c:v>44076.47</c:v>
                </c:pt>
                <c:pt idx="21">
                  <c:v>9933.49</c:v>
                </c:pt>
                <c:pt idx="22">
                  <c:v>4288.82</c:v>
                </c:pt>
                <c:pt idx="23">
                  <c:v>5370.9</c:v>
                </c:pt>
                <c:pt idx="24">
                  <c:v>2164.16</c:v>
                </c:pt>
                <c:pt idx="25">
                  <c:v>11314.46</c:v>
                </c:pt>
                <c:pt idx="26">
                  <c:v>5320.92</c:v>
                </c:pt>
                <c:pt idx="27">
                  <c:v>5351.14</c:v>
                </c:pt>
                <c:pt idx="28">
                  <c:v>9603.34</c:v>
                </c:pt>
                <c:pt idx="29">
                  <c:v>9118.07</c:v>
                </c:pt>
                <c:pt idx="30">
                  <c:v>15457.6</c:v>
                </c:pt>
                <c:pt idx="31">
                  <c:v>28331.09</c:v>
                </c:pt>
                <c:pt idx="32">
                  <c:v>7293.18</c:v>
                </c:pt>
                <c:pt idx="33">
                  <c:v>4071.36</c:v>
                </c:pt>
                <c:pt idx="34">
                  <c:v>7136.13</c:v>
                </c:pt>
                <c:pt idx="35">
                  <c:v>1020.39</c:v>
                </c:pt>
                <c:pt idx="36">
                  <c:v>7093.43</c:v>
                </c:pt>
                <c:pt idx="37">
                  <c:v>4792.6499999999996</c:v>
                </c:pt>
              </c:numCache>
            </c:numRef>
          </c:val>
          <c:extLst>
            <c:ext xmlns:c16="http://schemas.microsoft.com/office/drawing/2014/chart" uri="{C3380CC4-5D6E-409C-BE32-E72D297353CC}">
              <c16:uniqueId val="{00000000-30BA-4882-9D0D-F01888049D41}"/>
            </c:ext>
          </c:extLst>
        </c:ser>
        <c:ser>
          <c:idx val="1"/>
          <c:order val="1"/>
          <c:tx>
            <c:strRef>
              <c:f>expenditure!$G$1:$G$2</c:f>
              <c:strCache>
                <c:ptCount val="1"/>
                <c:pt idx="0">
                  <c:v>BRAF/MEK - Resected</c:v>
                </c:pt>
              </c:strCache>
            </c:strRef>
          </c:tx>
          <c:spPr>
            <a:solidFill>
              <a:schemeClr val="accent1">
                <a:shade val="76000"/>
              </a:schemeClr>
            </a:solidFill>
            <a:ln>
              <a:noFill/>
            </a:ln>
            <a:effectLst/>
          </c:spPr>
          <c:cat>
            <c:strRef>
              <c:f>expenditure!$E$3:$E$41</c:f>
              <c:strCache>
                <c:ptCount val="38"/>
                <c:pt idx="0">
                  <c:v>2013Q1</c:v>
                </c:pt>
                <c:pt idx="1">
                  <c:v>2013Q2</c:v>
                </c:pt>
                <c:pt idx="2">
                  <c:v>2013Q3</c:v>
                </c:pt>
                <c:pt idx="3">
                  <c:v>2013Q4</c:v>
                </c:pt>
                <c:pt idx="4">
                  <c:v>2014Q1</c:v>
                </c:pt>
                <c:pt idx="5">
                  <c:v>2014Q2</c:v>
                </c:pt>
                <c:pt idx="6">
                  <c:v>2014Q3</c:v>
                </c:pt>
                <c:pt idx="7">
                  <c:v>2014Q4</c:v>
                </c:pt>
                <c:pt idx="8">
                  <c:v>2015Q1</c:v>
                </c:pt>
                <c:pt idx="9">
                  <c:v>2015Q2</c:v>
                </c:pt>
                <c:pt idx="10">
                  <c:v>2015Q3</c:v>
                </c:pt>
                <c:pt idx="11">
                  <c:v>2015Q4</c:v>
                </c:pt>
                <c:pt idx="12">
                  <c:v>2016Q1</c:v>
                </c:pt>
                <c:pt idx="13">
                  <c:v>2016Q2</c:v>
                </c:pt>
                <c:pt idx="14">
                  <c:v>2016Q3</c:v>
                </c:pt>
                <c:pt idx="15">
                  <c:v>2016Q4</c:v>
                </c:pt>
                <c:pt idx="16">
                  <c:v>2017Q1</c:v>
                </c:pt>
                <c:pt idx="17">
                  <c:v>2017Q2</c:v>
                </c:pt>
                <c:pt idx="18">
                  <c:v>2017Q3</c:v>
                </c:pt>
                <c:pt idx="19">
                  <c:v>2017Q4</c:v>
                </c:pt>
                <c:pt idx="20">
                  <c:v>2018Q1</c:v>
                </c:pt>
                <c:pt idx="21">
                  <c:v>2018Q2</c:v>
                </c:pt>
                <c:pt idx="22">
                  <c:v>2018Q3</c:v>
                </c:pt>
                <c:pt idx="23">
                  <c:v>2018Q4</c:v>
                </c:pt>
                <c:pt idx="24">
                  <c:v>2019Q1</c:v>
                </c:pt>
                <c:pt idx="25">
                  <c:v>2019Q2</c:v>
                </c:pt>
                <c:pt idx="26">
                  <c:v>2019Q3</c:v>
                </c:pt>
                <c:pt idx="27">
                  <c:v>2019Q4</c:v>
                </c:pt>
                <c:pt idx="28">
                  <c:v>2020Q1</c:v>
                </c:pt>
                <c:pt idx="29">
                  <c:v>2020Q2</c:v>
                </c:pt>
                <c:pt idx="30">
                  <c:v>2020Q3</c:v>
                </c:pt>
                <c:pt idx="31">
                  <c:v>2020Q4</c:v>
                </c:pt>
                <c:pt idx="32">
                  <c:v>2021Q1</c:v>
                </c:pt>
                <c:pt idx="33">
                  <c:v>2021Q2</c:v>
                </c:pt>
                <c:pt idx="34">
                  <c:v>2021Q3</c:v>
                </c:pt>
                <c:pt idx="35">
                  <c:v>2021Q4</c:v>
                </c:pt>
                <c:pt idx="36">
                  <c:v>2022Q1</c:v>
                </c:pt>
                <c:pt idx="37">
                  <c:v>2022Q2</c:v>
                </c:pt>
              </c:strCache>
            </c:strRef>
          </c:cat>
          <c:val>
            <c:numRef>
              <c:f>expenditure!$G$3:$G$41</c:f>
              <c:numCache>
                <c:formatCode>General</c:formatCode>
                <c:ptCount val="38"/>
                <c:pt idx="27" formatCode="&quot;$&quot;#,##0">
                  <c:v>1133836.95</c:v>
                </c:pt>
                <c:pt idx="28" formatCode="&quot;$&quot;#,##0">
                  <c:v>2399997.44</c:v>
                </c:pt>
                <c:pt idx="29" formatCode="&quot;$&quot;#,##0">
                  <c:v>2616338.3600000003</c:v>
                </c:pt>
                <c:pt idx="30" formatCode="&quot;$&quot;#,##0">
                  <c:v>2966144.27</c:v>
                </c:pt>
                <c:pt idx="31" formatCode="&quot;$&quot;#,##0">
                  <c:v>2908325.69</c:v>
                </c:pt>
                <c:pt idx="32" formatCode="&quot;$&quot;#,##0">
                  <c:v>3068390.9</c:v>
                </c:pt>
                <c:pt idx="33" formatCode="&quot;$&quot;#,##0">
                  <c:v>2742852.0999999996</c:v>
                </c:pt>
                <c:pt idx="34" formatCode="&quot;$&quot;#,##0">
                  <c:v>2581372.39</c:v>
                </c:pt>
                <c:pt idx="35" formatCode="&quot;$&quot;#,##0">
                  <c:v>3004639.62</c:v>
                </c:pt>
                <c:pt idx="36" formatCode="&quot;$&quot;#,##0">
                  <c:v>2674141.48</c:v>
                </c:pt>
                <c:pt idx="37" formatCode="&quot;$&quot;#,##0">
                  <c:v>2620444.7199999997</c:v>
                </c:pt>
              </c:numCache>
            </c:numRef>
          </c:val>
          <c:extLst>
            <c:ext xmlns:c16="http://schemas.microsoft.com/office/drawing/2014/chart" uri="{C3380CC4-5D6E-409C-BE32-E72D297353CC}">
              <c16:uniqueId val="{00000001-30BA-4882-9D0D-F01888049D41}"/>
            </c:ext>
          </c:extLst>
        </c:ser>
        <c:ser>
          <c:idx val="2"/>
          <c:order val="2"/>
          <c:tx>
            <c:strRef>
              <c:f>expenditure!$H$1:$H$2</c:f>
              <c:strCache>
                <c:ptCount val="1"/>
                <c:pt idx="0">
                  <c:v>PD1 - Resected</c:v>
                </c:pt>
              </c:strCache>
            </c:strRef>
          </c:tx>
          <c:spPr>
            <a:solidFill>
              <a:schemeClr val="accent1"/>
            </a:solidFill>
            <a:ln>
              <a:noFill/>
            </a:ln>
            <a:effectLst/>
          </c:spPr>
          <c:cat>
            <c:strRef>
              <c:f>expenditure!$E$3:$E$41</c:f>
              <c:strCache>
                <c:ptCount val="38"/>
                <c:pt idx="0">
                  <c:v>2013Q1</c:v>
                </c:pt>
                <c:pt idx="1">
                  <c:v>2013Q2</c:v>
                </c:pt>
                <c:pt idx="2">
                  <c:v>2013Q3</c:v>
                </c:pt>
                <c:pt idx="3">
                  <c:v>2013Q4</c:v>
                </c:pt>
                <c:pt idx="4">
                  <c:v>2014Q1</c:v>
                </c:pt>
                <c:pt idx="5">
                  <c:v>2014Q2</c:v>
                </c:pt>
                <c:pt idx="6">
                  <c:v>2014Q3</c:v>
                </c:pt>
                <c:pt idx="7">
                  <c:v>2014Q4</c:v>
                </c:pt>
                <c:pt idx="8">
                  <c:v>2015Q1</c:v>
                </c:pt>
                <c:pt idx="9">
                  <c:v>2015Q2</c:v>
                </c:pt>
                <c:pt idx="10">
                  <c:v>2015Q3</c:v>
                </c:pt>
                <c:pt idx="11">
                  <c:v>2015Q4</c:v>
                </c:pt>
                <c:pt idx="12">
                  <c:v>2016Q1</c:v>
                </c:pt>
                <c:pt idx="13">
                  <c:v>2016Q2</c:v>
                </c:pt>
                <c:pt idx="14">
                  <c:v>2016Q3</c:v>
                </c:pt>
                <c:pt idx="15">
                  <c:v>2016Q4</c:v>
                </c:pt>
                <c:pt idx="16">
                  <c:v>2017Q1</c:v>
                </c:pt>
                <c:pt idx="17">
                  <c:v>2017Q2</c:v>
                </c:pt>
                <c:pt idx="18">
                  <c:v>2017Q3</c:v>
                </c:pt>
                <c:pt idx="19">
                  <c:v>2017Q4</c:v>
                </c:pt>
                <c:pt idx="20">
                  <c:v>2018Q1</c:v>
                </c:pt>
                <c:pt idx="21">
                  <c:v>2018Q2</c:v>
                </c:pt>
                <c:pt idx="22">
                  <c:v>2018Q3</c:v>
                </c:pt>
                <c:pt idx="23">
                  <c:v>2018Q4</c:v>
                </c:pt>
                <c:pt idx="24">
                  <c:v>2019Q1</c:v>
                </c:pt>
                <c:pt idx="25">
                  <c:v>2019Q2</c:v>
                </c:pt>
                <c:pt idx="26">
                  <c:v>2019Q3</c:v>
                </c:pt>
                <c:pt idx="27">
                  <c:v>2019Q4</c:v>
                </c:pt>
                <c:pt idx="28">
                  <c:v>2020Q1</c:v>
                </c:pt>
                <c:pt idx="29">
                  <c:v>2020Q2</c:v>
                </c:pt>
                <c:pt idx="30">
                  <c:v>2020Q3</c:v>
                </c:pt>
                <c:pt idx="31">
                  <c:v>2020Q4</c:v>
                </c:pt>
                <c:pt idx="32">
                  <c:v>2021Q1</c:v>
                </c:pt>
                <c:pt idx="33">
                  <c:v>2021Q2</c:v>
                </c:pt>
                <c:pt idx="34">
                  <c:v>2021Q3</c:v>
                </c:pt>
                <c:pt idx="35">
                  <c:v>2021Q4</c:v>
                </c:pt>
                <c:pt idx="36">
                  <c:v>2022Q1</c:v>
                </c:pt>
                <c:pt idx="37">
                  <c:v>2022Q2</c:v>
                </c:pt>
              </c:strCache>
            </c:strRef>
          </c:cat>
          <c:val>
            <c:numRef>
              <c:f>expenditure!$H$3:$H$41</c:f>
              <c:numCache>
                <c:formatCode>General</c:formatCode>
                <c:ptCount val="38"/>
                <c:pt idx="28" formatCode="&quot;$&quot;#,##0">
                  <c:v>4585057.78</c:v>
                </c:pt>
                <c:pt idx="29" formatCode="&quot;$&quot;#,##0">
                  <c:v>21467353.27</c:v>
                </c:pt>
                <c:pt idx="30" formatCode="&quot;$&quot;#,##0">
                  <c:v>19790117.93</c:v>
                </c:pt>
                <c:pt idx="31" formatCode="&quot;$&quot;#,##0">
                  <c:v>19431783.52</c:v>
                </c:pt>
                <c:pt idx="32" formatCode="&quot;$&quot;#,##0">
                  <c:v>18726849.359999999</c:v>
                </c:pt>
                <c:pt idx="33" formatCode="&quot;$&quot;#,##0">
                  <c:v>17980363.59</c:v>
                </c:pt>
                <c:pt idx="34" formatCode="&quot;$&quot;#,##0">
                  <c:v>17176260.609999999</c:v>
                </c:pt>
                <c:pt idx="35" formatCode="&quot;$&quot;#,##0">
                  <c:v>17219685.919999998</c:v>
                </c:pt>
                <c:pt idx="36" formatCode="&quot;$&quot;#,##0">
                  <c:v>16970454.210000001</c:v>
                </c:pt>
                <c:pt idx="37" formatCode="&quot;$&quot;#,##0">
                  <c:v>17903889.98</c:v>
                </c:pt>
              </c:numCache>
            </c:numRef>
          </c:val>
          <c:extLst>
            <c:ext xmlns:c16="http://schemas.microsoft.com/office/drawing/2014/chart" uri="{C3380CC4-5D6E-409C-BE32-E72D297353CC}">
              <c16:uniqueId val="{00000002-30BA-4882-9D0D-F01888049D41}"/>
            </c:ext>
          </c:extLst>
        </c:ser>
        <c:ser>
          <c:idx val="3"/>
          <c:order val="3"/>
          <c:tx>
            <c:strRef>
              <c:f>expenditure!$I$1:$I$2</c:f>
              <c:strCache>
                <c:ptCount val="1"/>
                <c:pt idx="0">
                  <c:v>BRAF/MEK - Unresectable</c:v>
                </c:pt>
              </c:strCache>
            </c:strRef>
          </c:tx>
          <c:spPr>
            <a:solidFill>
              <a:schemeClr val="accent1">
                <a:tint val="77000"/>
              </a:schemeClr>
            </a:solidFill>
            <a:ln>
              <a:noFill/>
            </a:ln>
            <a:effectLst/>
          </c:spPr>
          <c:cat>
            <c:strRef>
              <c:f>expenditure!$E$3:$E$41</c:f>
              <c:strCache>
                <c:ptCount val="38"/>
                <c:pt idx="0">
                  <c:v>2013Q1</c:v>
                </c:pt>
                <c:pt idx="1">
                  <c:v>2013Q2</c:v>
                </c:pt>
                <c:pt idx="2">
                  <c:v>2013Q3</c:v>
                </c:pt>
                <c:pt idx="3">
                  <c:v>2013Q4</c:v>
                </c:pt>
                <c:pt idx="4">
                  <c:v>2014Q1</c:v>
                </c:pt>
                <c:pt idx="5">
                  <c:v>2014Q2</c:v>
                </c:pt>
                <c:pt idx="6">
                  <c:v>2014Q3</c:v>
                </c:pt>
                <c:pt idx="7">
                  <c:v>2014Q4</c:v>
                </c:pt>
                <c:pt idx="8">
                  <c:v>2015Q1</c:v>
                </c:pt>
                <c:pt idx="9">
                  <c:v>2015Q2</c:v>
                </c:pt>
                <c:pt idx="10">
                  <c:v>2015Q3</c:v>
                </c:pt>
                <c:pt idx="11">
                  <c:v>2015Q4</c:v>
                </c:pt>
                <c:pt idx="12">
                  <c:v>2016Q1</c:v>
                </c:pt>
                <c:pt idx="13">
                  <c:v>2016Q2</c:v>
                </c:pt>
                <c:pt idx="14">
                  <c:v>2016Q3</c:v>
                </c:pt>
                <c:pt idx="15">
                  <c:v>2016Q4</c:v>
                </c:pt>
                <c:pt idx="16">
                  <c:v>2017Q1</c:v>
                </c:pt>
                <c:pt idx="17">
                  <c:v>2017Q2</c:v>
                </c:pt>
                <c:pt idx="18">
                  <c:v>2017Q3</c:v>
                </c:pt>
                <c:pt idx="19">
                  <c:v>2017Q4</c:v>
                </c:pt>
                <c:pt idx="20">
                  <c:v>2018Q1</c:v>
                </c:pt>
                <c:pt idx="21">
                  <c:v>2018Q2</c:v>
                </c:pt>
                <c:pt idx="22">
                  <c:v>2018Q3</c:v>
                </c:pt>
                <c:pt idx="23">
                  <c:v>2018Q4</c:v>
                </c:pt>
                <c:pt idx="24">
                  <c:v>2019Q1</c:v>
                </c:pt>
                <c:pt idx="25">
                  <c:v>2019Q2</c:v>
                </c:pt>
                <c:pt idx="26">
                  <c:v>2019Q3</c:v>
                </c:pt>
                <c:pt idx="27">
                  <c:v>2019Q4</c:v>
                </c:pt>
                <c:pt idx="28">
                  <c:v>2020Q1</c:v>
                </c:pt>
                <c:pt idx="29">
                  <c:v>2020Q2</c:v>
                </c:pt>
                <c:pt idx="30">
                  <c:v>2020Q3</c:v>
                </c:pt>
                <c:pt idx="31">
                  <c:v>2020Q4</c:v>
                </c:pt>
                <c:pt idx="32">
                  <c:v>2021Q1</c:v>
                </c:pt>
                <c:pt idx="33">
                  <c:v>2021Q2</c:v>
                </c:pt>
                <c:pt idx="34">
                  <c:v>2021Q3</c:v>
                </c:pt>
                <c:pt idx="35">
                  <c:v>2021Q4</c:v>
                </c:pt>
                <c:pt idx="36">
                  <c:v>2022Q1</c:v>
                </c:pt>
                <c:pt idx="37">
                  <c:v>2022Q2</c:v>
                </c:pt>
              </c:strCache>
            </c:strRef>
          </c:cat>
          <c:val>
            <c:numRef>
              <c:f>expenditure!$I$3:$I$41</c:f>
              <c:numCache>
                <c:formatCode>General</c:formatCode>
                <c:ptCount val="38"/>
                <c:pt idx="3" formatCode="&quot;$&quot;#,##0">
                  <c:v>870702.62</c:v>
                </c:pt>
                <c:pt idx="4" formatCode="&quot;$&quot;#,##0">
                  <c:v>5994780.79</c:v>
                </c:pt>
                <c:pt idx="5" formatCode="&quot;$&quot;#,##0">
                  <c:v>8410236.9100000001</c:v>
                </c:pt>
                <c:pt idx="6" formatCode="&quot;$&quot;#,##0">
                  <c:v>9572736.0999999996</c:v>
                </c:pt>
                <c:pt idx="7" formatCode="&quot;$&quot;#,##0">
                  <c:v>10548539.91</c:v>
                </c:pt>
                <c:pt idx="8" formatCode="&quot;$&quot;#,##0">
                  <c:v>10997160.859999999</c:v>
                </c:pt>
                <c:pt idx="9" formatCode="&quot;$&quot;#,##0">
                  <c:v>11299044.32</c:v>
                </c:pt>
                <c:pt idx="10" formatCode="&quot;$&quot;#,##0">
                  <c:v>18273160.52</c:v>
                </c:pt>
                <c:pt idx="11" formatCode="&quot;$&quot;#,##0">
                  <c:v>23428018.379999999</c:v>
                </c:pt>
                <c:pt idx="12" formatCode="&quot;$&quot;#,##0">
                  <c:v>23522032.940000001</c:v>
                </c:pt>
                <c:pt idx="13" formatCode="&quot;$&quot;#,##0">
                  <c:v>26729668.129999999</c:v>
                </c:pt>
                <c:pt idx="14" formatCode="&quot;$&quot;#,##0">
                  <c:v>25543564.300000001</c:v>
                </c:pt>
                <c:pt idx="15" formatCode="&quot;$&quot;#,##0">
                  <c:v>26829425.920000002</c:v>
                </c:pt>
                <c:pt idx="16" formatCode="&quot;$&quot;#,##0">
                  <c:v>26669186.73</c:v>
                </c:pt>
                <c:pt idx="17" formatCode="&quot;$&quot;#,##0">
                  <c:v>28659364.510000002</c:v>
                </c:pt>
                <c:pt idx="18" formatCode="&quot;$&quot;#,##0">
                  <c:v>27808204.549999997</c:v>
                </c:pt>
                <c:pt idx="19" formatCode="&quot;$&quot;#,##0">
                  <c:v>30791482.109999999</c:v>
                </c:pt>
                <c:pt idx="20" formatCode="&quot;$&quot;#,##0">
                  <c:v>30131918.309999999</c:v>
                </c:pt>
                <c:pt idx="21" formatCode="&quot;$&quot;#,##0">
                  <c:v>29004012.280000001</c:v>
                </c:pt>
                <c:pt idx="22" formatCode="&quot;$&quot;#,##0">
                  <c:v>29194412.419999998</c:v>
                </c:pt>
                <c:pt idx="23" formatCode="&quot;$&quot;#,##0">
                  <c:v>30292238.960000001</c:v>
                </c:pt>
                <c:pt idx="24" formatCode="&quot;$&quot;#,##0">
                  <c:v>27930551.160000004</c:v>
                </c:pt>
                <c:pt idx="25" formatCode="&quot;$&quot;#,##0">
                  <c:v>29095667.969999999</c:v>
                </c:pt>
                <c:pt idx="26" formatCode="&quot;$&quot;#,##0">
                  <c:v>28558308.650000002</c:v>
                </c:pt>
                <c:pt idx="27" formatCode="&quot;$&quot;#,##0">
                  <c:v>27065206.470000003</c:v>
                </c:pt>
                <c:pt idx="28" formatCode="&quot;$&quot;#,##0">
                  <c:v>24274718.219999999</c:v>
                </c:pt>
                <c:pt idx="29" formatCode="&quot;$&quot;#,##0">
                  <c:v>24247137.989999998</c:v>
                </c:pt>
                <c:pt idx="30" formatCode="&quot;$&quot;#,##0">
                  <c:v>23770631.510000005</c:v>
                </c:pt>
                <c:pt idx="31" formatCode="&quot;$&quot;#,##0">
                  <c:v>22887364.530000001</c:v>
                </c:pt>
                <c:pt idx="32" formatCode="&quot;$&quot;#,##0">
                  <c:v>21307709.489999998</c:v>
                </c:pt>
                <c:pt idx="33" formatCode="&quot;$&quot;#,##0">
                  <c:v>22213076.109999999</c:v>
                </c:pt>
                <c:pt idx="34" formatCode="&quot;$&quot;#,##0">
                  <c:v>21304698.77</c:v>
                </c:pt>
                <c:pt idx="35" formatCode="&quot;$&quot;#,##0">
                  <c:v>21811360.609999999</c:v>
                </c:pt>
                <c:pt idx="36" formatCode="&quot;$&quot;#,##0">
                  <c:v>20842573.670000002</c:v>
                </c:pt>
                <c:pt idx="37" formatCode="&quot;$&quot;#,##0">
                  <c:v>21854773.300000004</c:v>
                </c:pt>
              </c:numCache>
            </c:numRef>
          </c:val>
          <c:extLst>
            <c:ext xmlns:c16="http://schemas.microsoft.com/office/drawing/2014/chart" uri="{C3380CC4-5D6E-409C-BE32-E72D297353CC}">
              <c16:uniqueId val="{00000003-30BA-4882-9D0D-F01888049D41}"/>
            </c:ext>
          </c:extLst>
        </c:ser>
        <c:ser>
          <c:idx val="4"/>
          <c:order val="4"/>
          <c:tx>
            <c:strRef>
              <c:f>expenditure!$J$1:$J$2</c:f>
              <c:strCache>
                <c:ptCount val="1"/>
                <c:pt idx="0">
                  <c:v>Checkpoint inhibitors - Unresectable</c:v>
                </c:pt>
              </c:strCache>
            </c:strRef>
          </c:tx>
          <c:spPr>
            <a:solidFill>
              <a:schemeClr val="accent1">
                <a:tint val="54000"/>
              </a:schemeClr>
            </a:solidFill>
            <a:ln>
              <a:noFill/>
            </a:ln>
            <a:effectLst/>
          </c:spPr>
          <c:cat>
            <c:strRef>
              <c:f>expenditure!$E$3:$E$41</c:f>
              <c:strCache>
                <c:ptCount val="38"/>
                <c:pt idx="0">
                  <c:v>2013Q1</c:v>
                </c:pt>
                <c:pt idx="1">
                  <c:v>2013Q2</c:v>
                </c:pt>
                <c:pt idx="2">
                  <c:v>2013Q3</c:v>
                </c:pt>
                <c:pt idx="3">
                  <c:v>2013Q4</c:v>
                </c:pt>
                <c:pt idx="4">
                  <c:v>2014Q1</c:v>
                </c:pt>
                <c:pt idx="5">
                  <c:v>2014Q2</c:v>
                </c:pt>
                <c:pt idx="6">
                  <c:v>2014Q3</c:v>
                </c:pt>
                <c:pt idx="7">
                  <c:v>2014Q4</c:v>
                </c:pt>
                <c:pt idx="8">
                  <c:v>2015Q1</c:v>
                </c:pt>
                <c:pt idx="9">
                  <c:v>2015Q2</c:v>
                </c:pt>
                <c:pt idx="10">
                  <c:v>2015Q3</c:v>
                </c:pt>
                <c:pt idx="11">
                  <c:v>2015Q4</c:v>
                </c:pt>
                <c:pt idx="12">
                  <c:v>2016Q1</c:v>
                </c:pt>
                <c:pt idx="13">
                  <c:v>2016Q2</c:v>
                </c:pt>
                <c:pt idx="14">
                  <c:v>2016Q3</c:v>
                </c:pt>
                <c:pt idx="15">
                  <c:v>2016Q4</c:v>
                </c:pt>
                <c:pt idx="16">
                  <c:v>2017Q1</c:v>
                </c:pt>
                <c:pt idx="17">
                  <c:v>2017Q2</c:v>
                </c:pt>
                <c:pt idx="18">
                  <c:v>2017Q3</c:v>
                </c:pt>
                <c:pt idx="19">
                  <c:v>2017Q4</c:v>
                </c:pt>
                <c:pt idx="20">
                  <c:v>2018Q1</c:v>
                </c:pt>
                <c:pt idx="21">
                  <c:v>2018Q2</c:v>
                </c:pt>
                <c:pt idx="22">
                  <c:v>2018Q3</c:v>
                </c:pt>
                <c:pt idx="23">
                  <c:v>2018Q4</c:v>
                </c:pt>
                <c:pt idx="24">
                  <c:v>2019Q1</c:v>
                </c:pt>
                <c:pt idx="25">
                  <c:v>2019Q2</c:v>
                </c:pt>
                <c:pt idx="26">
                  <c:v>2019Q3</c:v>
                </c:pt>
                <c:pt idx="27">
                  <c:v>2019Q4</c:v>
                </c:pt>
                <c:pt idx="28">
                  <c:v>2020Q1</c:v>
                </c:pt>
                <c:pt idx="29">
                  <c:v>2020Q2</c:v>
                </c:pt>
                <c:pt idx="30">
                  <c:v>2020Q3</c:v>
                </c:pt>
                <c:pt idx="31">
                  <c:v>2020Q4</c:v>
                </c:pt>
                <c:pt idx="32">
                  <c:v>2021Q1</c:v>
                </c:pt>
                <c:pt idx="33">
                  <c:v>2021Q2</c:v>
                </c:pt>
                <c:pt idx="34">
                  <c:v>2021Q3</c:v>
                </c:pt>
                <c:pt idx="35">
                  <c:v>2021Q4</c:v>
                </c:pt>
                <c:pt idx="36">
                  <c:v>2022Q1</c:v>
                </c:pt>
                <c:pt idx="37">
                  <c:v>2022Q2</c:v>
                </c:pt>
              </c:strCache>
            </c:strRef>
          </c:cat>
          <c:val>
            <c:numRef>
              <c:f>expenditure!$J$3:$J$41</c:f>
              <c:numCache>
                <c:formatCode>General</c:formatCode>
                <c:ptCount val="38"/>
                <c:pt idx="2" formatCode="&quot;$&quot;#,##0">
                  <c:v>13709107.470000001</c:v>
                </c:pt>
                <c:pt idx="3" formatCode="&quot;$&quot;#,##0">
                  <c:v>20198492.300000001</c:v>
                </c:pt>
                <c:pt idx="4" formatCode="&quot;$&quot;#,##0">
                  <c:v>16453476.880000001</c:v>
                </c:pt>
                <c:pt idx="5" formatCode="&quot;$&quot;#,##0">
                  <c:v>23509128.399999999</c:v>
                </c:pt>
                <c:pt idx="6" formatCode="&quot;$&quot;#,##0">
                  <c:v>24432106.940000001</c:v>
                </c:pt>
                <c:pt idx="7" formatCode="&quot;$&quot;#,##0">
                  <c:v>22630523.850000001</c:v>
                </c:pt>
                <c:pt idx="8" formatCode="&quot;$&quot;#,##0">
                  <c:v>20693299.390000001</c:v>
                </c:pt>
                <c:pt idx="9" formatCode="&quot;$&quot;#,##0">
                  <c:v>19781391.77</c:v>
                </c:pt>
                <c:pt idx="10" formatCode="&quot;$&quot;#,##0">
                  <c:v>9909841.6999999993</c:v>
                </c:pt>
                <c:pt idx="11" formatCode="&quot;$&quot;#,##0">
                  <c:v>22333628.379999999</c:v>
                </c:pt>
                <c:pt idx="12" formatCode="&quot;$&quot;#,##0">
                  <c:v>30816008.98</c:v>
                </c:pt>
                <c:pt idx="13" formatCode="&quot;$&quot;#,##0">
                  <c:v>36897674.07</c:v>
                </c:pt>
                <c:pt idx="14" formatCode="&quot;$&quot;#,##0">
                  <c:v>41252355.259999998</c:v>
                </c:pt>
                <c:pt idx="15" formatCode="&quot;$&quot;#,##0">
                  <c:v>45144370.540000007</c:v>
                </c:pt>
                <c:pt idx="16" formatCode="&quot;$&quot;#,##0">
                  <c:v>53883470.5</c:v>
                </c:pt>
                <c:pt idx="17" formatCode="&quot;$&quot;#,##0">
                  <c:v>53319109.460000001</c:v>
                </c:pt>
                <c:pt idx="18" formatCode="&quot;$&quot;#,##0">
                  <c:v>56772540.25</c:v>
                </c:pt>
                <c:pt idx="19" formatCode="&quot;$&quot;#,##0">
                  <c:v>57452139.019999996</c:v>
                </c:pt>
                <c:pt idx="20" formatCode="&quot;$&quot;#,##0">
                  <c:v>61676084</c:v>
                </c:pt>
                <c:pt idx="21" formatCode="&quot;$&quot;#,##0">
                  <c:v>62278606.640000001</c:v>
                </c:pt>
                <c:pt idx="22" formatCode="&quot;$&quot;#,##0">
                  <c:v>65410261.769999996</c:v>
                </c:pt>
                <c:pt idx="23" formatCode="&quot;$&quot;#,##0">
                  <c:v>68129589.510000005</c:v>
                </c:pt>
                <c:pt idx="24" formatCode="&quot;$&quot;#,##0">
                  <c:v>74586599.949999988</c:v>
                </c:pt>
                <c:pt idx="25" formatCode="&quot;$&quot;#,##0">
                  <c:v>74842576.449999988</c:v>
                </c:pt>
                <c:pt idx="26" formatCode="&quot;$&quot;#,##0">
                  <c:v>77751660.329999998</c:v>
                </c:pt>
                <c:pt idx="27" formatCode="&quot;$&quot;#,##0">
                  <c:v>77878241.879999995</c:v>
                </c:pt>
                <c:pt idx="28" formatCode="&quot;$&quot;#,##0">
                  <c:v>75710334.349999994</c:v>
                </c:pt>
                <c:pt idx="29" formatCode="&quot;$&quot;#,##0">
                  <c:v>82534234.700000003</c:v>
                </c:pt>
                <c:pt idx="30" formatCode="&quot;$&quot;#,##0">
                  <c:v>84503063.870000005</c:v>
                </c:pt>
                <c:pt idx="31" formatCode="&quot;$&quot;#,##0">
                  <c:v>81440586.629999995</c:v>
                </c:pt>
                <c:pt idx="32" formatCode="&quot;$&quot;#,##0">
                  <c:v>81873986.640000001</c:v>
                </c:pt>
                <c:pt idx="33" formatCode="&quot;$&quot;#,##0">
                  <c:v>80001805.090000004</c:v>
                </c:pt>
                <c:pt idx="34" formatCode="&quot;$&quot;#,##0">
                  <c:v>87117050.219999999</c:v>
                </c:pt>
                <c:pt idx="35" formatCode="&quot;$&quot;#,##0">
                  <c:v>85825490.49000001</c:v>
                </c:pt>
                <c:pt idx="36" formatCode="&quot;$&quot;#,##0">
                  <c:v>83959726.340000004</c:v>
                </c:pt>
                <c:pt idx="37" formatCode="&quot;$&quot;#,##0">
                  <c:v>83539289.179999992</c:v>
                </c:pt>
              </c:numCache>
            </c:numRef>
          </c:val>
          <c:extLst>
            <c:ext xmlns:c16="http://schemas.microsoft.com/office/drawing/2014/chart" uri="{C3380CC4-5D6E-409C-BE32-E72D297353CC}">
              <c16:uniqueId val="{00000004-30BA-4882-9D0D-F01888049D41}"/>
            </c:ext>
          </c:extLst>
        </c:ser>
        <c:dLbls>
          <c:showLegendKey val="0"/>
          <c:showVal val="0"/>
          <c:showCatName val="0"/>
          <c:showSerName val="0"/>
          <c:showPercent val="0"/>
          <c:showBubbleSize val="0"/>
        </c:dLbls>
        <c:axId val="536941768"/>
        <c:axId val="536941112"/>
      </c:areaChart>
      <c:catAx>
        <c:axId val="5369417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36941112"/>
        <c:crosses val="autoZero"/>
        <c:auto val="1"/>
        <c:lblAlgn val="ctr"/>
        <c:lblOffset val="100"/>
        <c:noMultiLvlLbl val="0"/>
      </c:catAx>
      <c:valAx>
        <c:axId val="536941112"/>
        <c:scaling>
          <c:orientation val="minMax"/>
        </c:scaling>
        <c:delete val="0"/>
        <c:axPos val="l"/>
        <c:majorGridlines>
          <c:spPr>
            <a:ln w="9525" cap="flat" cmpd="sng" algn="ctr">
              <a:solidFill>
                <a:schemeClr val="tx1">
                  <a:lumMod val="15000"/>
                  <a:lumOff val="85000"/>
                </a:schemeClr>
              </a:solidFill>
              <a:round/>
            </a:ln>
            <a:effectLst/>
          </c:spPr>
        </c:majorGridlines>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3694176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withinLinear" id="14">
  <a:schemeClr val="accent1"/>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Cor18</b:Tag>
    <b:SourceType>JournalArticle</b:SourceType>
    <b:Guid>{1259675B-C9D0-4552-A7FF-22EF4335DF35}</b:Guid>
    <b:Title>Cutaneous Melanoma—A Long Road from Experimental Models to Clinical Outcome: A Review.</b:Title>
    <b:JournalName>International Journal of Molecular Sciences</b:JournalName>
    <b:Year>2018</b:Year>
    <b:Author>
      <b:Author>
        <b:NameList>
          <b:Person>
            <b:Last>Coricovac</b:Last>
            <b:First>D</b:First>
          </b:Person>
          <b:Person>
            <b:Last>Dehelean</b:Last>
            <b:First>C</b:First>
          </b:Person>
          <b:Person>
            <b:Last>Moaca</b:Last>
            <b:First>E-A</b:First>
          </b:Person>
          <b:Person>
            <b:Last>Pinzaru</b:Last>
            <b:First>I</b:First>
          </b:Person>
          <b:Person>
            <b:Last>Bratu</b:Last>
            <b:First>T</b:First>
          </b:Person>
          <b:Person>
            <b:Last>Navolan</b:Last>
            <b:First>D</b:First>
          </b:Person>
          <b:Person>
            <b:Last>Boruga</b:Last>
            <b:First>O</b:First>
          </b:Person>
        </b:NameList>
      </b:Author>
    </b:Author>
    <b:RefOrder>1</b:RefOrder>
  </b:Source>
</b:Sources>
</file>

<file path=customXml/itemProps1.xml><?xml version="1.0" encoding="utf-8"?>
<ds:datastoreItem xmlns:ds="http://schemas.openxmlformats.org/officeDocument/2006/customXml" ds:itemID="{315B66C6-8371-41FD-AF47-3B9FF9555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6536</Words>
  <Characters>37261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2023-03-06T23:05:00Z</dcterms:created>
  <dcterms:modified xsi:type="dcterms:W3CDTF">2023-03-07T23:26:00Z</dcterms:modified>
</cp:coreProperties>
</file>