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4AAD1" w14:textId="2CE3C4B3" w:rsidR="00107BB6" w:rsidRDefault="00107BB6" w:rsidP="00107BB6">
      <w:pPr>
        <w:pStyle w:val="Title"/>
      </w:pPr>
      <w:r>
        <w:t xml:space="preserve">Analysis of </w:t>
      </w:r>
      <w:r>
        <w:rPr>
          <w:spacing w:val="-1"/>
        </w:rPr>
        <w:t>proton</w:t>
      </w:r>
      <w:r>
        <w:rPr>
          <w:spacing w:val="-3"/>
        </w:rPr>
        <w:t xml:space="preserve"> </w:t>
      </w:r>
      <w:r>
        <w:rPr>
          <w:spacing w:val="-1"/>
        </w:rPr>
        <w:t>pump</w:t>
      </w:r>
      <w:r>
        <w:rPr>
          <w:spacing w:val="-2"/>
        </w:rPr>
        <w:t xml:space="preserve"> </w:t>
      </w:r>
      <w:r>
        <w:rPr>
          <w:spacing w:val="-1"/>
        </w:rPr>
        <w:t>inhibitor</w:t>
      </w:r>
      <w:r>
        <w:rPr>
          <w:spacing w:val="-2"/>
        </w:rPr>
        <w:t xml:space="preserve"> </w:t>
      </w:r>
      <w:r>
        <w:rPr>
          <w:spacing w:val="-1"/>
        </w:rPr>
        <w:t>(PPI)</w:t>
      </w:r>
      <w:r>
        <w:rPr>
          <w:spacing w:val="1"/>
        </w:rPr>
        <w:t xml:space="preserve"> </w:t>
      </w:r>
      <w:r>
        <w:rPr>
          <w:spacing w:val="-1"/>
        </w:rPr>
        <w:t>medicines</w:t>
      </w:r>
      <w:r>
        <w:rPr>
          <w:spacing w:val="-3"/>
        </w:rPr>
        <w:t xml:space="preserve"> </w:t>
      </w:r>
      <w:r>
        <w:rPr>
          <w:spacing w:val="-1"/>
        </w:rPr>
        <w:t>used</w:t>
      </w:r>
      <w:r>
        <w:rPr>
          <w:spacing w:val="-2"/>
        </w:rPr>
        <w:t xml:space="preserve"> in</w:t>
      </w:r>
      <w:r>
        <w:rPr>
          <w:spacing w:val="-3"/>
        </w:rPr>
        <w:t xml:space="preserve"> </w:t>
      </w:r>
      <w:r>
        <w:t>the</w:t>
      </w:r>
      <w:r w:rsidR="00750CD5">
        <w:rPr>
          <w:spacing w:val="59"/>
          <w:w w:val="99"/>
        </w:rPr>
        <w:t xml:space="preserve"> </w:t>
      </w:r>
      <w:r>
        <w:rPr>
          <w:spacing w:val="-1"/>
        </w:rPr>
        <w:t>management</w:t>
      </w:r>
      <w:r>
        <w:rPr>
          <w:spacing w:val="-5"/>
        </w:rPr>
        <w:t xml:space="preserve"> </w:t>
      </w:r>
      <w:r>
        <w:t>of</w:t>
      </w:r>
      <w:r>
        <w:rPr>
          <w:spacing w:val="-3"/>
        </w:rPr>
        <w:t xml:space="preserve"> </w:t>
      </w:r>
      <w:r>
        <w:rPr>
          <w:spacing w:val="-1"/>
        </w:rPr>
        <w:t>gastrointestinal</w:t>
      </w:r>
      <w:r>
        <w:rPr>
          <w:spacing w:val="-4"/>
        </w:rPr>
        <w:t xml:space="preserve"> </w:t>
      </w:r>
      <w:r>
        <w:t>acid</w:t>
      </w:r>
      <w:r>
        <w:rPr>
          <w:spacing w:val="-4"/>
        </w:rPr>
        <w:t xml:space="preserve"> </w:t>
      </w:r>
      <w:r>
        <w:rPr>
          <w:spacing w:val="-1"/>
        </w:rPr>
        <w:t>related</w:t>
      </w:r>
      <w:r>
        <w:rPr>
          <w:spacing w:val="-2"/>
        </w:rPr>
        <w:t xml:space="preserve"> </w:t>
      </w:r>
      <w:r>
        <w:rPr>
          <w:spacing w:val="-1"/>
        </w:rPr>
        <w:t>disorders</w:t>
      </w:r>
    </w:p>
    <w:p w14:paraId="20A9E37E" w14:textId="77777777" w:rsidR="00107BB6" w:rsidRDefault="00107BB6" w:rsidP="00107BB6">
      <w:pPr>
        <w:pStyle w:val="Title2"/>
      </w:pPr>
      <w:r>
        <w:t>D</w:t>
      </w:r>
      <w:r w:rsidRPr="0063631C">
        <w:t xml:space="preserve">rug utilisation sub-committee </w:t>
      </w:r>
      <w:r>
        <w:t>(DUSC)</w:t>
      </w:r>
    </w:p>
    <w:p w14:paraId="30891F95" w14:textId="77777777" w:rsidR="00107BB6" w:rsidRPr="008E5BAE" w:rsidRDefault="00107BB6" w:rsidP="008E5BAE">
      <w:pPr>
        <w:rPr>
          <w:b/>
          <w:bCs/>
          <w:i/>
          <w:iCs/>
        </w:rPr>
      </w:pPr>
      <w:r w:rsidRPr="008E5BAE">
        <w:rPr>
          <w:b/>
          <w:bCs/>
          <w:i/>
          <w:iCs/>
        </w:rPr>
        <w:t>June 2022</w:t>
      </w:r>
    </w:p>
    <w:p w14:paraId="178D638F" w14:textId="77777777" w:rsidR="00107BB6" w:rsidRPr="00CF5E22" w:rsidRDefault="00107BB6" w:rsidP="00107BB6">
      <w:pPr>
        <w:pStyle w:val="Heading2"/>
      </w:pPr>
      <w:r w:rsidRPr="00CF5E22">
        <w:t>Abstract</w:t>
      </w:r>
    </w:p>
    <w:p w14:paraId="263122EB" w14:textId="77777777" w:rsidR="00107BB6" w:rsidRPr="008E5BAE" w:rsidRDefault="00107BB6" w:rsidP="008E5BAE">
      <w:pPr>
        <w:rPr>
          <w:b/>
          <w:bCs/>
          <w:i/>
          <w:iCs/>
        </w:rPr>
      </w:pPr>
      <w:r w:rsidRPr="008E5BAE">
        <w:rPr>
          <w:b/>
          <w:bCs/>
          <w:i/>
          <w:iCs/>
        </w:rPr>
        <w:t>Purpose</w:t>
      </w:r>
    </w:p>
    <w:p w14:paraId="46154D2A" w14:textId="51A6E6C6" w:rsidR="00107BB6" w:rsidRPr="00026E5D" w:rsidRDefault="00107BB6" w:rsidP="00107BB6">
      <w:pPr>
        <w:ind w:right="-257"/>
      </w:pPr>
      <w:r>
        <w:t>To</w:t>
      </w:r>
      <w:r>
        <w:rPr>
          <w:spacing w:val="-2"/>
        </w:rPr>
        <w:t xml:space="preserve"> </w:t>
      </w:r>
      <w:r>
        <w:t>review</w:t>
      </w:r>
      <w:r>
        <w:rPr>
          <w:spacing w:val="-4"/>
        </w:rPr>
        <w:t xml:space="preserve"> </w:t>
      </w:r>
      <w:r>
        <w:rPr>
          <w:spacing w:val="-1"/>
        </w:rPr>
        <w:t>recent</w:t>
      </w:r>
      <w:r>
        <w:t xml:space="preserve"> </w:t>
      </w:r>
      <w:r>
        <w:rPr>
          <w:spacing w:val="-1"/>
        </w:rPr>
        <w:t>utilisation of</w:t>
      </w:r>
      <w:r>
        <w:rPr>
          <w:spacing w:val="-4"/>
        </w:rPr>
        <w:t xml:space="preserve"> </w:t>
      </w:r>
      <w:r>
        <w:rPr>
          <w:spacing w:val="-1"/>
        </w:rPr>
        <w:t>PBS-listed</w:t>
      </w:r>
      <w:r>
        <w:rPr>
          <w:spacing w:val="-4"/>
        </w:rPr>
        <w:t xml:space="preserve"> </w:t>
      </w:r>
      <w:r>
        <w:rPr>
          <w:spacing w:val="-1"/>
        </w:rPr>
        <w:t>proton</w:t>
      </w:r>
      <w:r>
        <w:rPr>
          <w:spacing w:val="-3"/>
        </w:rPr>
        <w:t xml:space="preserve"> </w:t>
      </w:r>
      <w:r>
        <w:rPr>
          <w:spacing w:val="-1"/>
        </w:rPr>
        <w:t>pump</w:t>
      </w:r>
      <w:r>
        <w:rPr>
          <w:spacing w:val="-2"/>
        </w:rPr>
        <w:t xml:space="preserve"> </w:t>
      </w:r>
      <w:r>
        <w:rPr>
          <w:spacing w:val="-1"/>
        </w:rPr>
        <w:t>inhibitor</w:t>
      </w:r>
      <w:r>
        <w:rPr>
          <w:spacing w:val="-2"/>
        </w:rPr>
        <w:t xml:space="preserve"> </w:t>
      </w:r>
      <w:r>
        <w:rPr>
          <w:spacing w:val="-1"/>
        </w:rPr>
        <w:t>(PPI)</w:t>
      </w:r>
      <w:r>
        <w:rPr>
          <w:spacing w:val="1"/>
        </w:rPr>
        <w:t xml:space="preserve"> </w:t>
      </w:r>
      <w:r>
        <w:rPr>
          <w:spacing w:val="-1"/>
        </w:rPr>
        <w:t>medicines</w:t>
      </w:r>
      <w:r>
        <w:rPr>
          <w:spacing w:val="-3"/>
        </w:rPr>
        <w:t xml:space="preserve"> </w:t>
      </w:r>
      <w:r>
        <w:rPr>
          <w:spacing w:val="-1"/>
        </w:rPr>
        <w:t>used</w:t>
      </w:r>
      <w:r>
        <w:rPr>
          <w:spacing w:val="-2"/>
        </w:rPr>
        <w:t xml:space="preserve"> in</w:t>
      </w:r>
      <w:r>
        <w:rPr>
          <w:spacing w:val="-3"/>
        </w:rPr>
        <w:t xml:space="preserve"> </w:t>
      </w:r>
      <w:r>
        <w:t>the</w:t>
      </w:r>
      <w:r>
        <w:rPr>
          <w:spacing w:val="59"/>
          <w:w w:val="99"/>
        </w:rPr>
        <w:t xml:space="preserve"> </w:t>
      </w:r>
      <w:r>
        <w:rPr>
          <w:spacing w:val="-1"/>
        </w:rPr>
        <w:t>management</w:t>
      </w:r>
      <w:r>
        <w:rPr>
          <w:spacing w:val="-5"/>
        </w:rPr>
        <w:t xml:space="preserve"> </w:t>
      </w:r>
      <w:r>
        <w:t>of</w:t>
      </w:r>
      <w:r>
        <w:rPr>
          <w:spacing w:val="-3"/>
        </w:rPr>
        <w:t xml:space="preserve"> </w:t>
      </w:r>
      <w:r>
        <w:rPr>
          <w:spacing w:val="-1"/>
        </w:rPr>
        <w:t>gastrointestinal</w:t>
      </w:r>
      <w:r>
        <w:rPr>
          <w:spacing w:val="-4"/>
        </w:rPr>
        <w:t xml:space="preserve"> </w:t>
      </w:r>
      <w:r>
        <w:t>acid</w:t>
      </w:r>
      <w:r>
        <w:rPr>
          <w:spacing w:val="-4"/>
        </w:rPr>
        <w:t xml:space="preserve"> </w:t>
      </w:r>
      <w:r>
        <w:rPr>
          <w:spacing w:val="-1"/>
        </w:rPr>
        <w:t>related</w:t>
      </w:r>
      <w:r>
        <w:rPr>
          <w:spacing w:val="-2"/>
        </w:rPr>
        <w:t xml:space="preserve"> </w:t>
      </w:r>
      <w:r>
        <w:rPr>
          <w:spacing w:val="-1"/>
        </w:rPr>
        <w:t>disorders</w:t>
      </w:r>
      <w:r w:rsidR="00BB0268">
        <w:rPr>
          <w:spacing w:val="-1"/>
        </w:rPr>
        <w:t xml:space="preserve"> following </w:t>
      </w:r>
      <w:r w:rsidR="008142AD">
        <w:rPr>
          <w:spacing w:val="-1"/>
        </w:rPr>
        <w:t xml:space="preserve">Pharmaceutical Benefits Scheme (PBS) </w:t>
      </w:r>
      <w:r w:rsidR="00BB0268">
        <w:rPr>
          <w:spacing w:val="-1"/>
        </w:rPr>
        <w:t>listing changes in May 2019 and March 2021</w:t>
      </w:r>
      <w:r w:rsidR="008142AD">
        <w:rPr>
          <w:spacing w:val="-1"/>
        </w:rPr>
        <w:t>.</w:t>
      </w:r>
    </w:p>
    <w:p w14:paraId="3A3E1C26" w14:textId="77777777" w:rsidR="00107BB6" w:rsidRDefault="00107BB6" w:rsidP="00107BB6">
      <w:pPr>
        <w:pStyle w:val="Heading3"/>
      </w:pPr>
      <w:r>
        <w:t>Date of listing on the Pharmaceutical Benefits Scheme (PBS)</w:t>
      </w:r>
    </w:p>
    <w:p w14:paraId="63606B66" w14:textId="437B5930" w:rsidR="0035582C" w:rsidRPr="0026525B" w:rsidRDefault="0035582C" w:rsidP="009C1111">
      <w:pPr>
        <w:pStyle w:val="ListParagraph"/>
        <w:numPr>
          <w:ilvl w:val="0"/>
          <w:numId w:val="44"/>
        </w:numPr>
        <w:spacing w:after="0"/>
        <w:rPr>
          <w:bCs/>
          <w:szCs w:val="20"/>
        </w:rPr>
      </w:pPr>
      <w:r w:rsidRPr="00D359B1">
        <w:rPr>
          <w:bCs/>
        </w:rPr>
        <w:t xml:space="preserve">Omeprazole </w:t>
      </w:r>
      <w:r w:rsidRPr="00302EF4">
        <w:rPr>
          <w:bCs/>
          <w:szCs w:val="20"/>
        </w:rPr>
        <w:t xml:space="preserve">was </w:t>
      </w:r>
      <w:r w:rsidR="00A90781">
        <w:rPr>
          <w:bCs/>
        </w:rPr>
        <w:t>f</w:t>
      </w:r>
      <w:r w:rsidRPr="00C021AF">
        <w:rPr>
          <w:bCs/>
        </w:rPr>
        <w:t xml:space="preserve">irst listed on 1 August 1990 as an Authority Required </w:t>
      </w:r>
      <w:r w:rsidRPr="00854D8E">
        <w:rPr>
          <w:bCs/>
        </w:rPr>
        <w:t xml:space="preserve">listing. </w:t>
      </w:r>
    </w:p>
    <w:p w14:paraId="19E97908" w14:textId="6E196179" w:rsidR="0035582C" w:rsidRPr="009C1111" w:rsidRDefault="0035582C" w:rsidP="009C1111">
      <w:pPr>
        <w:pStyle w:val="ListParagraph"/>
        <w:numPr>
          <w:ilvl w:val="0"/>
          <w:numId w:val="44"/>
        </w:numPr>
        <w:spacing w:after="0"/>
        <w:rPr>
          <w:bCs/>
        </w:rPr>
      </w:pPr>
      <w:r w:rsidRPr="009C1111">
        <w:rPr>
          <w:bCs/>
        </w:rPr>
        <w:t xml:space="preserve">Lansoprazole </w:t>
      </w:r>
      <w:r w:rsidRPr="00302EF4">
        <w:rPr>
          <w:bCs/>
        </w:rPr>
        <w:t>was f</w:t>
      </w:r>
      <w:r w:rsidRPr="00C021AF">
        <w:rPr>
          <w:bCs/>
        </w:rPr>
        <w:t xml:space="preserve">irst listed </w:t>
      </w:r>
      <w:r w:rsidRPr="009C1111">
        <w:rPr>
          <w:bCs/>
        </w:rPr>
        <w:t>on the 1 August 1994 as an Authority Required listing.</w:t>
      </w:r>
    </w:p>
    <w:p w14:paraId="4AFAD53A" w14:textId="5EBD5365" w:rsidR="0035582C" w:rsidRPr="009C1111" w:rsidRDefault="0035582C" w:rsidP="009C1111">
      <w:pPr>
        <w:pStyle w:val="ListParagraph"/>
        <w:numPr>
          <w:ilvl w:val="0"/>
          <w:numId w:val="44"/>
        </w:numPr>
        <w:spacing w:after="0"/>
        <w:rPr>
          <w:bCs/>
        </w:rPr>
      </w:pPr>
      <w:r w:rsidRPr="009C1111">
        <w:rPr>
          <w:bCs/>
        </w:rPr>
        <w:t xml:space="preserve">Pantoprazole </w:t>
      </w:r>
      <w:r w:rsidRPr="00302EF4">
        <w:rPr>
          <w:bCs/>
        </w:rPr>
        <w:t>was f</w:t>
      </w:r>
      <w:r w:rsidRPr="00C021AF">
        <w:rPr>
          <w:bCs/>
        </w:rPr>
        <w:t>irst listed on the 1 November 1995 as an Authority Required listing</w:t>
      </w:r>
      <w:r w:rsidRPr="009C1111">
        <w:rPr>
          <w:bCs/>
        </w:rPr>
        <w:t>.</w:t>
      </w:r>
    </w:p>
    <w:p w14:paraId="06E7A2DF" w14:textId="41DA5974" w:rsidR="0035582C" w:rsidRPr="009C1111" w:rsidRDefault="0035582C" w:rsidP="009C1111">
      <w:pPr>
        <w:pStyle w:val="ListParagraph"/>
        <w:numPr>
          <w:ilvl w:val="0"/>
          <w:numId w:val="44"/>
        </w:numPr>
        <w:spacing w:after="0"/>
        <w:rPr>
          <w:bCs/>
        </w:rPr>
      </w:pPr>
      <w:r w:rsidRPr="009C1111">
        <w:rPr>
          <w:bCs/>
        </w:rPr>
        <w:t xml:space="preserve">Rabeprazole </w:t>
      </w:r>
      <w:r w:rsidRPr="00302EF4">
        <w:rPr>
          <w:bCs/>
        </w:rPr>
        <w:t>was f</w:t>
      </w:r>
      <w:r w:rsidRPr="00C021AF">
        <w:rPr>
          <w:bCs/>
        </w:rPr>
        <w:t>irst listed on the 1 May 2001 as an Authority Required</w:t>
      </w:r>
      <w:r w:rsidR="001E3F61">
        <w:rPr>
          <w:bCs/>
        </w:rPr>
        <w:t xml:space="preserve"> listing</w:t>
      </w:r>
      <w:r w:rsidRPr="009C1111">
        <w:rPr>
          <w:bCs/>
        </w:rPr>
        <w:t>.</w:t>
      </w:r>
    </w:p>
    <w:p w14:paraId="7BCABA1D" w14:textId="42918ABC" w:rsidR="00107BB6" w:rsidRPr="008E5BAE" w:rsidRDefault="00CA2FE4" w:rsidP="00107BB6">
      <w:pPr>
        <w:pStyle w:val="ListParagraph"/>
        <w:numPr>
          <w:ilvl w:val="0"/>
          <w:numId w:val="44"/>
        </w:numPr>
        <w:spacing w:after="0"/>
        <w:rPr>
          <w:bCs/>
        </w:rPr>
      </w:pPr>
      <w:r w:rsidRPr="009C1111">
        <w:rPr>
          <w:bCs/>
        </w:rPr>
        <w:t>Esomeprazole was first listed on the PBS on the 1 August 2002.</w:t>
      </w:r>
    </w:p>
    <w:p w14:paraId="2B52E259" w14:textId="77777777" w:rsidR="00107BB6" w:rsidRDefault="00107BB6" w:rsidP="00107BB6">
      <w:pPr>
        <w:pStyle w:val="Heading3"/>
      </w:pPr>
      <w:r>
        <w:t>Data Source / methodology</w:t>
      </w:r>
    </w:p>
    <w:p w14:paraId="25C234E5" w14:textId="51B10468" w:rsidR="00107BB6" w:rsidRPr="00220C3F" w:rsidRDefault="00107BB6" w:rsidP="00107BB6">
      <w:pPr>
        <w:rPr>
          <w:rFonts w:cstheme="minorHAnsi"/>
        </w:rPr>
      </w:pPr>
      <w:r w:rsidRPr="00220C3F">
        <w:rPr>
          <w:rFonts w:cstheme="minorHAnsi"/>
          <w:shd w:val="clear" w:color="auto" w:fill="FFFFFF"/>
        </w:rPr>
        <w:t xml:space="preserve">Data extracted from the PBS data maintained by </w:t>
      </w:r>
      <w:r w:rsidR="00A90781" w:rsidRPr="00220C3F">
        <w:rPr>
          <w:rFonts w:cstheme="minorHAnsi"/>
          <w:shd w:val="clear" w:color="auto" w:fill="FFFFFF"/>
        </w:rPr>
        <w:t xml:space="preserve">the Australian Government </w:t>
      </w:r>
      <w:r w:rsidRPr="00220C3F">
        <w:rPr>
          <w:rFonts w:cstheme="minorHAnsi"/>
          <w:shd w:val="clear" w:color="auto" w:fill="FFFFFF"/>
        </w:rPr>
        <w:t>Department of Health</w:t>
      </w:r>
      <w:r w:rsidR="00782663">
        <w:rPr>
          <w:rFonts w:cstheme="minorHAnsi"/>
          <w:shd w:val="clear" w:color="auto" w:fill="FFFFFF"/>
        </w:rPr>
        <w:t xml:space="preserve"> and Aged Care</w:t>
      </w:r>
      <w:r w:rsidRPr="00220C3F">
        <w:rPr>
          <w:rFonts w:cstheme="minorHAnsi"/>
          <w:shd w:val="clear" w:color="auto" w:fill="FFFFFF"/>
        </w:rPr>
        <w:t>, processed by Services Australia was used for the analyses.</w:t>
      </w:r>
    </w:p>
    <w:p w14:paraId="2673F063" w14:textId="77777777" w:rsidR="00107BB6" w:rsidRDefault="00107BB6" w:rsidP="00107BB6">
      <w:pPr>
        <w:pStyle w:val="Heading3"/>
      </w:pPr>
      <w:r>
        <w:t>Key Findings</w:t>
      </w:r>
    </w:p>
    <w:p w14:paraId="429B0F39" w14:textId="016FBD45" w:rsidR="001A274E" w:rsidRPr="001A274E" w:rsidRDefault="00AC2C4A" w:rsidP="00220C3F">
      <w:pPr>
        <w:pStyle w:val="ListParagraph"/>
        <w:numPr>
          <w:ilvl w:val="0"/>
          <w:numId w:val="46"/>
        </w:numPr>
      </w:pPr>
      <w:r>
        <w:rPr>
          <w:bCs/>
        </w:rPr>
        <w:t xml:space="preserve">From 2013 to 2021, the number of patients supplied lansoprazole had remained relatively stable, whilst there was a slight decrease in the number of patients supplied omeprazole and rabeprazole. </w:t>
      </w:r>
      <w:r w:rsidR="001A274E" w:rsidRPr="00025C70">
        <w:rPr>
          <w:bCs/>
        </w:rPr>
        <w:t xml:space="preserve">In Q1 2019, </w:t>
      </w:r>
      <w:r w:rsidR="001A274E">
        <w:rPr>
          <w:bCs/>
        </w:rPr>
        <w:t xml:space="preserve">the number of patients supplied </w:t>
      </w:r>
      <w:r w:rsidR="001A274E" w:rsidRPr="00025C70">
        <w:rPr>
          <w:bCs/>
        </w:rPr>
        <w:t>pantoprazole</w:t>
      </w:r>
      <w:r w:rsidR="001A274E">
        <w:rPr>
          <w:bCs/>
        </w:rPr>
        <w:t xml:space="preserve"> </w:t>
      </w:r>
      <w:r w:rsidR="001A274E" w:rsidRPr="00025C70">
        <w:rPr>
          <w:bCs/>
        </w:rPr>
        <w:t>increased</w:t>
      </w:r>
      <w:r w:rsidR="001A274E">
        <w:rPr>
          <w:bCs/>
        </w:rPr>
        <w:t>, over</w:t>
      </w:r>
      <w:r w:rsidR="001A274E" w:rsidRPr="00025C70">
        <w:rPr>
          <w:bCs/>
        </w:rPr>
        <w:t xml:space="preserve">taking </w:t>
      </w:r>
      <w:r w:rsidR="001A274E">
        <w:rPr>
          <w:bCs/>
        </w:rPr>
        <w:t xml:space="preserve">the number of </w:t>
      </w:r>
      <w:r w:rsidR="001A274E" w:rsidRPr="00025C70">
        <w:rPr>
          <w:bCs/>
        </w:rPr>
        <w:t>esomeprazole</w:t>
      </w:r>
      <w:r w:rsidR="001A274E" w:rsidDel="00F864C6">
        <w:rPr>
          <w:bCs/>
        </w:rPr>
        <w:t xml:space="preserve"> </w:t>
      </w:r>
      <w:r w:rsidR="001A274E">
        <w:rPr>
          <w:bCs/>
        </w:rPr>
        <w:t>patients</w:t>
      </w:r>
      <w:r w:rsidR="001A274E" w:rsidRPr="00025C70">
        <w:rPr>
          <w:bCs/>
        </w:rPr>
        <w:t xml:space="preserve"> </w:t>
      </w:r>
      <w:r w:rsidR="001A274E">
        <w:rPr>
          <w:bCs/>
        </w:rPr>
        <w:t>in Q4 2019. The number of pantoprazole patients</w:t>
      </w:r>
      <w:r w:rsidR="001A274E" w:rsidRPr="00025C70">
        <w:rPr>
          <w:bCs/>
        </w:rPr>
        <w:t xml:space="preserve"> continued to increase, while esomeprazole started decreasing in Q4 2018 and appeared to stabilise between Q2-Q3 2020.</w:t>
      </w:r>
    </w:p>
    <w:p w14:paraId="12FEA526" w14:textId="620AED7F" w:rsidR="001A274E" w:rsidRPr="001A274E" w:rsidRDefault="001A274E" w:rsidP="008E5BAE">
      <w:pPr>
        <w:pStyle w:val="ListParagraph"/>
        <w:numPr>
          <w:ilvl w:val="0"/>
          <w:numId w:val="46"/>
        </w:numPr>
      </w:pPr>
      <w:r>
        <w:rPr>
          <w:bCs/>
        </w:rPr>
        <w:t xml:space="preserve">The number of high strength prescriptions remained relatively stable until 2019, where there </w:t>
      </w:r>
      <w:r w:rsidR="005F7A2F">
        <w:rPr>
          <w:bCs/>
        </w:rPr>
        <w:t>wa</w:t>
      </w:r>
      <w:r>
        <w:rPr>
          <w:bCs/>
        </w:rPr>
        <w:t xml:space="preserve">s a decrease before stabilising. The number of low strength PPI prescriptions supplied also remained relatively stable until 2019 </w:t>
      </w:r>
      <w:r w:rsidR="005F7A2F">
        <w:rPr>
          <w:bCs/>
        </w:rPr>
        <w:t>with</w:t>
      </w:r>
      <w:r>
        <w:rPr>
          <w:bCs/>
        </w:rPr>
        <w:t xml:space="preserve"> a gradual </w:t>
      </w:r>
      <w:r>
        <w:rPr>
          <w:bCs/>
        </w:rPr>
        <w:lastRenderedPageBreak/>
        <w:t>increase</w:t>
      </w:r>
      <w:r w:rsidR="005F7A2F">
        <w:rPr>
          <w:bCs/>
        </w:rPr>
        <w:t xml:space="preserve"> occurring</w:t>
      </w:r>
      <w:r>
        <w:rPr>
          <w:bCs/>
        </w:rPr>
        <w:t xml:space="preserve"> from 2019 to 2021. The standard strength of PPI medications </w:t>
      </w:r>
      <w:r w:rsidR="005F7A2F">
        <w:rPr>
          <w:bCs/>
        </w:rPr>
        <w:t>wa</w:t>
      </w:r>
      <w:r>
        <w:rPr>
          <w:bCs/>
        </w:rPr>
        <w:t>s the most commonly prescribed, with small increases and decreases at every quarter from 2013 to 2021.</w:t>
      </w:r>
    </w:p>
    <w:p w14:paraId="33E612E7" w14:textId="58461653" w:rsidR="001A274E" w:rsidRPr="008E5BAE" w:rsidRDefault="001A274E" w:rsidP="008E5BAE">
      <w:pPr>
        <w:pStyle w:val="ListParagraph"/>
        <w:numPr>
          <w:ilvl w:val="0"/>
          <w:numId w:val="46"/>
        </w:numPr>
        <w:ind w:right="750"/>
        <w:rPr>
          <w:rFonts w:ascii="Calibri" w:eastAsia="Times New Roman" w:hAnsi="Calibri" w:cs="Calibri"/>
        </w:rPr>
      </w:pPr>
      <w:r>
        <w:rPr>
          <w:rFonts w:ascii="Calibri" w:eastAsia="Times New Roman" w:hAnsi="Calibri" w:cs="Calibri"/>
        </w:rPr>
        <w:t>I</w:t>
      </w:r>
      <w:r w:rsidRPr="001A274E">
        <w:rPr>
          <w:rFonts w:ascii="Calibri" w:eastAsia="Times New Roman" w:hAnsi="Calibri" w:cs="Calibri"/>
        </w:rPr>
        <w:t>n 2017 there were</w:t>
      </w:r>
      <w:r w:rsidRPr="001A274E">
        <w:rPr>
          <w:rFonts w:ascii="Calibri" w:eastAsia="Times New Roman" w:hAnsi="Calibri" w:cs="Calibri"/>
          <w:color w:val="000000"/>
        </w:rPr>
        <w:t xml:space="preserve"> 611,154 initiating patients on PPI medication and in 2020 there were 494,347 initiating patients on PPI medication. </w:t>
      </w:r>
      <w:r>
        <w:rPr>
          <w:rFonts w:ascii="Calibri" w:eastAsia="Times New Roman" w:hAnsi="Calibri" w:cs="Calibri"/>
          <w:color w:val="000000"/>
        </w:rPr>
        <w:t>I</w:t>
      </w:r>
      <w:r w:rsidRPr="00EE2982">
        <w:t>n 2017 there were</w:t>
      </w:r>
      <w:r w:rsidRPr="00A90781">
        <w:t xml:space="preserve"> </w:t>
      </w:r>
      <w:r w:rsidRPr="001A274E">
        <w:rPr>
          <w:rFonts w:ascii="Calibri" w:eastAsia="Times New Roman" w:hAnsi="Calibri" w:cs="Calibri"/>
        </w:rPr>
        <w:t xml:space="preserve">145,903 (24%) patients first starting on a high dose of PPI medication. </w:t>
      </w:r>
      <w:r w:rsidR="005F7A2F">
        <w:rPr>
          <w:rFonts w:ascii="Calibri" w:eastAsia="Times New Roman" w:hAnsi="Calibri" w:cs="Calibri"/>
        </w:rPr>
        <w:t>I</w:t>
      </w:r>
      <w:r w:rsidRPr="001A274E">
        <w:rPr>
          <w:rFonts w:ascii="Calibri" w:eastAsia="Times New Roman" w:hAnsi="Calibri" w:cs="Calibri"/>
        </w:rPr>
        <w:t xml:space="preserve">n 2020 there were 8,026 (2%) initiating patients on high dose of PPI. For first initiators in 2017, 20,309 (3%) patients went from a standard dose to high dose medication and in 2020 there was 5,896 (1%) patients starting on standard dose who transitioned to a high dose. </w:t>
      </w:r>
    </w:p>
    <w:p w14:paraId="7B5A40F6" w14:textId="3F0BA309" w:rsidR="001A274E" w:rsidRPr="001A274E" w:rsidRDefault="001A274E" w:rsidP="000B6B5B">
      <w:pPr>
        <w:pStyle w:val="ListParagraph"/>
        <w:numPr>
          <w:ilvl w:val="0"/>
          <w:numId w:val="46"/>
        </w:numPr>
      </w:pPr>
      <w:r w:rsidRPr="00D62445">
        <w:t xml:space="preserve">The aim of the </w:t>
      </w:r>
      <w:r>
        <w:t xml:space="preserve">2019 </w:t>
      </w:r>
      <w:r w:rsidRPr="00D62445">
        <w:t xml:space="preserve">restriction changes was to reduce the number of patients using high dose formulations. The </w:t>
      </w:r>
      <w:r w:rsidR="00C85300">
        <w:t>Defined Daily Doses (DDDs</w:t>
      </w:r>
      <w:r w:rsidR="005F7A2F">
        <w:t>)</w:t>
      </w:r>
      <w:r w:rsidR="004B0331">
        <w:t xml:space="preserve"> </w:t>
      </w:r>
      <w:r>
        <w:t>analysis</w:t>
      </w:r>
      <w:r w:rsidRPr="00D62445">
        <w:t xml:space="preserve"> show</w:t>
      </w:r>
      <w:r w:rsidR="005F7A2F">
        <w:t>ed</w:t>
      </w:r>
      <w:r w:rsidRPr="00D62445">
        <w:t xml:space="preserve"> that there </w:t>
      </w:r>
      <w:r w:rsidR="005F7A2F">
        <w:t>was</w:t>
      </w:r>
      <w:r w:rsidRPr="00D62445">
        <w:t xml:space="preserve"> a reduction in the DDDs for high dose</w:t>
      </w:r>
      <w:r>
        <w:t xml:space="preserve"> listings</w:t>
      </w:r>
      <w:r w:rsidRPr="00D62445">
        <w:t>. The overall DDDs for all PP</w:t>
      </w:r>
      <w:r>
        <w:t>I</w:t>
      </w:r>
      <w:r w:rsidRPr="00D62445">
        <w:t>s show</w:t>
      </w:r>
      <w:r w:rsidR="004D12CA">
        <w:t>ed</w:t>
      </w:r>
      <w:r w:rsidRPr="00D62445">
        <w:t xml:space="preserve"> there </w:t>
      </w:r>
      <w:r w:rsidR="004D12CA">
        <w:t>wa</w:t>
      </w:r>
      <w:r w:rsidRPr="00D62445">
        <w:t xml:space="preserve">s an overall reduction in DDDs following the restriction changes. </w:t>
      </w:r>
      <w:r>
        <w:t>E</w:t>
      </w:r>
      <w:r w:rsidRPr="00D62445">
        <w:t xml:space="preserve">ven though total script utilisation (across all drugs) increased after the May 2019 </w:t>
      </w:r>
      <w:r>
        <w:t xml:space="preserve">restriction </w:t>
      </w:r>
      <w:r w:rsidRPr="00D62445">
        <w:t>changes, the total number of DDDs decreased.</w:t>
      </w:r>
    </w:p>
    <w:p w14:paraId="42AAA256" w14:textId="77777777" w:rsidR="001A274E" w:rsidRPr="001A274E" w:rsidRDefault="001A274E" w:rsidP="001A274E"/>
    <w:p w14:paraId="48D9CC79" w14:textId="5D90D173" w:rsidR="00107BB6" w:rsidRDefault="00107BB6" w:rsidP="00220C3F">
      <w:pPr>
        <w:pStyle w:val="Heading1"/>
      </w:pPr>
      <w:r>
        <w:br w:type="page"/>
      </w:r>
      <w:r w:rsidR="00220C3F" w:rsidRPr="00CF5E22">
        <w:lastRenderedPageBreak/>
        <w:t>Purpose of analysis</w:t>
      </w:r>
    </w:p>
    <w:p w14:paraId="40DBA3D3" w14:textId="412E2FDC" w:rsidR="00107BB6" w:rsidRPr="00220C3F" w:rsidRDefault="00107BB6" w:rsidP="00220C3F">
      <w:pPr>
        <w:widowControl w:val="0"/>
        <w:spacing w:before="201" w:after="0"/>
        <w:ind w:right="192"/>
        <w:rPr>
          <w:rFonts w:ascii="Calibri" w:eastAsia="Calibri" w:hAnsi="Calibri" w:cs="Times New Roman"/>
          <w:lang w:val="en-US" w:eastAsia="en-US"/>
        </w:rPr>
      </w:pPr>
      <w:r w:rsidRPr="00AA5B79">
        <w:rPr>
          <w:rFonts w:ascii="Calibri" w:eastAsia="Calibri" w:hAnsi="Calibri" w:cs="Times New Roman"/>
          <w:lang w:val="en-US" w:eastAsia="en-US"/>
        </w:rPr>
        <w:t>The</w:t>
      </w:r>
      <w:r w:rsidRPr="00AA5B79">
        <w:rPr>
          <w:rFonts w:ascii="Calibri" w:eastAsia="Calibri" w:hAnsi="Calibri" w:cs="Times New Roman"/>
          <w:spacing w:val="-4"/>
          <w:lang w:val="en-US" w:eastAsia="en-US"/>
        </w:rPr>
        <w:t xml:space="preserve"> </w:t>
      </w:r>
      <w:r w:rsidRPr="00AA5B79">
        <w:rPr>
          <w:rFonts w:ascii="Calibri" w:eastAsia="Calibri" w:hAnsi="Calibri" w:cs="Times New Roman"/>
          <w:spacing w:val="-1"/>
          <w:lang w:val="en-US" w:eastAsia="en-US"/>
        </w:rPr>
        <w:t>purpose</w:t>
      </w:r>
      <w:r w:rsidRPr="00AA5B79">
        <w:rPr>
          <w:rFonts w:ascii="Calibri" w:eastAsia="Calibri" w:hAnsi="Calibri" w:cs="Times New Roman"/>
          <w:spacing w:val="-4"/>
          <w:lang w:val="en-US" w:eastAsia="en-US"/>
        </w:rPr>
        <w:t xml:space="preserve"> </w:t>
      </w:r>
      <w:r w:rsidRPr="00AA5B79">
        <w:rPr>
          <w:rFonts w:ascii="Calibri" w:eastAsia="Calibri" w:hAnsi="Calibri" w:cs="Times New Roman"/>
          <w:lang w:val="en-US" w:eastAsia="en-US"/>
        </w:rPr>
        <w:t>of</w:t>
      </w:r>
      <w:r w:rsidRPr="00AA5B79">
        <w:rPr>
          <w:rFonts w:ascii="Calibri" w:eastAsia="Calibri" w:hAnsi="Calibri" w:cs="Times New Roman"/>
          <w:spacing w:val="-4"/>
          <w:lang w:val="en-US" w:eastAsia="en-US"/>
        </w:rPr>
        <w:t xml:space="preserve"> </w:t>
      </w:r>
      <w:r w:rsidRPr="00AA5B79">
        <w:rPr>
          <w:rFonts w:ascii="Calibri" w:eastAsia="Calibri" w:hAnsi="Calibri" w:cs="Times New Roman"/>
          <w:spacing w:val="-1"/>
          <w:lang w:val="en-US" w:eastAsia="en-US"/>
        </w:rPr>
        <w:t>this</w:t>
      </w:r>
      <w:r w:rsidRPr="00AA5B79">
        <w:rPr>
          <w:rFonts w:ascii="Calibri" w:eastAsia="Calibri" w:hAnsi="Calibri" w:cs="Times New Roman"/>
          <w:spacing w:val="-2"/>
          <w:lang w:val="en-US" w:eastAsia="en-US"/>
        </w:rPr>
        <w:t xml:space="preserve"> </w:t>
      </w:r>
      <w:r w:rsidRPr="00AA5B79">
        <w:rPr>
          <w:rFonts w:ascii="Calibri" w:eastAsia="Calibri" w:hAnsi="Calibri" w:cs="Times New Roman"/>
          <w:spacing w:val="-1"/>
          <w:lang w:val="en-US" w:eastAsia="en-US"/>
        </w:rPr>
        <w:t>analysis</w:t>
      </w:r>
      <w:r w:rsidRPr="00AA5B79">
        <w:rPr>
          <w:rFonts w:ascii="Calibri" w:eastAsia="Calibri" w:hAnsi="Calibri" w:cs="Times New Roman"/>
          <w:spacing w:val="-3"/>
          <w:lang w:val="en-US" w:eastAsia="en-US"/>
        </w:rPr>
        <w:t xml:space="preserve"> </w:t>
      </w:r>
      <w:r w:rsidR="004D12CA">
        <w:rPr>
          <w:rFonts w:ascii="Calibri" w:eastAsia="Calibri" w:hAnsi="Calibri" w:cs="Times New Roman"/>
          <w:spacing w:val="-1"/>
          <w:lang w:val="en-US" w:eastAsia="en-US"/>
        </w:rPr>
        <w:t>wa</w:t>
      </w:r>
      <w:r>
        <w:rPr>
          <w:rFonts w:ascii="Calibri" w:eastAsia="Calibri" w:hAnsi="Calibri" w:cs="Times New Roman"/>
          <w:spacing w:val="-1"/>
          <w:lang w:val="en-US" w:eastAsia="en-US"/>
        </w:rPr>
        <w:t>s</w:t>
      </w:r>
      <w:r w:rsidRPr="00AA5B79">
        <w:rPr>
          <w:rFonts w:ascii="Calibri" w:eastAsia="Calibri" w:hAnsi="Calibri" w:cs="Times New Roman"/>
          <w:spacing w:val="-2"/>
          <w:lang w:val="en-US" w:eastAsia="en-US"/>
        </w:rPr>
        <w:t xml:space="preserve"> </w:t>
      </w:r>
      <w:r w:rsidRPr="00AA5B79">
        <w:rPr>
          <w:rFonts w:ascii="Calibri" w:eastAsia="Calibri" w:hAnsi="Calibri" w:cs="Times New Roman"/>
          <w:lang w:val="en-US" w:eastAsia="en-US"/>
        </w:rPr>
        <w:t>to</w:t>
      </w:r>
      <w:r w:rsidRPr="00AA5B79">
        <w:rPr>
          <w:rFonts w:ascii="Calibri" w:eastAsia="Calibri" w:hAnsi="Calibri" w:cs="Times New Roman"/>
          <w:spacing w:val="-2"/>
          <w:lang w:val="en-US" w:eastAsia="en-US"/>
        </w:rPr>
        <w:t xml:space="preserve"> </w:t>
      </w:r>
      <w:r w:rsidRPr="00AA5B79">
        <w:rPr>
          <w:rFonts w:ascii="Calibri" w:eastAsia="Calibri" w:hAnsi="Calibri" w:cs="Times New Roman"/>
          <w:spacing w:val="-1"/>
          <w:lang w:val="en-US" w:eastAsia="en-US"/>
        </w:rPr>
        <w:t>provide</w:t>
      </w:r>
      <w:r w:rsidRPr="00AA5B79">
        <w:rPr>
          <w:rFonts w:ascii="Calibri" w:eastAsia="Calibri" w:hAnsi="Calibri" w:cs="Times New Roman"/>
          <w:spacing w:val="-4"/>
          <w:lang w:val="en-US" w:eastAsia="en-US"/>
        </w:rPr>
        <w:t xml:space="preserve"> </w:t>
      </w:r>
      <w:r w:rsidRPr="00AA5B79">
        <w:rPr>
          <w:rFonts w:ascii="Calibri" w:eastAsia="Calibri" w:hAnsi="Calibri" w:cs="Times New Roman"/>
          <w:lang w:val="en-US" w:eastAsia="en-US"/>
        </w:rPr>
        <w:t>an</w:t>
      </w:r>
      <w:r w:rsidRPr="00AA5B79">
        <w:rPr>
          <w:rFonts w:ascii="Calibri" w:eastAsia="Calibri" w:hAnsi="Calibri" w:cs="Times New Roman"/>
          <w:spacing w:val="-3"/>
          <w:lang w:val="en-US" w:eastAsia="en-US"/>
        </w:rPr>
        <w:t xml:space="preserve"> </w:t>
      </w:r>
      <w:r w:rsidRPr="00AA5B79">
        <w:rPr>
          <w:rFonts w:ascii="Calibri" w:eastAsia="Calibri" w:hAnsi="Calibri" w:cs="Times New Roman"/>
          <w:spacing w:val="-1"/>
          <w:lang w:val="en-US" w:eastAsia="en-US"/>
        </w:rPr>
        <w:t>overview</w:t>
      </w:r>
      <w:r w:rsidRPr="00AA5B79">
        <w:rPr>
          <w:rFonts w:ascii="Calibri" w:eastAsia="Calibri" w:hAnsi="Calibri" w:cs="Times New Roman"/>
          <w:spacing w:val="-4"/>
          <w:lang w:val="en-US" w:eastAsia="en-US"/>
        </w:rPr>
        <w:t xml:space="preserve"> </w:t>
      </w:r>
      <w:r w:rsidRPr="00AA5B79">
        <w:rPr>
          <w:rFonts w:ascii="Calibri" w:eastAsia="Calibri" w:hAnsi="Calibri" w:cs="Times New Roman"/>
          <w:lang w:val="en-US" w:eastAsia="en-US"/>
        </w:rPr>
        <w:t>of</w:t>
      </w:r>
      <w:r w:rsidRPr="00AA5B79">
        <w:rPr>
          <w:rFonts w:ascii="Calibri" w:eastAsia="Calibri" w:hAnsi="Calibri" w:cs="Times New Roman"/>
          <w:spacing w:val="-3"/>
          <w:lang w:val="en-US" w:eastAsia="en-US"/>
        </w:rPr>
        <w:t xml:space="preserve"> </w:t>
      </w:r>
      <w:r w:rsidRPr="00AA5B79">
        <w:rPr>
          <w:rFonts w:ascii="Calibri" w:eastAsia="Calibri" w:hAnsi="Calibri" w:cs="Times New Roman"/>
          <w:spacing w:val="-1"/>
          <w:lang w:val="en-US" w:eastAsia="en-US"/>
        </w:rPr>
        <w:t>recent</w:t>
      </w:r>
      <w:r w:rsidRPr="00AA5B79">
        <w:rPr>
          <w:rFonts w:ascii="Calibri" w:eastAsia="Calibri" w:hAnsi="Calibri" w:cs="Times New Roman"/>
          <w:spacing w:val="4"/>
          <w:lang w:val="en-US" w:eastAsia="en-US"/>
        </w:rPr>
        <w:t xml:space="preserve"> </w:t>
      </w:r>
      <w:proofErr w:type="spellStart"/>
      <w:r w:rsidRPr="00AA5B79">
        <w:rPr>
          <w:rFonts w:ascii="Calibri" w:eastAsia="Calibri" w:hAnsi="Calibri" w:cs="Times New Roman"/>
          <w:spacing w:val="-1"/>
          <w:lang w:val="en-US" w:eastAsia="en-US"/>
        </w:rPr>
        <w:t>utilisation</w:t>
      </w:r>
      <w:proofErr w:type="spellEnd"/>
      <w:r w:rsidRPr="00AA5B79">
        <w:rPr>
          <w:rFonts w:ascii="Calibri" w:eastAsia="Calibri" w:hAnsi="Calibri" w:cs="Times New Roman"/>
          <w:spacing w:val="-2"/>
          <w:lang w:val="en-US" w:eastAsia="en-US"/>
        </w:rPr>
        <w:t xml:space="preserve"> </w:t>
      </w:r>
      <w:r w:rsidRPr="00AA5B79">
        <w:rPr>
          <w:rFonts w:ascii="Calibri" w:eastAsia="Calibri" w:hAnsi="Calibri" w:cs="Times New Roman"/>
          <w:lang w:val="en-US" w:eastAsia="en-US"/>
        </w:rPr>
        <w:t>patterns</w:t>
      </w:r>
      <w:r w:rsidRPr="00AA5B79">
        <w:rPr>
          <w:rFonts w:ascii="Calibri" w:eastAsia="Calibri" w:hAnsi="Calibri" w:cs="Times New Roman"/>
          <w:spacing w:val="-3"/>
          <w:lang w:val="en-US" w:eastAsia="en-US"/>
        </w:rPr>
        <w:t xml:space="preserve"> </w:t>
      </w:r>
      <w:r w:rsidRPr="00AA5B79">
        <w:rPr>
          <w:rFonts w:ascii="Calibri" w:eastAsia="Calibri" w:hAnsi="Calibri" w:cs="Times New Roman"/>
          <w:spacing w:val="-1"/>
          <w:lang w:val="en-US" w:eastAsia="en-US"/>
        </w:rPr>
        <w:t>of</w:t>
      </w:r>
      <w:r w:rsidRPr="00AA5B79">
        <w:rPr>
          <w:rFonts w:ascii="Calibri" w:eastAsia="Calibri" w:hAnsi="Calibri" w:cs="Times New Roman"/>
          <w:spacing w:val="53"/>
          <w:lang w:val="en-US" w:eastAsia="en-US"/>
        </w:rPr>
        <w:t xml:space="preserve"> </w:t>
      </w:r>
      <w:r w:rsidRPr="00AA5B79">
        <w:rPr>
          <w:rFonts w:ascii="Calibri" w:eastAsia="Calibri" w:hAnsi="Calibri" w:cs="Times New Roman"/>
          <w:spacing w:val="-1"/>
          <w:lang w:val="en-US" w:eastAsia="en-US"/>
        </w:rPr>
        <w:t>Pharmaceutical</w:t>
      </w:r>
      <w:r w:rsidRPr="00AA5B79">
        <w:rPr>
          <w:rFonts w:ascii="Calibri" w:eastAsia="Calibri" w:hAnsi="Calibri" w:cs="Times New Roman"/>
          <w:spacing w:val="-3"/>
          <w:lang w:val="en-US" w:eastAsia="en-US"/>
        </w:rPr>
        <w:t xml:space="preserve"> </w:t>
      </w:r>
      <w:r w:rsidRPr="00AA5B79">
        <w:rPr>
          <w:rFonts w:ascii="Calibri" w:eastAsia="Calibri" w:hAnsi="Calibri" w:cs="Times New Roman"/>
          <w:spacing w:val="-1"/>
          <w:lang w:val="en-US" w:eastAsia="en-US"/>
        </w:rPr>
        <w:t>Benefits</w:t>
      </w:r>
      <w:r w:rsidRPr="00AA5B79">
        <w:rPr>
          <w:rFonts w:ascii="Calibri" w:eastAsia="Calibri" w:hAnsi="Calibri" w:cs="Times New Roman"/>
          <w:spacing w:val="-6"/>
          <w:lang w:val="en-US" w:eastAsia="en-US"/>
        </w:rPr>
        <w:t xml:space="preserve"> </w:t>
      </w:r>
      <w:r w:rsidRPr="00AA5B79">
        <w:rPr>
          <w:rFonts w:ascii="Calibri" w:eastAsia="Calibri" w:hAnsi="Calibri" w:cs="Times New Roman"/>
          <w:spacing w:val="-1"/>
          <w:lang w:val="en-US" w:eastAsia="en-US"/>
        </w:rPr>
        <w:t>Scheme</w:t>
      </w:r>
      <w:r w:rsidRPr="00AA5B79">
        <w:rPr>
          <w:rFonts w:ascii="Calibri" w:eastAsia="Calibri" w:hAnsi="Calibri" w:cs="Times New Roman"/>
          <w:spacing w:val="-3"/>
          <w:lang w:val="en-US" w:eastAsia="en-US"/>
        </w:rPr>
        <w:t xml:space="preserve"> </w:t>
      </w:r>
      <w:r w:rsidRPr="00AA5B79">
        <w:rPr>
          <w:rFonts w:ascii="Calibri" w:eastAsia="Calibri" w:hAnsi="Calibri" w:cs="Times New Roman"/>
          <w:spacing w:val="-1"/>
          <w:lang w:val="en-US" w:eastAsia="en-US"/>
        </w:rPr>
        <w:t>(PBS)-listed</w:t>
      </w:r>
      <w:r w:rsidRPr="00AA5B79">
        <w:rPr>
          <w:rFonts w:ascii="Calibri" w:eastAsia="Calibri" w:hAnsi="Calibri" w:cs="Times New Roman"/>
          <w:spacing w:val="-4"/>
          <w:lang w:val="en-US" w:eastAsia="en-US"/>
        </w:rPr>
        <w:t xml:space="preserve"> </w:t>
      </w:r>
      <w:r w:rsidRPr="00AA5B79">
        <w:rPr>
          <w:rFonts w:ascii="Calibri" w:eastAsia="Calibri" w:hAnsi="Calibri" w:cs="Times New Roman"/>
          <w:spacing w:val="-1"/>
          <w:lang w:val="en-US" w:eastAsia="en-US"/>
        </w:rPr>
        <w:t>proton</w:t>
      </w:r>
      <w:r w:rsidRPr="00AA5B79">
        <w:rPr>
          <w:rFonts w:ascii="Calibri" w:eastAsia="Calibri" w:hAnsi="Calibri" w:cs="Times New Roman"/>
          <w:spacing w:val="-4"/>
          <w:lang w:val="en-US" w:eastAsia="en-US"/>
        </w:rPr>
        <w:t xml:space="preserve"> </w:t>
      </w:r>
      <w:r w:rsidRPr="00AA5B79">
        <w:rPr>
          <w:rFonts w:ascii="Calibri" w:eastAsia="Calibri" w:hAnsi="Calibri" w:cs="Times New Roman"/>
          <w:spacing w:val="-1"/>
          <w:lang w:val="en-US" w:eastAsia="en-US"/>
        </w:rPr>
        <w:t>pump</w:t>
      </w:r>
      <w:r w:rsidRPr="00AA5B79">
        <w:rPr>
          <w:rFonts w:ascii="Calibri" w:eastAsia="Calibri" w:hAnsi="Calibri" w:cs="Times New Roman"/>
          <w:spacing w:val="-3"/>
          <w:lang w:val="en-US" w:eastAsia="en-US"/>
        </w:rPr>
        <w:t xml:space="preserve"> </w:t>
      </w:r>
      <w:r w:rsidRPr="00AA5B79">
        <w:rPr>
          <w:rFonts w:ascii="Calibri" w:eastAsia="Calibri" w:hAnsi="Calibri" w:cs="Times New Roman"/>
          <w:spacing w:val="-1"/>
          <w:lang w:val="en-US" w:eastAsia="en-US"/>
        </w:rPr>
        <w:t>inhibitor</w:t>
      </w:r>
      <w:r w:rsidRPr="00AA5B79">
        <w:rPr>
          <w:rFonts w:ascii="Calibri" w:eastAsia="Calibri" w:hAnsi="Calibri" w:cs="Times New Roman"/>
          <w:spacing w:val="-6"/>
          <w:lang w:val="en-US" w:eastAsia="en-US"/>
        </w:rPr>
        <w:t xml:space="preserve"> </w:t>
      </w:r>
      <w:r w:rsidRPr="00AA5B79">
        <w:rPr>
          <w:rFonts w:ascii="Calibri" w:eastAsia="Calibri" w:hAnsi="Calibri" w:cs="Times New Roman"/>
          <w:lang w:val="en-US" w:eastAsia="en-US"/>
        </w:rPr>
        <w:t>(PPI)</w:t>
      </w:r>
      <w:r w:rsidRPr="00AA5B79">
        <w:rPr>
          <w:rFonts w:ascii="Calibri" w:eastAsia="Calibri" w:hAnsi="Calibri" w:cs="Times New Roman"/>
          <w:spacing w:val="-4"/>
          <w:lang w:val="en-US" w:eastAsia="en-US"/>
        </w:rPr>
        <w:t xml:space="preserve"> </w:t>
      </w:r>
      <w:r w:rsidRPr="00AA5B79">
        <w:rPr>
          <w:rFonts w:ascii="Calibri" w:eastAsia="Calibri" w:hAnsi="Calibri" w:cs="Times New Roman"/>
          <w:lang w:val="en-US" w:eastAsia="en-US"/>
        </w:rPr>
        <w:t>medicines</w:t>
      </w:r>
      <w:r>
        <w:rPr>
          <w:rFonts w:ascii="Calibri" w:eastAsia="Calibri" w:hAnsi="Calibri" w:cs="Times New Roman"/>
          <w:lang w:val="en-US" w:eastAsia="en-US"/>
        </w:rPr>
        <w:t xml:space="preserve"> including </w:t>
      </w:r>
      <w:r w:rsidR="0036095F">
        <w:rPr>
          <w:rFonts w:ascii="Calibri" w:eastAsia="Calibri" w:hAnsi="Calibri" w:cs="Times New Roman"/>
          <w:lang w:val="en-US" w:eastAsia="en-US"/>
        </w:rPr>
        <w:t>e</w:t>
      </w:r>
      <w:r>
        <w:rPr>
          <w:rFonts w:ascii="Calibri" w:eastAsia="Calibri" w:hAnsi="Calibri" w:cs="Times New Roman"/>
          <w:lang w:val="en-US" w:eastAsia="en-US"/>
        </w:rPr>
        <w:t xml:space="preserve">someprazole, </w:t>
      </w:r>
      <w:r w:rsidR="0036095F">
        <w:rPr>
          <w:rFonts w:ascii="Calibri" w:eastAsia="Calibri" w:hAnsi="Calibri" w:cs="Times New Roman"/>
          <w:lang w:val="en-US" w:eastAsia="en-US"/>
        </w:rPr>
        <w:t>l</w:t>
      </w:r>
      <w:r>
        <w:rPr>
          <w:rFonts w:ascii="Calibri" w:eastAsia="Calibri" w:hAnsi="Calibri" w:cs="Times New Roman"/>
          <w:lang w:val="en-US" w:eastAsia="en-US"/>
        </w:rPr>
        <w:t xml:space="preserve">ansoprazole, </w:t>
      </w:r>
      <w:r w:rsidR="0036095F">
        <w:rPr>
          <w:rFonts w:ascii="Calibri" w:eastAsia="Calibri" w:hAnsi="Calibri" w:cs="Times New Roman"/>
          <w:lang w:val="en-US" w:eastAsia="en-US"/>
        </w:rPr>
        <w:t>o</w:t>
      </w:r>
      <w:r>
        <w:rPr>
          <w:rFonts w:ascii="Calibri" w:eastAsia="Calibri" w:hAnsi="Calibri" w:cs="Times New Roman"/>
          <w:lang w:val="en-US" w:eastAsia="en-US"/>
        </w:rPr>
        <w:t xml:space="preserve">meprazole, </w:t>
      </w:r>
      <w:r w:rsidR="0036095F">
        <w:rPr>
          <w:rFonts w:ascii="Calibri" w:eastAsia="Calibri" w:hAnsi="Calibri" w:cs="Times New Roman"/>
          <w:lang w:val="en-US" w:eastAsia="en-US"/>
        </w:rPr>
        <w:t>p</w:t>
      </w:r>
      <w:r>
        <w:rPr>
          <w:rFonts w:ascii="Calibri" w:eastAsia="Calibri" w:hAnsi="Calibri" w:cs="Times New Roman"/>
          <w:lang w:val="en-US" w:eastAsia="en-US"/>
        </w:rPr>
        <w:t xml:space="preserve">antoprazole and </w:t>
      </w:r>
      <w:r w:rsidR="0036095F">
        <w:rPr>
          <w:rFonts w:ascii="Calibri" w:eastAsia="Calibri" w:hAnsi="Calibri" w:cs="Times New Roman"/>
          <w:lang w:val="en-US" w:eastAsia="en-US"/>
        </w:rPr>
        <w:t>r</w:t>
      </w:r>
      <w:r>
        <w:rPr>
          <w:rFonts w:ascii="Calibri" w:eastAsia="Calibri" w:hAnsi="Calibri" w:cs="Times New Roman"/>
          <w:lang w:val="en-US" w:eastAsia="en-US"/>
        </w:rPr>
        <w:t>abeprazole</w:t>
      </w:r>
      <w:r w:rsidRPr="00AA5B79">
        <w:rPr>
          <w:rFonts w:ascii="Calibri" w:eastAsia="Calibri" w:hAnsi="Calibri" w:cs="Times New Roman"/>
          <w:lang w:val="en-US" w:eastAsia="en-US"/>
        </w:rPr>
        <w:t>,</w:t>
      </w:r>
      <w:r w:rsidRPr="00AA5B79">
        <w:rPr>
          <w:rFonts w:ascii="Calibri" w:eastAsia="Calibri" w:hAnsi="Calibri" w:cs="Times New Roman"/>
          <w:spacing w:val="-5"/>
          <w:lang w:val="en-US" w:eastAsia="en-US"/>
        </w:rPr>
        <w:t xml:space="preserve"> </w:t>
      </w:r>
      <w:r w:rsidRPr="00AA5B79">
        <w:rPr>
          <w:rFonts w:ascii="Calibri" w:eastAsia="Calibri" w:hAnsi="Calibri" w:cs="Times New Roman"/>
          <w:spacing w:val="-1"/>
          <w:lang w:val="en-US" w:eastAsia="en-US"/>
        </w:rPr>
        <w:t>used</w:t>
      </w:r>
      <w:r w:rsidRPr="00AA5B79">
        <w:rPr>
          <w:rFonts w:ascii="Calibri" w:eastAsia="Calibri" w:hAnsi="Calibri" w:cs="Times New Roman"/>
          <w:spacing w:val="-3"/>
          <w:lang w:val="en-US" w:eastAsia="en-US"/>
        </w:rPr>
        <w:t xml:space="preserve"> </w:t>
      </w:r>
      <w:r w:rsidRPr="00AA5B79">
        <w:rPr>
          <w:rFonts w:ascii="Calibri" w:eastAsia="Calibri" w:hAnsi="Calibri" w:cs="Times New Roman"/>
          <w:spacing w:val="-2"/>
          <w:lang w:val="en-US" w:eastAsia="en-US"/>
        </w:rPr>
        <w:t xml:space="preserve">in </w:t>
      </w:r>
      <w:r w:rsidRPr="00AA5B79">
        <w:rPr>
          <w:rFonts w:ascii="Calibri" w:eastAsia="Calibri" w:hAnsi="Calibri" w:cs="Times New Roman"/>
          <w:spacing w:val="-1"/>
          <w:lang w:val="en-US" w:eastAsia="en-US"/>
        </w:rPr>
        <w:t>th</w:t>
      </w:r>
      <w:r>
        <w:rPr>
          <w:rFonts w:ascii="Calibri" w:eastAsia="Calibri" w:hAnsi="Calibri" w:cs="Times New Roman"/>
          <w:spacing w:val="-1"/>
          <w:lang w:val="en-US" w:eastAsia="en-US"/>
        </w:rPr>
        <w:t xml:space="preserve">e </w:t>
      </w:r>
      <w:r w:rsidRPr="00AA5B79">
        <w:rPr>
          <w:rFonts w:ascii="Calibri" w:eastAsia="Calibri" w:hAnsi="Calibri" w:cs="Times New Roman"/>
          <w:spacing w:val="-1"/>
          <w:lang w:val="en-US" w:eastAsia="en-US"/>
        </w:rPr>
        <w:t>management</w:t>
      </w:r>
      <w:r w:rsidRPr="00AA5B79">
        <w:rPr>
          <w:rFonts w:ascii="Calibri" w:eastAsia="Calibri" w:hAnsi="Calibri" w:cs="Times New Roman"/>
          <w:spacing w:val="-6"/>
          <w:lang w:val="en-US" w:eastAsia="en-US"/>
        </w:rPr>
        <w:t xml:space="preserve"> </w:t>
      </w:r>
      <w:r w:rsidRPr="00AA5B79">
        <w:rPr>
          <w:rFonts w:ascii="Calibri" w:eastAsia="Calibri" w:hAnsi="Calibri" w:cs="Times New Roman"/>
          <w:lang w:val="en-US" w:eastAsia="en-US"/>
        </w:rPr>
        <w:t>of</w:t>
      </w:r>
      <w:r w:rsidRPr="00AA5B79">
        <w:rPr>
          <w:rFonts w:ascii="Calibri" w:eastAsia="Calibri" w:hAnsi="Calibri" w:cs="Times New Roman"/>
          <w:spacing w:val="-5"/>
          <w:lang w:val="en-US" w:eastAsia="en-US"/>
        </w:rPr>
        <w:t xml:space="preserve"> </w:t>
      </w:r>
      <w:r w:rsidRPr="00AA5B79">
        <w:rPr>
          <w:rFonts w:ascii="Calibri" w:eastAsia="Calibri" w:hAnsi="Calibri" w:cs="Times New Roman"/>
          <w:spacing w:val="-1"/>
          <w:lang w:val="en-US" w:eastAsia="en-US"/>
        </w:rPr>
        <w:t>gastrointestinal</w:t>
      </w:r>
      <w:r w:rsidRPr="00AA5B79">
        <w:rPr>
          <w:rFonts w:ascii="Calibri" w:eastAsia="Calibri" w:hAnsi="Calibri" w:cs="Times New Roman"/>
          <w:spacing w:val="-6"/>
          <w:lang w:val="en-US" w:eastAsia="en-US"/>
        </w:rPr>
        <w:t xml:space="preserve"> </w:t>
      </w:r>
      <w:r w:rsidRPr="00AA5B79">
        <w:rPr>
          <w:rFonts w:ascii="Calibri" w:eastAsia="Calibri" w:hAnsi="Calibri" w:cs="Times New Roman"/>
          <w:lang w:val="en-US" w:eastAsia="en-US"/>
        </w:rPr>
        <w:t>acid</w:t>
      </w:r>
      <w:r w:rsidRPr="00AA5B79">
        <w:rPr>
          <w:rFonts w:ascii="Calibri" w:eastAsia="Calibri" w:hAnsi="Calibri" w:cs="Times New Roman"/>
          <w:spacing w:val="-5"/>
          <w:lang w:val="en-US" w:eastAsia="en-US"/>
        </w:rPr>
        <w:t xml:space="preserve"> </w:t>
      </w:r>
      <w:r w:rsidRPr="00AA5B79">
        <w:rPr>
          <w:rFonts w:ascii="Calibri" w:eastAsia="Calibri" w:hAnsi="Calibri" w:cs="Times New Roman"/>
          <w:spacing w:val="-1"/>
          <w:lang w:val="en-US" w:eastAsia="en-US"/>
        </w:rPr>
        <w:t>related</w:t>
      </w:r>
      <w:r w:rsidRPr="00AA5B79">
        <w:rPr>
          <w:rFonts w:ascii="Calibri" w:eastAsia="Calibri" w:hAnsi="Calibri" w:cs="Times New Roman"/>
          <w:spacing w:val="-5"/>
          <w:lang w:val="en-US" w:eastAsia="en-US"/>
        </w:rPr>
        <w:t xml:space="preserve"> </w:t>
      </w:r>
      <w:r w:rsidRPr="00AA5B79">
        <w:rPr>
          <w:rFonts w:ascii="Calibri" w:eastAsia="Calibri" w:hAnsi="Calibri" w:cs="Times New Roman"/>
          <w:spacing w:val="-1"/>
          <w:lang w:val="en-US" w:eastAsia="en-US"/>
        </w:rPr>
        <w:t>disorders,</w:t>
      </w:r>
      <w:r w:rsidRPr="00AA5B79">
        <w:rPr>
          <w:rFonts w:ascii="Calibri" w:eastAsia="Calibri" w:hAnsi="Calibri" w:cs="Times New Roman"/>
          <w:spacing w:val="-5"/>
          <w:lang w:val="en-US" w:eastAsia="en-US"/>
        </w:rPr>
        <w:t xml:space="preserve"> </w:t>
      </w:r>
      <w:r w:rsidRPr="00AA5B79">
        <w:rPr>
          <w:rFonts w:ascii="Calibri" w:eastAsia="Calibri" w:hAnsi="Calibri" w:cs="Times New Roman"/>
          <w:spacing w:val="-1"/>
          <w:lang w:val="en-US" w:eastAsia="en-US"/>
        </w:rPr>
        <w:t>including gastroesophageal</w:t>
      </w:r>
      <w:r w:rsidRPr="00AA5B79">
        <w:rPr>
          <w:rFonts w:ascii="Calibri" w:eastAsia="Calibri" w:hAnsi="Calibri" w:cs="Times New Roman"/>
          <w:spacing w:val="-4"/>
          <w:lang w:val="en-US" w:eastAsia="en-US"/>
        </w:rPr>
        <w:t xml:space="preserve"> </w:t>
      </w:r>
      <w:r w:rsidRPr="00AA5B79">
        <w:rPr>
          <w:rFonts w:ascii="Calibri" w:eastAsia="Calibri" w:hAnsi="Calibri" w:cs="Times New Roman"/>
          <w:spacing w:val="-1"/>
          <w:lang w:val="en-US" w:eastAsia="en-US"/>
        </w:rPr>
        <w:t>reflux</w:t>
      </w:r>
      <w:r w:rsidRPr="00AA5B79">
        <w:rPr>
          <w:rFonts w:ascii="Calibri" w:eastAsia="Calibri" w:hAnsi="Calibri" w:cs="Times New Roman"/>
          <w:spacing w:val="-8"/>
          <w:lang w:val="en-US" w:eastAsia="en-US"/>
        </w:rPr>
        <w:t xml:space="preserve"> </w:t>
      </w:r>
      <w:r w:rsidRPr="00AA5B79">
        <w:rPr>
          <w:rFonts w:ascii="Calibri" w:eastAsia="Calibri" w:hAnsi="Calibri" w:cs="Times New Roman"/>
          <w:lang w:val="en-US" w:eastAsia="en-US"/>
        </w:rPr>
        <w:t>disease</w:t>
      </w:r>
      <w:r>
        <w:rPr>
          <w:rFonts w:ascii="Calibri" w:eastAsia="Calibri" w:hAnsi="Calibri" w:cs="Times New Roman"/>
          <w:lang w:val="en-US" w:eastAsia="en-US"/>
        </w:rPr>
        <w:t xml:space="preserve"> </w:t>
      </w:r>
      <w:r w:rsidRPr="00AA5B79">
        <w:rPr>
          <w:rFonts w:ascii="Calibri" w:eastAsia="Calibri" w:hAnsi="Calibri" w:cs="Times New Roman"/>
          <w:spacing w:val="-1"/>
          <w:lang w:val="en-US" w:eastAsia="en-US"/>
        </w:rPr>
        <w:t>(GORD),</w:t>
      </w:r>
      <w:r w:rsidRPr="00AA5B79">
        <w:rPr>
          <w:rFonts w:ascii="Calibri" w:eastAsia="Calibri" w:hAnsi="Calibri" w:cs="Times New Roman"/>
          <w:spacing w:val="-4"/>
          <w:lang w:val="en-US" w:eastAsia="en-US"/>
        </w:rPr>
        <w:t xml:space="preserve"> </w:t>
      </w:r>
      <w:r w:rsidRPr="00AA5B79">
        <w:rPr>
          <w:rFonts w:ascii="Calibri" w:eastAsia="Calibri" w:hAnsi="Calibri" w:cs="Times New Roman"/>
          <w:lang w:val="en-US" w:eastAsia="en-US"/>
        </w:rPr>
        <w:t>peptic</w:t>
      </w:r>
      <w:r w:rsidRPr="00AA5B79">
        <w:rPr>
          <w:rFonts w:ascii="Calibri" w:eastAsia="Calibri" w:hAnsi="Calibri" w:cs="Times New Roman"/>
          <w:spacing w:val="-7"/>
          <w:lang w:val="en-US" w:eastAsia="en-US"/>
        </w:rPr>
        <w:t xml:space="preserve"> </w:t>
      </w:r>
      <w:r w:rsidRPr="00AA5B79">
        <w:rPr>
          <w:rFonts w:ascii="Calibri" w:eastAsia="Calibri" w:hAnsi="Calibri" w:cs="Times New Roman"/>
          <w:spacing w:val="-1"/>
          <w:lang w:val="en-US" w:eastAsia="en-US"/>
        </w:rPr>
        <w:t>ulcer,</w:t>
      </w:r>
      <w:r w:rsidRPr="00AA5B79">
        <w:rPr>
          <w:rFonts w:ascii="Calibri" w:eastAsia="Calibri" w:hAnsi="Calibri" w:cs="Times New Roman"/>
          <w:spacing w:val="-3"/>
          <w:lang w:val="en-US" w:eastAsia="en-US"/>
        </w:rPr>
        <w:t xml:space="preserve"> </w:t>
      </w:r>
      <w:r w:rsidRPr="00AA5B79">
        <w:rPr>
          <w:rFonts w:ascii="Calibri" w:eastAsia="Calibri" w:hAnsi="Calibri" w:cs="Times New Roman"/>
          <w:spacing w:val="-1"/>
          <w:lang w:val="en-US" w:eastAsia="en-US"/>
        </w:rPr>
        <w:t>gastric</w:t>
      </w:r>
      <w:r w:rsidRPr="00AA5B79">
        <w:rPr>
          <w:rFonts w:ascii="Calibri" w:eastAsia="Calibri" w:hAnsi="Calibri" w:cs="Times New Roman"/>
          <w:spacing w:val="-5"/>
          <w:lang w:val="en-US" w:eastAsia="en-US"/>
        </w:rPr>
        <w:t xml:space="preserve"> </w:t>
      </w:r>
      <w:r w:rsidRPr="00AA5B79">
        <w:rPr>
          <w:rFonts w:ascii="Calibri" w:eastAsia="Calibri" w:hAnsi="Calibri" w:cs="Times New Roman"/>
          <w:lang w:val="en-US" w:eastAsia="en-US"/>
        </w:rPr>
        <w:t>ulcer</w:t>
      </w:r>
      <w:r>
        <w:rPr>
          <w:rFonts w:ascii="Calibri" w:eastAsia="Calibri" w:hAnsi="Calibri" w:cs="Times New Roman"/>
          <w:lang w:val="en-US" w:eastAsia="en-US"/>
        </w:rPr>
        <w:t xml:space="preserve"> (including </w:t>
      </w:r>
      <w:r w:rsidRPr="0019030F">
        <w:rPr>
          <w:rFonts w:ascii="Calibri" w:eastAsia="Calibri" w:hAnsi="Calibri" w:cs="Times New Roman"/>
          <w:i/>
          <w:iCs/>
          <w:lang w:val="en-US" w:eastAsia="en-US"/>
        </w:rPr>
        <w:t>Helicobacter pylori</w:t>
      </w:r>
      <w:r>
        <w:rPr>
          <w:rFonts w:ascii="Calibri" w:eastAsia="Calibri" w:hAnsi="Calibri" w:cs="Times New Roman"/>
          <w:lang w:val="en-US" w:eastAsia="en-US"/>
        </w:rPr>
        <w:t xml:space="preserve"> Infection)</w:t>
      </w:r>
      <w:r w:rsidRPr="00AA5B79">
        <w:rPr>
          <w:rFonts w:ascii="Calibri" w:eastAsia="Calibri" w:hAnsi="Calibri" w:cs="Times New Roman"/>
          <w:lang w:val="en-US" w:eastAsia="en-US"/>
        </w:rPr>
        <w:t>,</w:t>
      </w:r>
      <w:r w:rsidRPr="00AA5B79">
        <w:rPr>
          <w:rFonts w:ascii="Calibri" w:eastAsia="Calibri" w:hAnsi="Calibri" w:cs="Times New Roman"/>
          <w:spacing w:val="-6"/>
          <w:lang w:val="en-US" w:eastAsia="en-US"/>
        </w:rPr>
        <w:t xml:space="preserve"> </w:t>
      </w:r>
      <w:r w:rsidR="003E4799">
        <w:rPr>
          <w:rFonts w:ascii="Calibri" w:eastAsia="Calibri" w:hAnsi="Calibri" w:cs="Times New Roman"/>
          <w:spacing w:val="-1"/>
          <w:lang w:val="en-US" w:eastAsia="en-US"/>
        </w:rPr>
        <w:t>p</w:t>
      </w:r>
      <w:r w:rsidR="003E4799" w:rsidRPr="003E4799">
        <w:rPr>
          <w:rFonts w:ascii="Calibri" w:eastAsia="Calibri" w:hAnsi="Calibri" w:cs="Times New Roman"/>
          <w:spacing w:val="-1"/>
          <w:lang w:val="en-US" w:eastAsia="en-US"/>
        </w:rPr>
        <w:t xml:space="preserve">athological hypersecretory conditions including Zollinger-Ellison syndrome </w:t>
      </w:r>
      <w:r w:rsidR="003E4799">
        <w:rPr>
          <w:rFonts w:ascii="Calibri" w:eastAsia="Calibri" w:hAnsi="Calibri" w:cs="Times New Roman"/>
          <w:spacing w:val="-1"/>
          <w:lang w:val="en-US" w:eastAsia="en-US"/>
        </w:rPr>
        <w:t xml:space="preserve">(ZES) </w:t>
      </w:r>
      <w:r w:rsidR="003E4799" w:rsidRPr="003E4799">
        <w:rPr>
          <w:rFonts w:ascii="Calibri" w:eastAsia="Calibri" w:hAnsi="Calibri" w:cs="Times New Roman"/>
          <w:spacing w:val="-1"/>
          <w:lang w:val="en-US" w:eastAsia="en-US"/>
        </w:rPr>
        <w:t>and idiopathic hypersecretion</w:t>
      </w:r>
      <w:r w:rsidR="003E4799">
        <w:rPr>
          <w:rFonts w:ascii="Calibri" w:eastAsia="Calibri" w:hAnsi="Calibri" w:cs="Times New Roman"/>
          <w:spacing w:val="-1"/>
          <w:lang w:val="en-US" w:eastAsia="en-US"/>
        </w:rPr>
        <w:t xml:space="preserve"> </w:t>
      </w:r>
      <w:r w:rsidRPr="00AA5B79">
        <w:rPr>
          <w:rFonts w:ascii="Calibri" w:eastAsia="Calibri" w:hAnsi="Calibri" w:cs="Times New Roman"/>
          <w:spacing w:val="-1"/>
          <w:lang w:val="en-US" w:eastAsia="en-US"/>
        </w:rPr>
        <w:t>and</w:t>
      </w:r>
      <w:r w:rsidRPr="00AA5B79">
        <w:rPr>
          <w:rFonts w:ascii="Calibri" w:eastAsia="Calibri" w:hAnsi="Calibri" w:cs="Times New Roman"/>
          <w:spacing w:val="-3"/>
          <w:lang w:val="en-US" w:eastAsia="en-US"/>
        </w:rPr>
        <w:t xml:space="preserve"> </w:t>
      </w:r>
      <w:r w:rsidRPr="00AA5B79">
        <w:rPr>
          <w:rFonts w:ascii="Calibri" w:eastAsia="Calibri" w:hAnsi="Calibri" w:cs="Times New Roman"/>
          <w:spacing w:val="-1"/>
          <w:lang w:val="en-US" w:eastAsia="en-US"/>
        </w:rPr>
        <w:t>scleroderma</w:t>
      </w:r>
      <w:r w:rsidRPr="00AA5B79">
        <w:rPr>
          <w:rFonts w:ascii="Calibri" w:eastAsia="Calibri" w:hAnsi="Calibri" w:cs="Times New Roman"/>
          <w:spacing w:val="-4"/>
          <w:lang w:val="en-US" w:eastAsia="en-US"/>
        </w:rPr>
        <w:t xml:space="preserve"> </w:t>
      </w:r>
      <w:proofErr w:type="spellStart"/>
      <w:r w:rsidRPr="00AA5B79">
        <w:rPr>
          <w:rFonts w:ascii="Calibri" w:eastAsia="Calibri" w:hAnsi="Calibri" w:cs="Times New Roman"/>
          <w:spacing w:val="-1"/>
          <w:lang w:val="en-US" w:eastAsia="en-US"/>
        </w:rPr>
        <w:t>oesophagus</w:t>
      </w:r>
      <w:proofErr w:type="spellEnd"/>
      <w:r w:rsidRPr="00AA5B79">
        <w:rPr>
          <w:rFonts w:ascii="Calibri" w:eastAsia="Calibri" w:hAnsi="Calibri" w:cs="Times New Roman"/>
          <w:spacing w:val="-1"/>
          <w:lang w:val="en-US" w:eastAsia="en-US"/>
        </w:rPr>
        <w:t>.</w:t>
      </w:r>
      <w:r w:rsidR="00A90836">
        <w:rPr>
          <w:rFonts w:ascii="Calibri" w:eastAsia="Calibri" w:hAnsi="Calibri" w:cs="Times New Roman"/>
          <w:spacing w:val="-1"/>
          <w:lang w:val="en-US" w:eastAsia="en-US"/>
        </w:rPr>
        <w:t xml:space="preserve"> The analysis consider</w:t>
      </w:r>
      <w:r w:rsidR="004D12CA">
        <w:rPr>
          <w:rFonts w:ascii="Calibri" w:eastAsia="Calibri" w:hAnsi="Calibri" w:cs="Times New Roman"/>
          <w:spacing w:val="-1"/>
          <w:lang w:val="en-US" w:eastAsia="en-US"/>
        </w:rPr>
        <w:t>ed</w:t>
      </w:r>
      <w:r w:rsidR="00A90836">
        <w:rPr>
          <w:rFonts w:ascii="Calibri" w:eastAsia="Calibri" w:hAnsi="Calibri" w:cs="Times New Roman"/>
          <w:spacing w:val="-1"/>
          <w:lang w:val="en-US" w:eastAsia="en-US"/>
        </w:rPr>
        <w:t xml:space="preserve"> changes to the</w:t>
      </w:r>
      <w:r w:rsidR="009D1792">
        <w:rPr>
          <w:rFonts w:ascii="Calibri" w:eastAsia="Calibri" w:hAnsi="Calibri" w:cs="Times New Roman"/>
          <w:spacing w:val="-1"/>
          <w:lang w:val="en-US" w:eastAsia="en-US"/>
        </w:rPr>
        <w:t xml:space="preserve"> PBS</w:t>
      </w:r>
      <w:r w:rsidR="00A90836">
        <w:rPr>
          <w:rFonts w:ascii="Calibri" w:eastAsia="Calibri" w:hAnsi="Calibri" w:cs="Times New Roman"/>
          <w:spacing w:val="-1"/>
          <w:lang w:val="en-US" w:eastAsia="en-US"/>
        </w:rPr>
        <w:t xml:space="preserve"> listings in May 2019 and March 2021.</w:t>
      </w:r>
    </w:p>
    <w:p w14:paraId="4528B64F" w14:textId="77777777" w:rsidR="00107BB6" w:rsidRPr="004F72A0" w:rsidRDefault="00107BB6" w:rsidP="00107BB6">
      <w:pPr>
        <w:pStyle w:val="Heading1"/>
      </w:pPr>
      <w:r w:rsidRPr="005E22C2">
        <w:t>Background</w:t>
      </w:r>
    </w:p>
    <w:p w14:paraId="45E6DAAD" w14:textId="77777777" w:rsidR="00107BB6" w:rsidRPr="007247B9" w:rsidRDefault="00107BB6" w:rsidP="00107BB6">
      <w:pPr>
        <w:pStyle w:val="Heading2"/>
      </w:pPr>
      <w:r w:rsidRPr="007247B9">
        <w:t>Clinical situation</w:t>
      </w:r>
    </w:p>
    <w:p w14:paraId="446000DB" w14:textId="378AF839" w:rsidR="00107BB6" w:rsidRDefault="00107BB6" w:rsidP="00107BB6">
      <w:pPr>
        <w:rPr>
          <w:rFonts w:cstheme="minorHAnsi"/>
          <w:color w:val="000000"/>
          <w:spacing w:val="2"/>
          <w:shd w:val="clear" w:color="auto" w:fill="FFFFFF"/>
        </w:rPr>
      </w:pPr>
      <w:r w:rsidRPr="00305290">
        <w:rPr>
          <w:rFonts w:ascii="Calibri" w:eastAsia="MS Mincho" w:hAnsi="Calibri" w:cs="Times New Roman"/>
        </w:rPr>
        <w:t>G</w:t>
      </w:r>
      <w:r>
        <w:rPr>
          <w:rFonts w:ascii="Calibri" w:eastAsia="MS Mincho" w:hAnsi="Calibri" w:cs="Times New Roman"/>
        </w:rPr>
        <w:t>ORD is a condition characterised by the presence of reflux affecting the</w:t>
      </w:r>
      <w:r w:rsidRPr="00C313D6">
        <w:rPr>
          <w:rStyle w:val="Strong"/>
          <w:rFonts w:cstheme="minorHAnsi"/>
          <w:b w:val="0"/>
          <w:bCs w:val="0"/>
          <w:shd w:val="clear" w:color="auto" w:fill="FFFFFF"/>
        </w:rPr>
        <w:t xml:space="preserve"> lower oesophageal sphincter (LES)</w:t>
      </w:r>
      <w:r>
        <w:rPr>
          <w:rStyle w:val="Strong"/>
          <w:rFonts w:cstheme="minorHAnsi"/>
          <w:b w:val="0"/>
          <w:bCs w:val="0"/>
          <w:shd w:val="clear" w:color="auto" w:fill="FFFFFF"/>
        </w:rPr>
        <w:t xml:space="preserve">. </w:t>
      </w:r>
      <w:r w:rsidRPr="00305290">
        <w:rPr>
          <w:rFonts w:cstheme="minorHAnsi"/>
          <w:spacing w:val="2"/>
          <w:shd w:val="clear" w:color="auto" w:fill="FFFFFF"/>
        </w:rPr>
        <w:t>G</w:t>
      </w:r>
      <w:r>
        <w:rPr>
          <w:rFonts w:cstheme="minorHAnsi"/>
          <w:spacing w:val="2"/>
          <w:shd w:val="clear" w:color="auto" w:fill="FFFFFF"/>
        </w:rPr>
        <w:t>OR</w:t>
      </w:r>
      <w:r w:rsidRPr="00305290">
        <w:rPr>
          <w:rFonts w:cstheme="minorHAnsi"/>
          <w:spacing w:val="2"/>
          <w:shd w:val="clear" w:color="auto" w:fill="FFFFFF"/>
        </w:rPr>
        <w:t xml:space="preserve">D may </w:t>
      </w:r>
      <w:r>
        <w:rPr>
          <w:rFonts w:cstheme="minorHAnsi"/>
          <w:spacing w:val="2"/>
          <w:shd w:val="clear" w:color="auto" w:fill="FFFFFF"/>
        </w:rPr>
        <w:t>result in</w:t>
      </w:r>
      <w:r w:rsidRPr="00305290">
        <w:rPr>
          <w:rFonts w:cstheme="minorHAnsi"/>
          <w:spacing w:val="2"/>
          <w:shd w:val="clear" w:color="auto" w:fill="FFFFFF"/>
        </w:rPr>
        <w:t xml:space="preserve"> esophagitis, peptic oesophageal ulcer, oesophageal stricture, Barrett </w:t>
      </w:r>
      <w:r w:rsidRPr="00DD4662">
        <w:rPr>
          <w:rFonts w:cstheme="minorHAnsi"/>
          <w:spacing w:val="2"/>
          <w:shd w:val="clear" w:color="auto" w:fill="FFFFFF"/>
        </w:rPr>
        <w:t>oesophagus, and </w:t>
      </w:r>
      <w:hyperlink r:id="rId8" w:anchor="v895529" w:tooltip="Adenocarcinoma of the esophagus" w:history="1">
        <w:r w:rsidRPr="00DD4662">
          <w:rPr>
            <w:rStyle w:val="Hyperlink"/>
            <w:rFonts w:cstheme="minorHAnsi"/>
            <w:color w:val="auto"/>
            <w:spacing w:val="2"/>
            <w:u w:val="none"/>
            <w:shd w:val="clear" w:color="auto" w:fill="FFFFFF"/>
          </w:rPr>
          <w:t>oesophageal adenocarcinoma</w:t>
        </w:r>
      </w:hyperlink>
      <w:r w:rsidRPr="00DD4662">
        <w:rPr>
          <w:rFonts w:cstheme="minorHAnsi"/>
        </w:rPr>
        <w:t xml:space="preserve"> which is dependent on factors including</w:t>
      </w:r>
      <w:r>
        <w:rPr>
          <w:rFonts w:cstheme="minorHAnsi"/>
        </w:rPr>
        <w:t>;</w:t>
      </w:r>
      <w:r w:rsidRPr="00DD4662">
        <w:rPr>
          <w:rFonts w:cstheme="minorHAnsi"/>
        </w:rPr>
        <w:t xml:space="preserve"> </w:t>
      </w:r>
      <w:r>
        <w:rPr>
          <w:rFonts w:cstheme="minorHAnsi"/>
        </w:rPr>
        <w:t xml:space="preserve">the </w:t>
      </w:r>
      <w:r w:rsidRPr="00DD4662">
        <w:rPr>
          <w:rFonts w:cstheme="minorHAnsi"/>
          <w:color w:val="000000"/>
          <w:spacing w:val="2"/>
          <w:shd w:val="clear" w:color="auto" w:fill="FFFFFF"/>
        </w:rPr>
        <w:t>nature of the refluxate, the inability to clear the refluxate from the oesophagus, the volume of gastric contents</w:t>
      </w:r>
      <w:r>
        <w:rPr>
          <w:rFonts w:cstheme="minorHAnsi"/>
          <w:color w:val="000000"/>
          <w:spacing w:val="2"/>
          <w:shd w:val="clear" w:color="auto" w:fill="FFFFFF"/>
        </w:rPr>
        <w:t xml:space="preserve"> within the stomach</w:t>
      </w:r>
      <w:r w:rsidRPr="00DD4662">
        <w:rPr>
          <w:rFonts w:cstheme="minorHAnsi"/>
          <w:color w:val="000000"/>
          <w:spacing w:val="2"/>
          <w:shd w:val="clear" w:color="auto" w:fill="FFFFFF"/>
        </w:rPr>
        <w:t>, and mucosal protective functions</w:t>
      </w:r>
      <w:r>
        <w:rPr>
          <w:rFonts w:cstheme="minorHAnsi"/>
          <w:color w:val="000000"/>
          <w:spacing w:val="2"/>
          <w:shd w:val="clear" w:color="auto" w:fill="FFFFFF"/>
        </w:rPr>
        <w:t>.</w:t>
      </w:r>
    </w:p>
    <w:p w14:paraId="320D9B84" w14:textId="2121C864" w:rsidR="00107BB6" w:rsidRDefault="00107BB6" w:rsidP="00107BB6">
      <w:pPr>
        <w:rPr>
          <w:spacing w:val="-1"/>
        </w:rPr>
      </w:pPr>
      <w:r>
        <w:rPr>
          <w:rStyle w:val="Strong"/>
          <w:rFonts w:cstheme="minorHAnsi"/>
          <w:b w:val="0"/>
          <w:bCs w:val="0"/>
          <w:shd w:val="clear" w:color="auto" w:fill="FFFFFF"/>
        </w:rPr>
        <w:t>Currently, there are approximately 1.03 billion individuals globally suffering from GORD with females being at a higher risk than males within the population</w:t>
      </w:r>
      <w:r w:rsidR="002766A6">
        <w:rPr>
          <w:rStyle w:val="Strong"/>
          <w:rFonts w:cstheme="minorHAnsi"/>
          <w:b w:val="0"/>
          <w:bCs w:val="0"/>
          <w:shd w:val="clear" w:color="auto" w:fill="FFFFFF"/>
        </w:rPr>
        <w:t>.</w:t>
      </w:r>
      <w:r w:rsidR="001818D6">
        <w:rPr>
          <w:rStyle w:val="Strong"/>
          <w:rFonts w:cstheme="minorHAnsi"/>
          <w:b w:val="0"/>
          <w:bCs w:val="0"/>
          <w:shd w:val="clear" w:color="auto" w:fill="FFFFFF"/>
          <w:vertAlign w:val="superscript"/>
        </w:rPr>
        <w:t>2</w:t>
      </w:r>
      <w:r>
        <w:rPr>
          <w:rStyle w:val="Strong"/>
          <w:rFonts w:cstheme="minorHAnsi"/>
          <w:b w:val="0"/>
          <w:bCs w:val="0"/>
          <w:shd w:val="clear" w:color="auto" w:fill="FFFFFF"/>
        </w:rPr>
        <w:t xml:space="preserve"> Within Australia,</w:t>
      </w:r>
      <w:r w:rsidRPr="007C0C68">
        <w:rPr>
          <w:rFonts w:ascii="Helvetica" w:hAnsi="Helvetica"/>
          <w:color w:val="212529"/>
          <w:shd w:val="clear" w:color="auto" w:fill="FFFFFF"/>
        </w:rPr>
        <w:t xml:space="preserve"> </w:t>
      </w:r>
      <w:r>
        <w:rPr>
          <w:rFonts w:cstheme="minorHAnsi"/>
          <w:shd w:val="clear" w:color="auto" w:fill="FFFFFF"/>
        </w:rPr>
        <w:t>t</w:t>
      </w:r>
      <w:r w:rsidRPr="007C0C68">
        <w:rPr>
          <w:rFonts w:cstheme="minorHAnsi"/>
          <w:shd w:val="clear" w:color="auto" w:fill="FFFFFF"/>
        </w:rPr>
        <w:t xml:space="preserve">he estimated prevalence of diagnosed GORD in </w:t>
      </w:r>
      <w:r>
        <w:rPr>
          <w:rFonts w:cstheme="minorHAnsi"/>
          <w:shd w:val="clear" w:color="auto" w:fill="FFFFFF"/>
        </w:rPr>
        <w:t xml:space="preserve">individuals </w:t>
      </w:r>
      <w:r w:rsidRPr="007C0C68">
        <w:rPr>
          <w:rFonts w:cstheme="minorHAnsi"/>
          <w:shd w:val="clear" w:color="auto" w:fill="FFFFFF"/>
        </w:rPr>
        <w:t>is 11.6%</w:t>
      </w:r>
      <w:r w:rsidR="00D8371A">
        <w:rPr>
          <w:rFonts w:cstheme="minorHAnsi"/>
          <w:shd w:val="clear" w:color="auto" w:fill="FFFFFF"/>
        </w:rPr>
        <w:t>,</w:t>
      </w:r>
      <w:r w:rsidR="00561D37">
        <w:rPr>
          <w:rFonts w:cstheme="minorHAnsi"/>
          <w:shd w:val="clear" w:color="auto" w:fill="FFFFFF"/>
        </w:rPr>
        <w:t xml:space="preserve"> and </w:t>
      </w:r>
      <w:r w:rsidR="00561D37" w:rsidRPr="00100E0E">
        <w:rPr>
          <w:rFonts w:cstheme="minorHAnsi"/>
          <w:shd w:val="clear" w:color="auto" w:fill="FFFFFF"/>
        </w:rPr>
        <w:t>7.5%</w:t>
      </w:r>
      <w:r>
        <w:rPr>
          <w:rFonts w:cstheme="minorHAnsi"/>
          <w:shd w:val="clear" w:color="auto" w:fill="FFFFFF"/>
        </w:rPr>
        <w:t xml:space="preserve"> </w:t>
      </w:r>
      <w:r w:rsidR="00561D37">
        <w:rPr>
          <w:rFonts w:cstheme="minorHAnsi"/>
          <w:shd w:val="clear" w:color="auto" w:fill="FFFFFF"/>
        </w:rPr>
        <w:t xml:space="preserve">in Australia </w:t>
      </w:r>
      <w:r>
        <w:rPr>
          <w:rFonts w:cstheme="minorHAnsi"/>
          <w:shd w:val="clear" w:color="auto" w:fill="FFFFFF"/>
        </w:rPr>
        <w:t>not accounting for undiagnosed individuals within the community</w:t>
      </w:r>
      <w:r w:rsidR="002766A6">
        <w:rPr>
          <w:rFonts w:cstheme="minorHAnsi"/>
          <w:shd w:val="clear" w:color="auto" w:fill="FFFFFF"/>
        </w:rPr>
        <w:t>.</w:t>
      </w:r>
      <w:r w:rsidR="00D8371A">
        <w:rPr>
          <w:rStyle w:val="FootnoteReference"/>
          <w:rFonts w:cstheme="minorHAnsi"/>
          <w:shd w:val="clear" w:color="auto" w:fill="FFFFFF"/>
        </w:rPr>
        <w:footnoteReference w:id="1"/>
      </w:r>
      <w:r>
        <w:rPr>
          <w:rFonts w:cstheme="minorHAnsi"/>
          <w:shd w:val="clear" w:color="auto" w:fill="FFFFFF"/>
        </w:rPr>
        <w:t xml:space="preserve"> </w:t>
      </w:r>
      <w:r>
        <w:rPr>
          <w:rStyle w:val="Strong"/>
          <w:rFonts w:cstheme="minorHAnsi"/>
          <w:b w:val="0"/>
          <w:bCs w:val="0"/>
          <w:shd w:val="clear" w:color="auto" w:fill="FFFFFF"/>
        </w:rPr>
        <w:t>GORD has a significantly higher prevalence in individuals using non-steroidal anti-inflammatory drugs (NSAID</w:t>
      </w:r>
      <w:r w:rsidR="002766A6">
        <w:rPr>
          <w:rStyle w:val="Strong"/>
          <w:rFonts w:cstheme="minorHAnsi"/>
          <w:b w:val="0"/>
          <w:bCs w:val="0"/>
          <w:shd w:val="clear" w:color="auto" w:fill="FFFFFF"/>
        </w:rPr>
        <w:t>s</w:t>
      </w:r>
      <w:r>
        <w:rPr>
          <w:rStyle w:val="Strong"/>
          <w:rFonts w:cstheme="minorHAnsi"/>
          <w:b w:val="0"/>
          <w:bCs w:val="0"/>
          <w:shd w:val="clear" w:color="auto" w:fill="FFFFFF"/>
        </w:rPr>
        <w:t xml:space="preserve">) </w:t>
      </w:r>
      <w:r w:rsidR="00E26B90">
        <w:rPr>
          <w:rStyle w:val="Strong"/>
          <w:rFonts w:cstheme="minorHAnsi"/>
          <w:b w:val="0"/>
          <w:bCs w:val="0"/>
          <w:shd w:val="clear" w:color="auto" w:fill="FFFFFF"/>
        </w:rPr>
        <w:t>including</w:t>
      </w:r>
      <w:r>
        <w:rPr>
          <w:rStyle w:val="Strong"/>
          <w:rFonts w:cstheme="minorHAnsi"/>
          <w:b w:val="0"/>
          <w:bCs w:val="0"/>
          <w:shd w:val="clear" w:color="auto" w:fill="FFFFFF"/>
        </w:rPr>
        <w:t xml:space="preserve"> aspirin</w:t>
      </w:r>
      <w:r w:rsidR="002766A6">
        <w:rPr>
          <w:rStyle w:val="Strong"/>
          <w:rFonts w:cstheme="minorHAnsi"/>
          <w:b w:val="0"/>
          <w:bCs w:val="0"/>
          <w:shd w:val="clear" w:color="auto" w:fill="FFFFFF"/>
        </w:rPr>
        <w:t>.</w:t>
      </w:r>
      <w:r w:rsidR="00D8371A">
        <w:rPr>
          <w:rStyle w:val="FootnoteReference"/>
          <w:rFonts w:cstheme="minorHAnsi"/>
          <w:shd w:val="clear" w:color="auto" w:fill="FFFFFF"/>
        </w:rPr>
        <w:footnoteReference w:id="2"/>
      </w:r>
      <w:r w:rsidRPr="00607038">
        <w:rPr>
          <w:spacing w:val="-1"/>
        </w:rPr>
        <w:t xml:space="preserve"> </w:t>
      </w:r>
    </w:p>
    <w:p w14:paraId="4F13D525" w14:textId="1D26582D" w:rsidR="00107BB6" w:rsidRDefault="00107BB6" w:rsidP="00107BB6">
      <w:pPr>
        <w:rPr>
          <w:spacing w:val="-1"/>
        </w:rPr>
      </w:pPr>
      <w:r>
        <w:rPr>
          <w:spacing w:val="-1"/>
        </w:rPr>
        <w:t>P</w:t>
      </w:r>
      <w:r w:rsidRPr="007408DF">
        <w:rPr>
          <w:spacing w:val="-1"/>
        </w:rPr>
        <w:t>eptic ulcer disease</w:t>
      </w:r>
      <w:r>
        <w:rPr>
          <w:spacing w:val="-1"/>
        </w:rPr>
        <w:t xml:space="preserve"> develops in the lining of the stomach and upper portion of the intestine. One of the most common causes for </w:t>
      </w:r>
      <w:r w:rsidR="002766A6">
        <w:rPr>
          <w:spacing w:val="-1"/>
        </w:rPr>
        <w:t>p</w:t>
      </w:r>
      <w:r>
        <w:rPr>
          <w:spacing w:val="-1"/>
        </w:rPr>
        <w:t>eptic ulcer disease</w:t>
      </w:r>
      <w:r w:rsidRPr="007408DF">
        <w:rPr>
          <w:spacing w:val="-1"/>
        </w:rPr>
        <w:t xml:space="preserve"> is </w:t>
      </w:r>
      <w:r w:rsidRPr="001818D6">
        <w:rPr>
          <w:i/>
          <w:iCs/>
          <w:spacing w:val="-1"/>
        </w:rPr>
        <w:t>Helicobacter pylori</w:t>
      </w:r>
      <w:r w:rsidRPr="007408DF">
        <w:rPr>
          <w:spacing w:val="-1"/>
        </w:rPr>
        <w:t> </w:t>
      </w:r>
      <w:r w:rsidR="006F7EFE">
        <w:rPr>
          <w:spacing w:val="-1"/>
        </w:rPr>
        <w:t>(</w:t>
      </w:r>
      <w:r w:rsidR="006F7EFE" w:rsidRPr="001818D6">
        <w:rPr>
          <w:i/>
          <w:iCs/>
          <w:spacing w:val="-1"/>
        </w:rPr>
        <w:t>H. pylori</w:t>
      </w:r>
      <w:r w:rsidR="006F7EFE">
        <w:rPr>
          <w:spacing w:val="-1"/>
        </w:rPr>
        <w:t xml:space="preserve">) </w:t>
      </w:r>
      <w:r w:rsidRPr="007408DF">
        <w:rPr>
          <w:spacing w:val="-1"/>
        </w:rPr>
        <w:t xml:space="preserve">infection.  </w:t>
      </w:r>
      <w:r w:rsidRPr="00E26B90">
        <w:rPr>
          <w:i/>
          <w:iCs/>
          <w:spacing w:val="-1"/>
        </w:rPr>
        <w:t>H. pylori</w:t>
      </w:r>
      <w:r w:rsidRPr="007408DF">
        <w:rPr>
          <w:spacing w:val="-1"/>
        </w:rPr>
        <w:t xml:space="preserve"> and NSAIDs </w:t>
      </w:r>
      <w:r w:rsidR="00923663">
        <w:rPr>
          <w:spacing w:val="-1"/>
        </w:rPr>
        <w:t>decrease</w:t>
      </w:r>
      <w:r w:rsidR="00923663" w:rsidRPr="007408DF">
        <w:rPr>
          <w:spacing w:val="-1"/>
        </w:rPr>
        <w:t xml:space="preserve"> </w:t>
      </w:r>
      <w:r w:rsidRPr="007408DF">
        <w:rPr>
          <w:spacing w:val="-1"/>
        </w:rPr>
        <w:t>normal mucosal defence and repair, therefore making the mucosa more susceptible to</w:t>
      </w:r>
      <w:r w:rsidR="002766A6">
        <w:rPr>
          <w:spacing w:val="-1"/>
        </w:rPr>
        <w:t xml:space="preserve"> damage</w:t>
      </w:r>
      <w:r w:rsidRPr="007408DF">
        <w:rPr>
          <w:spacing w:val="-1"/>
        </w:rPr>
        <w:t xml:space="preserve"> </w:t>
      </w:r>
      <w:r w:rsidR="00923663">
        <w:rPr>
          <w:spacing w:val="-1"/>
        </w:rPr>
        <w:t>from stomach</w:t>
      </w:r>
      <w:r w:rsidRPr="007408DF">
        <w:rPr>
          <w:spacing w:val="-1"/>
        </w:rPr>
        <w:t xml:space="preserve"> acid. </w:t>
      </w:r>
    </w:p>
    <w:p w14:paraId="46E4BD24" w14:textId="69617966" w:rsidR="00107BB6" w:rsidRDefault="00107BB6" w:rsidP="00107BB6">
      <w:pPr>
        <w:rPr>
          <w:spacing w:val="-1"/>
        </w:rPr>
      </w:pPr>
      <w:r>
        <w:rPr>
          <w:rFonts w:cstheme="minorHAnsi"/>
          <w:color w:val="000000"/>
          <w:spacing w:val="2"/>
          <w:shd w:val="clear" w:color="auto" w:fill="FFFFFF"/>
        </w:rPr>
        <w:t>PPIs are mostly utilised for GORD and GORD like symptoms</w:t>
      </w:r>
      <w:r>
        <w:rPr>
          <w:rFonts w:eastAsia="MS Mincho" w:cstheme="minorHAnsi"/>
        </w:rPr>
        <w:t xml:space="preserve">. </w:t>
      </w:r>
      <w:r>
        <w:rPr>
          <w:rFonts w:ascii="Calibri" w:eastAsia="MS Mincho" w:hAnsi="Calibri" w:cs="Times New Roman"/>
        </w:rPr>
        <w:t xml:space="preserve">Indications for PPI use relate to </w:t>
      </w:r>
      <w:r w:rsidR="00407F67">
        <w:rPr>
          <w:spacing w:val="-1"/>
        </w:rPr>
        <w:t>over secretion</w:t>
      </w:r>
      <w:r>
        <w:rPr>
          <w:spacing w:val="-4"/>
        </w:rPr>
        <w:t xml:space="preserve"> </w:t>
      </w:r>
      <w:r>
        <w:t>of</w:t>
      </w:r>
      <w:r>
        <w:rPr>
          <w:spacing w:val="-4"/>
        </w:rPr>
        <w:t xml:space="preserve"> </w:t>
      </w:r>
      <w:r>
        <w:t>gastric</w:t>
      </w:r>
      <w:r>
        <w:rPr>
          <w:spacing w:val="-4"/>
        </w:rPr>
        <w:t xml:space="preserve"> </w:t>
      </w:r>
      <w:r>
        <w:rPr>
          <w:spacing w:val="-1"/>
        </w:rPr>
        <w:t>acids</w:t>
      </w:r>
      <w:r>
        <w:rPr>
          <w:spacing w:val="-5"/>
        </w:rPr>
        <w:t xml:space="preserve"> </w:t>
      </w:r>
      <w:r>
        <w:rPr>
          <w:spacing w:val="-1"/>
        </w:rPr>
        <w:t>that</w:t>
      </w:r>
      <w:r>
        <w:rPr>
          <w:spacing w:val="-4"/>
        </w:rPr>
        <w:t xml:space="preserve"> </w:t>
      </w:r>
      <w:r>
        <w:rPr>
          <w:spacing w:val="-1"/>
        </w:rPr>
        <w:t>cause</w:t>
      </w:r>
      <w:r>
        <w:rPr>
          <w:spacing w:val="-5"/>
        </w:rPr>
        <w:t xml:space="preserve"> </w:t>
      </w:r>
      <w:r>
        <w:rPr>
          <w:spacing w:val="-1"/>
        </w:rPr>
        <w:t>symptoms</w:t>
      </w:r>
      <w:r>
        <w:rPr>
          <w:spacing w:val="-3"/>
        </w:rPr>
        <w:t xml:space="preserve"> </w:t>
      </w:r>
      <w:r>
        <w:rPr>
          <w:spacing w:val="-1"/>
        </w:rPr>
        <w:t>such</w:t>
      </w:r>
      <w:r>
        <w:rPr>
          <w:spacing w:val="-2"/>
        </w:rPr>
        <w:t xml:space="preserve"> </w:t>
      </w:r>
      <w:r>
        <w:t xml:space="preserve">as </w:t>
      </w:r>
      <w:r>
        <w:rPr>
          <w:spacing w:val="-1"/>
        </w:rPr>
        <w:t>heartburn,</w:t>
      </w:r>
      <w:r>
        <w:rPr>
          <w:spacing w:val="-3"/>
        </w:rPr>
        <w:t xml:space="preserve"> </w:t>
      </w:r>
      <w:r>
        <w:rPr>
          <w:spacing w:val="-1"/>
        </w:rPr>
        <w:t>laryngitis,</w:t>
      </w:r>
      <w:r>
        <w:rPr>
          <w:spacing w:val="-5"/>
        </w:rPr>
        <w:t xml:space="preserve"> </w:t>
      </w:r>
      <w:r>
        <w:rPr>
          <w:spacing w:val="-1"/>
        </w:rPr>
        <w:t>nausea, regurgitation,</w:t>
      </w:r>
      <w:r>
        <w:rPr>
          <w:spacing w:val="-3"/>
        </w:rPr>
        <w:t xml:space="preserve"> </w:t>
      </w:r>
      <w:r>
        <w:rPr>
          <w:spacing w:val="-1"/>
        </w:rPr>
        <w:t>and</w:t>
      </w:r>
      <w:r>
        <w:rPr>
          <w:spacing w:val="-5"/>
        </w:rPr>
        <w:t xml:space="preserve"> </w:t>
      </w:r>
      <w:r>
        <w:rPr>
          <w:spacing w:val="-1"/>
        </w:rPr>
        <w:t>dysphagia</w:t>
      </w:r>
      <w:r>
        <w:rPr>
          <w:spacing w:val="-3"/>
        </w:rPr>
        <w:t xml:space="preserve"> </w:t>
      </w:r>
      <w:r>
        <w:rPr>
          <w:spacing w:val="-1"/>
        </w:rPr>
        <w:t>(difficulty</w:t>
      </w:r>
      <w:r>
        <w:rPr>
          <w:spacing w:val="-4"/>
        </w:rPr>
        <w:t xml:space="preserve"> </w:t>
      </w:r>
      <w:r>
        <w:rPr>
          <w:spacing w:val="-2"/>
        </w:rPr>
        <w:t>in</w:t>
      </w:r>
      <w:r>
        <w:rPr>
          <w:spacing w:val="-3"/>
        </w:rPr>
        <w:t xml:space="preserve"> </w:t>
      </w:r>
      <w:r>
        <w:rPr>
          <w:spacing w:val="-1"/>
        </w:rPr>
        <w:t>swallowing).</w:t>
      </w:r>
      <w:r>
        <w:rPr>
          <w:spacing w:val="-5"/>
        </w:rPr>
        <w:t xml:space="preserve"> </w:t>
      </w:r>
      <w:r>
        <w:t xml:space="preserve">These are </w:t>
      </w:r>
      <w:r>
        <w:rPr>
          <w:spacing w:val="-1"/>
        </w:rPr>
        <w:t>symptoms generally related to</w:t>
      </w:r>
      <w:r>
        <w:rPr>
          <w:spacing w:val="-5"/>
        </w:rPr>
        <w:t xml:space="preserve"> </w:t>
      </w:r>
      <w:r>
        <w:rPr>
          <w:spacing w:val="-1"/>
        </w:rPr>
        <w:t>peptic</w:t>
      </w:r>
      <w:r>
        <w:rPr>
          <w:spacing w:val="-7"/>
        </w:rPr>
        <w:t xml:space="preserve"> </w:t>
      </w:r>
      <w:r>
        <w:rPr>
          <w:spacing w:val="-1"/>
        </w:rPr>
        <w:t>ulcer</w:t>
      </w:r>
      <w:r>
        <w:rPr>
          <w:spacing w:val="-4"/>
        </w:rPr>
        <w:t xml:space="preserve"> </w:t>
      </w:r>
      <w:r>
        <w:t>disease,</w:t>
      </w:r>
      <w:r>
        <w:rPr>
          <w:spacing w:val="-5"/>
        </w:rPr>
        <w:t xml:space="preserve"> </w:t>
      </w:r>
      <w:r w:rsidR="00407F67" w:rsidRPr="001818D6">
        <w:rPr>
          <w:i/>
          <w:iCs/>
          <w:spacing w:val="-1"/>
        </w:rPr>
        <w:t>H. Pylori</w:t>
      </w:r>
      <w:r>
        <w:t xml:space="preserve"> </w:t>
      </w:r>
      <w:r>
        <w:rPr>
          <w:spacing w:val="-1"/>
        </w:rPr>
        <w:t>infections,</w:t>
      </w:r>
      <w:r>
        <w:rPr>
          <w:spacing w:val="60"/>
          <w:w w:val="99"/>
        </w:rPr>
        <w:t xml:space="preserve"> </w:t>
      </w:r>
      <w:r>
        <w:rPr>
          <w:rFonts w:cs="Calibri"/>
          <w:spacing w:val="-1"/>
        </w:rPr>
        <w:t>scleroderma</w:t>
      </w:r>
      <w:r>
        <w:rPr>
          <w:rFonts w:cs="Calibri"/>
          <w:spacing w:val="-3"/>
        </w:rPr>
        <w:t xml:space="preserve"> </w:t>
      </w:r>
      <w:r>
        <w:rPr>
          <w:rFonts w:cs="Calibri"/>
          <w:spacing w:val="-1"/>
        </w:rPr>
        <w:t>oesophagus, Barrett’s</w:t>
      </w:r>
      <w:r>
        <w:rPr>
          <w:rFonts w:cs="Calibri"/>
        </w:rPr>
        <w:t xml:space="preserve"> </w:t>
      </w:r>
      <w:r w:rsidR="00407F67">
        <w:rPr>
          <w:rFonts w:cs="Calibri"/>
        </w:rPr>
        <w:t>oesophagu</w:t>
      </w:r>
      <w:r w:rsidR="00407F67">
        <w:t>s,</w:t>
      </w:r>
      <w:r>
        <w:rPr>
          <w:spacing w:val="-1"/>
        </w:rPr>
        <w:t xml:space="preserve"> and</w:t>
      </w:r>
      <w:r w:rsidR="00A779D8">
        <w:rPr>
          <w:spacing w:val="-1"/>
        </w:rPr>
        <w:t xml:space="preserve"> </w:t>
      </w:r>
      <w:r>
        <w:rPr>
          <w:spacing w:val="-1"/>
        </w:rPr>
        <w:t>ZES.</w:t>
      </w:r>
    </w:p>
    <w:p w14:paraId="3000ECBF" w14:textId="77777777" w:rsidR="00107BB6" w:rsidRPr="008E5BAE" w:rsidRDefault="00107BB6" w:rsidP="008E5BAE"/>
    <w:p w14:paraId="2E872245" w14:textId="77777777" w:rsidR="00107BB6" w:rsidRDefault="00107BB6" w:rsidP="00107BB6">
      <w:pPr>
        <w:pStyle w:val="Heading2"/>
      </w:pPr>
      <w:r>
        <w:lastRenderedPageBreak/>
        <w:t>Pharmacology</w:t>
      </w:r>
    </w:p>
    <w:p w14:paraId="113A8477" w14:textId="2EED2BA0" w:rsidR="00107BB6" w:rsidRDefault="00107BB6" w:rsidP="00107BB6">
      <w:pPr>
        <w:rPr>
          <w:rFonts w:eastAsia="MS Mincho" w:cstheme="minorHAnsi"/>
        </w:rPr>
      </w:pPr>
      <w:r w:rsidRPr="0036462F">
        <w:rPr>
          <w:rFonts w:eastAsia="MS Mincho" w:cstheme="minorHAnsi"/>
        </w:rPr>
        <w:t>H+/K+-ATPase is an </w:t>
      </w:r>
      <w:hyperlink r:id="rId9" w:history="1">
        <w:r w:rsidRPr="0036462F">
          <w:rPr>
            <w:rStyle w:val="Hyperlink"/>
            <w:rFonts w:eastAsia="MS Mincho" w:cstheme="minorHAnsi"/>
            <w:color w:val="auto"/>
            <w:u w:val="none"/>
          </w:rPr>
          <w:t>enzyme</w:t>
        </w:r>
      </w:hyperlink>
      <w:r w:rsidR="00923663">
        <w:rPr>
          <w:rStyle w:val="Hyperlink"/>
          <w:rFonts w:eastAsia="MS Mincho" w:cstheme="minorHAnsi"/>
          <w:color w:val="auto"/>
          <w:u w:val="none"/>
        </w:rPr>
        <w:t>, commonly referred to as a proton pump,</w:t>
      </w:r>
      <w:r>
        <w:rPr>
          <w:rFonts w:eastAsia="MS Mincho" w:cstheme="minorHAnsi"/>
        </w:rPr>
        <w:t xml:space="preserve"> that secretes hydrogen ions which are</w:t>
      </w:r>
      <w:r w:rsidRPr="0036462F">
        <w:rPr>
          <w:rFonts w:eastAsia="MS Mincho" w:cstheme="minorHAnsi"/>
        </w:rPr>
        <w:t> present in the stomach wall.</w:t>
      </w:r>
      <w:r>
        <w:rPr>
          <w:rFonts w:eastAsia="MS Mincho" w:cstheme="minorHAnsi"/>
        </w:rPr>
        <w:t xml:space="preserve"> PPIs reduce gastric acid secretion by inhibiting the </w:t>
      </w:r>
      <w:r w:rsidRPr="0036462F">
        <w:rPr>
          <w:rFonts w:eastAsia="MS Mincho" w:cstheme="minorHAnsi"/>
        </w:rPr>
        <w:t>H+/K+-ATPase</w:t>
      </w:r>
      <w:r>
        <w:rPr>
          <w:rFonts w:eastAsia="MS Mincho" w:cstheme="minorHAnsi"/>
        </w:rPr>
        <w:t xml:space="preserve"> or proton pump which reduces </w:t>
      </w:r>
      <w:r w:rsidR="00923663">
        <w:rPr>
          <w:rFonts w:eastAsia="MS Mincho" w:cstheme="minorHAnsi"/>
        </w:rPr>
        <w:t>the</w:t>
      </w:r>
      <w:r>
        <w:rPr>
          <w:rFonts w:eastAsia="MS Mincho" w:cstheme="minorHAnsi"/>
        </w:rPr>
        <w:t xml:space="preserve"> symptoms associated with gastrointestinal disorders</w:t>
      </w:r>
      <w:r w:rsidR="00923663">
        <w:rPr>
          <w:rFonts w:eastAsia="MS Mincho" w:cstheme="minorHAnsi"/>
        </w:rPr>
        <w:t xml:space="preserve"> such as pain and heartburn</w:t>
      </w:r>
      <w:r>
        <w:rPr>
          <w:rFonts w:eastAsia="MS Mincho" w:cstheme="minorHAnsi"/>
        </w:rPr>
        <w:t>.</w:t>
      </w:r>
    </w:p>
    <w:p w14:paraId="34C9526F" w14:textId="5B7B1DF6" w:rsidR="00107BB6" w:rsidRDefault="00107BB6" w:rsidP="00107BB6">
      <w:r>
        <w:t xml:space="preserve">There are five PBS-listed </w:t>
      </w:r>
      <w:r w:rsidR="00230F2F">
        <w:t>PPI medicines</w:t>
      </w:r>
      <w:r>
        <w:t xml:space="preserve"> in Australia:</w:t>
      </w:r>
    </w:p>
    <w:p w14:paraId="2A6C40B2" w14:textId="77777777" w:rsidR="00107BB6" w:rsidRDefault="00107BB6" w:rsidP="00107BB6">
      <w:pPr>
        <w:pStyle w:val="ListParagraph"/>
        <w:numPr>
          <w:ilvl w:val="0"/>
          <w:numId w:val="35"/>
        </w:numPr>
      </w:pPr>
      <w:r>
        <w:t>Esomeprazole</w:t>
      </w:r>
    </w:p>
    <w:p w14:paraId="15FAB460" w14:textId="77777777" w:rsidR="00107BB6" w:rsidRDefault="00107BB6" w:rsidP="00107BB6">
      <w:pPr>
        <w:pStyle w:val="ListParagraph"/>
        <w:numPr>
          <w:ilvl w:val="0"/>
          <w:numId w:val="35"/>
        </w:numPr>
      </w:pPr>
      <w:r>
        <w:t>Lansoprazole</w:t>
      </w:r>
    </w:p>
    <w:p w14:paraId="4DE673D5" w14:textId="77777777" w:rsidR="00107BB6" w:rsidRDefault="00107BB6" w:rsidP="00107BB6">
      <w:pPr>
        <w:pStyle w:val="ListParagraph"/>
        <w:numPr>
          <w:ilvl w:val="0"/>
          <w:numId w:val="35"/>
        </w:numPr>
      </w:pPr>
      <w:r>
        <w:t>Omeprazole</w:t>
      </w:r>
    </w:p>
    <w:p w14:paraId="1CF68B9F" w14:textId="77777777" w:rsidR="00107BB6" w:rsidRDefault="00107BB6" w:rsidP="00107BB6">
      <w:pPr>
        <w:pStyle w:val="ListParagraph"/>
        <w:numPr>
          <w:ilvl w:val="0"/>
          <w:numId w:val="35"/>
        </w:numPr>
      </w:pPr>
      <w:r>
        <w:t>Pantoprazole</w:t>
      </w:r>
    </w:p>
    <w:p w14:paraId="3957130D" w14:textId="77777777" w:rsidR="00107BB6" w:rsidRPr="0087224C" w:rsidRDefault="00107BB6" w:rsidP="00107BB6">
      <w:pPr>
        <w:pStyle w:val="ListParagraph"/>
        <w:numPr>
          <w:ilvl w:val="0"/>
          <w:numId w:val="35"/>
        </w:numPr>
        <w:rPr>
          <w:rStyle w:val="Hyperlink"/>
          <w:color w:val="auto"/>
          <w:u w:val="none"/>
        </w:rPr>
      </w:pPr>
      <w:r>
        <w:t>Rabeprazole</w:t>
      </w:r>
    </w:p>
    <w:p w14:paraId="0AF18EB1" w14:textId="77777777" w:rsidR="00107BB6" w:rsidRDefault="00107BB6" w:rsidP="00107BB6">
      <w:pPr>
        <w:pStyle w:val="Heading2"/>
      </w:pPr>
      <w:r w:rsidRPr="00A52918">
        <w:t xml:space="preserve">Therapeutic Goods Administration </w:t>
      </w:r>
      <w:r>
        <w:t>(</w:t>
      </w:r>
      <w:r w:rsidRPr="005E22C2">
        <w:t>TGA</w:t>
      </w:r>
      <w:r>
        <w:t>)</w:t>
      </w:r>
      <w:r w:rsidRPr="005E22C2">
        <w:t xml:space="preserve"> approved </w:t>
      </w:r>
      <w:r>
        <w:t>i</w:t>
      </w:r>
      <w:r w:rsidRPr="005E22C2">
        <w:t>ndications</w:t>
      </w:r>
    </w:p>
    <w:p w14:paraId="6FFBE534" w14:textId="4A255590" w:rsidR="00107BB6" w:rsidRDefault="00107BB6" w:rsidP="00107BB6">
      <w:r>
        <w:t xml:space="preserve">PPIs </w:t>
      </w:r>
      <w:r w:rsidR="005C0486">
        <w:t xml:space="preserve">are </w:t>
      </w:r>
      <w:r>
        <w:t>indicated for the treatment of:</w:t>
      </w:r>
    </w:p>
    <w:p w14:paraId="2D94F1FB" w14:textId="77777777" w:rsidR="00107BB6" w:rsidRDefault="00107BB6" w:rsidP="00107BB6">
      <w:pPr>
        <w:pStyle w:val="ListParagraph"/>
        <w:numPr>
          <w:ilvl w:val="0"/>
          <w:numId w:val="42"/>
        </w:numPr>
      </w:pPr>
      <w:r>
        <w:t>Gastro-oesophageal reflux disease</w:t>
      </w:r>
    </w:p>
    <w:p w14:paraId="4613E7D9" w14:textId="77777777" w:rsidR="00107BB6" w:rsidRDefault="00107BB6" w:rsidP="00107BB6">
      <w:pPr>
        <w:pStyle w:val="ListParagraph"/>
        <w:numPr>
          <w:ilvl w:val="0"/>
          <w:numId w:val="42"/>
        </w:numPr>
      </w:pPr>
      <w:r>
        <w:t>Pathological hypersecretory conditions including Zollinger-Ellison syndrome and idiopathic hypersecretion</w:t>
      </w:r>
    </w:p>
    <w:p w14:paraId="04B25C7B" w14:textId="77777777" w:rsidR="00107BB6" w:rsidRDefault="00107BB6" w:rsidP="00107BB6">
      <w:pPr>
        <w:pStyle w:val="ListParagraph"/>
        <w:numPr>
          <w:ilvl w:val="0"/>
          <w:numId w:val="42"/>
        </w:numPr>
      </w:pPr>
      <w:r>
        <w:t>Scleroderma oesophagus</w:t>
      </w:r>
    </w:p>
    <w:p w14:paraId="49929CB2" w14:textId="77777777" w:rsidR="00107BB6" w:rsidRDefault="00107BB6" w:rsidP="00107BB6">
      <w:pPr>
        <w:pStyle w:val="ListParagraph"/>
        <w:numPr>
          <w:ilvl w:val="0"/>
          <w:numId w:val="42"/>
        </w:numPr>
      </w:pPr>
      <w:r>
        <w:t>Peptic ulcer</w:t>
      </w:r>
    </w:p>
    <w:p w14:paraId="0A18C275" w14:textId="39FAAFDB" w:rsidR="00DB4892" w:rsidRPr="008E5BAE" w:rsidRDefault="00107BB6" w:rsidP="008E5BAE">
      <w:pPr>
        <w:pStyle w:val="ListParagraph"/>
        <w:numPr>
          <w:ilvl w:val="0"/>
          <w:numId w:val="42"/>
        </w:numPr>
      </w:pPr>
      <w:r>
        <w:t>Eradication of Helicobacter pylori (</w:t>
      </w:r>
      <w:proofErr w:type="gramStart"/>
      <w:r w:rsidR="00923663">
        <w:t>E.g.</w:t>
      </w:r>
      <w:proofErr w:type="gramEnd"/>
      <w:r w:rsidR="00923663">
        <w:t xml:space="preserve"> e</w:t>
      </w:r>
      <w:r>
        <w:t xml:space="preserve">someprazole in combination with </w:t>
      </w:r>
      <w:r w:rsidR="00923663">
        <w:t>c</w:t>
      </w:r>
      <w:r>
        <w:t xml:space="preserve">larithromycin and </w:t>
      </w:r>
      <w:r w:rsidR="00923663">
        <w:t>a</w:t>
      </w:r>
      <w:r>
        <w:t>moxicillin)</w:t>
      </w:r>
    </w:p>
    <w:p w14:paraId="5CB9D1BC" w14:textId="01969D2F" w:rsidR="00107BB6" w:rsidRDefault="00107BB6" w:rsidP="00107BB6">
      <w:pPr>
        <w:pStyle w:val="Heading2"/>
      </w:pPr>
      <w:r>
        <w:t>Dosage and administration</w:t>
      </w:r>
    </w:p>
    <w:p w14:paraId="614C430D" w14:textId="100E255B" w:rsidR="0095634B" w:rsidRDefault="0095634B" w:rsidP="00F979CA">
      <w:r w:rsidRPr="00AC7DF7">
        <w:rPr>
          <w:rFonts w:eastAsia="MS Mincho" w:cstheme="minorHAnsi"/>
        </w:rPr>
        <w:t xml:space="preserve">The course of PPI treatment should </w:t>
      </w:r>
      <w:r>
        <w:rPr>
          <w:rFonts w:eastAsia="MS Mincho" w:cstheme="minorHAnsi"/>
        </w:rPr>
        <w:t>last between</w:t>
      </w:r>
      <w:r w:rsidRPr="00AC7DF7">
        <w:rPr>
          <w:rFonts w:eastAsia="MS Mincho" w:cstheme="minorHAnsi"/>
        </w:rPr>
        <w:t xml:space="preserve"> 4 to 8 weeks</w:t>
      </w:r>
      <w:r>
        <w:rPr>
          <w:rFonts w:eastAsia="MS Mincho" w:cstheme="minorHAnsi"/>
        </w:rPr>
        <w:t xml:space="preserve"> with a follow up review</w:t>
      </w:r>
      <w:r w:rsidRPr="00AC7DF7">
        <w:rPr>
          <w:rFonts w:eastAsia="MS Mincho" w:cstheme="minorHAnsi"/>
        </w:rPr>
        <w:t xml:space="preserve">. </w:t>
      </w:r>
      <w:r>
        <w:rPr>
          <w:rFonts w:eastAsia="MS Mincho" w:cstheme="minorHAnsi"/>
        </w:rPr>
        <w:t>The step-down approach for t</w:t>
      </w:r>
      <w:r w:rsidRPr="00AC7DF7">
        <w:rPr>
          <w:rFonts w:eastAsia="MS Mincho" w:cstheme="minorHAnsi"/>
        </w:rPr>
        <w:t xml:space="preserve">reatment should </w:t>
      </w:r>
      <w:r w:rsidR="00975956">
        <w:rPr>
          <w:rFonts w:eastAsia="MS Mincho" w:cstheme="minorHAnsi"/>
        </w:rPr>
        <w:t xml:space="preserve">be </w:t>
      </w:r>
      <w:r>
        <w:rPr>
          <w:rFonts w:eastAsia="MS Mincho" w:cstheme="minorHAnsi"/>
        </w:rPr>
        <w:t>considered after</w:t>
      </w:r>
      <w:r w:rsidRPr="00AC7DF7">
        <w:rPr>
          <w:rFonts w:eastAsia="MS Mincho" w:cstheme="minorHAnsi"/>
        </w:rPr>
        <w:t xml:space="preserve"> this initial course of treatment</w:t>
      </w:r>
      <w:r>
        <w:rPr>
          <w:rFonts w:eastAsia="MS Mincho" w:cstheme="minorHAnsi"/>
        </w:rPr>
        <w:t xml:space="preserve"> to manage symptoms and avoid reoccurring symptoms</w:t>
      </w:r>
      <w:r w:rsidRPr="00AC7DF7">
        <w:rPr>
          <w:rFonts w:eastAsia="MS Mincho" w:cstheme="minorHAnsi"/>
        </w:rPr>
        <w:t>. </w:t>
      </w:r>
    </w:p>
    <w:p w14:paraId="1DB23775" w14:textId="77777777" w:rsidR="00107BB6" w:rsidRPr="00F7033C" w:rsidRDefault="00107BB6" w:rsidP="00107BB6">
      <w:pPr>
        <w:rPr>
          <w:b/>
          <w:bCs/>
          <w:u w:val="single"/>
        </w:rPr>
      </w:pPr>
      <w:r w:rsidRPr="00F7033C">
        <w:rPr>
          <w:b/>
          <w:bCs/>
          <w:u w:val="single"/>
        </w:rPr>
        <w:t xml:space="preserve">Dosage </w:t>
      </w:r>
    </w:p>
    <w:p w14:paraId="59065579" w14:textId="77777777" w:rsidR="00107BB6" w:rsidRPr="007C0B74" w:rsidRDefault="00107BB6" w:rsidP="00107BB6">
      <w:pPr>
        <w:rPr>
          <w:u w:val="single"/>
        </w:rPr>
      </w:pPr>
      <w:r w:rsidRPr="007C0B74">
        <w:rPr>
          <w:u w:val="single"/>
        </w:rPr>
        <w:t>Esomeprazole</w:t>
      </w:r>
    </w:p>
    <w:p w14:paraId="6309F838" w14:textId="68AA75BA" w:rsidR="00107BB6" w:rsidRPr="00B37E11" w:rsidRDefault="00107BB6" w:rsidP="00107BB6">
      <w:pPr>
        <w:rPr>
          <w:b/>
          <w:bCs/>
        </w:rPr>
      </w:pPr>
      <w:r>
        <w:t xml:space="preserve">For GORD, </w:t>
      </w:r>
      <w:r w:rsidR="00923663">
        <w:t>i</w:t>
      </w:r>
      <w:r w:rsidRPr="00B37E11">
        <w:t>nitially, oral/IV 20 mg once daily for 4–8 weeks; change from IV to oral treatment as soon as possible. If response inadequate, increase oral dose to 40 mg daily for a further 4 weeks.</w:t>
      </w:r>
      <w:r w:rsidRPr="00745F74">
        <w:t xml:space="preserve"> For m</w:t>
      </w:r>
      <w:r w:rsidRPr="00B37E11">
        <w:t xml:space="preserve">aintenance </w:t>
      </w:r>
      <w:r w:rsidR="00923663">
        <w:t xml:space="preserve">use </w:t>
      </w:r>
      <w:r w:rsidRPr="00B37E11">
        <w:t>oral</w:t>
      </w:r>
      <w:r w:rsidR="00923663">
        <w:t xml:space="preserve"> form and</w:t>
      </w:r>
      <w:r w:rsidRPr="00B37E11">
        <w:t xml:space="preserve"> reduce to minimum required</w:t>
      </w:r>
      <w:r w:rsidR="00923663">
        <w:t xml:space="preserve"> dose</w:t>
      </w:r>
      <w:r w:rsidRPr="00B37E11">
        <w:t>.</w:t>
      </w:r>
    </w:p>
    <w:p w14:paraId="10846073" w14:textId="77777777" w:rsidR="00107BB6" w:rsidRPr="00B37E11" w:rsidRDefault="00107BB6" w:rsidP="00107BB6">
      <w:r>
        <w:t xml:space="preserve">Dosage for </w:t>
      </w:r>
      <w:r w:rsidRPr="00B37E11">
        <w:t>Zollinger-Ellison syndrome</w:t>
      </w:r>
      <w:r>
        <w:t xml:space="preserve"> needs to be adjusted </w:t>
      </w:r>
      <w:r w:rsidRPr="00B37E11">
        <w:t>according to gastric acid output.</w:t>
      </w:r>
      <w:r>
        <w:t xml:space="preserve"> </w:t>
      </w:r>
      <w:r w:rsidRPr="00B37E11">
        <w:rPr>
          <w:i/>
          <w:iCs/>
        </w:rPr>
        <w:t>Adult</w:t>
      </w:r>
      <w:r w:rsidRPr="00B37E11">
        <w:t>, oral, initially 40 mg twice daily.</w:t>
      </w:r>
    </w:p>
    <w:p w14:paraId="4174E907" w14:textId="7DC27FAA" w:rsidR="00107BB6" w:rsidRPr="00B37E11" w:rsidRDefault="00107BB6" w:rsidP="00107BB6">
      <w:r w:rsidRPr="001818D6">
        <w:t>Dosage for</w:t>
      </w:r>
      <w:r>
        <w:rPr>
          <w:i/>
          <w:iCs/>
        </w:rPr>
        <w:t xml:space="preserve"> </w:t>
      </w:r>
      <w:r w:rsidRPr="00B37E11">
        <w:rPr>
          <w:i/>
          <w:iCs/>
        </w:rPr>
        <w:t>H. pylori</w:t>
      </w:r>
      <w:r w:rsidRPr="00B37E11">
        <w:t> eradication</w:t>
      </w:r>
      <w:r>
        <w:t xml:space="preserve"> is </w:t>
      </w:r>
      <w:r w:rsidRPr="00B37E11">
        <w:t>oral 20 mg twice daily, with 2 </w:t>
      </w:r>
      <w:r w:rsidR="00E26B90">
        <w:t>a</w:t>
      </w:r>
      <w:r w:rsidR="00923663">
        <w:t>ntibiotics</w:t>
      </w:r>
      <w:r w:rsidRPr="00B37E11">
        <w:t>.</w:t>
      </w:r>
    </w:p>
    <w:p w14:paraId="3D1C95CC" w14:textId="77777777" w:rsidR="00107BB6" w:rsidRPr="00B37E11" w:rsidRDefault="00107BB6" w:rsidP="00107BB6">
      <w:r w:rsidRPr="00745F74">
        <w:t xml:space="preserve">Dosage for </w:t>
      </w:r>
      <w:r w:rsidRPr="00B37E11">
        <w:t>NSAID-associated gastric ulcer</w:t>
      </w:r>
      <w:r w:rsidRPr="00745F74">
        <w:t xml:space="preserve"> is </w:t>
      </w:r>
      <w:r w:rsidRPr="00B37E11">
        <w:t>oral/IV 20 mg once daily for 4–8 weeks; change from IV to oral treatment as soon as possible.</w:t>
      </w:r>
    </w:p>
    <w:p w14:paraId="0CAB8E4D" w14:textId="77777777" w:rsidR="00107BB6" w:rsidRPr="00B37E11" w:rsidRDefault="00107BB6" w:rsidP="00107BB6">
      <w:r w:rsidRPr="00745F74">
        <w:lastRenderedPageBreak/>
        <w:t>For the p</w:t>
      </w:r>
      <w:r w:rsidRPr="00B37E11">
        <w:t>revention of NSAID-associated peptic ulcer</w:t>
      </w:r>
      <w:r w:rsidRPr="00745F74">
        <w:t xml:space="preserve"> dosage is </w:t>
      </w:r>
      <w:r w:rsidRPr="00B37E11">
        <w:t>oral/IV 20 mg once daily; change from IV to oral treatment as soon as possible.</w:t>
      </w:r>
    </w:p>
    <w:p w14:paraId="2C7ED59F" w14:textId="77777777" w:rsidR="00107BB6" w:rsidRPr="00B37E11" w:rsidRDefault="00107BB6" w:rsidP="00107BB6">
      <w:r w:rsidRPr="00745F74">
        <w:t xml:space="preserve">For </w:t>
      </w:r>
      <w:r w:rsidRPr="00B37E11">
        <w:t>NSAID-associated upper GI symptoms</w:t>
      </w:r>
      <w:r w:rsidRPr="00745F74">
        <w:t xml:space="preserve"> dosage is </w:t>
      </w:r>
      <w:r w:rsidRPr="00B37E11">
        <w:t>oral 20 mg once daily for 4 weeks.</w:t>
      </w:r>
    </w:p>
    <w:p w14:paraId="674B77FE" w14:textId="66FE5242" w:rsidR="00107BB6" w:rsidRDefault="00107BB6" w:rsidP="00107BB6">
      <w:r w:rsidRPr="00B37E11">
        <w:t>Prevention of peptic ulcer rebleeding</w:t>
      </w:r>
      <w:r w:rsidRPr="00745F74">
        <w:t xml:space="preserve"> dose of </w:t>
      </w:r>
      <w:r w:rsidRPr="00B37E11">
        <w:t>IV infusion, initially 80 mg over 30 minutes, then decrease rate to 8 mg/hour for 3 days, then oral 40 mg once daily, seek specialist advice.</w:t>
      </w:r>
    </w:p>
    <w:p w14:paraId="31CAB1F6" w14:textId="77777777" w:rsidR="00050651" w:rsidRDefault="00107BB6" w:rsidP="009C1111">
      <w:pPr>
        <w:spacing w:after="0"/>
        <w:rPr>
          <w:u w:val="single"/>
        </w:rPr>
      </w:pPr>
      <w:r w:rsidRPr="00137698">
        <w:rPr>
          <w:u w:val="single"/>
        </w:rPr>
        <w:t>Lansoprazole</w:t>
      </w:r>
    </w:p>
    <w:p w14:paraId="2B0A9A49" w14:textId="5356D10D" w:rsidR="00107BB6" w:rsidRDefault="00107BB6" w:rsidP="00107BB6">
      <w:r>
        <w:br/>
        <w:t xml:space="preserve">The dosage for </w:t>
      </w:r>
      <w:r w:rsidR="006A2582">
        <w:t>r</w:t>
      </w:r>
      <w:r w:rsidR="006A2582" w:rsidRPr="00137698">
        <w:t xml:space="preserve">eflux </w:t>
      </w:r>
      <w:r w:rsidRPr="00137698">
        <w:t>oesophagitis</w:t>
      </w:r>
      <w:r>
        <w:t xml:space="preserve"> is </w:t>
      </w:r>
      <w:r w:rsidRPr="00137698">
        <w:t xml:space="preserve">30 mg lansoprazole once daily for 4 weeks. </w:t>
      </w:r>
      <w:r>
        <w:t>Most p</w:t>
      </w:r>
      <w:r w:rsidRPr="00137698">
        <w:t>atients will be healed after the</w:t>
      </w:r>
      <w:r>
        <w:t>ir</w:t>
      </w:r>
      <w:r w:rsidRPr="00137698">
        <w:t xml:space="preserve"> first course. For patients who have not fully healed within this time, a further 4 weeks’ treatment using the same dosage regimen is indicated. For long-term management, a maintenance dose of 15 mg or 30 mg once daily can be used dependent upon patient response. </w:t>
      </w:r>
    </w:p>
    <w:p w14:paraId="50CDBEC1" w14:textId="449EB777" w:rsidR="00107BB6" w:rsidRDefault="00107BB6" w:rsidP="00107BB6">
      <w:r>
        <w:t xml:space="preserve">Dosage for </w:t>
      </w:r>
      <w:r w:rsidR="006A2582">
        <w:t>d</w:t>
      </w:r>
      <w:r w:rsidR="006A2582" w:rsidRPr="00137698">
        <w:t xml:space="preserve">uodenal </w:t>
      </w:r>
      <w:r w:rsidRPr="00137698">
        <w:t>ulcer</w:t>
      </w:r>
      <w:r>
        <w:t xml:space="preserve"> is </w:t>
      </w:r>
      <w:r w:rsidRPr="00137698">
        <w:t>30 mg lansoprazole once daily for 4 weeks. For the prevention of relapse, the recommended maintenance dose is 15 mg once daily.</w:t>
      </w:r>
      <w:r>
        <w:t xml:space="preserve"> </w:t>
      </w:r>
    </w:p>
    <w:p w14:paraId="001BE2F6" w14:textId="17F11E9C" w:rsidR="00107BB6" w:rsidRDefault="00107BB6" w:rsidP="00107BB6">
      <w:r>
        <w:t>Dosage for</w:t>
      </w:r>
      <w:r w:rsidRPr="00137698">
        <w:t xml:space="preserve"> </w:t>
      </w:r>
      <w:r w:rsidR="006A2582">
        <w:t>g</w:t>
      </w:r>
      <w:r w:rsidR="006A2582" w:rsidRPr="00137698">
        <w:t xml:space="preserve">astric </w:t>
      </w:r>
      <w:r w:rsidRPr="00137698">
        <w:t>ulcer</w:t>
      </w:r>
      <w:r>
        <w:t xml:space="preserve"> is </w:t>
      </w:r>
      <w:r w:rsidRPr="00137698">
        <w:t xml:space="preserve">30 mg lansoprazole once daily for 8 weeks. </w:t>
      </w:r>
    </w:p>
    <w:p w14:paraId="48DE999C" w14:textId="182FFA00" w:rsidR="00107BB6" w:rsidRDefault="00107BB6" w:rsidP="00107BB6">
      <w:r>
        <w:t xml:space="preserve">Dosage for </w:t>
      </w:r>
      <w:r w:rsidR="006A2582">
        <w:t>a</w:t>
      </w:r>
      <w:r w:rsidR="006A2582" w:rsidRPr="00137698">
        <w:t>cid</w:t>
      </w:r>
      <w:r w:rsidRPr="00137698">
        <w:t>-related dyspepsia</w:t>
      </w:r>
      <w:r>
        <w:t xml:space="preserve"> is</w:t>
      </w:r>
      <w:r w:rsidRPr="00137698">
        <w:t xml:space="preserve"> Lansoprazole 15 mg or 30 mg once daily for 2-4 weeks, depending on the severity and persistence of symptoms. Patients who do not respond after 4 weeks, or who relapse shortly afterwards, should be investigated. </w:t>
      </w:r>
    </w:p>
    <w:p w14:paraId="1EB7CFE4" w14:textId="77777777" w:rsidR="00107BB6" w:rsidRDefault="00107BB6" w:rsidP="00107BB6">
      <w:r>
        <w:t>Dosage for e</w:t>
      </w:r>
      <w:r w:rsidRPr="00137698">
        <w:t xml:space="preserve">radication of </w:t>
      </w:r>
      <w:r w:rsidRPr="00E26B90">
        <w:rPr>
          <w:i/>
          <w:iCs/>
        </w:rPr>
        <w:t>H. pylori</w:t>
      </w:r>
      <w:r>
        <w:t xml:space="preserve"> is t</w:t>
      </w:r>
      <w:r w:rsidRPr="00137698">
        <w:t>he following combinations have been shown to be effective when used for 7 days: Lansoprazole 30 mg twice daily plus two of the following antibiotics: amoxycillin 1 g twice daily, metronidazole 400 mg twice daily and clarithromycin 250 mg twice daily.</w:t>
      </w:r>
    </w:p>
    <w:p w14:paraId="0CAF1401" w14:textId="77777777" w:rsidR="00107BB6" w:rsidRPr="007C0B74" w:rsidRDefault="00107BB6" w:rsidP="00107BB6">
      <w:pPr>
        <w:rPr>
          <w:u w:val="single"/>
        </w:rPr>
      </w:pPr>
      <w:r w:rsidRPr="007C0B74">
        <w:rPr>
          <w:u w:val="single"/>
        </w:rPr>
        <w:t>Omeprazole</w:t>
      </w:r>
    </w:p>
    <w:p w14:paraId="3CFBF016" w14:textId="77777777" w:rsidR="00CB2AB6" w:rsidRDefault="00107BB6" w:rsidP="00107BB6">
      <w:r>
        <w:t xml:space="preserve">Recommended dose for </w:t>
      </w:r>
      <w:r w:rsidR="006A2582">
        <w:t>s</w:t>
      </w:r>
      <w:r w:rsidR="006A2582" w:rsidRPr="007C0B74">
        <w:t xml:space="preserve">ymptomatic </w:t>
      </w:r>
      <w:r w:rsidRPr="007C0B74">
        <w:t xml:space="preserve">GORD </w:t>
      </w:r>
      <w:r>
        <w:t>is</w:t>
      </w:r>
      <w:r w:rsidRPr="007C0B74">
        <w:t xml:space="preserve"> </w:t>
      </w:r>
      <w:r w:rsidR="006A2582">
        <w:t>o</w:t>
      </w:r>
      <w:r w:rsidR="006A2582" w:rsidRPr="007C0B74">
        <w:t xml:space="preserve">meprazole </w:t>
      </w:r>
      <w:r w:rsidRPr="007C0B74">
        <w:t>10 mg to 20 mg once daily for a maximum of four weeks.</w:t>
      </w:r>
    </w:p>
    <w:p w14:paraId="7C289D2D" w14:textId="29A893BF" w:rsidR="00107BB6" w:rsidRDefault="00107BB6" w:rsidP="00107BB6">
      <w:r>
        <w:t xml:space="preserve">Recommended dose for </w:t>
      </w:r>
      <w:r w:rsidR="006A2582">
        <w:t>e</w:t>
      </w:r>
      <w:r w:rsidR="006A2582" w:rsidRPr="007C0B74">
        <w:t xml:space="preserve">rosive </w:t>
      </w:r>
      <w:r w:rsidRPr="007C0B74">
        <w:t xml:space="preserve">oesophagitis </w:t>
      </w:r>
      <w:r>
        <w:t>is</w:t>
      </w:r>
      <w:r w:rsidRPr="007C0B74">
        <w:t xml:space="preserve"> </w:t>
      </w:r>
      <w:r w:rsidR="006A2582">
        <w:t>o</w:t>
      </w:r>
      <w:r w:rsidR="006A2582" w:rsidRPr="007C0B74">
        <w:t xml:space="preserve">meprazole </w:t>
      </w:r>
      <w:r w:rsidRPr="007C0B74">
        <w:t xml:space="preserve">20 mg once daily for four to eight weeks. In most </w:t>
      </w:r>
      <w:r w:rsidR="00407F67" w:rsidRPr="007C0B74">
        <w:t>patients</w:t>
      </w:r>
      <w:r w:rsidRPr="007C0B74">
        <w:t xml:space="preserve"> symptomatic relief is </w:t>
      </w:r>
      <w:r w:rsidR="00407F67" w:rsidRPr="007C0B74">
        <w:t>rapid,</w:t>
      </w:r>
      <w:r w:rsidRPr="007C0B74">
        <w:t xml:space="preserve"> and healing is usually complete within four weeks. Omeprazole 40 mg once daily usually produces healing within eight weeks in patients with ulcerative reflux oesophagitis refractory to treatment. </w:t>
      </w:r>
      <w:r>
        <w:t xml:space="preserve">It is recommended </w:t>
      </w:r>
      <w:r w:rsidRPr="007C0B74">
        <w:t>omeprazole 10 mg</w:t>
      </w:r>
      <w:r>
        <w:t xml:space="preserve"> is consumed</w:t>
      </w:r>
      <w:r w:rsidRPr="007C0B74">
        <w:t xml:space="preserve"> once daily</w:t>
      </w:r>
      <w:r>
        <w:t xml:space="preserve"> for m</w:t>
      </w:r>
      <w:r w:rsidRPr="007C0B74">
        <w:t>aintenance</w:t>
      </w:r>
      <w:r>
        <w:t xml:space="preserve"> therapy a</w:t>
      </w:r>
      <w:r w:rsidRPr="007C0B74">
        <w:t xml:space="preserve">fter healing. </w:t>
      </w:r>
    </w:p>
    <w:p w14:paraId="7582D78B" w14:textId="77777777" w:rsidR="00183EF0" w:rsidRDefault="00107BB6" w:rsidP="00107BB6">
      <w:r w:rsidRPr="00E26B90">
        <w:rPr>
          <w:i/>
          <w:iCs/>
        </w:rPr>
        <w:t>Helicobacter pylori</w:t>
      </w:r>
      <w:r w:rsidRPr="007C0B74">
        <w:t xml:space="preserve"> associated peptic ulcer disease </w:t>
      </w:r>
      <w:r>
        <w:t>where</w:t>
      </w:r>
      <w:r w:rsidRPr="007C0B74">
        <w:t xml:space="preserve"> gastric or duodenal ulceration is not associated with NSAID ingestion require antimicrobial treatment in addition to antisecretory drugs whether on first presentation or on recurrence. Omeprazole administered at a dose of 40 mg once daily or 20 mg twice daily in association with the following combinations has been found to achieve eradication rates of approximately 90%:</w:t>
      </w:r>
    </w:p>
    <w:p w14:paraId="2F8C14CD" w14:textId="77777777" w:rsidR="00183EF0" w:rsidRDefault="00C57EE2" w:rsidP="00183EF0">
      <w:pPr>
        <w:pStyle w:val="ListParagraph"/>
        <w:numPr>
          <w:ilvl w:val="0"/>
          <w:numId w:val="48"/>
        </w:numPr>
      </w:pPr>
      <w:r>
        <w:lastRenderedPageBreak/>
        <w:t>a</w:t>
      </w:r>
      <w:r w:rsidR="00107BB6" w:rsidRPr="007C0B74">
        <w:t xml:space="preserve">moxicillin 500 mg and metronidazole 400 mg both three times a day for two weeks; or </w:t>
      </w:r>
    </w:p>
    <w:p w14:paraId="08106CCA" w14:textId="77777777" w:rsidR="00183EF0" w:rsidRDefault="00C57EE2" w:rsidP="00183EF0">
      <w:pPr>
        <w:pStyle w:val="ListParagraph"/>
        <w:numPr>
          <w:ilvl w:val="0"/>
          <w:numId w:val="48"/>
        </w:numPr>
      </w:pPr>
      <w:r>
        <w:t>a</w:t>
      </w:r>
      <w:r w:rsidR="00107BB6" w:rsidRPr="007C0B74">
        <w:t xml:space="preserve">moxicillin 1 g and clarithromycin 500 mg both twice a day for one week; or </w:t>
      </w:r>
    </w:p>
    <w:p w14:paraId="3D22C96C" w14:textId="63259918" w:rsidR="00107BB6" w:rsidRDefault="00183EF0" w:rsidP="00183EF0">
      <w:pPr>
        <w:pStyle w:val="ListParagraph"/>
        <w:numPr>
          <w:ilvl w:val="0"/>
          <w:numId w:val="48"/>
        </w:numPr>
      </w:pPr>
      <w:r>
        <w:t>c</w:t>
      </w:r>
      <w:r w:rsidR="00107BB6" w:rsidRPr="007C0B74">
        <w:t xml:space="preserve">larithromycin 250 mg and metronidazole 400 mg twice a day for one week. </w:t>
      </w:r>
    </w:p>
    <w:p w14:paraId="7A961AA8" w14:textId="23EEDA46" w:rsidR="00107BB6" w:rsidRDefault="004D12CA" w:rsidP="00107BB6">
      <w:r>
        <w:t>The r</w:t>
      </w:r>
      <w:r w:rsidR="00107BB6">
        <w:t xml:space="preserve">ecommendation for </w:t>
      </w:r>
      <w:r w:rsidR="006A2582">
        <w:t>d</w:t>
      </w:r>
      <w:r w:rsidR="00107BB6" w:rsidRPr="007C0B74">
        <w:t xml:space="preserve">uodenal ulcer </w:t>
      </w:r>
      <w:r w:rsidR="00107BB6">
        <w:t>is</w:t>
      </w:r>
      <w:r w:rsidR="00107BB6" w:rsidRPr="007C0B74">
        <w:t xml:space="preserve"> omeprazole 20 mg once daily for four to eight weeks. In those patients not fully healed during the initial four weeks of treatment, healing usually occurs during a further four weeks of treatment. Omeprazole 40 mg once daily usually produces healing within four to eight weeks in patients with duodenal ulcer refractory to treatment. Maintenance </w:t>
      </w:r>
      <w:r w:rsidR="00107BB6">
        <w:t>f</w:t>
      </w:r>
      <w:r w:rsidR="00107BB6" w:rsidRPr="007C0B74">
        <w:t xml:space="preserve">or the long-term prevention of relapse in patients with duodenal ulcer </w:t>
      </w:r>
      <w:r w:rsidR="00107BB6">
        <w:t>that are</w:t>
      </w:r>
      <w:r w:rsidR="00107BB6" w:rsidRPr="007C0B74">
        <w:t xml:space="preserve"> </w:t>
      </w:r>
      <w:r w:rsidR="00107BB6" w:rsidRPr="00E26B90">
        <w:rPr>
          <w:i/>
          <w:iCs/>
        </w:rPr>
        <w:t>H. pylori</w:t>
      </w:r>
      <w:r w:rsidR="00107BB6" w:rsidRPr="007C0B74">
        <w:t xml:space="preserve"> negative and whose ulceration had not been associated with NSAIDs, the recommended dose is omeprazole 10 mg to 20 mg daily. </w:t>
      </w:r>
    </w:p>
    <w:p w14:paraId="6B89AAD8" w14:textId="1945384A" w:rsidR="00107BB6" w:rsidRDefault="004D12CA" w:rsidP="00107BB6">
      <w:r>
        <w:t>For</w:t>
      </w:r>
      <w:r w:rsidR="008855A7">
        <w:t xml:space="preserve"> </w:t>
      </w:r>
      <w:r>
        <w:t>g</w:t>
      </w:r>
      <w:r w:rsidR="00107BB6" w:rsidRPr="007C0B74">
        <w:t>astric ulcer</w:t>
      </w:r>
      <w:r>
        <w:t xml:space="preserve"> the</w:t>
      </w:r>
      <w:r w:rsidR="00107BB6" w:rsidRPr="007C0B74">
        <w:t xml:space="preserve"> </w:t>
      </w:r>
      <w:r w:rsidR="006A2582">
        <w:t>r</w:t>
      </w:r>
      <w:r w:rsidR="00107BB6" w:rsidRPr="007C0B74">
        <w:t xml:space="preserve">ecommended healing dosage </w:t>
      </w:r>
      <w:r w:rsidR="006A2582">
        <w:t>of o</w:t>
      </w:r>
      <w:r w:rsidR="006A2582" w:rsidRPr="007C0B74">
        <w:t xml:space="preserve">meprazole </w:t>
      </w:r>
      <w:r w:rsidR="00107BB6" w:rsidRPr="007C0B74">
        <w:t xml:space="preserve">20 mg once daily for four to eight weeks. Omeprazole 40 mg once daily usually produces healing within eight weeks in patients with gastric ulcer refractory to treatment. </w:t>
      </w:r>
      <w:r w:rsidR="00107BB6">
        <w:t>For m</w:t>
      </w:r>
      <w:r w:rsidR="00107BB6" w:rsidRPr="007C0B74">
        <w:t>aintenance</w:t>
      </w:r>
      <w:r>
        <w:t xml:space="preserve"> treatment</w:t>
      </w:r>
      <w:r w:rsidR="00107BB6">
        <w:t>, t</w:t>
      </w:r>
      <w:r w:rsidR="00107BB6" w:rsidRPr="007C0B74">
        <w:t xml:space="preserve">he recommended dose for the long-term prevention of relapse in patients with gastric ulcer who are proven to be </w:t>
      </w:r>
      <w:r w:rsidR="00107BB6" w:rsidRPr="00E26B90">
        <w:rPr>
          <w:i/>
          <w:iCs/>
        </w:rPr>
        <w:t>H. pylori</w:t>
      </w:r>
      <w:r w:rsidR="00107BB6" w:rsidRPr="007C0B74">
        <w:t xml:space="preserve"> negative and whose ulceration had not been associated with NSAIDs is omeprazole 20 mg daily. </w:t>
      </w:r>
    </w:p>
    <w:p w14:paraId="5F477F86" w14:textId="322FF377" w:rsidR="009B5F6B" w:rsidRDefault="00107BB6" w:rsidP="00107BB6">
      <w:r w:rsidRPr="007C0B74">
        <w:t xml:space="preserve">For NSAID-associated duodenal ulcers, see NSAID-associated gastric or duodenal ulcers or erosions. </w:t>
      </w:r>
      <w:r>
        <w:t xml:space="preserve">The recommended dose for </w:t>
      </w:r>
      <w:r w:rsidRPr="007C0B74">
        <w:t>NSAID-associated gastric or duodenal ulcers or erosions in patients with or without continued NSAID treatment is omeprazole 20 to 40 mg daily. In most patients</w:t>
      </w:r>
      <w:r>
        <w:t>,</w:t>
      </w:r>
      <w:r w:rsidRPr="007C0B74">
        <w:t xml:space="preserve"> symptomatic relief is rapid, and healing occurs within four weeks. In those patients not fully healed during the initial four weeks of treatment, healing usually occurs during a further four weeks of treatment.</w:t>
      </w:r>
    </w:p>
    <w:p w14:paraId="1B6C1E93" w14:textId="55595610" w:rsidR="00107BB6" w:rsidRDefault="00107BB6" w:rsidP="00107BB6">
      <w:r w:rsidRPr="007C0B74">
        <w:t xml:space="preserve">The recommended dose for the prevention of NSAID-associated gastric or duodenal ulcers or erosions and dyspeptic symptoms is omeprazole 20 mg once daily. </w:t>
      </w:r>
    </w:p>
    <w:p w14:paraId="1DDDBBDB" w14:textId="749BF338" w:rsidR="00107BB6" w:rsidRDefault="00DB4892" w:rsidP="00107BB6">
      <w:r>
        <w:t xml:space="preserve">The recommended initial dose for </w:t>
      </w:r>
      <w:r w:rsidR="009B5F6B">
        <w:t>ZES</w:t>
      </w:r>
      <w:r w:rsidR="00107BB6" w:rsidRPr="007C0B74">
        <w:t xml:space="preserve"> </w:t>
      </w:r>
      <w:r>
        <w:t>is</w:t>
      </w:r>
      <w:r w:rsidR="00107BB6" w:rsidRPr="007C0B74">
        <w:t xml:space="preserve"> </w:t>
      </w:r>
      <w:r w:rsidR="006A2582">
        <w:t>o</w:t>
      </w:r>
      <w:r w:rsidR="00107BB6" w:rsidRPr="007C0B74">
        <w:t xml:space="preserve">meprazole 60 mg once daily. </w:t>
      </w:r>
      <w:r>
        <w:t>This</w:t>
      </w:r>
      <w:r w:rsidR="00107BB6" w:rsidRPr="007C0B74">
        <w:t xml:space="preserve"> should be adjusted to the individual patient’s response and treatment continued for as long as is clinically indicated. </w:t>
      </w:r>
      <w:r>
        <w:t>If</w:t>
      </w:r>
      <w:r w:rsidRPr="007C0B74">
        <w:t xml:space="preserve"> </w:t>
      </w:r>
      <w:r w:rsidR="00107BB6" w:rsidRPr="007C0B74">
        <w:t>the daily oral dose exceeds 80 mg, omeprazole should be given in divided doses twice daily.</w:t>
      </w:r>
    </w:p>
    <w:p w14:paraId="5E7C7ADA" w14:textId="77777777" w:rsidR="00107BB6" w:rsidRPr="00A02D9A" w:rsidRDefault="00107BB6" w:rsidP="00107BB6">
      <w:pPr>
        <w:rPr>
          <w:u w:val="single"/>
        </w:rPr>
      </w:pPr>
      <w:r w:rsidRPr="00A02D9A">
        <w:rPr>
          <w:u w:val="single"/>
        </w:rPr>
        <w:t>Pantoprazole</w:t>
      </w:r>
    </w:p>
    <w:p w14:paraId="6881E32C" w14:textId="0F8D2F06" w:rsidR="00107BB6" w:rsidRDefault="00107BB6" w:rsidP="00107BB6">
      <w:r>
        <w:t xml:space="preserve">Dosage for a </w:t>
      </w:r>
      <w:r w:rsidR="006A2582">
        <w:t>d</w:t>
      </w:r>
      <w:r w:rsidR="006A2582" w:rsidRPr="00A02D9A">
        <w:t xml:space="preserve">uodenal </w:t>
      </w:r>
      <w:r w:rsidR="004D12CA">
        <w:t>u</w:t>
      </w:r>
      <w:r w:rsidRPr="00A02D9A">
        <w:t>lcer</w:t>
      </w:r>
      <w:r>
        <w:t xml:space="preserve"> is </w:t>
      </w:r>
      <w:r w:rsidR="001737E0">
        <w:t>p</w:t>
      </w:r>
      <w:r w:rsidR="001737E0" w:rsidRPr="001737E0">
        <w:t>antoprazole</w:t>
      </w:r>
      <w:r w:rsidRPr="00A02D9A">
        <w:t xml:space="preserve"> 40 mg (1 tablet / 1 sachet of 40 mg granules) </w:t>
      </w:r>
      <w:r w:rsidR="00DB4892">
        <w:t xml:space="preserve">is </w:t>
      </w:r>
      <w:r w:rsidRPr="00A02D9A">
        <w:t>once a day. If a 2-week period of treatment is not sufficient, healing will be achieved within a further 2 weeks.</w:t>
      </w:r>
      <w:r>
        <w:t xml:space="preserve"> </w:t>
      </w:r>
    </w:p>
    <w:p w14:paraId="59F4F0FD" w14:textId="3651BF3D" w:rsidR="00107BB6" w:rsidRDefault="00107BB6" w:rsidP="00107BB6">
      <w:r>
        <w:t>Dosage for a</w:t>
      </w:r>
      <w:r w:rsidRPr="00A02D9A">
        <w:t xml:space="preserve"> </w:t>
      </w:r>
      <w:r w:rsidR="006A2582">
        <w:t>g</w:t>
      </w:r>
      <w:r w:rsidRPr="00A02D9A">
        <w:t xml:space="preserve">astric </w:t>
      </w:r>
      <w:r w:rsidR="004D12CA">
        <w:t>u</w:t>
      </w:r>
      <w:r w:rsidRPr="00A02D9A">
        <w:t>lcer</w:t>
      </w:r>
      <w:r>
        <w:t xml:space="preserve"> is</w:t>
      </w:r>
      <w:r w:rsidRPr="00A02D9A">
        <w:t xml:space="preserve"> </w:t>
      </w:r>
      <w:r w:rsidR="001737E0">
        <w:t>pantoprazole</w:t>
      </w:r>
      <w:r w:rsidRPr="00A02D9A">
        <w:t xml:space="preserve"> 40 mg (1 tablet / 1 sachet of 40 mg granules) should be given once a day. If a 4-week period of treatment is not sufficient, healing will usually be achieved in a further 4 weeks. </w:t>
      </w:r>
    </w:p>
    <w:p w14:paraId="24CE0A3B" w14:textId="07E0EDF9" w:rsidR="00107BB6" w:rsidRDefault="00107BB6" w:rsidP="00107BB6">
      <w:r>
        <w:t xml:space="preserve">Dosage for </w:t>
      </w:r>
      <w:r w:rsidR="003A681D">
        <w:t xml:space="preserve">ZES </w:t>
      </w:r>
      <w:r w:rsidR="003A681D" w:rsidRPr="008F5F2F">
        <w:t>should</w:t>
      </w:r>
      <w:r w:rsidRPr="00A02D9A">
        <w:t xml:space="preserve"> be individually adjusted so that the acid output remains below 10 mmol/L. </w:t>
      </w:r>
    </w:p>
    <w:p w14:paraId="0F6B37A1" w14:textId="79225AA1" w:rsidR="00107BB6" w:rsidRDefault="00107BB6" w:rsidP="00107BB6">
      <w:r>
        <w:lastRenderedPageBreak/>
        <w:t xml:space="preserve">The recommended dosage for </w:t>
      </w:r>
      <w:r w:rsidR="006A2582">
        <w:t>s</w:t>
      </w:r>
      <w:r w:rsidR="006A2582" w:rsidRPr="00A02D9A">
        <w:t xml:space="preserve">ymptomatic </w:t>
      </w:r>
      <w:r w:rsidRPr="00A02D9A">
        <w:t>GORD (</w:t>
      </w:r>
      <w:r w:rsidR="004D12CA">
        <w:t>t</w:t>
      </w:r>
      <w:r w:rsidRPr="00A02D9A">
        <w:t>reatment of symptomatic reflux)</w:t>
      </w:r>
      <w:r>
        <w:t xml:space="preserve"> </w:t>
      </w:r>
      <w:r w:rsidRPr="00A02D9A">
        <w:t xml:space="preserve">is one </w:t>
      </w:r>
      <w:r w:rsidR="001737E0">
        <w:t>pantoprazole</w:t>
      </w:r>
      <w:r w:rsidRPr="00A02D9A">
        <w:t xml:space="preserve"> 20 mg tablet per day for adults and for children aged over 5 years. If symptom control has not been achieved after four weeks treatment with </w:t>
      </w:r>
      <w:r w:rsidR="001737E0">
        <w:t>pantoprazole</w:t>
      </w:r>
      <w:r w:rsidRPr="00A02D9A">
        <w:t xml:space="preserve"> 20 mg tablets daily, further investigation is recommended</w:t>
      </w:r>
      <w:r>
        <w:t xml:space="preserve"> such as</w:t>
      </w:r>
      <w:r w:rsidRPr="00A02D9A">
        <w:t xml:space="preserve"> endoscopy. </w:t>
      </w:r>
    </w:p>
    <w:p w14:paraId="1F41C5D3" w14:textId="7ABCEE79" w:rsidR="00107BB6" w:rsidRDefault="00107BB6" w:rsidP="00107BB6">
      <w:r w:rsidRPr="00A02D9A">
        <w:t>Treatment of reflux oesophagitis</w:t>
      </w:r>
      <w:r>
        <w:t xml:space="preserve"> </w:t>
      </w:r>
      <w:r w:rsidRPr="00A02D9A">
        <w:t xml:space="preserve">is one </w:t>
      </w:r>
      <w:r w:rsidR="001737E0">
        <w:t>pantoprazole</w:t>
      </w:r>
      <w:r w:rsidRPr="00A02D9A">
        <w:t xml:space="preserve"> 20 mg or 40 mg tablet or one sachet of </w:t>
      </w:r>
      <w:r w:rsidR="001737E0">
        <w:t>pantoprazole</w:t>
      </w:r>
      <w:r w:rsidRPr="00A02D9A">
        <w:t xml:space="preserve"> 40 mg granules per day. In children over 5 years of age, the dosage should be adjusted according to weight. A 4-week period is usually required for healing, however if this is not sufficient, healing will usually be achieved within a further 4 weeks. This dosage may be increased up to 80 mg pantoprazole per day in adults.</w:t>
      </w:r>
    </w:p>
    <w:p w14:paraId="394EFB2E" w14:textId="77777777" w:rsidR="00107BB6" w:rsidRPr="00D14A5F" w:rsidRDefault="00107BB6" w:rsidP="00107BB6">
      <w:pPr>
        <w:rPr>
          <w:rStyle w:val="Hyperlink"/>
          <w:color w:val="auto"/>
        </w:rPr>
      </w:pPr>
      <w:r w:rsidRPr="00D14A5F">
        <w:rPr>
          <w:u w:val="single"/>
        </w:rPr>
        <w:t>Rabeprazole</w:t>
      </w:r>
    </w:p>
    <w:p w14:paraId="2606F126" w14:textId="1DCEA721" w:rsidR="00107BB6" w:rsidRDefault="00107BB6" w:rsidP="00107BB6">
      <w:r>
        <w:t>The recommended dose for t</w:t>
      </w:r>
      <w:r w:rsidRPr="00D14A5F">
        <w:t>reatment of active</w:t>
      </w:r>
      <w:r>
        <w:t xml:space="preserve"> </w:t>
      </w:r>
      <w:r w:rsidRPr="00D14A5F">
        <w:t>GORD</w:t>
      </w:r>
      <w:r>
        <w:t xml:space="preserve"> </w:t>
      </w:r>
      <w:r w:rsidRPr="00D14A5F">
        <w:t>is one 20 mg tablet once daily for four to eight weeks. The recommended oral dose</w:t>
      </w:r>
      <w:r>
        <w:t xml:space="preserve"> for p</w:t>
      </w:r>
      <w:r w:rsidRPr="00D14A5F">
        <w:t xml:space="preserve">revention of </w:t>
      </w:r>
      <w:r w:rsidR="009B194A">
        <w:t>r</w:t>
      </w:r>
      <w:r w:rsidRPr="00D14A5F">
        <w:t>elapse of GORD</w:t>
      </w:r>
      <w:r>
        <w:t xml:space="preserve"> </w:t>
      </w:r>
      <w:r w:rsidRPr="00D14A5F">
        <w:t xml:space="preserve">is one 10 mg tablet once daily. If needed this dose should be increased to one 20 mg tablet to be taken once daily. </w:t>
      </w:r>
      <w:r>
        <w:t>Treatment for s</w:t>
      </w:r>
      <w:r w:rsidRPr="00D14A5F">
        <w:t>ymptomatic GORD</w:t>
      </w:r>
      <w:r>
        <w:t xml:space="preserve"> is 1</w:t>
      </w:r>
      <w:r w:rsidRPr="00D14A5F">
        <w:t xml:space="preserve">0 mg once daily in patients without oesophagitis. If no response, the dose should be increased to 20 mg once daily for four weeks. If symptom control has not been achieved within four weeks, the patient should be further investigated. </w:t>
      </w:r>
    </w:p>
    <w:p w14:paraId="735E05AF" w14:textId="35FBB9AA" w:rsidR="00107BB6" w:rsidRDefault="004D12CA" w:rsidP="00107BB6">
      <w:r>
        <w:t>The r</w:t>
      </w:r>
      <w:r w:rsidR="00107BB6">
        <w:t xml:space="preserve">ecommended dose for </w:t>
      </w:r>
      <w:r>
        <w:t xml:space="preserve">the </w:t>
      </w:r>
      <w:r w:rsidR="00107BB6">
        <w:t>t</w:t>
      </w:r>
      <w:r w:rsidR="00107BB6" w:rsidRPr="00D14A5F">
        <w:t xml:space="preserve">reatment of active </w:t>
      </w:r>
      <w:r w:rsidR="00E4750D">
        <w:t>d</w:t>
      </w:r>
      <w:r w:rsidR="00107BB6" w:rsidRPr="00D14A5F">
        <w:t xml:space="preserve">uodenal </w:t>
      </w:r>
      <w:r w:rsidR="00E4750D">
        <w:t>u</w:t>
      </w:r>
      <w:r w:rsidR="00107BB6" w:rsidRPr="00D14A5F">
        <w:t xml:space="preserve">lcer and </w:t>
      </w:r>
      <w:r w:rsidR="00E4750D">
        <w:t>g</w:t>
      </w:r>
      <w:r w:rsidR="00107BB6" w:rsidRPr="00D14A5F">
        <w:t xml:space="preserve">astric </w:t>
      </w:r>
      <w:r w:rsidR="00E4750D">
        <w:t>u</w:t>
      </w:r>
      <w:r w:rsidR="00107BB6" w:rsidRPr="00D14A5F">
        <w:t>lcer</w:t>
      </w:r>
      <w:r w:rsidR="00107BB6">
        <w:t xml:space="preserve"> is</w:t>
      </w:r>
      <w:r w:rsidR="00107BB6" w:rsidRPr="00D14A5F">
        <w:t xml:space="preserve"> one 20 mg tablet daily. Some patients with duodenal ulcer may respond to one 10 mg tablet taken once daily. Most patients with gastric ulcer heal within six weeks. However, a few patients may require an additional six weeks of therapy to achieve healing.</w:t>
      </w:r>
    </w:p>
    <w:p w14:paraId="790D0454" w14:textId="77777777" w:rsidR="00107BB6" w:rsidRDefault="00107BB6" w:rsidP="00107BB6">
      <w:r w:rsidRPr="002F61CA">
        <w:t xml:space="preserve">The current Product Information (PI) and Consumer Medicine Information (CMI) are available from </w:t>
      </w:r>
      <w:hyperlink r:id="rId10" w:history="1">
        <w:r>
          <w:rPr>
            <w:rStyle w:val="Hyperlink"/>
          </w:rPr>
          <w:t>the TGA (Product Information)</w:t>
        </w:r>
      </w:hyperlink>
      <w:r>
        <w:t xml:space="preserve"> and </w:t>
      </w:r>
      <w:hyperlink r:id="rId11" w:history="1">
        <w:r>
          <w:rPr>
            <w:rStyle w:val="Hyperlink"/>
          </w:rPr>
          <w:t>the TGA (Consumer Medicines Information)</w:t>
        </w:r>
      </w:hyperlink>
      <w:r>
        <w:t>.</w:t>
      </w:r>
    </w:p>
    <w:p w14:paraId="036C112A" w14:textId="180B0C5F" w:rsidR="00107BB6" w:rsidRDefault="00107BB6" w:rsidP="00107BB6">
      <w:pPr>
        <w:pStyle w:val="Heading2"/>
      </w:pPr>
      <w:r w:rsidRPr="007247B9" w:rsidDel="00EE2BBB">
        <w:t>PBS listing details</w:t>
      </w:r>
      <w:r w:rsidDel="00EE2BBB">
        <w:t xml:space="preserve"> (</w:t>
      </w:r>
      <w:r>
        <w:t>March 2022)</w:t>
      </w:r>
    </w:p>
    <w:p w14:paraId="1FC8B374" w14:textId="6DF244BF" w:rsidR="000A6DB9" w:rsidRPr="008E5BAE" w:rsidRDefault="000A6DB9" w:rsidP="008E5BAE">
      <w:pPr>
        <w:rPr>
          <w:b/>
        </w:rPr>
      </w:pPr>
      <w:r w:rsidRPr="0095634B">
        <w:t xml:space="preserve">See </w:t>
      </w:r>
      <w:r w:rsidR="004229C9">
        <w:t>A</w:t>
      </w:r>
      <w:r w:rsidRPr="0095634B">
        <w:t xml:space="preserve">ppendix A for PPI listing details </w:t>
      </w:r>
      <w:r w:rsidR="004229C9">
        <w:t>as at</w:t>
      </w:r>
      <w:r w:rsidRPr="001818D6">
        <w:t xml:space="preserve"> March 2022.</w:t>
      </w:r>
    </w:p>
    <w:p w14:paraId="5E1BEF0D" w14:textId="4D354413" w:rsidR="00107BB6" w:rsidRDefault="00107BB6" w:rsidP="00107BB6">
      <w:pPr>
        <w:pStyle w:val="Heading3"/>
      </w:pPr>
      <w:r w:rsidDel="00EE2BBB">
        <w:t>Restriction</w:t>
      </w:r>
    </w:p>
    <w:p w14:paraId="60C8B31C" w14:textId="5B162C71" w:rsidR="009C5ADE" w:rsidRDefault="009C5ADE" w:rsidP="009C5ADE">
      <w:r w:rsidRPr="006775F1" w:rsidDel="00EE2BBB">
        <w:t xml:space="preserve">For </w:t>
      </w:r>
      <w:r w:rsidDel="00EE2BBB">
        <w:t xml:space="preserve">details of the current PBS </w:t>
      </w:r>
      <w:r>
        <w:t xml:space="preserve">restrictions </w:t>
      </w:r>
      <w:r w:rsidDel="00EE2BBB">
        <w:t>listing refer to the</w:t>
      </w:r>
      <w:r>
        <w:t xml:space="preserve"> </w:t>
      </w:r>
      <w:hyperlink r:id="rId12" w:history="1">
        <w:r>
          <w:rPr>
            <w:rStyle w:val="Hyperlink"/>
          </w:rPr>
          <w:t>PBS website</w:t>
        </w:r>
      </w:hyperlink>
    </w:p>
    <w:p w14:paraId="70AEB909" w14:textId="6874B821" w:rsidR="00107BB6" w:rsidRPr="00827F98" w:rsidRDefault="00107BB6" w:rsidP="009C1111">
      <w:pPr>
        <w:rPr>
          <w:bCs/>
        </w:rPr>
      </w:pPr>
      <w:r w:rsidRPr="009C1111" w:rsidDel="00EE2BBB">
        <w:rPr>
          <w:b/>
          <w:bCs/>
        </w:rPr>
        <w:t>Changes to listing</w:t>
      </w:r>
    </w:p>
    <w:p w14:paraId="79FD7D03" w14:textId="77777777" w:rsidR="00107BB6" w:rsidRPr="009C1111" w:rsidRDefault="00107BB6" w:rsidP="00107BB6">
      <w:pPr>
        <w:rPr>
          <w:color w:val="000000" w:themeColor="text1"/>
        </w:rPr>
      </w:pPr>
      <w:r w:rsidRPr="009C1111">
        <w:rPr>
          <w:color w:val="000000" w:themeColor="text1"/>
        </w:rPr>
        <w:t xml:space="preserve">On 1 May 2019, PBS restriction changes were applied to high and standard dose PPI medicines. The changes were intended to improve appropriate prescribing of PPI medicines and included: </w:t>
      </w:r>
    </w:p>
    <w:p w14:paraId="0CB1C7EA" w14:textId="5B2F47F4" w:rsidR="00107BB6" w:rsidRPr="009C1111" w:rsidRDefault="00CF77BE" w:rsidP="00107BB6">
      <w:pPr>
        <w:numPr>
          <w:ilvl w:val="0"/>
          <w:numId w:val="34"/>
        </w:numPr>
        <w:rPr>
          <w:color w:val="000000" w:themeColor="text1"/>
        </w:rPr>
      </w:pPr>
      <w:r>
        <w:rPr>
          <w:color w:val="000000" w:themeColor="text1"/>
        </w:rPr>
        <w:t>H</w:t>
      </w:r>
      <w:r w:rsidR="00107BB6" w:rsidRPr="009C1111">
        <w:rPr>
          <w:color w:val="000000" w:themeColor="text1"/>
        </w:rPr>
        <w:t>igh dose PPI (esomeprazole 40 mg) with 1 repeat, were changed from Restricted Benefit to Authority Required (Telephone)</w:t>
      </w:r>
      <w:r w:rsidR="00094258">
        <w:rPr>
          <w:color w:val="000000" w:themeColor="text1"/>
        </w:rPr>
        <w:t>.</w:t>
      </w:r>
    </w:p>
    <w:p w14:paraId="1B4F1E2C" w14:textId="19CE56E5" w:rsidR="00107BB6" w:rsidRPr="009C1111" w:rsidRDefault="00CF77BE" w:rsidP="00107BB6">
      <w:pPr>
        <w:numPr>
          <w:ilvl w:val="0"/>
          <w:numId w:val="34"/>
        </w:numPr>
        <w:rPr>
          <w:color w:val="000000" w:themeColor="text1"/>
        </w:rPr>
      </w:pPr>
      <w:r>
        <w:rPr>
          <w:color w:val="000000" w:themeColor="text1"/>
        </w:rPr>
        <w:lastRenderedPageBreak/>
        <w:t>A</w:t>
      </w:r>
      <w:r w:rsidR="00107BB6" w:rsidRPr="009C1111">
        <w:rPr>
          <w:color w:val="000000" w:themeColor="text1"/>
        </w:rPr>
        <w:t>ll standard dose PPIs (esomeprazole 20 mg, lansoprazole 30 mg, omeprazole 20 mg, pantoprazole 40 mg, rabeprazole 20 mg) were changed from Restricted Benefit to Authority Required (Streamlined).</w:t>
      </w:r>
    </w:p>
    <w:p w14:paraId="4545405F" w14:textId="1BE85E3E" w:rsidR="00107BB6" w:rsidRPr="009C1111" w:rsidRDefault="00CF77BE" w:rsidP="00107BB6">
      <w:pPr>
        <w:numPr>
          <w:ilvl w:val="0"/>
          <w:numId w:val="34"/>
        </w:numPr>
        <w:rPr>
          <w:color w:val="000000" w:themeColor="text1"/>
        </w:rPr>
      </w:pPr>
      <w:r>
        <w:rPr>
          <w:color w:val="000000" w:themeColor="text1"/>
        </w:rPr>
        <w:t>I</w:t>
      </w:r>
      <w:r w:rsidR="00107BB6" w:rsidRPr="009C1111">
        <w:rPr>
          <w:color w:val="000000" w:themeColor="text1"/>
        </w:rPr>
        <w:t>ncreases in the maximum quantity or number of units authorised were no longer allowed for GORD.</w:t>
      </w:r>
    </w:p>
    <w:p w14:paraId="0CC353CE" w14:textId="674DDEAA" w:rsidR="00107BB6" w:rsidRPr="00827F98" w:rsidRDefault="00107BB6" w:rsidP="00B51313">
      <w:pPr>
        <w:rPr>
          <w:color w:val="000000" w:themeColor="text1"/>
        </w:rPr>
      </w:pPr>
      <w:r w:rsidRPr="00827F98">
        <w:rPr>
          <w:color w:val="000000" w:themeColor="text1"/>
        </w:rPr>
        <w:t xml:space="preserve">On 1 March 2021, new listings </w:t>
      </w:r>
      <w:r w:rsidR="008C3095">
        <w:rPr>
          <w:color w:val="000000" w:themeColor="text1"/>
        </w:rPr>
        <w:t xml:space="preserve">were introduced </w:t>
      </w:r>
      <w:r w:rsidRPr="00827F98">
        <w:rPr>
          <w:color w:val="000000" w:themeColor="text1"/>
        </w:rPr>
        <w:t>for standard and high dose PPIs to allow twice-daily dosing for </w:t>
      </w:r>
      <w:r w:rsidRPr="00827F98">
        <w:rPr>
          <w:i/>
          <w:iCs/>
          <w:color w:val="000000" w:themeColor="text1"/>
        </w:rPr>
        <w:t>complex GORD</w:t>
      </w:r>
      <w:r w:rsidR="00B51313">
        <w:rPr>
          <w:i/>
          <w:iCs/>
          <w:color w:val="000000" w:themeColor="text1"/>
        </w:rPr>
        <w:t xml:space="preserve">. </w:t>
      </w:r>
      <w:r w:rsidRPr="00827F98">
        <w:rPr>
          <w:color w:val="000000" w:themeColor="text1"/>
        </w:rPr>
        <w:t xml:space="preserve">These </w:t>
      </w:r>
      <w:r w:rsidR="008C3095">
        <w:rPr>
          <w:color w:val="000000" w:themeColor="text1"/>
        </w:rPr>
        <w:t xml:space="preserve">new </w:t>
      </w:r>
      <w:r w:rsidRPr="00827F98">
        <w:rPr>
          <w:color w:val="000000" w:themeColor="text1"/>
        </w:rPr>
        <w:t>item</w:t>
      </w:r>
      <w:r w:rsidR="008C3095">
        <w:rPr>
          <w:color w:val="000000" w:themeColor="text1"/>
        </w:rPr>
        <w:t>s</w:t>
      </w:r>
      <w:r w:rsidRPr="00827F98">
        <w:rPr>
          <w:color w:val="000000" w:themeColor="text1"/>
        </w:rPr>
        <w:t xml:space="preserve"> </w:t>
      </w:r>
      <w:r w:rsidR="00B51313">
        <w:rPr>
          <w:color w:val="000000" w:themeColor="text1"/>
        </w:rPr>
        <w:t>were</w:t>
      </w:r>
      <w:r w:rsidRPr="00827F98">
        <w:rPr>
          <w:color w:val="000000" w:themeColor="text1"/>
        </w:rPr>
        <w:t xml:space="preserve"> additional to existing PBS listings for PPIs. They </w:t>
      </w:r>
      <w:r w:rsidR="00B51313">
        <w:rPr>
          <w:color w:val="000000" w:themeColor="text1"/>
        </w:rPr>
        <w:t>were</w:t>
      </w:r>
      <w:r w:rsidRPr="00827F98">
        <w:rPr>
          <w:color w:val="000000" w:themeColor="text1"/>
        </w:rPr>
        <w:t xml:space="preserve"> intended to cater for patients with gastrointestinal acid-related disorders and inadequate symptom control despite use of a once-daily (or equivalent) standard or high dose PPI.</w:t>
      </w:r>
    </w:p>
    <w:p w14:paraId="3C72D0C4" w14:textId="77777777" w:rsidR="00107BB6" w:rsidRPr="00827F98" w:rsidRDefault="00107BB6" w:rsidP="00107BB6">
      <w:pPr>
        <w:numPr>
          <w:ilvl w:val="0"/>
          <w:numId w:val="38"/>
        </w:numPr>
        <w:rPr>
          <w:color w:val="000000" w:themeColor="text1"/>
        </w:rPr>
      </w:pPr>
      <w:r w:rsidRPr="00827F98">
        <w:rPr>
          <w:color w:val="000000" w:themeColor="text1"/>
        </w:rPr>
        <w:t>Prescription for twice-daily standard and high dose PPIs for </w:t>
      </w:r>
      <w:r w:rsidRPr="00827F98">
        <w:rPr>
          <w:i/>
          <w:iCs/>
          <w:color w:val="000000" w:themeColor="text1"/>
        </w:rPr>
        <w:t>complex GORD</w:t>
      </w:r>
      <w:r w:rsidRPr="00827F98">
        <w:rPr>
          <w:color w:val="000000" w:themeColor="text1"/>
        </w:rPr>
        <w:t> is Authority Required (immediate assessment) (also known as Telephone Authority)</w:t>
      </w:r>
      <w:r w:rsidRPr="00827F98">
        <w:rPr>
          <w:color w:val="000000" w:themeColor="text1"/>
        </w:rPr>
        <w:br/>
        <w:t>The treatment must be the sole PBS-subsidised PPI for this condition.</w:t>
      </w:r>
    </w:p>
    <w:p w14:paraId="1BBFBB42" w14:textId="2BD06362" w:rsidR="00107BB6" w:rsidRPr="00827F98" w:rsidRDefault="00107BB6" w:rsidP="00107BB6">
      <w:pPr>
        <w:numPr>
          <w:ilvl w:val="0"/>
          <w:numId w:val="39"/>
        </w:numPr>
        <w:rPr>
          <w:color w:val="000000" w:themeColor="text1"/>
        </w:rPr>
      </w:pPr>
      <w:r w:rsidRPr="00827F98">
        <w:rPr>
          <w:color w:val="000000" w:themeColor="text1"/>
        </w:rPr>
        <w:t>Initial treatment with twice-daily standard dose PPIs requires prescription by or in consultation with a specialist (gastroenterologist or upper GI surgeon)</w:t>
      </w:r>
      <w:r w:rsidR="009848E1">
        <w:rPr>
          <w:color w:val="000000" w:themeColor="text1"/>
        </w:rPr>
        <w:t>.</w:t>
      </w:r>
      <w:r w:rsidRPr="00827F98">
        <w:rPr>
          <w:color w:val="000000" w:themeColor="text1"/>
        </w:rPr>
        <w:br/>
        <w:t>Continuing treatment may be prescribed by a specialist or general practitioner.</w:t>
      </w:r>
    </w:p>
    <w:p w14:paraId="262E4E52" w14:textId="023C7608" w:rsidR="00107BB6" w:rsidRPr="008E5BAE" w:rsidDel="00EE2BBB" w:rsidRDefault="00107BB6" w:rsidP="008E5BAE">
      <w:pPr>
        <w:numPr>
          <w:ilvl w:val="0"/>
          <w:numId w:val="40"/>
        </w:numPr>
        <w:rPr>
          <w:color w:val="000000" w:themeColor="text1"/>
        </w:rPr>
      </w:pPr>
      <w:r w:rsidRPr="00827F98">
        <w:rPr>
          <w:color w:val="000000" w:themeColor="text1"/>
        </w:rPr>
        <w:t>High dose esomeprazole 40 mg for </w:t>
      </w:r>
      <w:r w:rsidRPr="00827F98">
        <w:rPr>
          <w:i/>
          <w:iCs/>
          <w:color w:val="000000" w:themeColor="text1"/>
        </w:rPr>
        <w:t>complex GORD</w:t>
      </w:r>
      <w:r w:rsidRPr="00827F98">
        <w:rPr>
          <w:color w:val="000000" w:themeColor="text1"/>
        </w:rPr>
        <w:t> is restricted to prescribing by a specialist (gastroenterologist or upper GI surgeon)</w:t>
      </w:r>
      <w:r w:rsidR="009848E1">
        <w:rPr>
          <w:color w:val="000000" w:themeColor="text1"/>
        </w:rPr>
        <w:t>.</w:t>
      </w:r>
      <w:r w:rsidRPr="00827F98">
        <w:rPr>
          <w:color w:val="000000" w:themeColor="text1"/>
        </w:rPr>
        <w:br/>
        <w:t>This facilitates continuing specialist review, an important consideration in this group of patients.</w:t>
      </w:r>
    </w:p>
    <w:p w14:paraId="597F7043" w14:textId="77777777" w:rsidR="00107BB6" w:rsidRPr="002F61CA" w:rsidDel="00EE2BBB" w:rsidRDefault="00107BB6" w:rsidP="00107BB6">
      <w:pPr>
        <w:spacing w:after="0"/>
        <w:contextualSpacing/>
      </w:pPr>
      <w:r w:rsidRPr="002F61CA" w:rsidDel="00EE2BBB">
        <w:t xml:space="preserve">Current PBS listing details are available from </w:t>
      </w:r>
      <w:r w:rsidDel="00EE2BBB">
        <w:t xml:space="preserve">the </w:t>
      </w:r>
      <w:hyperlink r:id="rId13" w:history="1">
        <w:r w:rsidRPr="00645D51" w:rsidDel="00EE2BBB">
          <w:rPr>
            <w:rStyle w:val="Hyperlink"/>
          </w:rPr>
          <w:t>PBS website</w:t>
        </w:r>
      </w:hyperlink>
      <w:r w:rsidDel="00EE2BBB">
        <w:t>.</w:t>
      </w:r>
    </w:p>
    <w:p w14:paraId="09029754" w14:textId="77777777" w:rsidR="00107BB6" w:rsidRDefault="00107BB6" w:rsidP="009C1111">
      <w:pPr>
        <w:pStyle w:val="Heading2"/>
        <w:jc w:val="both"/>
      </w:pPr>
      <w:r>
        <w:t>Relevant aspects of</w:t>
      </w:r>
      <w:r w:rsidRPr="005E22C2">
        <w:t xml:space="preserve"> consideration</w:t>
      </w:r>
      <w:r>
        <w:t xml:space="preserve"> by the Pharmaceutical Benefits Advisory Committee (PBAC)</w:t>
      </w:r>
    </w:p>
    <w:p w14:paraId="7B152339" w14:textId="7D73160B" w:rsidR="00187994" w:rsidRDefault="00A0327B" w:rsidP="00187994">
      <w:pPr>
        <w:widowControl w:val="0"/>
        <w:snapToGrid w:val="0"/>
        <w:spacing w:after="0"/>
        <w:rPr>
          <w:rFonts w:ascii="Calibri" w:eastAsia="Times New Roman" w:hAnsi="Calibri" w:cs="Calibri"/>
          <w:color w:val="FF0000"/>
        </w:rPr>
      </w:pPr>
      <w:r>
        <w:t xml:space="preserve">At the March 2018 meeting, </w:t>
      </w:r>
      <w:r w:rsidRPr="00894E8D">
        <w:t xml:space="preserve">PBAC recommended that revision of the wording and terminology of all PPI restrictions should be undertaken by the </w:t>
      </w:r>
      <w:r w:rsidR="00183EF0">
        <w:t>D</w:t>
      </w:r>
      <w:r w:rsidRPr="00894E8D">
        <w:t>epartment and reconsidered by PBAC at a later meeting. The PBAC agreed that changes to the restriction levels and/or number of repeats were likely to be required to address the over prescribing of high and highest dose PPIs and that it would also reconsider these options</w:t>
      </w:r>
      <w:r>
        <w:t>.</w:t>
      </w:r>
      <w:r w:rsidRPr="00A0327B">
        <w:rPr>
          <w:rFonts w:ascii="Calibri" w:eastAsia="Times New Roman" w:hAnsi="Calibri" w:cs="Calibri"/>
          <w:color w:val="FF0000"/>
        </w:rPr>
        <w:t xml:space="preserve"> </w:t>
      </w:r>
    </w:p>
    <w:p w14:paraId="4321A7CC" w14:textId="77777777" w:rsidR="00187994" w:rsidRDefault="00187994" w:rsidP="00187994">
      <w:pPr>
        <w:widowControl w:val="0"/>
        <w:snapToGrid w:val="0"/>
        <w:spacing w:after="0"/>
        <w:rPr>
          <w:rFonts w:ascii="Calibri" w:eastAsia="Times New Roman" w:hAnsi="Calibri" w:cs="Calibri"/>
          <w:color w:val="FF0000"/>
        </w:rPr>
      </w:pPr>
    </w:p>
    <w:p w14:paraId="2B049E2F" w14:textId="7CC88C8F" w:rsidR="00A0327B" w:rsidRDefault="00A0327B" w:rsidP="00A0327B">
      <w:pPr>
        <w:spacing w:after="0"/>
      </w:pPr>
      <w:r w:rsidRPr="00751604">
        <w:t xml:space="preserve">The PBAC </w:t>
      </w:r>
      <w:r>
        <w:t xml:space="preserve">also </w:t>
      </w:r>
      <w:r w:rsidRPr="00751604">
        <w:t>noted that there was little clinical need to start patients on the 40</w:t>
      </w:r>
      <w:r w:rsidR="00183EF0">
        <w:t xml:space="preserve"> </w:t>
      </w:r>
      <w:r w:rsidRPr="00751604">
        <w:t>mg strength of esomeprazole and that in the first instance patients should be</w:t>
      </w:r>
      <w:r w:rsidR="00C57EE2">
        <w:t xml:space="preserve"> </w:t>
      </w:r>
      <w:r w:rsidRPr="00751604">
        <w:t>trialled on 20</w:t>
      </w:r>
      <w:r w:rsidR="00183EF0">
        <w:t xml:space="preserve"> </w:t>
      </w:r>
      <w:r w:rsidRPr="00751604">
        <w:t xml:space="preserve">mg. For this </w:t>
      </w:r>
      <w:r w:rsidR="004D739C" w:rsidRPr="00751604">
        <w:t>reason,</w:t>
      </w:r>
      <w:r w:rsidRPr="00751604">
        <w:t xml:space="preserve"> PBAC agreed to increase the PBS Restricted Benefit items for 40</w:t>
      </w:r>
      <w:r w:rsidR="00183EF0">
        <w:t xml:space="preserve"> </w:t>
      </w:r>
      <w:r w:rsidRPr="00751604">
        <w:t>mg esomeprazole with one repeat to Authority Required, consistent with restriction level for the 40</w:t>
      </w:r>
      <w:r w:rsidR="00183EF0">
        <w:t xml:space="preserve"> </w:t>
      </w:r>
      <w:r w:rsidRPr="00751604">
        <w:t>mg esomeprazole (5 repeat) items.</w:t>
      </w:r>
    </w:p>
    <w:p w14:paraId="24EC016F" w14:textId="0CFFC875" w:rsidR="00CF75FF" w:rsidRDefault="00CF75FF" w:rsidP="00A0327B">
      <w:pPr>
        <w:spacing w:after="0"/>
      </w:pPr>
    </w:p>
    <w:p w14:paraId="5410FE9D" w14:textId="24AA2922" w:rsidR="00A0327B" w:rsidRDefault="00AE19C8" w:rsidP="00187994">
      <w:pPr>
        <w:spacing w:after="0"/>
        <w:rPr>
          <w:rFonts w:ascii="Calibri" w:eastAsia="Times New Roman" w:hAnsi="Calibri" w:cs="Times New Roman"/>
        </w:rPr>
      </w:pPr>
      <w:r>
        <w:t>The</w:t>
      </w:r>
      <w:r w:rsidR="00CF75FF">
        <w:t xml:space="preserve"> </w:t>
      </w:r>
      <w:r w:rsidR="00CF75FF" w:rsidRPr="00827F98">
        <w:rPr>
          <w:rFonts w:ascii="Calibri" w:eastAsia="Times New Roman" w:hAnsi="Calibri" w:cs="Times New Roman"/>
        </w:rPr>
        <w:t xml:space="preserve">PBAC were particularly concerned by the large number of high and highest dose prescriptions dispensed relative to low dose PPIs, 95% versus 5% respectively. This </w:t>
      </w:r>
      <w:r>
        <w:rPr>
          <w:rFonts w:ascii="Calibri" w:eastAsia="Times New Roman" w:hAnsi="Calibri" w:cs="Times New Roman"/>
        </w:rPr>
        <w:t>wa</w:t>
      </w:r>
      <w:r w:rsidR="00CF75FF" w:rsidRPr="00827F98">
        <w:rPr>
          <w:rFonts w:ascii="Calibri" w:eastAsia="Times New Roman" w:hAnsi="Calibri" w:cs="Times New Roman"/>
        </w:rPr>
        <w:t xml:space="preserve">s of concern for both cost and safety reasons, particularly as the highest prevalence of use is in the elderly who are more vulnerable to side effects and pharmacological interactions with </w:t>
      </w:r>
      <w:r w:rsidR="00CF75FF" w:rsidRPr="00827F98">
        <w:rPr>
          <w:rFonts w:ascii="Calibri" w:eastAsia="Times New Roman" w:hAnsi="Calibri" w:cs="Times New Roman"/>
        </w:rPr>
        <w:lastRenderedPageBreak/>
        <w:t>other medicines. I</w:t>
      </w:r>
      <w:r w:rsidR="00F01440">
        <w:rPr>
          <w:rFonts w:ascii="Calibri" w:eastAsia="Times New Roman" w:hAnsi="Calibri" w:cs="Times New Roman"/>
        </w:rPr>
        <w:t>n</w:t>
      </w:r>
      <w:r w:rsidR="00CF75FF" w:rsidRPr="00827F98">
        <w:rPr>
          <w:rFonts w:ascii="Calibri" w:eastAsia="Times New Roman" w:hAnsi="Calibri" w:cs="Times New Roman"/>
        </w:rPr>
        <w:t xml:space="preserve"> addition, t</w:t>
      </w:r>
      <w:r w:rsidR="00CF75FF" w:rsidRPr="00827F98">
        <w:rPr>
          <w:rFonts w:ascii="Calibri" w:eastAsia="Times New Roman" w:hAnsi="Calibri" w:cs="Times New Roman"/>
          <w:iCs/>
        </w:rPr>
        <w:t xml:space="preserve">he PBAC noted that there may be use of PPIs for non-subsidised indications such as prevention of gastric ulcer in patients prescribed NSAIDs and that this may be contributing to the high PBS utilisation. </w:t>
      </w:r>
    </w:p>
    <w:p w14:paraId="2EF8BDF1" w14:textId="77777777" w:rsidR="00187994" w:rsidRPr="00187994" w:rsidRDefault="00187994" w:rsidP="00187994">
      <w:pPr>
        <w:spacing w:after="0"/>
        <w:rPr>
          <w:rFonts w:ascii="Calibri" w:eastAsia="Times New Roman" w:hAnsi="Calibri" w:cs="Times New Roman"/>
        </w:rPr>
      </w:pPr>
    </w:p>
    <w:p w14:paraId="6CE44CC4" w14:textId="7BC52E1F" w:rsidR="00097FDA" w:rsidRDefault="00AE19C8" w:rsidP="00097FDA">
      <w:pPr>
        <w:pStyle w:val="Default"/>
        <w:rPr>
          <w:rFonts w:eastAsiaTheme="minorEastAsia" w:cs="Calibri"/>
          <w:lang w:eastAsia="en-AU"/>
        </w:rPr>
      </w:pPr>
      <w:r>
        <w:rPr>
          <w:rFonts w:eastAsiaTheme="minorEastAsia" w:cs="Calibri"/>
          <w:lang w:eastAsia="en-AU"/>
        </w:rPr>
        <w:t xml:space="preserve">For further details refer to the </w:t>
      </w:r>
      <w:hyperlink r:id="rId14" w:history="1">
        <w:r w:rsidR="009132AB" w:rsidRPr="009132AB">
          <w:rPr>
            <w:rStyle w:val="Hyperlink"/>
            <w:rFonts w:eastAsiaTheme="minorEastAsia" w:cs="Calibri"/>
            <w:lang w:eastAsia="en-AU"/>
          </w:rPr>
          <w:t>Outcome Statement</w:t>
        </w:r>
        <w:r w:rsidRPr="009132AB">
          <w:rPr>
            <w:rStyle w:val="Hyperlink"/>
            <w:rFonts w:eastAsiaTheme="minorEastAsia" w:cs="Calibri"/>
            <w:lang w:eastAsia="en-AU"/>
          </w:rPr>
          <w:t xml:space="preserve"> for the March 20</w:t>
        </w:r>
        <w:r w:rsidR="00D21760">
          <w:rPr>
            <w:rStyle w:val="Hyperlink"/>
            <w:rFonts w:eastAsiaTheme="minorEastAsia" w:cs="Calibri"/>
            <w:lang w:eastAsia="en-AU"/>
          </w:rPr>
          <w:t>18</w:t>
        </w:r>
        <w:r w:rsidRPr="009132AB">
          <w:rPr>
            <w:rStyle w:val="Hyperlink"/>
            <w:rFonts w:eastAsiaTheme="minorEastAsia" w:cs="Calibri"/>
            <w:lang w:eastAsia="en-AU"/>
          </w:rPr>
          <w:t xml:space="preserve"> PBAC meeting</w:t>
        </w:r>
      </w:hyperlink>
      <w:r>
        <w:rPr>
          <w:rFonts w:eastAsiaTheme="minorEastAsia" w:cs="Calibri"/>
          <w:lang w:eastAsia="en-AU"/>
        </w:rPr>
        <w:t>.</w:t>
      </w:r>
    </w:p>
    <w:p w14:paraId="16711E2A" w14:textId="77777777" w:rsidR="00AE19C8" w:rsidRPr="00097FDA" w:rsidRDefault="00AE19C8" w:rsidP="00097FDA">
      <w:pPr>
        <w:pStyle w:val="Default"/>
        <w:rPr>
          <w:rFonts w:eastAsiaTheme="minorEastAsia" w:cs="Calibri"/>
          <w:lang w:eastAsia="en-AU"/>
        </w:rPr>
      </w:pPr>
    </w:p>
    <w:p w14:paraId="5F9BE5A9" w14:textId="0F41D15A" w:rsidR="00107BB6" w:rsidRDefault="00EF72CC" w:rsidP="00183EF0">
      <w:pPr>
        <w:autoSpaceDE w:val="0"/>
        <w:autoSpaceDN w:val="0"/>
        <w:adjustRightInd w:val="0"/>
        <w:spacing w:after="0"/>
        <w:rPr>
          <w:rFonts w:ascii="Calibri" w:hAnsi="Calibri" w:cs="Calibri"/>
          <w:color w:val="000000"/>
          <w:sz w:val="23"/>
          <w:szCs w:val="23"/>
        </w:rPr>
      </w:pPr>
      <w:r>
        <w:rPr>
          <w:rFonts w:ascii="Calibri" w:hAnsi="Calibri" w:cs="Calibri"/>
          <w:color w:val="000000"/>
          <w:sz w:val="23"/>
          <w:szCs w:val="23"/>
        </w:rPr>
        <w:t>At the March 2020 meeting, t</w:t>
      </w:r>
      <w:r w:rsidRPr="00097FDA">
        <w:rPr>
          <w:rFonts w:ascii="Calibri" w:hAnsi="Calibri" w:cs="Calibri"/>
          <w:color w:val="000000"/>
          <w:sz w:val="23"/>
          <w:szCs w:val="23"/>
        </w:rPr>
        <w:t>he PBAC recommended the restrictions</w:t>
      </w:r>
      <w:r w:rsidR="00E26B90">
        <w:rPr>
          <w:rFonts w:ascii="Calibri" w:hAnsi="Calibri" w:cs="Calibri"/>
          <w:color w:val="000000"/>
          <w:sz w:val="23"/>
          <w:szCs w:val="23"/>
        </w:rPr>
        <w:t xml:space="preserve"> (as above) </w:t>
      </w:r>
      <w:r w:rsidR="00E26B90" w:rsidRPr="00097FDA">
        <w:rPr>
          <w:rFonts w:ascii="Calibri" w:hAnsi="Calibri" w:cs="Calibri"/>
          <w:color w:val="000000"/>
          <w:sz w:val="23"/>
          <w:szCs w:val="23"/>
        </w:rPr>
        <w:t>for</w:t>
      </w:r>
      <w:r w:rsidRPr="00097FDA">
        <w:rPr>
          <w:rFonts w:ascii="Calibri" w:hAnsi="Calibri" w:cs="Calibri"/>
          <w:color w:val="000000"/>
          <w:sz w:val="23"/>
          <w:szCs w:val="23"/>
        </w:rPr>
        <w:t xml:space="preserve"> PBS-listed standard dose </w:t>
      </w:r>
      <w:r>
        <w:rPr>
          <w:rFonts w:ascii="Calibri" w:hAnsi="Calibri" w:cs="Calibri"/>
          <w:color w:val="000000"/>
          <w:sz w:val="23"/>
          <w:szCs w:val="23"/>
        </w:rPr>
        <w:t>complex GORD</w:t>
      </w:r>
      <w:r w:rsidRPr="00097FDA">
        <w:rPr>
          <w:rFonts w:ascii="Calibri" w:hAnsi="Calibri" w:cs="Calibri"/>
          <w:color w:val="000000"/>
          <w:sz w:val="23"/>
          <w:szCs w:val="23"/>
        </w:rPr>
        <w:t>, noting the restrictions were consistent with its advice provided at the March 20</w:t>
      </w:r>
      <w:r>
        <w:rPr>
          <w:rFonts w:ascii="Calibri" w:hAnsi="Calibri" w:cs="Calibri"/>
          <w:color w:val="000000"/>
          <w:sz w:val="23"/>
          <w:szCs w:val="23"/>
        </w:rPr>
        <w:t xml:space="preserve">18 </w:t>
      </w:r>
      <w:r w:rsidRPr="00097FDA">
        <w:rPr>
          <w:rFonts w:ascii="Calibri" w:hAnsi="Calibri" w:cs="Calibri"/>
          <w:color w:val="000000"/>
          <w:sz w:val="23"/>
          <w:szCs w:val="23"/>
        </w:rPr>
        <w:t xml:space="preserve">PBAC meeting. </w:t>
      </w:r>
      <w:r w:rsidR="00097FDA" w:rsidRPr="00097FDA">
        <w:rPr>
          <w:rFonts w:ascii="Calibri" w:hAnsi="Calibri" w:cs="Calibri"/>
          <w:color w:val="000000"/>
          <w:sz w:val="23"/>
          <w:szCs w:val="23"/>
        </w:rPr>
        <w:t>The restrictions were also consistent with input received from the RACGP and GESA, which highlighted that for some patients, GORD can be difficult to treat, and that some patients with complex GORD require more than once-daily standard dose PPI therapy to manage their condition (</w:t>
      </w:r>
      <w:r w:rsidR="00A14263" w:rsidRPr="00097FDA">
        <w:rPr>
          <w:rFonts w:ascii="Calibri" w:hAnsi="Calibri" w:cs="Calibri"/>
          <w:color w:val="000000"/>
          <w:sz w:val="23"/>
          <w:szCs w:val="23"/>
        </w:rPr>
        <w:t>i.e.,</w:t>
      </w:r>
      <w:r w:rsidR="00097FDA" w:rsidRPr="00097FDA">
        <w:rPr>
          <w:rFonts w:ascii="Calibri" w:hAnsi="Calibri" w:cs="Calibri"/>
          <w:color w:val="000000"/>
          <w:sz w:val="23"/>
          <w:szCs w:val="23"/>
        </w:rPr>
        <w:t xml:space="preserve"> symptomatic and/or maintenance treatment). </w:t>
      </w:r>
    </w:p>
    <w:p w14:paraId="6B0910F5" w14:textId="77777777" w:rsidR="00183EF0" w:rsidRPr="00183EF0" w:rsidRDefault="00183EF0" w:rsidP="00183EF0">
      <w:pPr>
        <w:autoSpaceDE w:val="0"/>
        <w:autoSpaceDN w:val="0"/>
        <w:adjustRightInd w:val="0"/>
        <w:spacing w:after="0"/>
        <w:rPr>
          <w:rFonts w:ascii="Calibri" w:hAnsi="Calibri" w:cs="Calibri"/>
          <w:color w:val="000000"/>
          <w:sz w:val="23"/>
          <w:szCs w:val="23"/>
        </w:rPr>
      </w:pPr>
    </w:p>
    <w:p w14:paraId="68A5C41F" w14:textId="0E034617" w:rsidR="00D21760" w:rsidRDefault="00D21760" w:rsidP="00D21760">
      <w:pPr>
        <w:pStyle w:val="Default"/>
        <w:rPr>
          <w:rFonts w:eastAsiaTheme="minorEastAsia" w:cs="Calibri"/>
          <w:lang w:eastAsia="en-AU"/>
        </w:rPr>
      </w:pPr>
      <w:r>
        <w:rPr>
          <w:rFonts w:eastAsiaTheme="minorEastAsia" w:cs="Calibri"/>
          <w:lang w:eastAsia="en-AU"/>
        </w:rPr>
        <w:t xml:space="preserve">For further details refer to the </w:t>
      </w:r>
      <w:hyperlink r:id="rId15" w:history="1">
        <w:r w:rsidRPr="009132AB">
          <w:rPr>
            <w:rStyle w:val="Hyperlink"/>
            <w:rFonts w:eastAsiaTheme="minorEastAsia" w:cs="Calibri"/>
            <w:lang w:eastAsia="en-AU"/>
          </w:rPr>
          <w:t>Outcome Statement for the March 2020 PBAC meeting</w:t>
        </w:r>
      </w:hyperlink>
      <w:r>
        <w:rPr>
          <w:rFonts w:eastAsiaTheme="minorEastAsia" w:cs="Calibri"/>
          <w:lang w:eastAsia="en-AU"/>
        </w:rPr>
        <w:t>.</w:t>
      </w:r>
    </w:p>
    <w:p w14:paraId="2872E5F4" w14:textId="77777777" w:rsidR="00107BB6" w:rsidRDefault="00107BB6" w:rsidP="00107BB6">
      <w:pPr>
        <w:pStyle w:val="Heading2"/>
      </w:pPr>
      <w:r>
        <w:t>Previous reviews by the DUSC</w:t>
      </w:r>
    </w:p>
    <w:p w14:paraId="2E0E8952" w14:textId="77777777" w:rsidR="00183EF0" w:rsidRDefault="00107BB6" w:rsidP="00183EF0">
      <w:pPr>
        <w:pStyle w:val="BodyText"/>
        <w:spacing w:before="198"/>
        <w:ind w:right="230"/>
        <w:rPr>
          <w:rFonts w:ascii="Calibri" w:eastAsia="Calibri" w:hAnsi="Calibri" w:cs="Times New Roman"/>
          <w:spacing w:val="-1"/>
          <w:lang w:val="en-US" w:eastAsia="en-US"/>
        </w:rPr>
      </w:pPr>
      <w:r>
        <w:t xml:space="preserve">A previous DUSC review was completed in 2018 looking at the </w:t>
      </w:r>
      <w:r>
        <w:rPr>
          <w:spacing w:val="-1"/>
        </w:rPr>
        <w:t>utilisation of</w:t>
      </w:r>
      <w:r>
        <w:rPr>
          <w:spacing w:val="-4"/>
        </w:rPr>
        <w:t xml:space="preserve"> </w:t>
      </w:r>
      <w:r>
        <w:rPr>
          <w:spacing w:val="-1"/>
        </w:rPr>
        <w:t>PBS-listed</w:t>
      </w:r>
      <w:r>
        <w:rPr>
          <w:spacing w:val="-4"/>
        </w:rPr>
        <w:t xml:space="preserve"> </w:t>
      </w:r>
      <w:r>
        <w:rPr>
          <w:spacing w:val="-1"/>
        </w:rPr>
        <w:t>PPI</w:t>
      </w:r>
      <w:r>
        <w:rPr>
          <w:spacing w:val="1"/>
        </w:rPr>
        <w:t xml:space="preserve"> </w:t>
      </w:r>
      <w:r>
        <w:rPr>
          <w:spacing w:val="-1"/>
        </w:rPr>
        <w:t>medicines</w:t>
      </w:r>
      <w:r>
        <w:rPr>
          <w:spacing w:val="-3"/>
        </w:rPr>
        <w:t xml:space="preserve"> </w:t>
      </w:r>
      <w:r>
        <w:rPr>
          <w:spacing w:val="-1"/>
        </w:rPr>
        <w:t>used</w:t>
      </w:r>
      <w:r>
        <w:rPr>
          <w:spacing w:val="-2"/>
        </w:rPr>
        <w:t xml:space="preserve"> in</w:t>
      </w:r>
      <w:r>
        <w:rPr>
          <w:spacing w:val="-3"/>
        </w:rPr>
        <w:t xml:space="preserve"> </w:t>
      </w:r>
      <w:r>
        <w:t>the</w:t>
      </w:r>
      <w:r w:rsidR="00183EF0">
        <w:rPr>
          <w:spacing w:val="59"/>
          <w:w w:val="99"/>
        </w:rPr>
        <w:t xml:space="preserve"> </w:t>
      </w:r>
      <w:r>
        <w:rPr>
          <w:spacing w:val="-1"/>
        </w:rPr>
        <w:t>management</w:t>
      </w:r>
      <w:r>
        <w:rPr>
          <w:spacing w:val="-5"/>
        </w:rPr>
        <w:t xml:space="preserve"> </w:t>
      </w:r>
      <w:r>
        <w:t>of</w:t>
      </w:r>
      <w:r>
        <w:rPr>
          <w:spacing w:val="-3"/>
        </w:rPr>
        <w:t xml:space="preserve"> </w:t>
      </w:r>
      <w:r>
        <w:rPr>
          <w:spacing w:val="-1"/>
        </w:rPr>
        <w:t>gastrointestinal</w:t>
      </w:r>
      <w:r>
        <w:rPr>
          <w:spacing w:val="-4"/>
        </w:rPr>
        <w:t xml:space="preserve"> </w:t>
      </w:r>
      <w:r>
        <w:t>acid</w:t>
      </w:r>
      <w:r>
        <w:rPr>
          <w:spacing w:val="-4"/>
        </w:rPr>
        <w:t xml:space="preserve"> </w:t>
      </w:r>
      <w:r>
        <w:rPr>
          <w:spacing w:val="-1"/>
        </w:rPr>
        <w:t>related</w:t>
      </w:r>
      <w:r>
        <w:rPr>
          <w:spacing w:val="-2"/>
        </w:rPr>
        <w:t xml:space="preserve"> </w:t>
      </w:r>
      <w:r>
        <w:rPr>
          <w:spacing w:val="-1"/>
        </w:rPr>
        <w:t>disorders. Specifically,</w:t>
      </w:r>
      <w:r>
        <w:rPr>
          <w:spacing w:val="-5"/>
        </w:rPr>
        <w:t xml:space="preserve"> </w:t>
      </w:r>
      <w:r>
        <w:t>to</w:t>
      </w:r>
      <w:r>
        <w:rPr>
          <w:spacing w:val="-5"/>
        </w:rPr>
        <w:t xml:space="preserve"> </w:t>
      </w:r>
      <w:r>
        <w:t>examine</w:t>
      </w:r>
      <w:r>
        <w:rPr>
          <w:spacing w:val="-3"/>
        </w:rPr>
        <w:t xml:space="preserve"> </w:t>
      </w:r>
      <w:r>
        <w:t>PPI</w:t>
      </w:r>
      <w:r>
        <w:rPr>
          <w:spacing w:val="-5"/>
        </w:rPr>
        <w:t xml:space="preserve"> </w:t>
      </w:r>
      <w:r>
        <w:rPr>
          <w:spacing w:val="-1"/>
        </w:rPr>
        <w:t xml:space="preserve">utilisation </w:t>
      </w:r>
      <w:r>
        <w:t>patterns</w:t>
      </w:r>
      <w:r>
        <w:rPr>
          <w:spacing w:val="-6"/>
        </w:rPr>
        <w:t xml:space="preserve"> </w:t>
      </w:r>
      <w:r>
        <w:t>in</w:t>
      </w:r>
      <w:r>
        <w:rPr>
          <w:spacing w:val="-4"/>
        </w:rPr>
        <w:t xml:space="preserve"> </w:t>
      </w:r>
      <w:r>
        <w:rPr>
          <w:spacing w:val="-1"/>
        </w:rPr>
        <w:t>2013-2016</w:t>
      </w:r>
      <w:r>
        <w:rPr>
          <w:spacing w:val="-4"/>
        </w:rPr>
        <w:t xml:space="preserve"> </w:t>
      </w:r>
      <w:r>
        <w:rPr>
          <w:spacing w:val="-1"/>
        </w:rPr>
        <w:t>and</w:t>
      </w:r>
      <w:r>
        <w:rPr>
          <w:spacing w:val="-4"/>
        </w:rPr>
        <w:t xml:space="preserve"> </w:t>
      </w:r>
      <w:r>
        <w:rPr>
          <w:spacing w:val="-1"/>
        </w:rPr>
        <w:t>highlight</w:t>
      </w:r>
      <w:r>
        <w:rPr>
          <w:spacing w:val="-4"/>
        </w:rPr>
        <w:t xml:space="preserve"> </w:t>
      </w:r>
      <w:r>
        <w:rPr>
          <w:spacing w:val="-1"/>
        </w:rPr>
        <w:t>differences</w:t>
      </w:r>
      <w:r>
        <w:rPr>
          <w:spacing w:val="-4"/>
        </w:rPr>
        <w:t xml:space="preserve"> </w:t>
      </w:r>
      <w:r>
        <w:rPr>
          <w:spacing w:val="-2"/>
        </w:rPr>
        <w:t xml:space="preserve">in </w:t>
      </w:r>
      <w:r>
        <w:rPr>
          <w:spacing w:val="-1"/>
        </w:rPr>
        <w:t>high</w:t>
      </w:r>
      <w:r>
        <w:rPr>
          <w:spacing w:val="-2"/>
        </w:rPr>
        <w:t xml:space="preserve"> </w:t>
      </w:r>
      <w:r>
        <w:rPr>
          <w:spacing w:val="-1"/>
        </w:rPr>
        <w:t>versus</w:t>
      </w:r>
      <w:r>
        <w:rPr>
          <w:spacing w:val="-3"/>
        </w:rPr>
        <w:t xml:space="preserve"> </w:t>
      </w:r>
      <w:r>
        <w:rPr>
          <w:spacing w:val="2"/>
        </w:rPr>
        <w:t>low</w:t>
      </w:r>
      <w:r>
        <w:rPr>
          <w:spacing w:val="-5"/>
        </w:rPr>
        <w:t xml:space="preserve"> </w:t>
      </w:r>
      <w:r>
        <w:rPr>
          <w:spacing w:val="-1"/>
        </w:rPr>
        <w:t>strength</w:t>
      </w:r>
      <w:r>
        <w:t xml:space="preserve"> </w:t>
      </w:r>
      <w:r>
        <w:rPr>
          <w:spacing w:val="-1"/>
        </w:rPr>
        <w:t>utilisation.</w:t>
      </w:r>
      <w:r>
        <w:rPr>
          <w:spacing w:val="-4"/>
        </w:rPr>
        <w:t xml:space="preserve"> </w:t>
      </w:r>
      <w:r w:rsidR="007D11D9">
        <w:t>O</w:t>
      </w:r>
      <w:proofErr w:type="spellStart"/>
      <w:r w:rsidRPr="008D745D">
        <w:rPr>
          <w:rFonts w:ascii="Calibri" w:eastAsia="Calibri" w:hAnsi="Calibri" w:cs="Times New Roman"/>
          <w:spacing w:val="-1"/>
          <w:lang w:val="en-US" w:eastAsia="en-US"/>
        </w:rPr>
        <w:t>ver</w:t>
      </w:r>
      <w:proofErr w:type="spellEnd"/>
      <w:r w:rsidRPr="008D745D">
        <w:rPr>
          <w:rFonts w:ascii="Calibri" w:eastAsia="Calibri" w:hAnsi="Calibri" w:cs="Times New Roman"/>
          <w:spacing w:val="-2"/>
          <w:lang w:val="en-US" w:eastAsia="en-US"/>
        </w:rPr>
        <w:t xml:space="preserve"> </w:t>
      </w:r>
      <w:r>
        <w:rPr>
          <w:rFonts w:ascii="Calibri" w:eastAsia="Calibri" w:hAnsi="Calibri" w:cs="Times New Roman"/>
          <w:spacing w:val="-1"/>
          <w:lang w:val="en-US" w:eastAsia="en-US"/>
        </w:rPr>
        <w:t>a</w:t>
      </w:r>
      <w:r w:rsidRPr="008D745D">
        <w:rPr>
          <w:rFonts w:ascii="Calibri" w:eastAsia="Calibri" w:hAnsi="Calibri" w:cs="Times New Roman"/>
          <w:spacing w:val="-2"/>
          <w:lang w:val="en-US" w:eastAsia="en-US"/>
        </w:rPr>
        <w:t xml:space="preserve"> </w:t>
      </w:r>
      <w:r w:rsidRPr="008D745D">
        <w:rPr>
          <w:rFonts w:ascii="Calibri" w:eastAsia="Calibri" w:hAnsi="Calibri" w:cs="Times New Roman"/>
          <w:spacing w:val="-1"/>
          <w:lang w:val="en-US" w:eastAsia="en-US"/>
        </w:rPr>
        <w:t>four-year</w:t>
      </w:r>
      <w:r w:rsidRPr="008D745D">
        <w:rPr>
          <w:rFonts w:ascii="Calibri" w:eastAsia="Calibri" w:hAnsi="Calibri" w:cs="Times New Roman"/>
          <w:spacing w:val="-4"/>
          <w:lang w:val="en-US" w:eastAsia="en-US"/>
        </w:rPr>
        <w:t xml:space="preserve"> </w:t>
      </w:r>
      <w:r w:rsidRPr="008D745D">
        <w:rPr>
          <w:rFonts w:ascii="Calibri" w:eastAsia="Calibri" w:hAnsi="Calibri" w:cs="Times New Roman"/>
          <w:spacing w:val="-1"/>
          <w:lang w:val="en-US" w:eastAsia="en-US"/>
        </w:rPr>
        <w:t>period (2013-2016)</w:t>
      </w:r>
      <w:r w:rsidRPr="008D745D">
        <w:rPr>
          <w:rFonts w:ascii="Calibri" w:eastAsia="Calibri" w:hAnsi="Calibri" w:cs="Times New Roman"/>
          <w:spacing w:val="-6"/>
          <w:lang w:val="en-US" w:eastAsia="en-US"/>
        </w:rPr>
        <w:t xml:space="preserve"> </w:t>
      </w:r>
      <w:r w:rsidRPr="008D745D">
        <w:rPr>
          <w:rFonts w:ascii="Calibri" w:eastAsia="Calibri" w:hAnsi="Calibri" w:cs="Times New Roman"/>
          <w:spacing w:val="-1"/>
          <w:lang w:val="en-US" w:eastAsia="en-US"/>
        </w:rPr>
        <w:t xml:space="preserve">there were </w:t>
      </w:r>
      <w:r w:rsidRPr="008D745D">
        <w:rPr>
          <w:rFonts w:ascii="Calibri" w:eastAsia="Calibri" w:hAnsi="Calibri" w:cs="Times New Roman"/>
          <w:lang w:val="en-US" w:eastAsia="en-US"/>
        </w:rPr>
        <w:t>a</w:t>
      </w:r>
      <w:r w:rsidRPr="008D745D">
        <w:rPr>
          <w:rFonts w:ascii="Calibri" w:eastAsia="Calibri" w:hAnsi="Calibri" w:cs="Times New Roman"/>
          <w:spacing w:val="-4"/>
          <w:lang w:val="en-US" w:eastAsia="en-US"/>
        </w:rPr>
        <w:t xml:space="preserve"> </w:t>
      </w:r>
      <w:r w:rsidRPr="008D745D">
        <w:rPr>
          <w:rFonts w:ascii="Calibri" w:eastAsia="Calibri" w:hAnsi="Calibri" w:cs="Times New Roman"/>
          <w:spacing w:val="-1"/>
          <w:lang w:val="en-US" w:eastAsia="en-US"/>
        </w:rPr>
        <w:t>total</w:t>
      </w:r>
      <w:r w:rsidRPr="008D745D">
        <w:rPr>
          <w:rFonts w:ascii="Calibri" w:eastAsia="Calibri" w:hAnsi="Calibri" w:cs="Times New Roman"/>
          <w:spacing w:val="-3"/>
          <w:lang w:val="en-US" w:eastAsia="en-US"/>
        </w:rPr>
        <w:t xml:space="preserve"> </w:t>
      </w:r>
      <w:r w:rsidRPr="008D745D">
        <w:rPr>
          <w:rFonts w:ascii="Calibri" w:eastAsia="Calibri" w:hAnsi="Calibri" w:cs="Times New Roman"/>
          <w:spacing w:val="-1"/>
          <w:lang w:val="en-US" w:eastAsia="en-US"/>
        </w:rPr>
        <w:t>of</w:t>
      </w:r>
      <w:r w:rsidRPr="008D745D">
        <w:rPr>
          <w:rFonts w:ascii="Calibri" w:eastAsia="Calibri" w:hAnsi="Calibri" w:cs="Times New Roman"/>
          <w:lang w:val="en-US" w:eastAsia="en-US"/>
        </w:rPr>
        <w:t xml:space="preserve"> </w:t>
      </w:r>
      <w:r w:rsidRPr="008D745D">
        <w:rPr>
          <w:rFonts w:ascii="Calibri" w:eastAsia="Calibri" w:hAnsi="Calibri" w:cs="Times New Roman"/>
          <w:spacing w:val="-1"/>
          <w:lang w:val="en-US" w:eastAsia="en-US"/>
        </w:rPr>
        <w:t>82.8 million</w:t>
      </w:r>
      <w:r w:rsidRPr="008D745D">
        <w:rPr>
          <w:rFonts w:ascii="Calibri" w:eastAsia="Calibri" w:hAnsi="Calibri" w:cs="Times New Roman"/>
          <w:spacing w:val="-3"/>
          <w:lang w:val="en-US" w:eastAsia="en-US"/>
        </w:rPr>
        <w:t xml:space="preserve"> </w:t>
      </w:r>
      <w:proofErr w:type="spellStart"/>
      <w:r w:rsidR="00024962" w:rsidRPr="008D745D">
        <w:rPr>
          <w:rFonts w:ascii="Calibri" w:eastAsia="Calibri" w:hAnsi="Calibri" w:cs="Times New Roman"/>
          <w:spacing w:val="-1"/>
          <w:lang w:val="en-US" w:eastAsia="en-US"/>
        </w:rPr>
        <w:t>dispensings</w:t>
      </w:r>
      <w:proofErr w:type="spellEnd"/>
      <w:r w:rsidRPr="008D745D">
        <w:rPr>
          <w:rFonts w:ascii="Calibri" w:eastAsia="Calibri" w:hAnsi="Calibri" w:cs="Times New Roman"/>
          <w:spacing w:val="-4"/>
          <w:lang w:val="en-US" w:eastAsia="en-US"/>
        </w:rPr>
        <w:t xml:space="preserve"> </w:t>
      </w:r>
      <w:r w:rsidRPr="008D745D">
        <w:rPr>
          <w:rFonts w:ascii="Calibri" w:eastAsia="Calibri" w:hAnsi="Calibri" w:cs="Times New Roman"/>
          <w:lang w:val="en-US" w:eastAsia="en-US"/>
        </w:rPr>
        <w:t>of</w:t>
      </w:r>
      <w:r w:rsidRPr="008D745D">
        <w:rPr>
          <w:rFonts w:ascii="Calibri" w:eastAsia="Calibri" w:hAnsi="Calibri" w:cs="Times New Roman"/>
          <w:spacing w:val="-3"/>
          <w:lang w:val="en-US" w:eastAsia="en-US"/>
        </w:rPr>
        <w:t xml:space="preserve"> </w:t>
      </w:r>
      <w:r w:rsidRPr="008D745D">
        <w:rPr>
          <w:rFonts w:ascii="Calibri" w:eastAsia="Calibri" w:hAnsi="Calibri" w:cs="Times New Roman"/>
          <w:spacing w:val="-1"/>
          <w:lang w:val="en-US" w:eastAsia="en-US"/>
        </w:rPr>
        <w:t>PBS-listed</w:t>
      </w:r>
      <w:r w:rsidRPr="008D745D">
        <w:rPr>
          <w:rFonts w:ascii="Calibri" w:eastAsia="Calibri" w:hAnsi="Calibri" w:cs="Times New Roman"/>
          <w:spacing w:val="97"/>
          <w:w w:val="99"/>
          <w:lang w:val="en-US" w:eastAsia="en-US"/>
        </w:rPr>
        <w:t xml:space="preserve"> </w:t>
      </w:r>
      <w:r w:rsidRPr="008D745D">
        <w:rPr>
          <w:rFonts w:ascii="Calibri" w:eastAsia="Calibri" w:hAnsi="Calibri" w:cs="Times New Roman"/>
          <w:lang w:val="en-US" w:eastAsia="en-US"/>
        </w:rPr>
        <w:t>PPIs</w:t>
      </w:r>
      <w:r w:rsidRPr="008D745D">
        <w:rPr>
          <w:rFonts w:ascii="Calibri" w:eastAsia="Calibri" w:hAnsi="Calibri" w:cs="Times New Roman"/>
          <w:spacing w:val="-3"/>
          <w:lang w:val="en-US" w:eastAsia="en-US"/>
        </w:rPr>
        <w:t xml:space="preserve"> </w:t>
      </w:r>
      <w:r w:rsidRPr="008D745D">
        <w:rPr>
          <w:rFonts w:ascii="Calibri" w:eastAsia="Calibri" w:hAnsi="Calibri" w:cs="Times New Roman"/>
          <w:spacing w:val="-1"/>
          <w:lang w:val="en-US" w:eastAsia="en-US"/>
        </w:rPr>
        <w:t>to 5.</w:t>
      </w:r>
      <w:r w:rsidR="00B46EBF">
        <w:rPr>
          <w:rFonts w:ascii="Calibri" w:eastAsia="Calibri" w:hAnsi="Calibri" w:cs="Times New Roman"/>
          <w:spacing w:val="-1"/>
          <w:lang w:val="en-US" w:eastAsia="en-US"/>
        </w:rPr>
        <w:t>1</w:t>
      </w:r>
      <w:r w:rsidR="00B46EBF" w:rsidRPr="008D745D">
        <w:rPr>
          <w:rFonts w:ascii="Calibri" w:eastAsia="Calibri" w:hAnsi="Calibri" w:cs="Times New Roman"/>
          <w:spacing w:val="-1"/>
          <w:lang w:val="en-US" w:eastAsia="en-US"/>
        </w:rPr>
        <w:t xml:space="preserve"> </w:t>
      </w:r>
      <w:r w:rsidRPr="008D745D">
        <w:rPr>
          <w:rFonts w:ascii="Calibri" w:eastAsia="Calibri" w:hAnsi="Calibri" w:cs="Times New Roman"/>
          <w:spacing w:val="-1"/>
          <w:lang w:val="en-US" w:eastAsia="en-US"/>
        </w:rPr>
        <w:t>million</w:t>
      </w:r>
      <w:r w:rsidRPr="008D745D">
        <w:rPr>
          <w:rFonts w:ascii="Calibri" w:eastAsia="Calibri" w:hAnsi="Calibri" w:cs="Times New Roman"/>
          <w:spacing w:val="-2"/>
          <w:lang w:val="en-US" w:eastAsia="en-US"/>
        </w:rPr>
        <w:t xml:space="preserve"> </w:t>
      </w:r>
      <w:r w:rsidRPr="008D745D">
        <w:rPr>
          <w:rFonts w:ascii="Calibri" w:eastAsia="Calibri" w:hAnsi="Calibri" w:cs="Times New Roman"/>
          <w:spacing w:val="-1"/>
          <w:lang w:val="en-US" w:eastAsia="en-US"/>
        </w:rPr>
        <w:t>patients.</w:t>
      </w:r>
      <w:r w:rsidRPr="008D745D">
        <w:rPr>
          <w:rFonts w:ascii="Calibri" w:eastAsia="Calibri" w:hAnsi="Calibri" w:cs="Times New Roman"/>
          <w:spacing w:val="-3"/>
          <w:lang w:val="en-US" w:eastAsia="en-US"/>
        </w:rPr>
        <w:t xml:space="preserve"> </w:t>
      </w:r>
      <w:r w:rsidRPr="008D745D">
        <w:rPr>
          <w:rFonts w:ascii="Calibri" w:eastAsia="Calibri" w:hAnsi="Calibri" w:cs="Times New Roman"/>
          <w:spacing w:val="-1"/>
          <w:lang w:val="en-US" w:eastAsia="en-US"/>
        </w:rPr>
        <w:t>The vast majority (78%)</w:t>
      </w:r>
      <w:r w:rsidRPr="008D745D">
        <w:rPr>
          <w:rFonts w:ascii="Calibri" w:eastAsia="Calibri" w:hAnsi="Calibri" w:cs="Times New Roman"/>
          <w:spacing w:val="-2"/>
          <w:lang w:val="en-US" w:eastAsia="en-US"/>
        </w:rPr>
        <w:t xml:space="preserve"> </w:t>
      </w:r>
      <w:r w:rsidRPr="008D745D">
        <w:rPr>
          <w:rFonts w:ascii="Calibri" w:eastAsia="Calibri" w:hAnsi="Calibri" w:cs="Times New Roman"/>
          <w:lang w:val="en-US" w:eastAsia="en-US"/>
        </w:rPr>
        <w:t>of</w:t>
      </w:r>
      <w:r w:rsidRPr="008D745D">
        <w:rPr>
          <w:rFonts w:ascii="Calibri" w:eastAsia="Calibri" w:hAnsi="Calibri" w:cs="Times New Roman"/>
          <w:spacing w:val="-2"/>
          <w:lang w:val="en-US" w:eastAsia="en-US"/>
        </w:rPr>
        <w:t xml:space="preserve"> </w:t>
      </w:r>
      <w:proofErr w:type="spellStart"/>
      <w:r w:rsidR="00024962" w:rsidRPr="008D745D">
        <w:rPr>
          <w:rFonts w:ascii="Calibri" w:eastAsia="Calibri" w:hAnsi="Calibri" w:cs="Times New Roman"/>
          <w:spacing w:val="-1"/>
          <w:lang w:val="en-US" w:eastAsia="en-US"/>
        </w:rPr>
        <w:t>dispensings</w:t>
      </w:r>
      <w:proofErr w:type="spellEnd"/>
      <w:r w:rsidRPr="008D745D">
        <w:rPr>
          <w:rFonts w:ascii="Calibri" w:eastAsia="Calibri" w:hAnsi="Calibri" w:cs="Times New Roman"/>
          <w:spacing w:val="-1"/>
          <w:lang w:val="en-US" w:eastAsia="en-US"/>
        </w:rPr>
        <w:t xml:space="preserve"> were for </w:t>
      </w:r>
      <w:r w:rsidRPr="008D745D">
        <w:rPr>
          <w:rFonts w:ascii="Calibri" w:eastAsia="Calibri" w:hAnsi="Calibri" w:cs="Times New Roman"/>
          <w:lang w:val="en-US" w:eastAsia="en-US"/>
        </w:rPr>
        <w:t>high</w:t>
      </w:r>
      <w:r w:rsidRPr="008D745D">
        <w:rPr>
          <w:rFonts w:ascii="Calibri" w:eastAsia="Calibri" w:hAnsi="Calibri" w:cs="Times New Roman"/>
          <w:spacing w:val="-1"/>
          <w:lang w:val="en-US" w:eastAsia="en-US"/>
        </w:rPr>
        <w:t xml:space="preserve"> strength</w:t>
      </w:r>
      <w:r>
        <w:rPr>
          <w:rFonts w:ascii="Calibri" w:eastAsia="Calibri" w:hAnsi="Calibri" w:cs="Times New Roman"/>
          <w:spacing w:val="-1"/>
          <w:lang w:val="en-US" w:eastAsia="en-US"/>
        </w:rPr>
        <w:t xml:space="preserve"> formulations</w:t>
      </w:r>
      <w:r w:rsidRPr="008D745D">
        <w:rPr>
          <w:rFonts w:ascii="Calibri" w:eastAsia="Calibri" w:hAnsi="Calibri" w:cs="Times New Roman"/>
          <w:spacing w:val="-1"/>
          <w:lang w:val="en-US" w:eastAsia="en-US"/>
        </w:rPr>
        <w:t>,</w:t>
      </w:r>
      <w:r w:rsidRPr="008D745D">
        <w:rPr>
          <w:rFonts w:ascii="Calibri" w:eastAsia="Calibri" w:hAnsi="Calibri" w:cs="Times New Roman"/>
          <w:spacing w:val="-3"/>
          <w:lang w:val="en-US" w:eastAsia="en-US"/>
        </w:rPr>
        <w:t xml:space="preserve"> </w:t>
      </w:r>
      <w:r w:rsidRPr="008D745D">
        <w:rPr>
          <w:rFonts w:ascii="Calibri" w:eastAsia="Calibri" w:hAnsi="Calibri" w:cs="Times New Roman"/>
          <w:spacing w:val="-1"/>
          <w:lang w:val="en-US" w:eastAsia="en-US"/>
        </w:rPr>
        <w:t>while</w:t>
      </w:r>
      <w:r w:rsidRPr="008D745D">
        <w:rPr>
          <w:rFonts w:ascii="Calibri" w:eastAsia="Calibri" w:hAnsi="Calibri" w:cs="Times New Roman"/>
          <w:spacing w:val="-4"/>
          <w:lang w:val="en-US" w:eastAsia="en-US"/>
        </w:rPr>
        <w:t xml:space="preserve"> </w:t>
      </w:r>
      <w:r w:rsidRPr="008D745D">
        <w:rPr>
          <w:rFonts w:ascii="Calibri" w:eastAsia="Calibri" w:hAnsi="Calibri" w:cs="Times New Roman"/>
          <w:spacing w:val="1"/>
          <w:lang w:val="en-US" w:eastAsia="en-US"/>
        </w:rPr>
        <w:t>17%</w:t>
      </w:r>
      <w:r w:rsidRPr="008D745D">
        <w:rPr>
          <w:rFonts w:ascii="Calibri" w:eastAsia="Calibri" w:hAnsi="Calibri" w:cs="Times New Roman"/>
          <w:spacing w:val="-4"/>
          <w:lang w:val="en-US" w:eastAsia="en-US"/>
        </w:rPr>
        <w:t xml:space="preserve"> </w:t>
      </w:r>
      <w:r w:rsidRPr="008D745D">
        <w:rPr>
          <w:rFonts w:ascii="Calibri" w:eastAsia="Calibri" w:hAnsi="Calibri" w:cs="Times New Roman"/>
          <w:spacing w:val="-1"/>
          <w:lang w:val="en-US" w:eastAsia="en-US"/>
        </w:rPr>
        <w:t xml:space="preserve">were </w:t>
      </w:r>
      <w:r w:rsidRPr="008D745D">
        <w:rPr>
          <w:rFonts w:ascii="Calibri" w:eastAsia="Calibri" w:hAnsi="Calibri" w:cs="Times New Roman"/>
          <w:lang w:val="en-US" w:eastAsia="en-US"/>
        </w:rPr>
        <w:t>of</w:t>
      </w:r>
      <w:r w:rsidRPr="008D745D">
        <w:rPr>
          <w:rFonts w:ascii="Calibri" w:eastAsia="Calibri" w:hAnsi="Calibri" w:cs="Times New Roman"/>
          <w:spacing w:val="-4"/>
          <w:lang w:val="en-US" w:eastAsia="en-US"/>
        </w:rPr>
        <w:t xml:space="preserve"> </w:t>
      </w:r>
      <w:r w:rsidRPr="008D745D">
        <w:rPr>
          <w:rFonts w:ascii="Calibri" w:eastAsia="Calibri" w:hAnsi="Calibri" w:cs="Times New Roman"/>
          <w:spacing w:val="-1"/>
          <w:lang w:val="en-US" w:eastAsia="en-US"/>
        </w:rPr>
        <w:t>highest</w:t>
      </w:r>
      <w:r w:rsidRPr="008D745D">
        <w:rPr>
          <w:rFonts w:ascii="Calibri" w:eastAsia="Calibri" w:hAnsi="Calibri" w:cs="Times New Roman"/>
          <w:spacing w:val="-4"/>
          <w:lang w:val="en-US" w:eastAsia="en-US"/>
        </w:rPr>
        <w:t xml:space="preserve"> </w:t>
      </w:r>
      <w:r w:rsidRPr="008D745D">
        <w:rPr>
          <w:rFonts w:ascii="Calibri" w:eastAsia="Calibri" w:hAnsi="Calibri" w:cs="Times New Roman"/>
          <w:spacing w:val="-1"/>
          <w:lang w:val="en-US" w:eastAsia="en-US"/>
        </w:rPr>
        <w:t xml:space="preserve">strength and </w:t>
      </w:r>
      <w:r w:rsidRPr="008D745D">
        <w:rPr>
          <w:rFonts w:ascii="Calibri" w:eastAsia="Calibri" w:hAnsi="Calibri" w:cs="Times New Roman"/>
          <w:lang w:val="en-US" w:eastAsia="en-US"/>
        </w:rPr>
        <w:t>5% of</w:t>
      </w:r>
      <w:r w:rsidRPr="008D745D">
        <w:rPr>
          <w:rFonts w:ascii="Calibri" w:eastAsia="Calibri" w:hAnsi="Calibri" w:cs="Times New Roman"/>
          <w:spacing w:val="-5"/>
          <w:lang w:val="en-US" w:eastAsia="en-US"/>
        </w:rPr>
        <w:t xml:space="preserve"> </w:t>
      </w:r>
      <w:r w:rsidRPr="008D745D">
        <w:rPr>
          <w:rFonts w:ascii="Calibri" w:eastAsia="Calibri" w:hAnsi="Calibri" w:cs="Times New Roman"/>
          <w:lang w:val="en-US" w:eastAsia="en-US"/>
        </w:rPr>
        <w:t>low</w:t>
      </w:r>
      <w:r w:rsidRPr="008D745D">
        <w:rPr>
          <w:rFonts w:ascii="Calibri" w:eastAsia="Calibri" w:hAnsi="Calibri" w:cs="Times New Roman"/>
          <w:spacing w:val="-4"/>
          <w:lang w:val="en-US" w:eastAsia="en-US"/>
        </w:rPr>
        <w:t xml:space="preserve"> </w:t>
      </w:r>
      <w:r w:rsidRPr="008D745D">
        <w:rPr>
          <w:rFonts w:ascii="Calibri" w:eastAsia="Calibri" w:hAnsi="Calibri" w:cs="Times New Roman"/>
          <w:spacing w:val="-1"/>
          <w:lang w:val="en-US" w:eastAsia="en-US"/>
        </w:rPr>
        <w:t>strength.</w:t>
      </w:r>
    </w:p>
    <w:p w14:paraId="5AEC7903" w14:textId="0696101D" w:rsidR="00107BB6" w:rsidRDefault="00183EF0" w:rsidP="00183EF0">
      <w:pPr>
        <w:pStyle w:val="BodyText"/>
        <w:spacing w:before="198"/>
        <w:ind w:right="230"/>
        <w:rPr>
          <w:rFonts w:ascii="Calibri" w:eastAsia="Calibri" w:hAnsi="Calibri" w:cs="Times New Roman"/>
          <w:spacing w:val="-1"/>
          <w:lang w:val="en-US" w:eastAsia="en-US"/>
        </w:rPr>
      </w:pPr>
      <w:r>
        <w:rPr>
          <w:rFonts w:ascii="Calibri" w:eastAsia="Calibri" w:hAnsi="Calibri" w:cs="Times New Roman"/>
          <w:spacing w:val="-1"/>
          <w:lang w:val="en-US" w:eastAsia="en-US"/>
        </w:rPr>
        <w:t xml:space="preserve">DUSC observed that in comparison to the clinical guidelines and considering the prevalence of GORD, high dose PPIs appeared to be overprescribed in Australia, for excessively long periods of time, particularly amongst older people. This raised concerns regarding the safety, </w:t>
      </w:r>
      <w:r w:rsidR="00107874">
        <w:rPr>
          <w:rFonts w:ascii="Calibri" w:eastAsia="Calibri" w:hAnsi="Calibri" w:cs="Times New Roman"/>
          <w:spacing w:val="-1"/>
          <w:lang w:val="en-US" w:eastAsia="en-US"/>
        </w:rPr>
        <w:t>quality use of medicines and high PBS expenditure. Use for non-</w:t>
      </w:r>
      <w:proofErr w:type="spellStart"/>
      <w:r w:rsidR="00107874">
        <w:rPr>
          <w:rFonts w:ascii="Calibri" w:eastAsia="Calibri" w:hAnsi="Calibri" w:cs="Times New Roman"/>
          <w:spacing w:val="-1"/>
          <w:lang w:val="en-US" w:eastAsia="en-US"/>
        </w:rPr>
        <w:t>subsidised</w:t>
      </w:r>
      <w:proofErr w:type="spellEnd"/>
      <w:r w:rsidR="00107874">
        <w:rPr>
          <w:rFonts w:ascii="Calibri" w:eastAsia="Calibri" w:hAnsi="Calibri" w:cs="Times New Roman"/>
          <w:spacing w:val="-1"/>
          <w:lang w:val="en-US" w:eastAsia="en-US"/>
        </w:rPr>
        <w:t xml:space="preserve"> indications such as prevention of gastric ulcer in patients prescribed NSAIDs may have been contributing to the high PBS </w:t>
      </w:r>
      <w:proofErr w:type="spellStart"/>
      <w:r w:rsidR="00107874">
        <w:rPr>
          <w:rFonts w:ascii="Calibri" w:eastAsia="Calibri" w:hAnsi="Calibri" w:cs="Times New Roman"/>
          <w:spacing w:val="-1"/>
          <w:lang w:val="en-US" w:eastAsia="en-US"/>
        </w:rPr>
        <w:t>utilisation</w:t>
      </w:r>
      <w:proofErr w:type="spellEnd"/>
      <w:r w:rsidR="00107874">
        <w:rPr>
          <w:rFonts w:ascii="Calibri" w:eastAsia="Calibri" w:hAnsi="Calibri" w:cs="Times New Roman"/>
          <w:spacing w:val="-1"/>
          <w:lang w:val="en-US" w:eastAsia="en-US"/>
        </w:rPr>
        <w:t xml:space="preserve">. </w:t>
      </w:r>
    </w:p>
    <w:p w14:paraId="3CEB4AD9" w14:textId="452A3E72" w:rsidR="00107BB6" w:rsidRPr="00A826B1" w:rsidRDefault="00107BB6" w:rsidP="00827F98">
      <w:pPr>
        <w:pStyle w:val="BodyText"/>
        <w:spacing w:before="198" w:line="276" w:lineRule="auto"/>
        <w:ind w:right="203"/>
        <w:rPr>
          <w:rFonts w:ascii="Calibri" w:eastAsia="Calibri" w:hAnsi="Calibri" w:cs="Times New Roman"/>
          <w:lang w:val="en-US" w:eastAsia="en-US"/>
        </w:rPr>
      </w:pPr>
      <w:r>
        <w:rPr>
          <w:rFonts w:ascii="Calibri" w:eastAsia="Calibri" w:hAnsi="Calibri" w:cs="Times New Roman"/>
          <w:spacing w:val="-1"/>
          <w:lang w:val="en-US" w:eastAsia="en-US"/>
        </w:rPr>
        <w:t>DUSC also compared</w:t>
      </w:r>
      <w:r w:rsidRPr="008D745D">
        <w:rPr>
          <w:rFonts w:ascii="Calibri" w:eastAsia="Calibri" w:hAnsi="Calibri" w:cs="Times New Roman"/>
          <w:spacing w:val="-3"/>
          <w:lang w:val="en-US" w:eastAsia="en-US"/>
        </w:rPr>
        <w:t xml:space="preserve"> </w:t>
      </w:r>
      <w:r w:rsidRPr="008D745D">
        <w:rPr>
          <w:rFonts w:ascii="Calibri" w:eastAsia="Calibri" w:hAnsi="Calibri" w:cs="Times New Roman"/>
          <w:lang w:val="en-US" w:eastAsia="en-US"/>
        </w:rPr>
        <w:t>the</w:t>
      </w:r>
      <w:r w:rsidRPr="008D745D">
        <w:rPr>
          <w:rFonts w:ascii="Calibri" w:eastAsia="Calibri" w:hAnsi="Calibri" w:cs="Times New Roman"/>
          <w:spacing w:val="-6"/>
          <w:lang w:val="en-US" w:eastAsia="en-US"/>
        </w:rPr>
        <w:t xml:space="preserve"> </w:t>
      </w:r>
      <w:proofErr w:type="spellStart"/>
      <w:r w:rsidRPr="008D745D">
        <w:rPr>
          <w:rFonts w:ascii="Calibri" w:eastAsia="Calibri" w:hAnsi="Calibri" w:cs="Times New Roman"/>
          <w:spacing w:val="-6"/>
          <w:lang w:val="en-US" w:eastAsia="en-US"/>
        </w:rPr>
        <w:t>utilisation</w:t>
      </w:r>
      <w:proofErr w:type="spellEnd"/>
      <w:r w:rsidRPr="008D745D">
        <w:rPr>
          <w:rFonts w:ascii="Calibri" w:eastAsia="Calibri" w:hAnsi="Calibri" w:cs="Times New Roman"/>
          <w:spacing w:val="-6"/>
          <w:lang w:val="en-US" w:eastAsia="en-US"/>
        </w:rPr>
        <w:t xml:space="preserve"> </w:t>
      </w:r>
      <w:r w:rsidRPr="008D745D">
        <w:rPr>
          <w:rFonts w:ascii="Calibri" w:eastAsia="Calibri" w:hAnsi="Calibri" w:cs="Times New Roman"/>
          <w:spacing w:val="-1"/>
          <w:lang w:val="en-US" w:eastAsia="en-US"/>
        </w:rPr>
        <w:t>results</w:t>
      </w:r>
      <w:r w:rsidRPr="008D745D">
        <w:rPr>
          <w:rFonts w:ascii="Calibri" w:eastAsia="Calibri" w:hAnsi="Calibri" w:cs="Times New Roman"/>
          <w:spacing w:val="-4"/>
          <w:lang w:val="en-US" w:eastAsia="en-US"/>
        </w:rPr>
        <w:t xml:space="preserve"> </w:t>
      </w:r>
      <w:r w:rsidRPr="008D745D">
        <w:rPr>
          <w:rFonts w:ascii="Calibri" w:eastAsia="Calibri" w:hAnsi="Calibri" w:cs="Times New Roman"/>
          <w:spacing w:val="-1"/>
          <w:lang w:val="en-US" w:eastAsia="en-US"/>
        </w:rPr>
        <w:t>with</w:t>
      </w:r>
      <w:r w:rsidRPr="008D745D">
        <w:rPr>
          <w:rFonts w:ascii="Calibri" w:eastAsia="Calibri" w:hAnsi="Calibri" w:cs="Times New Roman"/>
          <w:spacing w:val="1"/>
          <w:lang w:val="en-US" w:eastAsia="en-US"/>
        </w:rPr>
        <w:t xml:space="preserve"> </w:t>
      </w:r>
      <w:r>
        <w:rPr>
          <w:rFonts w:ascii="Calibri" w:eastAsia="Calibri" w:hAnsi="Calibri" w:cs="Times New Roman"/>
          <w:spacing w:val="-1"/>
          <w:lang w:val="en-US" w:eastAsia="en-US"/>
        </w:rPr>
        <w:t>the previous</w:t>
      </w:r>
      <w:r w:rsidRPr="008D745D">
        <w:rPr>
          <w:rFonts w:ascii="Calibri" w:eastAsia="Calibri" w:hAnsi="Calibri" w:cs="Times New Roman"/>
          <w:spacing w:val="-3"/>
          <w:lang w:val="en-US" w:eastAsia="en-US"/>
        </w:rPr>
        <w:t xml:space="preserve"> </w:t>
      </w:r>
      <w:r w:rsidRPr="008D745D">
        <w:rPr>
          <w:rFonts w:ascii="Calibri" w:eastAsia="Calibri" w:hAnsi="Calibri" w:cs="Times New Roman"/>
          <w:lang w:val="en-US" w:eastAsia="en-US"/>
        </w:rPr>
        <w:t>PBS</w:t>
      </w:r>
      <w:r w:rsidRPr="008D745D">
        <w:rPr>
          <w:rFonts w:ascii="Calibri" w:eastAsia="Calibri" w:hAnsi="Calibri" w:cs="Times New Roman"/>
          <w:spacing w:val="-5"/>
          <w:lang w:val="en-US" w:eastAsia="en-US"/>
        </w:rPr>
        <w:t xml:space="preserve"> </w:t>
      </w:r>
      <w:r w:rsidRPr="008D745D">
        <w:rPr>
          <w:rFonts w:ascii="Calibri" w:eastAsia="Calibri" w:hAnsi="Calibri" w:cs="Times New Roman"/>
          <w:spacing w:val="-1"/>
          <w:lang w:val="en-US" w:eastAsia="en-US"/>
        </w:rPr>
        <w:t>restrictions</w:t>
      </w:r>
      <w:r w:rsidRPr="008D745D">
        <w:rPr>
          <w:rFonts w:ascii="Calibri" w:eastAsia="Calibri" w:hAnsi="Calibri" w:cs="Times New Roman"/>
          <w:lang w:val="en-US" w:eastAsia="en-US"/>
        </w:rPr>
        <w:t xml:space="preserve"> </w:t>
      </w:r>
      <w:r w:rsidRPr="008D745D">
        <w:rPr>
          <w:rFonts w:ascii="Calibri" w:eastAsia="Calibri" w:hAnsi="Calibri" w:cs="Times New Roman"/>
          <w:spacing w:val="-1"/>
          <w:lang w:val="en-US" w:eastAsia="en-US"/>
        </w:rPr>
        <w:t>and</w:t>
      </w:r>
      <w:r w:rsidRPr="008D745D">
        <w:rPr>
          <w:rFonts w:ascii="Calibri" w:eastAsia="Calibri" w:hAnsi="Calibri" w:cs="Times New Roman"/>
          <w:spacing w:val="-3"/>
          <w:lang w:val="en-US" w:eastAsia="en-US"/>
        </w:rPr>
        <w:t xml:space="preserve"> </w:t>
      </w:r>
      <w:r w:rsidRPr="008D745D">
        <w:rPr>
          <w:rFonts w:ascii="Calibri" w:eastAsia="Calibri" w:hAnsi="Calibri" w:cs="Times New Roman"/>
          <w:spacing w:val="-1"/>
          <w:lang w:val="en-US" w:eastAsia="en-US"/>
        </w:rPr>
        <w:t>with</w:t>
      </w:r>
      <w:r w:rsidRPr="008D745D">
        <w:rPr>
          <w:rFonts w:ascii="Calibri" w:eastAsia="Calibri" w:hAnsi="Calibri" w:cs="Times New Roman"/>
          <w:spacing w:val="-4"/>
          <w:lang w:val="en-US" w:eastAsia="en-US"/>
        </w:rPr>
        <w:t xml:space="preserve"> </w:t>
      </w:r>
      <w:r w:rsidRPr="008D745D">
        <w:rPr>
          <w:rFonts w:ascii="Calibri" w:eastAsia="Calibri" w:hAnsi="Calibri" w:cs="Times New Roman"/>
          <w:spacing w:val="-1"/>
          <w:lang w:val="en-US" w:eastAsia="en-US"/>
        </w:rPr>
        <w:t>relevant clinical practic</w:t>
      </w:r>
      <w:r>
        <w:rPr>
          <w:rFonts w:ascii="Calibri" w:eastAsia="Calibri" w:hAnsi="Calibri" w:cs="Times New Roman"/>
          <w:spacing w:val="-1"/>
          <w:lang w:val="en-US" w:eastAsia="en-US"/>
        </w:rPr>
        <w:t xml:space="preserve">e </w:t>
      </w:r>
      <w:r w:rsidRPr="008D745D">
        <w:rPr>
          <w:rFonts w:ascii="Calibri" w:eastAsia="Calibri" w:hAnsi="Calibri" w:cs="Times New Roman"/>
          <w:spacing w:val="-1"/>
          <w:lang w:val="en-US" w:eastAsia="en-US"/>
        </w:rPr>
        <w:t>guidelines.</w:t>
      </w:r>
      <w:r>
        <w:rPr>
          <w:rFonts w:ascii="Calibri" w:eastAsia="Calibri" w:hAnsi="Calibri" w:cs="Times New Roman"/>
          <w:spacing w:val="-1"/>
          <w:lang w:val="en-US" w:eastAsia="en-US"/>
        </w:rPr>
        <w:t xml:space="preserve"> Since 2018 there ha</w:t>
      </w:r>
      <w:r w:rsidR="00B46EBF">
        <w:rPr>
          <w:rFonts w:ascii="Calibri" w:eastAsia="Calibri" w:hAnsi="Calibri" w:cs="Times New Roman"/>
          <w:spacing w:val="-1"/>
          <w:lang w:val="en-US" w:eastAsia="en-US"/>
        </w:rPr>
        <w:t>d</w:t>
      </w:r>
      <w:r>
        <w:rPr>
          <w:rFonts w:ascii="Calibri" w:eastAsia="Calibri" w:hAnsi="Calibri" w:cs="Times New Roman"/>
          <w:spacing w:val="-1"/>
          <w:lang w:val="en-US" w:eastAsia="en-US"/>
        </w:rPr>
        <w:t xml:space="preserve"> been alterations to the restrictions of PBS-listed PPI medicines requiring an updated review on the recent</w:t>
      </w:r>
      <w:r w:rsidR="00B46EBF">
        <w:rPr>
          <w:rFonts w:ascii="Calibri" w:eastAsia="Calibri" w:hAnsi="Calibri" w:cs="Times New Roman"/>
          <w:spacing w:val="-1"/>
          <w:lang w:val="en-US" w:eastAsia="en-US"/>
        </w:rPr>
        <w:t xml:space="preserve"> listing</w:t>
      </w:r>
      <w:r>
        <w:rPr>
          <w:rFonts w:ascii="Calibri" w:eastAsia="Calibri" w:hAnsi="Calibri" w:cs="Times New Roman"/>
          <w:spacing w:val="-1"/>
          <w:lang w:val="en-US" w:eastAsia="en-US"/>
        </w:rPr>
        <w:t xml:space="preserve"> changes.</w:t>
      </w:r>
    </w:p>
    <w:p w14:paraId="5B7B89D9" w14:textId="77777777" w:rsidR="00107874" w:rsidRDefault="00107874">
      <w:pPr>
        <w:spacing w:line="276" w:lineRule="auto"/>
        <w:rPr>
          <w:rFonts w:eastAsia="Times New Roman" w:cstheme="majorBidi"/>
          <w:b/>
          <w:bCs/>
          <w:sz w:val="32"/>
          <w:szCs w:val="32"/>
        </w:rPr>
      </w:pPr>
      <w:r>
        <w:rPr>
          <w:rFonts w:eastAsia="Times New Roman"/>
        </w:rPr>
        <w:br w:type="page"/>
      </w:r>
    </w:p>
    <w:p w14:paraId="109B3C15" w14:textId="45F4CD7A" w:rsidR="00B33039" w:rsidRDefault="00B33039" w:rsidP="00B33039">
      <w:pPr>
        <w:pStyle w:val="Heading1"/>
        <w:rPr>
          <w:rFonts w:ascii="Calibri" w:eastAsia="Times New Roman" w:hAnsi="Calibri" w:cs="Calibri"/>
        </w:rPr>
      </w:pPr>
      <w:r>
        <w:rPr>
          <w:rFonts w:eastAsia="Times New Roman"/>
        </w:rPr>
        <w:lastRenderedPageBreak/>
        <w:t>Methods</w:t>
      </w:r>
    </w:p>
    <w:p w14:paraId="5A76A812" w14:textId="54237552" w:rsidR="00A7054B" w:rsidRPr="00552183" w:rsidRDefault="00A7054B" w:rsidP="00552183">
      <w:r w:rsidRPr="00552183">
        <w:t>Data Source / methodology</w:t>
      </w:r>
    </w:p>
    <w:p w14:paraId="3211A72D" w14:textId="65A08762" w:rsidR="00B33039" w:rsidRDefault="00B33039" w:rsidP="00B33039">
      <w:r>
        <w:t>Prescriptions were extracted from the Services Australia prescription database for all PBS items that have an ATC classification of A02BC (Proton pump inhibitors) from 1 January 2013 until the end of December 2021 (based on date of supply).</w:t>
      </w:r>
    </w:p>
    <w:p w14:paraId="6A47295F" w14:textId="77777777" w:rsidR="00B33039" w:rsidRDefault="00B33039" w:rsidP="00B33039">
      <w:pPr>
        <w:rPr>
          <w:u w:val="single"/>
        </w:rPr>
      </w:pPr>
      <w:r>
        <w:rPr>
          <w:u w:val="single"/>
        </w:rPr>
        <w:t>Patient Counts</w:t>
      </w:r>
    </w:p>
    <w:p w14:paraId="0F713E32" w14:textId="1C50CF55" w:rsidR="00B33039" w:rsidRDefault="00B33039" w:rsidP="00B33039">
      <w:r>
        <w:t xml:space="preserve">Prevalent patients are the count of unique </w:t>
      </w:r>
      <w:r w:rsidR="004D12CA">
        <w:t xml:space="preserve">de-identified </w:t>
      </w:r>
      <w:r>
        <w:t>patient identifiers (IDs) on prescriptions for the analysis period (</w:t>
      </w:r>
      <w:proofErr w:type="gramStart"/>
      <w:r w:rsidR="007B0B59">
        <w:t>e.g.</w:t>
      </w:r>
      <w:proofErr w:type="gramEnd"/>
      <w:r>
        <w:t xml:space="preserve"> quarterly in the time series graphs). In this report, initiating patients were defined as patients who had not had a prescription for the drug / drug group since 1 January 2013. The patient counts start from 2014 Q1, so all initiators have at least 12 months with no prior prescription.</w:t>
      </w:r>
    </w:p>
    <w:p w14:paraId="066BADC1" w14:textId="77777777" w:rsidR="00B33039" w:rsidRDefault="00B33039" w:rsidP="00B33039">
      <w:pPr>
        <w:rPr>
          <w:u w:val="single"/>
        </w:rPr>
      </w:pPr>
      <w:r>
        <w:rPr>
          <w:u w:val="single"/>
        </w:rPr>
        <w:t>Relative Dose</w:t>
      </w:r>
    </w:p>
    <w:p w14:paraId="6BF57152" w14:textId="77777777" w:rsidR="00B33039" w:rsidRDefault="00B33039" w:rsidP="00B33039">
      <w:r>
        <w:t>Relative dose was assigned to prescriptions based on the following table.</w:t>
      </w:r>
    </w:p>
    <w:tbl>
      <w:tblPr>
        <w:tblStyle w:val="TableGrid"/>
        <w:tblW w:w="8500" w:type="dxa"/>
        <w:tblLook w:val="04A0" w:firstRow="1" w:lastRow="0" w:firstColumn="1" w:lastColumn="0" w:noHBand="0" w:noVBand="1"/>
      </w:tblPr>
      <w:tblGrid>
        <w:gridCol w:w="1696"/>
        <w:gridCol w:w="1276"/>
        <w:gridCol w:w="992"/>
        <w:gridCol w:w="4536"/>
      </w:tblGrid>
      <w:tr w:rsidR="00B33039" w:rsidRPr="003C476D" w14:paraId="765A7326" w14:textId="77777777" w:rsidTr="004D12CA">
        <w:trPr>
          <w:trHeight w:val="113"/>
          <w:tblHeader/>
        </w:trPr>
        <w:tc>
          <w:tcPr>
            <w:tcW w:w="1696" w:type="dxa"/>
            <w:shd w:val="clear" w:color="auto" w:fill="BFBFBF" w:themeFill="background1" w:themeFillShade="BF"/>
            <w:noWrap/>
            <w:hideMark/>
          </w:tcPr>
          <w:p w14:paraId="42093712" w14:textId="77777777" w:rsidR="00B33039" w:rsidRPr="003C476D" w:rsidRDefault="00B33039" w:rsidP="008E2607">
            <w:pPr>
              <w:rPr>
                <w:rFonts w:eastAsia="Times New Roman" w:cstheme="minorHAnsi"/>
                <w:b/>
                <w:bCs/>
                <w:color w:val="000000"/>
                <w:sz w:val="18"/>
                <w:szCs w:val="18"/>
              </w:rPr>
            </w:pPr>
            <w:r w:rsidRPr="000E6AF0">
              <w:rPr>
                <w:rFonts w:eastAsia="Times New Roman" w:cstheme="minorHAnsi"/>
                <w:b/>
                <w:bCs/>
                <w:color w:val="000000"/>
                <w:sz w:val="18"/>
                <w:szCs w:val="18"/>
              </w:rPr>
              <w:t>Drug</w:t>
            </w:r>
          </w:p>
        </w:tc>
        <w:tc>
          <w:tcPr>
            <w:tcW w:w="1276" w:type="dxa"/>
            <w:shd w:val="clear" w:color="auto" w:fill="BFBFBF" w:themeFill="background1" w:themeFillShade="BF"/>
            <w:noWrap/>
            <w:hideMark/>
          </w:tcPr>
          <w:p w14:paraId="7692971C" w14:textId="77777777" w:rsidR="00B33039" w:rsidRPr="003C476D" w:rsidRDefault="00B33039" w:rsidP="008E2607">
            <w:pPr>
              <w:rPr>
                <w:rFonts w:eastAsia="Times New Roman" w:cstheme="minorHAnsi"/>
                <w:b/>
                <w:bCs/>
                <w:color w:val="000000"/>
                <w:sz w:val="18"/>
                <w:szCs w:val="18"/>
              </w:rPr>
            </w:pPr>
            <w:r w:rsidRPr="000E6AF0">
              <w:rPr>
                <w:rFonts w:eastAsia="Times New Roman" w:cstheme="minorHAnsi"/>
                <w:b/>
                <w:bCs/>
                <w:color w:val="000000"/>
                <w:sz w:val="18"/>
                <w:szCs w:val="18"/>
              </w:rPr>
              <w:t>R</w:t>
            </w:r>
            <w:r w:rsidRPr="003C476D">
              <w:rPr>
                <w:rFonts w:eastAsia="Times New Roman" w:cstheme="minorHAnsi"/>
                <w:b/>
                <w:bCs/>
                <w:color w:val="000000"/>
                <w:sz w:val="18"/>
                <w:szCs w:val="18"/>
              </w:rPr>
              <w:t>elative</w:t>
            </w:r>
            <w:r w:rsidRPr="000E6AF0">
              <w:rPr>
                <w:rFonts w:eastAsia="Times New Roman" w:cstheme="minorHAnsi"/>
                <w:b/>
                <w:bCs/>
                <w:color w:val="000000"/>
                <w:sz w:val="18"/>
                <w:szCs w:val="18"/>
              </w:rPr>
              <w:t xml:space="preserve"> </w:t>
            </w:r>
            <w:r>
              <w:rPr>
                <w:rFonts w:eastAsia="Times New Roman" w:cstheme="minorHAnsi"/>
                <w:b/>
                <w:bCs/>
                <w:color w:val="000000"/>
                <w:sz w:val="18"/>
                <w:szCs w:val="18"/>
              </w:rPr>
              <w:t>dose</w:t>
            </w:r>
          </w:p>
        </w:tc>
        <w:tc>
          <w:tcPr>
            <w:tcW w:w="992" w:type="dxa"/>
            <w:shd w:val="clear" w:color="auto" w:fill="BFBFBF" w:themeFill="background1" w:themeFillShade="BF"/>
            <w:noWrap/>
            <w:hideMark/>
          </w:tcPr>
          <w:p w14:paraId="70BC0AC0" w14:textId="77777777" w:rsidR="00B33039" w:rsidRPr="003C476D" w:rsidRDefault="00B33039" w:rsidP="008E2607">
            <w:pPr>
              <w:rPr>
                <w:rFonts w:eastAsia="Times New Roman" w:cstheme="minorHAnsi"/>
                <w:b/>
                <w:bCs/>
                <w:color w:val="000000"/>
                <w:sz w:val="18"/>
                <w:szCs w:val="18"/>
              </w:rPr>
            </w:pPr>
            <w:r w:rsidRPr="000E6AF0">
              <w:rPr>
                <w:rFonts w:eastAsia="Times New Roman" w:cstheme="minorHAnsi"/>
                <w:b/>
                <w:bCs/>
                <w:color w:val="000000"/>
                <w:sz w:val="18"/>
                <w:szCs w:val="18"/>
              </w:rPr>
              <w:t>PBS i</w:t>
            </w:r>
            <w:r w:rsidRPr="003C476D">
              <w:rPr>
                <w:rFonts w:eastAsia="Times New Roman" w:cstheme="minorHAnsi"/>
                <w:b/>
                <w:bCs/>
                <w:color w:val="000000"/>
                <w:sz w:val="18"/>
                <w:szCs w:val="18"/>
              </w:rPr>
              <w:t>tem</w:t>
            </w:r>
            <w:r w:rsidRPr="000E6AF0">
              <w:rPr>
                <w:rFonts w:eastAsia="Times New Roman" w:cstheme="minorHAnsi"/>
                <w:b/>
                <w:bCs/>
                <w:color w:val="000000"/>
                <w:sz w:val="18"/>
                <w:szCs w:val="18"/>
              </w:rPr>
              <w:t xml:space="preserve"> </w:t>
            </w:r>
            <w:r w:rsidRPr="003C476D">
              <w:rPr>
                <w:rFonts w:eastAsia="Times New Roman" w:cstheme="minorHAnsi"/>
                <w:b/>
                <w:bCs/>
                <w:color w:val="000000"/>
                <w:sz w:val="18"/>
                <w:szCs w:val="18"/>
              </w:rPr>
              <w:t>code</w:t>
            </w:r>
          </w:p>
        </w:tc>
        <w:tc>
          <w:tcPr>
            <w:tcW w:w="4536" w:type="dxa"/>
            <w:shd w:val="clear" w:color="auto" w:fill="BFBFBF" w:themeFill="background1" w:themeFillShade="BF"/>
            <w:noWrap/>
            <w:hideMark/>
          </w:tcPr>
          <w:p w14:paraId="78F55212" w14:textId="77777777" w:rsidR="00B33039" w:rsidRPr="003C476D" w:rsidRDefault="00B33039" w:rsidP="008E2607">
            <w:pPr>
              <w:rPr>
                <w:rFonts w:eastAsia="Times New Roman" w:cstheme="minorHAnsi"/>
                <w:b/>
                <w:bCs/>
                <w:color w:val="000000"/>
                <w:sz w:val="18"/>
                <w:szCs w:val="18"/>
              </w:rPr>
            </w:pPr>
            <w:r w:rsidRPr="000E6AF0">
              <w:rPr>
                <w:rFonts w:eastAsia="Times New Roman" w:cstheme="minorHAnsi"/>
                <w:b/>
                <w:bCs/>
                <w:color w:val="000000"/>
                <w:sz w:val="18"/>
                <w:szCs w:val="18"/>
              </w:rPr>
              <w:t>Form and s</w:t>
            </w:r>
            <w:r w:rsidRPr="003C476D">
              <w:rPr>
                <w:rFonts w:eastAsia="Times New Roman" w:cstheme="minorHAnsi"/>
                <w:b/>
                <w:bCs/>
                <w:color w:val="000000"/>
                <w:sz w:val="18"/>
                <w:szCs w:val="18"/>
              </w:rPr>
              <w:t>tr</w:t>
            </w:r>
            <w:r w:rsidRPr="000E6AF0">
              <w:rPr>
                <w:rFonts w:eastAsia="Times New Roman" w:cstheme="minorHAnsi"/>
                <w:b/>
                <w:bCs/>
                <w:color w:val="000000"/>
                <w:sz w:val="18"/>
                <w:szCs w:val="18"/>
              </w:rPr>
              <w:t>ength</w:t>
            </w:r>
          </w:p>
        </w:tc>
      </w:tr>
      <w:tr w:rsidR="00B33039" w:rsidRPr="003C476D" w14:paraId="40ACAC73" w14:textId="77777777" w:rsidTr="00552183">
        <w:trPr>
          <w:trHeight w:val="113"/>
        </w:trPr>
        <w:tc>
          <w:tcPr>
            <w:tcW w:w="1696" w:type="dxa"/>
            <w:noWrap/>
            <w:hideMark/>
          </w:tcPr>
          <w:p w14:paraId="07006754" w14:textId="77777777" w:rsidR="00B33039" w:rsidRPr="003C476D" w:rsidRDefault="00B33039" w:rsidP="008E2607">
            <w:pPr>
              <w:rPr>
                <w:rFonts w:eastAsia="Times New Roman" w:cstheme="minorHAnsi"/>
                <w:b/>
                <w:bCs/>
                <w:color w:val="000000"/>
                <w:sz w:val="18"/>
                <w:szCs w:val="18"/>
              </w:rPr>
            </w:pPr>
            <w:r w:rsidRPr="003C476D">
              <w:rPr>
                <w:rFonts w:eastAsia="Times New Roman" w:cstheme="minorHAnsi"/>
                <w:b/>
                <w:bCs/>
                <w:color w:val="000000"/>
                <w:sz w:val="18"/>
                <w:szCs w:val="18"/>
              </w:rPr>
              <w:t>ESOMEPRAZOLE</w:t>
            </w:r>
          </w:p>
        </w:tc>
        <w:tc>
          <w:tcPr>
            <w:tcW w:w="1276" w:type="dxa"/>
            <w:noWrap/>
            <w:hideMark/>
          </w:tcPr>
          <w:p w14:paraId="3588B1FF" w14:textId="77777777" w:rsidR="00B33039" w:rsidRPr="002A235E" w:rsidRDefault="00B33039" w:rsidP="008E2607">
            <w:pPr>
              <w:rPr>
                <w:rFonts w:eastAsia="Times New Roman" w:cstheme="minorHAnsi"/>
                <w:color w:val="000000"/>
                <w:sz w:val="18"/>
                <w:szCs w:val="18"/>
              </w:rPr>
            </w:pPr>
            <w:r w:rsidRPr="002A235E">
              <w:rPr>
                <w:rFonts w:eastAsia="Times New Roman" w:cstheme="minorHAnsi"/>
                <w:color w:val="000000"/>
                <w:sz w:val="18"/>
                <w:szCs w:val="18"/>
              </w:rPr>
              <w:t>High dose</w:t>
            </w:r>
          </w:p>
        </w:tc>
        <w:tc>
          <w:tcPr>
            <w:tcW w:w="992" w:type="dxa"/>
            <w:noWrap/>
            <w:hideMark/>
          </w:tcPr>
          <w:p w14:paraId="58214B1E"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03401B</w:t>
            </w:r>
          </w:p>
        </w:tc>
        <w:tc>
          <w:tcPr>
            <w:tcW w:w="4536" w:type="dxa"/>
            <w:noWrap/>
            <w:hideMark/>
          </w:tcPr>
          <w:p w14:paraId="104BA2AE"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40 mg (as magnesium trihydrate)</w:t>
            </w:r>
          </w:p>
        </w:tc>
      </w:tr>
      <w:tr w:rsidR="00B33039" w:rsidRPr="003C476D" w14:paraId="51850041" w14:textId="77777777" w:rsidTr="00552183">
        <w:trPr>
          <w:trHeight w:val="113"/>
        </w:trPr>
        <w:tc>
          <w:tcPr>
            <w:tcW w:w="1696" w:type="dxa"/>
            <w:noWrap/>
            <w:hideMark/>
          </w:tcPr>
          <w:p w14:paraId="3B609D4E" w14:textId="77777777" w:rsidR="00B33039" w:rsidRPr="003C476D" w:rsidRDefault="00B33039" w:rsidP="008E2607">
            <w:pPr>
              <w:rPr>
                <w:rFonts w:eastAsia="Times New Roman" w:cstheme="minorHAnsi"/>
                <w:color w:val="000000"/>
                <w:sz w:val="18"/>
                <w:szCs w:val="18"/>
              </w:rPr>
            </w:pPr>
          </w:p>
        </w:tc>
        <w:tc>
          <w:tcPr>
            <w:tcW w:w="1276" w:type="dxa"/>
            <w:noWrap/>
            <w:hideMark/>
          </w:tcPr>
          <w:p w14:paraId="047F97E6" w14:textId="77777777" w:rsidR="00B33039" w:rsidRPr="002A235E" w:rsidRDefault="00B33039" w:rsidP="008E2607">
            <w:pPr>
              <w:rPr>
                <w:rFonts w:eastAsia="Times New Roman" w:cstheme="minorHAnsi"/>
                <w:sz w:val="18"/>
                <w:szCs w:val="18"/>
              </w:rPr>
            </w:pPr>
          </w:p>
        </w:tc>
        <w:tc>
          <w:tcPr>
            <w:tcW w:w="992" w:type="dxa"/>
            <w:noWrap/>
            <w:hideMark/>
          </w:tcPr>
          <w:p w14:paraId="2DF30EE0"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08601Q</w:t>
            </w:r>
          </w:p>
        </w:tc>
        <w:tc>
          <w:tcPr>
            <w:tcW w:w="4536" w:type="dxa"/>
            <w:noWrap/>
            <w:hideMark/>
          </w:tcPr>
          <w:p w14:paraId="608E6351"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40 mg (as magnesium trihydrate)</w:t>
            </w:r>
          </w:p>
        </w:tc>
      </w:tr>
      <w:tr w:rsidR="00B33039" w:rsidRPr="003C476D" w14:paraId="713F22BF" w14:textId="77777777" w:rsidTr="00552183">
        <w:trPr>
          <w:trHeight w:val="113"/>
        </w:trPr>
        <w:tc>
          <w:tcPr>
            <w:tcW w:w="1696" w:type="dxa"/>
            <w:noWrap/>
            <w:hideMark/>
          </w:tcPr>
          <w:p w14:paraId="766791AE" w14:textId="77777777" w:rsidR="00B33039" w:rsidRPr="003C476D" w:rsidRDefault="00B33039" w:rsidP="008E2607">
            <w:pPr>
              <w:rPr>
                <w:rFonts w:eastAsia="Times New Roman" w:cstheme="minorHAnsi"/>
                <w:color w:val="000000"/>
                <w:sz w:val="18"/>
                <w:szCs w:val="18"/>
              </w:rPr>
            </w:pPr>
          </w:p>
        </w:tc>
        <w:tc>
          <w:tcPr>
            <w:tcW w:w="1276" w:type="dxa"/>
            <w:noWrap/>
            <w:hideMark/>
          </w:tcPr>
          <w:p w14:paraId="7E4CB8C4" w14:textId="77777777" w:rsidR="00B33039" w:rsidRPr="002A235E" w:rsidRDefault="00B33039" w:rsidP="008E2607">
            <w:pPr>
              <w:rPr>
                <w:rFonts w:eastAsia="Times New Roman" w:cstheme="minorHAnsi"/>
                <w:sz w:val="18"/>
                <w:szCs w:val="18"/>
              </w:rPr>
            </w:pPr>
          </w:p>
        </w:tc>
        <w:tc>
          <w:tcPr>
            <w:tcW w:w="992" w:type="dxa"/>
            <w:noWrap/>
            <w:hideMark/>
          </w:tcPr>
          <w:p w14:paraId="60594172"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10330Q</w:t>
            </w:r>
          </w:p>
        </w:tc>
        <w:tc>
          <w:tcPr>
            <w:tcW w:w="4536" w:type="dxa"/>
            <w:noWrap/>
            <w:hideMark/>
          </w:tcPr>
          <w:p w14:paraId="5B309132"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(enteric) 40 mg (as magnesium)</w:t>
            </w:r>
          </w:p>
        </w:tc>
      </w:tr>
      <w:tr w:rsidR="00B33039" w:rsidRPr="003C476D" w14:paraId="6DF064FD" w14:textId="77777777" w:rsidTr="00552183">
        <w:trPr>
          <w:trHeight w:val="113"/>
        </w:trPr>
        <w:tc>
          <w:tcPr>
            <w:tcW w:w="1696" w:type="dxa"/>
            <w:noWrap/>
            <w:hideMark/>
          </w:tcPr>
          <w:p w14:paraId="1E24F5B2" w14:textId="77777777" w:rsidR="00B33039" w:rsidRPr="003C476D" w:rsidRDefault="00B33039" w:rsidP="008E2607">
            <w:pPr>
              <w:rPr>
                <w:rFonts w:eastAsia="Times New Roman" w:cstheme="minorHAnsi"/>
                <w:color w:val="000000"/>
                <w:sz w:val="18"/>
                <w:szCs w:val="18"/>
              </w:rPr>
            </w:pPr>
          </w:p>
        </w:tc>
        <w:tc>
          <w:tcPr>
            <w:tcW w:w="1276" w:type="dxa"/>
            <w:noWrap/>
            <w:hideMark/>
          </w:tcPr>
          <w:p w14:paraId="0AF26E55" w14:textId="77777777" w:rsidR="00B33039" w:rsidRPr="002A235E" w:rsidRDefault="00B33039" w:rsidP="008E2607">
            <w:pPr>
              <w:rPr>
                <w:rFonts w:eastAsia="Times New Roman" w:cstheme="minorHAnsi"/>
                <w:sz w:val="18"/>
                <w:szCs w:val="18"/>
              </w:rPr>
            </w:pPr>
          </w:p>
        </w:tc>
        <w:tc>
          <w:tcPr>
            <w:tcW w:w="992" w:type="dxa"/>
            <w:noWrap/>
            <w:hideMark/>
          </w:tcPr>
          <w:p w14:paraId="117F5CFE"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10331R</w:t>
            </w:r>
          </w:p>
        </w:tc>
        <w:tc>
          <w:tcPr>
            <w:tcW w:w="4536" w:type="dxa"/>
            <w:noWrap/>
            <w:hideMark/>
          </w:tcPr>
          <w:p w14:paraId="5E1F32E5"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(enteric) 40 mg (as magnesium)</w:t>
            </w:r>
          </w:p>
        </w:tc>
      </w:tr>
      <w:tr w:rsidR="00B33039" w:rsidRPr="003C476D" w14:paraId="37244881" w14:textId="77777777" w:rsidTr="00552183">
        <w:trPr>
          <w:trHeight w:val="113"/>
        </w:trPr>
        <w:tc>
          <w:tcPr>
            <w:tcW w:w="1696" w:type="dxa"/>
            <w:noWrap/>
            <w:hideMark/>
          </w:tcPr>
          <w:p w14:paraId="3A5F2A08" w14:textId="77777777" w:rsidR="00B33039" w:rsidRPr="003C476D" w:rsidRDefault="00B33039" w:rsidP="008E2607">
            <w:pPr>
              <w:rPr>
                <w:rFonts w:eastAsia="Times New Roman" w:cstheme="minorHAnsi"/>
                <w:color w:val="000000"/>
                <w:sz w:val="18"/>
                <w:szCs w:val="18"/>
              </w:rPr>
            </w:pPr>
            <w:r>
              <w:rPr>
                <w:rFonts w:eastAsia="Times New Roman" w:cstheme="minorHAnsi"/>
                <w:sz w:val="18"/>
                <w:szCs w:val="18"/>
              </w:rPr>
              <w:t>Twice daily for Complex GORD</w:t>
            </w:r>
          </w:p>
        </w:tc>
        <w:tc>
          <w:tcPr>
            <w:tcW w:w="1276" w:type="dxa"/>
            <w:noWrap/>
            <w:hideMark/>
          </w:tcPr>
          <w:p w14:paraId="6FDC52F0" w14:textId="77777777" w:rsidR="00B33039" w:rsidRPr="002A235E" w:rsidRDefault="00B33039" w:rsidP="008E2607">
            <w:pPr>
              <w:rPr>
                <w:rFonts w:eastAsia="Times New Roman" w:cstheme="minorHAnsi"/>
                <w:sz w:val="18"/>
                <w:szCs w:val="18"/>
              </w:rPr>
            </w:pPr>
          </w:p>
        </w:tc>
        <w:tc>
          <w:tcPr>
            <w:tcW w:w="992" w:type="dxa"/>
            <w:noWrap/>
            <w:hideMark/>
          </w:tcPr>
          <w:p w14:paraId="7266BFD0"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12275C</w:t>
            </w:r>
          </w:p>
        </w:tc>
        <w:tc>
          <w:tcPr>
            <w:tcW w:w="4536" w:type="dxa"/>
            <w:noWrap/>
            <w:hideMark/>
          </w:tcPr>
          <w:p w14:paraId="6AD98DDD"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(enteric) 20 mg (as magnesium)</w:t>
            </w:r>
          </w:p>
        </w:tc>
      </w:tr>
      <w:tr w:rsidR="00B33039" w:rsidRPr="003C476D" w14:paraId="44F351CF" w14:textId="77777777" w:rsidTr="00552183">
        <w:trPr>
          <w:trHeight w:val="113"/>
        </w:trPr>
        <w:tc>
          <w:tcPr>
            <w:tcW w:w="1696" w:type="dxa"/>
            <w:noWrap/>
            <w:hideMark/>
          </w:tcPr>
          <w:p w14:paraId="05FE4207" w14:textId="77777777" w:rsidR="00B33039" w:rsidRPr="003C476D" w:rsidRDefault="00B33039" w:rsidP="008E2607">
            <w:pPr>
              <w:rPr>
                <w:rFonts w:eastAsia="Times New Roman" w:cstheme="minorHAnsi"/>
                <w:color w:val="000000"/>
                <w:sz w:val="18"/>
                <w:szCs w:val="18"/>
              </w:rPr>
            </w:pPr>
          </w:p>
        </w:tc>
        <w:tc>
          <w:tcPr>
            <w:tcW w:w="1276" w:type="dxa"/>
            <w:noWrap/>
            <w:hideMark/>
          </w:tcPr>
          <w:p w14:paraId="0637ACC3" w14:textId="77777777" w:rsidR="00B33039" w:rsidRPr="002A235E" w:rsidRDefault="00B33039" w:rsidP="008E2607">
            <w:pPr>
              <w:rPr>
                <w:rFonts w:eastAsia="Times New Roman" w:cstheme="minorHAnsi"/>
                <w:sz w:val="18"/>
                <w:szCs w:val="18"/>
              </w:rPr>
            </w:pPr>
          </w:p>
        </w:tc>
        <w:tc>
          <w:tcPr>
            <w:tcW w:w="992" w:type="dxa"/>
            <w:noWrap/>
            <w:hideMark/>
          </w:tcPr>
          <w:p w14:paraId="20EB5A62"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12287Q</w:t>
            </w:r>
          </w:p>
        </w:tc>
        <w:tc>
          <w:tcPr>
            <w:tcW w:w="4536" w:type="dxa"/>
            <w:noWrap/>
            <w:hideMark/>
          </w:tcPr>
          <w:p w14:paraId="7FF71526"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20 mg (as magnesium trihydrate)</w:t>
            </w:r>
          </w:p>
        </w:tc>
      </w:tr>
      <w:tr w:rsidR="00B33039" w:rsidRPr="003C476D" w14:paraId="512DEEB9" w14:textId="77777777" w:rsidTr="00552183">
        <w:trPr>
          <w:trHeight w:val="113"/>
        </w:trPr>
        <w:tc>
          <w:tcPr>
            <w:tcW w:w="1696" w:type="dxa"/>
            <w:noWrap/>
            <w:hideMark/>
          </w:tcPr>
          <w:p w14:paraId="4596478B" w14:textId="77777777" w:rsidR="00B33039" w:rsidRPr="003C476D" w:rsidRDefault="00B33039" w:rsidP="008E2607">
            <w:pPr>
              <w:rPr>
                <w:rFonts w:eastAsia="Times New Roman" w:cstheme="minorHAnsi"/>
                <w:color w:val="000000"/>
                <w:sz w:val="18"/>
                <w:szCs w:val="18"/>
              </w:rPr>
            </w:pPr>
            <w:r>
              <w:rPr>
                <w:rFonts w:eastAsia="Times New Roman" w:cstheme="minorHAnsi"/>
                <w:sz w:val="18"/>
                <w:szCs w:val="18"/>
              </w:rPr>
              <w:t>Twice daily for Complex GORD</w:t>
            </w:r>
          </w:p>
        </w:tc>
        <w:tc>
          <w:tcPr>
            <w:tcW w:w="1276" w:type="dxa"/>
            <w:noWrap/>
            <w:hideMark/>
          </w:tcPr>
          <w:p w14:paraId="31437511" w14:textId="77777777" w:rsidR="00B33039" w:rsidRPr="002A235E" w:rsidRDefault="00B33039" w:rsidP="008E2607">
            <w:pPr>
              <w:rPr>
                <w:rFonts w:eastAsia="Times New Roman" w:cstheme="minorHAnsi"/>
                <w:sz w:val="18"/>
                <w:szCs w:val="18"/>
              </w:rPr>
            </w:pPr>
            <w:r w:rsidRPr="002A235E">
              <w:rPr>
                <w:rFonts w:eastAsia="Times New Roman" w:cstheme="minorHAnsi"/>
                <w:sz w:val="18"/>
                <w:szCs w:val="18"/>
              </w:rPr>
              <w:t>Very High dose</w:t>
            </w:r>
          </w:p>
        </w:tc>
        <w:tc>
          <w:tcPr>
            <w:tcW w:w="992" w:type="dxa"/>
            <w:noWrap/>
            <w:hideMark/>
          </w:tcPr>
          <w:p w14:paraId="03EED14A"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12283L</w:t>
            </w:r>
          </w:p>
        </w:tc>
        <w:tc>
          <w:tcPr>
            <w:tcW w:w="4536" w:type="dxa"/>
            <w:noWrap/>
            <w:hideMark/>
          </w:tcPr>
          <w:p w14:paraId="7BDFBBA0"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40 mg (as magnesium trihydrate)</w:t>
            </w:r>
          </w:p>
        </w:tc>
      </w:tr>
      <w:tr w:rsidR="00B33039" w:rsidRPr="003C476D" w14:paraId="0AB25068" w14:textId="77777777" w:rsidTr="00552183">
        <w:trPr>
          <w:trHeight w:val="113"/>
        </w:trPr>
        <w:tc>
          <w:tcPr>
            <w:tcW w:w="1696" w:type="dxa"/>
            <w:noWrap/>
            <w:hideMark/>
          </w:tcPr>
          <w:p w14:paraId="6A2C03F3" w14:textId="77777777" w:rsidR="00B33039" w:rsidRPr="003C476D" w:rsidRDefault="00B33039" w:rsidP="008E2607">
            <w:pPr>
              <w:rPr>
                <w:rFonts w:eastAsia="Times New Roman" w:cstheme="minorHAnsi"/>
                <w:color w:val="000000"/>
                <w:sz w:val="18"/>
                <w:szCs w:val="18"/>
              </w:rPr>
            </w:pPr>
          </w:p>
        </w:tc>
        <w:tc>
          <w:tcPr>
            <w:tcW w:w="1276" w:type="dxa"/>
            <w:noWrap/>
            <w:hideMark/>
          </w:tcPr>
          <w:p w14:paraId="35A06BD4" w14:textId="77777777" w:rsidR="00B33039" w:rsidRPr="002A235E" w:rsidRDefault="00B33039" w:rsidP="008E2607">
            <w:pPr>
              <w:rPr>
                <w:rFonts w:eastAsia="Times New Roman" w:cstheme="minorHAnsi"/>
                <w:sz w:val="18"/>
                <w:szCs w:val="18"/>
              </w:rPr>
            </w:pPr>
          </w:p>
        </w:tc>
        <w:tc>
          <w:tcPr>
            <w:tcW w:w="992" w:type="dxa"/>
            <w:noWrap/>
            <w:hideMark/>
          </w:tcPr>
          <w:p w14:paraId="665562BB"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12290W</w:t>
            </w:r>
          </w:p>
        </w:tc>
        <w:tc>
          <w:tcPr>
            <w:tcW w:w="4536" w:type="dxa"/>
            <w:noWrap/>
            <w:hideMark/>
          </w:tcPr>
          <w:p w14:paraId="74B97B0B"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(enteric) 40 mg (as magnesium)</w:t>
            </w:r>
          </w:p>
        </w:tc>
      </w:tr>
      <w:tr w:rsidR="00B33039" w:rsidRPr="003C476D" w14:paraId="604D3A5B" w14:textId="77777777" w:rsidTr="00552183">
        <w:trPr>
          <w:trHeight w:val="113"/>
        </w:trPr>
        <w:tc>
          <w:tcPr>
            <w:tcW w:w="1696" w:type="dxa"/>
            <w:noWrap/>
            <w:hideMark/>
          </w:tcPr>
          <w:p w14:paraId="75C35F8C" w14:textId="77777777" w:rsidR="00B33039" w:rsidRPr="003C476D" w:rsidRDefault="00B33039" w:rsidP="008E2607">
            <w:pPr>
              <w:rPr>
                <w:rFonts w:eastAsia="Times New Roman" w:cstheme="minorHAnsi"/>
                <w:color w:val="000000"/>
                <w:sz w:val="18"/>
                <w:szCs w:val="18"/>
              </w:rPr>
            </w:pPr>
          </w:p>
        </w:tc>
        <w:tc>
          <w:tcPr>
            <w:tcW w:w="1276" w:type="dxa"/>
            <w:noWrap/>
            <w:hideMark/>
          </w:tcPr>
          <w:p w14:paraId="63357FC9" w14:textId="77777777" w:rsidR="00B33039" w:rsidRPr="002A235E" w:rsidRDefault="00B33039" w:rsidP="008E2607">
            <w:pPr>
              <w:rPr>
                <w:rFonts w:eastAsia="Times New Roman" w:cstheme="minorHAnsi"/>
                <w:color w:val="000000"/>
                <w:sz w:val="18"/>
                <w:szCs w:val="18"/>
              </w:rPr>
            </w:pPr>
            <w:r w:rsidRPr="002A235E">
              <w:rPr>
                <w:rFonts w:eastAsia="Times New Roman" w:cstheme="minorHAnsi"/>
                <w:color w:val="000000"/>
                <w:sz w:val="18"/>
                <w:szCs w:val="18"/>
              </w:rPr>
              <w:t>Standard dose</w:t>
            </w:r>
          </w:p>
        </w:tc>
        <w:tc>
          <w:tcPr>
            <w:tcW w:w="992" w:type="dxa"/>
            <w:noWrap/>
            <w:hideMark/>
          </w:tcPr>
          <w:p w14:paraId="16741AAA"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08600P</w:t>
            </w:r>
          </w:p>
        </w:tc>
        <w:tc>
          <w:tcPr>
            <w:tcW w:w="4536" w:type="dxa"/>
            <w:noWrap/>
            <w:hideMark/>
          </w:tcPr>
          <w:p w14:paraId="7F2F9AA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20 mg (as magnesium trihydrate)</w:t>
            </w:r>
          </w:p>
        </w:tc>
      </w:tr>
      <w:tr w:rsidR="00B33039" w:rsidRPr="003C476D" w14:paraId="05B5630E" w14:textId="77777777" w:rsidTr="00552183">
        <w:trPr>
          <w:trHeight w:val="113"/>
        </w:trPr>
        <w:tc>
          <w:tcPr>
            <w:tcW w:w="1696" w:type="dxa"/>
            <w:noWrap/>
            <w:hideMark/>
          </w:tcPr>
          <w:p w14:paraId="0DC4A3BB" w14:textId="77777777" w:rsidR="00B33039" w:rsidRPr="003C476D" w:rsidRDefault="00B33039" w:rsidP="008E2607">
            <w:pPr>
              <w:rPr>
                <w:rFonts w:eastAsia="Times New Roman" w:cstheme="minorHAnsi"/>
                <w:color w:val="000000"/>
                <w:sz w:val="18"/>
                <w:szCs w:val="18"/>
              </w:rPr>
            </w:pPr>
          </w:p>
        </w:tc>
        <w:tc>
          <w:tcPr>
            <w:tcW w:w="1276" w:type="dxa"/>
            <w:noWrap/>
            <w:hideMark/>
          </w:tcPr>
          <w:p w14:paraId="4BC9FB46" w14:textId="77777777" w:rsidR="00B33039" w:rsidRPr="002A235E" w:rsidRDefault="00B33039" w:rsidP="008E2607">
            <w:pPr>
              <w:rPr>
                <w:rFonts w:eastAsia="Times New Roman" w:cstheme="minorHAnsi"/>
                <w:sz w:val="18"/>
                <w:szCs w:val="18"/>
              </w:rPr>
            </w:pPr>
          </w:p>
        </w:tc>
        <w:tc>
          <w:tcPr>
            <w:tcW w:w="992" w:type="dxa"/>
            <w:noWrap/>
            <w:hideMark/>
          </w:tcPr>
          <w:p w14:paraId="1EB98B11"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08886Q</w:t>
            </w:r>
          </w:p>
        </w:tc>
        <w:tc>
          <w:tcPr>
            <w:tcW w:w="4536" w:type="dxa"/>
            <w:noWrap/>
            <w:hideMark/>
          </w:tcPr>
          <w:p w14:paraId="4F18CE76"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20 mg (as magnesium trihydrate)</w:t>
            </w:r>
          </w:p>
        </w:tc>
      </w:tr>
      <w:tr w:rsidR="00B33039" w:rsidRPr="003C476D" w14:paraId="1302B739" w14:textId="77777777" w:rsidTr="00552183">
        <w:trPr>
          <w:trHeight w:val="113"/>
        </w:trPr>
        <w:tc>
          <w:tcPr>
            <w:tcW w:w="1696" w:type="dxa"/>
            <w:noWrap/>
            <w:hideMark/>
          </w:tcPr>
          <w:p w14:paraId="1AA5CFED" w14:textId="77777777" w:rsidR="00B33039" w:rsidRPr="003C476D" w:rsidRDefault="00B33039" w:rsidP="008E2607">
            <w:pPr>
              <w:rPr>
                <w:rFonts w:eastAsia="Times New Roman" w:cstheme="minorHAnsi"/>
                <w:color w:val="000000"/>
                <w:sz w:val="18"/>
                <w:szCs w:val="18"/>
              </w:rPr>
            </w:pPr>
          </w:p>
        </w:tc>
        <w:tc>
          <w:tcPr>
            <w:tcW w:w="1276" w:type="dxa"/>
            <w:noWrap/>
            <w:hideMark/>
          </w:tcPr>
          <w:p w14:paraId="662687A5" w14:textId="77777777" w:rsidR="00B33039" w:rsidRPr="002A235E" w:rsidRDefault="00B33039" w:rsidP="008E2607">
            <w:pPr>
              <w:rPr>
                <w:rFonts w:eastAsia="Times New Roman" w:cstheme="minorHAnsi"/>
                <w:sz w:val="18"/>
                <w:szCs w:val="18"/>
              </w:rPr>
            </w:pPr>
          </w:p>
        </w:tc>
        <w:tc>
          <w:tcPr>
            <w:tcW w:w="992" w:type="dxa"/>
            <w:noWrap/>
            <w:hideMark/>
          </w:tcPr>
          <w:p w14:paraId="6F2EA8E5"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10295W</w:t>
            </w:r>
          </w:p>
        </w:tc>
        <w:tc>
          <w:tcPr>
            <w:tcW w:w="4536" w:type="dxa"/>
            <w:noWrap/>
            <w:hideMark/>
          </w:tcPr>
          <w:p w14:paraId="6C123EDE"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(enteric) 20 mg (as magnesium)</w:t>
            </w:r>
          </w:p>
        </w:tc>
      </w:tr>
      <w:tr w:rsidR="00B33039" w:rsidRPr="003C476D" w14:paraId="2C0E36B5" w14:textId="77777777" w:rsidTr="00552183">
        <w:trPr>
          <w:trHeight w:val="113"/>
        </w:trPr>
        <w:tc>
          <w:tcPr>
            <w:tcW w:w="1696" w:type="dxa"/>
            <w:noWrap/>
            <w:hideMark/>
          </w:tcPr>
          <w:p w14:paraId="6A3BC0D3" w14:textId="77777777" w:rsidR="00B33039" w:rsidRPr="003C476D" w:rsidRDefault="00B33039" w:rsidP="008E2607">
            <w:pPr>
              <w:rPr>
                <w:rFonts w:eastAsia="Times New Roman" w:cstheme="minorHAnsi"/>
                <w:color w:val="000000"/>
                <w:sz w:val="18"/>
                <w:szCs w:val="18"/>
              </w:rPr>
            </w:pPr>
          </w:p>
        </w:tc>
        <w:tc>
          <w:tcPr>
            <w:tcW w:w="1276" w:type="dxa"/>
            <w:noWrap/>
            <w:hideMark/>
          </w:tcPr>
          <w:p w14:paraId="1161448F" w14:textId="77777777" w:rsidR="00B33039" w:rsidRPr="002A235E" w:rsidRDefault="00B33039" w:rsidP="008E2607">
            <w:pPr>
              <w:rPr>
                <w:rFonts w:eastAsia="Times New Roman" w:cstheme="minorHAnsi"/>
                <w:sz w:val="18"/>
                <w:szCs w:val="18"/>
              </w:rPr>
            </w:pPr>
          </w:p>
        </w:tc>
        <w:tc>
          <w:tcPr>
            <w:tcW w:w="992" w:type="dxa"/>
            <w:noWrap/>
            <w:hideMark/>
          </w:tcPr>
          <w:p w14:paraId="5B8FD69F"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10343J</w:t>
            </w:r>
          </w:p>
        </w:tc>
        <w:tc>
          <w:tcPr>
            <w:tcW w:w="4536" w:type="dxa"/>
            <w:noWrap/>
            <w:hideMark/>
          </w:tcPr>
          <w:p w14:paraId="38298633"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(enteric) 20 mg (as magnesium)</w:t>
            </w:r>
          </w:p>
        </w:tc>
      </w:tr>
      <w:tr w:rsidR="00B33039" w:rsidRPr="003C476D" w14:paraId="1C14211F" w14:textId="77777777" w:rsidTr="00552183">
        <w:trPr>
          <w:trHeight w:val="113"/>
        </w:trPr>
        <w:tc>
          <w:tcPr>
            <w:tcW w:w="1696" w:type="dxa"/>
            <w:noWrap/>
            <w:hideMark/>
          </w:tcPr>
          <w:p w14:paraId="385591F9" w14:textId="77777777" w:rsidR="00B33039" w:rsidRPr="003C476D" w:rsidRDefault="00B33039" w:rsidP="008E2607">
            <w:pPr>
              <w:rPr>
                <w:rFonts w:eastAsia="Times New Roman" w:cstheme="minorHAnsi"/>
                <w:color w:val="000000"/>
                <w:sz w:val="18"/>
                <w:szCs w:val="18"/>
              </w:rPr>
            </w:pPr>
          </w:p>
        </w:tc>
        <w:tc>
          <w:tcPr>
            <w:tcW w:w="1276" w:type="dxa"/>
            <w:noWrap/>
            <w:hideMark/>
          </w:tcPr>
          <w:p w14:paraId="45CDDD97" w14:textId="77777777" w:rsidR="00B33039" w:rsidRPr="002A235E" w:rsidRDefault="00B33039" w:rsidP="008E2607">
            <w:pPr>
              <w:rPr>
                <w:rFonts w:eastAsia="Times New Roman" w:cstheme="minorHAnsi"/>
                <w:sz w:val="18"/>
                <w:szCs w:val="18"/>
              </w:rPr>
            </w:pPr>
          </w:p>
        </w:tc>
        <w:tc>
          <w:tcPr>
            <w:tcW w:w="992" w:type="dxa"/>
            <w:noWrap/>
            <w:hideMark/>
          </w:tcPr>
          <w:p w14:paraId="05BAC56C"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11687D</w:t>
            </w:r>
          </w:p>
        </w:tc>
        <w:tc>
          <w:tcPr>
            <w:tcW w:w="4536" w:type="dxa"/>
            <w:noWrap/>
            <w:hideMark/>
          </w:tcPr>
          <w:p w14:paraId="6934725C"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(enteric) 20 mg (as magnesium)</w:t>
            </w:r>
          </w:p>
        </w:tc>
      </w:tr>
      <w:tr w:rsidR="00B33039" w:rsidRPr="003C476D" w14:paraId="0E0EB23E" w14:textId="77777777" w:rsidTr="00552183">
        <w:trPr>
          <w:trHeight w:val="113"/>
        </w:trPr>
        <w:tc>
          <w:tcPr>
            <w:tcW w:w="1696" w:type="dxa"/>
            <w:noWrap/>
            <w:hideMark/>
          </w:tcPr>
          <w:p w14:paraId="4B4752BD" w14:textId="77777777" w:rsidR="00B33039" w:rsidRPr="003C476D" w:rsidRDefault="00B33039" w:rsidP="008E2607">
            <w:pPr>
              <w:rPr>
                <w:rFonts w:eastAsia="Times New Roman" w:cstheme="minorHAnsi"/>
                <w:color w:val="000000"/>
                <w:sz w:val="18"/>
                <w:szCs w:val="18"/>
              </w:rPr>
            </w:pPr>
          </w:p>
        </w:tc>
        <w:tc>
          <w:tcPr>
            <w:tcW w:w="1276" w:type="dxa"/>
            <w:noWrap/>
            <w:hideMark/>
          </w:tcPr>
          <w:p w14:paraId="0A3E0A82" w14:textId="77777777" w:rsidR="00B33039" w:rsidRPr="002A235E" w:rsidRDefault="00B33039" w:rsidP="008E2607">
            <w:pPr>
              <w:rPr>
                <w:rFonts w:eastAsia="Times New Roman" w:cstheme="minorHAnsi"/>
                <w:sz w:val="18"/>
                <w:szCs w:val="18"/>
              </w:rPr>
            </w:pPr>
          </w:p>
        </w:tc>
        <w:tc>
          <w:tcPr>
            <w:tcW w:w="992" w:type="dxa"/>
            <w:noWrap/>
            <w:hideMark/>
          </w:tcPr>
          <w:p w14:paraId="0925DBA5"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11692J</w:t>
            </w:r>
          </w:p>
        </w:tc>
        <w:tc>
          <w:tcPr>
            <w:tcW w:w="4536" w:type="dxa"/>
            <w:noWrap/>
            <w:hideMark/>
          </w:tcPr>
          <w:p w14:paraId="0C68082F"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20 mg (as magnesium trihydrate)</w:t>
            </w:r>
          </w:p>
        </w:tc>
      </w:tr>
      <w:tr w:rsidR="00B33039" w:rsidRPr="003C476D" w14:paraId="42627705" w14:textId="77777777" w:rsidTr="00552183">
        <w:trPr>
          <w:trHeight w:val="113"/>
        </w:trPr>
        <w:tc>
          <w:tcPr>
            <w:tcW w:w="1696" w:type="dxa"/>
            <w:noWrap/>
            <w:hideMark/>
          </w:tcPr>
          <w:p w14:paraId="64D8ACB8" w14:textId="77777777" w:rsidR="00B33039" w:rsidRPr="003C476D" w:rsidRDefault="00B33039" w:rsidP="008E2607">
            <w:pPr>
              <w:rPr>
                <w:rFonts w:eastAsia="Times New Roman" w:cstheme="minorHAnsi"/>
                <w:b/>
                <w:bCs/>
                <w:color w:val="000000"/>
                <w:sz w:val="18"/>
                <w:szCs w:val="18"/>
              </w:rPr>
            </w:pPr>
            <w:r w:rsidRPr="003C476D">
              <w:rPr>
                <w:rFonts w:eastAsia="Times New Roman" w:cstheme="minorHAnsi"/>
                <w:b/>
                <w:bCs/>
                <w:color w:val="000000"/>
                <w:sz w:val="18"/>
                <w:szCs w:val="18"/>
              </w:rPr>
              <w:t>LANSOPRAZOLE</w:t>
            </w:r>
          </w:p>
        </w:tc>
        <w:tc>
          <w:tcPr>
            <w:tcW w:w="1276" w:type="dxa"/>
            <w:noWrap/>
            <w:hideMark/>
          </w:tcPr>
          <w:p w14:paraId="6766F186" w14:textId="77777777" w:rsidR="00B33039" w:rsidRPr="002A235E" w:rsidRDefault="00B33039" w:rsidP="008E2607">
            <w:pPr>
              <w:rPr>
                <w:rFonts w:eastAsia="Times New Roman" w:cstheme="minorHAnsi"/>
                <w:color w:val="000000"/>
                <w:sz w:val="18"/>
                <w:szCs w:val="18"/>
              </w:rPr>
            </w:pPr>
            <w:r w:rsidRPr="002A235E">
              <w:rPr>
                <w:rFonts w:eastAsia="Times New Roman" w:cstheme="minorHAnsi"/>
                <w:color w:val="000000"/>
                <w:sz w:val="18"/>
                <w:szCs w:val="18"/>
              </w:rPr>
              <w:t>Low dose</w:t>
            </w:r>
          </w:p>
        </w:tc>
        <w:tc>
          <w:tcPr>
            <w:tcW w:w="992" w:type="dxa"/>
            <w:noWrap/>
            <w:hideMark/>
          </w:tcPr>
          <w:p w14:paraId="734C83FC"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08198L</w:t>
            </w:r>
          </w:p>
        </w:tc>
        <w:tc>
          <w:tcPr>
            <w:tcW w:w="4536" w:type="dxa"/>
            <w:noWrap/>
            <w:hideMark/>
          </w:tcPr>
          <w:p w14:paraId="59704060"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15 mg</w:t>
            </w:r>
          </w:p>
        </w:tc>
      </w:tr>
      <w:tr w:rsidR="00B33039" w:rsidRPr="003C476D" w14:paraId="6325F19B" w14:textId="77777777" w:rsidTr="00552183">
        <w:trPr>
          <w:trHeight w:val="113"/>
        </w:trPr>
        <w:tc>
          <w:tcPr>
            <w:tcW w:w="1696" w:type="dxa"/>
            <w:noWrap/>
            <w:hideMark/>
          </w:tcPr>
          <w:p w14:paraId="567CD3FB" w14:textId="77777777" w:rsidR="00B33039" w:rsidRPr="003C476D" w:rsidRDefault="00B33039" w:rsidP="008E2607">
            <w:pPr>
              <w:rPr>
                <w:rFonts w:eastAsia="Times New Roman" w:cstheme="minorHAnsi"/>
                <w:color w:val="000000"/>
                <w:sz w:val="18"/>
                <w:szCs w:val="18"/>
              </w:rPr>
            </w:pPr>
          </w:p>
        </w:tc>
        <w:tc>
          <w:tcPr>
            <w:tcW w:w="1276" w:type="dxa"/>
            <w:noWrap/>
            <w:hideMark/>
          </w:tcPr>
          <w:p w14:paraId="0DDD23DF" w14:textId="77777777" w:rsidR="00B33039" w:rsidRPr="002A235E" w:rsidRDefault="00B33039" w:rsidP="008E2607">
            <w:pPr>
              <w:rPr>
                <w:rFonts w:eastAsia="Times New Roman" w:cstheme="minorHAnsi"/>
                <w:sz w:val="18"/>
                <w:szCs w:val="18"/>
              </w:rPr>
            </w:pPr>
          </w:p>
        </w:tc>
        <w:tc>
          <w:tcPr>
            <w:tcW w:w="992" w:type="dxa"/>
            <w:noWrap/>
            <w:hideMark/>
          </w:tcPr>
          <w:p w14:paraId="77B5D3C3"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09331D</w:t>
            </w:r>
          </w:p>
        </w:tc>
        <w:tc>
          <w:tcPr>
            <w:tcW w:w="4536" w:type="dxa"/>
            <w:noWrap/>
            <w:hideMark/>
          </w:tcPr>
          <w:p w14:paraId="1589D10F"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15 mg (orally disintegrating)</w:t>
            </w:r>
          </w:p>
        </w:tc>
      </w:tr>
      <w:tr w:rsidR="00B33039" w:rsidRPr="003C476D" w14:paraId="163A08D7" w14:textId="77777777" w:rsidTr="00552183">
        <w:trPr>
          <w:trHeight w:val="113"/>
        </w:trPr>
        <w:tc>
          <w:tcPr>
            <w:tcW w:w="1696" w:type="dxa"/>
            <w:noWrap/>
            <w:hideMark/>
          </w:tcPr>
          <w:p w14:paraId="41B2BA40" w14:textId="77777777" w:rsidR="00B33039" w:rsidRPr="003C476D" w:rsidRDefault="00B33039" w:rsidP="008E2607">
            <w:pPr>
              <w:rPr>
                <w:rFonts w:eastAsia="Times New Roman" w:cstheme="minorHAnsi"/>
                <w:color w:val="000000"/>
                <w:sz w:val="18"/>
                <w:szCs w:val="18"/>
              </w:rPr>
            </w:pPr>
          </w:p>
        </w:tc>
        <w:tc>
          <w:tcPr>
            <w:tcW w:w="1276" w:type="dxa"/>
            <w:noWrap/>
            <w:hideMark/>
          </w:tcPr>
          <w:p w14:paraId="009FF528" w14:textId="77777777" w:rsidR="00B33039" w:rsidRPr="002A235E" w:rsidRDefault="00B33039" w:rsidP="008E2607">
            <w:pPr>
              <w:rPr>
                <w:rFonts w:eastAsia="Times New Roman" w:cstheme="minorHAnsi"/>
                <w:color w:val="000000"/>
                <w:sz w:val="18"/>
                <w:szCs w:val="18"/>
              </w:rPr>
            </w:pPr>
            <w:r w:rsidRPr="002A235E">
              <w:rPr>
                <w:rFonts w:eastAsia="Times New Roman" w:cstheme="minorHAnsi"/>
                <w:color w:val="000000"/>
                <w:sz w:val="18"/>
                <w:szCs w:val="18"/>
              </w:rPr>
              <w:t>Standard dose</w:t>
            </w:r>
          </w:p>
        </w:tc>
        <w:tc>
          <w:tcPr>
            <w:tcW w:w="992" w:type="dxa"/>
            <w:noWrap/>
            <w:hideMark/>
          </w:tcPr>
          <w:p w14:paraId="138CB316"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02240X</w:t>
            </w:r>
          </w:p>
        </w:tc>
        <w:tc>
          <w:tcPr>
            <w:tcW w:w="4536" w:type="dxa"/>
            <w:noWrap/>
            <w:hideMark/>
          </w:tcPr>
          <w:p w14:paraId="17BF0546"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30 mg</w:t>
            </w:r>
          </w:p>
        </w:tc>
      </w:tr>
      <w:tr w:rsidR="00B33039" w:rsidRPr="003C476D" w14:paraId="2FF610C3" w14:textId="77777777" w:rsidTr="00552183">
        <w:trPr>
          <w:trHeight w:val="113"/>
        </w:trPr>
        <w:tc>
          <w:tcPr>
            <w:tcW w:w="1696" w:type="dxa"/>
            <w:noWrap/>
            <w:hideMark/>
          </w:tcPr>
          <w:p w14:paraId="4B71D6FD" w14:textId="77777777" w:rsidR="00B33039" w:rsidRPr="003C476D" w:rsidRDefault="00B33039" w:rsidP="008E2607">
            <w:pPr>
              <w:rPr>
                <w:rFonts w:eastAsia="Times New Roman" w:cstheme="minorHAnsi"/>
                <w:color w:val="000000"/>
                <w:sz w:val="18"/>
                <w:szCs w:val="18"/>
              </w:rPr>
            </w:pPr>
          </w:p>
        </w:tc>
        <w:tc>
          <w:tcPr>
            <w:tcW w:w="1276" w:type="dxa"/>
            <w:noWrap/>
            <w:hideMark/>
          </w:tcPr>
          <w:p w14:paraId="695196EA" w14:textId="77777777" w:rsidR="00B33039" w:rsidRPr="002A235E" w:rsidRDefault="00B33039" w:rsidP="008E2607">
            <w:pPr>
              <w:rPr>
                <w:rFonts w:eastAsia="Times New Roman" w:cstheme="minorHAnsi"/>
                <w:sz w:val="18"/>
                <w:szCs w:val="18"/>
              </w:rPr>
            </w:pPr>
          </w:p>
        </w:tc>
        <w:tc>
          <w:tcPr>
            <w:tcW w:w="992" w:type="dxa"/>
            <w:noWrap/>
            <w:hideMark/>
          </w:tcPr>
          <w:p w14:paraId="7A177FD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02241Y</w:t>
            </w:r>
          </w:p>
        </w:tc>
        <w:tc>
          <w:tcPr>
            <w:tcW w:w="4536" w:type="dxa"/>
            <w:noWrap/>
            <w:hideMark/>
          </w:tcPr>
          <w:p w14:paraId="729096CC"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30 mg</w:t>
            </w:r>
          </w:p>
        </w:tc>
      </w:tr>
      <w:tr w:rsidR="00B33039" w:rsidRPr="003C476D" w14:paraId="178D17C0" w14:textId="77777777" w:rsidTr="00552183">
        <w:trPr>
          <w:trHeight w:val="113"/>
        </w:trPr>
        <w:tc>
          <w:tcPr>
            <w:tcW w:w="1696" w:type="dxa"/>
            <w:noWrap/>
            <w:hideMark/>
          </w:tcPr>
          <w:p w14:paraId="0DEDDE09" w14:textId="77777777" w:rsidR="00B33039" w:rsidRPr="003C476D" w:rsidRDefault="00B33039" w:rsidP="008E2607">
            <w:pPr>
              <w:rPr>
                <w:rFonts w:eastAsia="Times New Roman" w:cstheme="minorHAnsi"/>
                <w:color w:val="000000"/>
                <w:sz w:val="18"/>
                <w:szCs w:val="18"/>
              </w:rPr>
            </w:pPr>
          </w:p>
        </w:tc>
        <w:tc>
          <w:tcPr>
            <w:tcW w:w="1276" w:type="dxa"/>
            <w:noWrap/>
            <w:hideMark/>
          </w:tcPr>
          <w:p w14:paraId="796BC6E6" w14:textId="77777777" w:rsidR="00B33039" w:rsidRPr="002A235E" w:rsidRDefault="00B33039" w:rsidP="008E2607">
            <w:pPr>
              <w:rPr>
                <w:rFonts w:eastAsia="Times New Roman" w:cstheme="minorHAnsi"/>
                <w:sz w:val="18"/>
                <w:szCs w:val="18"/>
              </w:rPr>
            </w:pPr>
          </w:p>
        </w:tc>
        <w:tc>
          <w:tcPr>
            <w:tcW w:w="992" w:type="dxa"/>
            <w:noWrap/>
            <w:hideMark/>
          </w:tcPr>
          <w:p w14:paraId="36BA5845"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09477T</w:t>
            </w:r>
          </w:p>
        </w:tc>
        <w:tc>
          <w:tcPr>
            <w:tcW w:w="4536" w:type="dxa"/>
            <w:noWrap/>
            <w:hideMark/>
          </w:tcPr>
          <w:p w14:paraId="25D92C81"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30 mg (orally disintegrating)</w:t>
            </w:r>
          </w:p>
        </w:tc>
      </w:tr>
      <w:tr w:rsidR="00B33039" w:rsidRPr="003C476D" w14:paraId="03B36E44" w14:textId="77777777" w:rsidTr="00552183">
        <w:trPr>
          <w:trHeight w:val="113"/>
        </w:trPr>
        <w:tc>
          <w:tcPr>
            <w:tcW w:w="1696" w:type="dxa"/>
            <w:noWrap/>
            <w:hideMark/>
          </w:tcPr>
          <w:p w14:paraId="1AD4CDC9" w14:textId="77777777" w:rsidR="00B33039" w:rsidRPr="003C476D" w:rsidRDefault="00B33039" w:rsidP="008E2607">
            <w:pPr>
              <w:rPr>
                <w:rFonts w:eastAsia="Times New Roman" w:cstheme="minorHAnsi"/>
                <w:color w:val="000000"/>
                <w:sz w:val="18"/>
                <w:szCs w:val="18"/>
              </w:rPr>
            </w:pPr>
          </w:p>
        </w:tc>
        <w:tc>
          <w:tcPr>
            <w:tcW w:w="1276" w:type="dxa"/>
            <w:noWrap/>
            <w:hideMark/>
          </w:tcPr>
          <w:p w14:paraId="70E751DD" w14:textId="77777777" w:rsidR="00B33039" w:rsidRPr="002A235E" w:rsidRDefault="00B33039" w:rsidP="008E2607">
            <w:pPr>
              <w:rPr>
                <w:rFonts w:eastAsia="Times New Roman" w:cstheme="minorHAnsi"/>
                <w:sz w:val="18"/>
                <w:szCs w:val="18"/>
              </w:rPr>
            </w:pPr>
          </w:p>
        </w:tc>
        <w:tc>
          <w:tcPr>
            <w:tcW w:w="992" w:type="dxa"/>
            <w:noWrap/>
            <w:hideMark/>
          </w:tcPr>
          <w:p w14:paraId="753C6DD0"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09478W</w:t>
            </w:r>
          </w:p>
        </w:tc>
        <w:tc>
          <w:tcPr>
            <w:tcW w:w="4536" w:type="dxa"/>
            <w:noWrap/>
            <w:hideMark/>
          </w:tcPr>
          <w:p w14:paraId="2A4DBF5F"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30 mg (orally disintegrating)</w:t>
            </w:r>
          </w:p>
        </w:tc>
      </w:tr>
      <w:tr w:rsidR="00B33039" w:rsidRPr="003C476D" w14:paraId="11AEB740" w14:textId="77777777" w:rsidTr="00552183">
        <w:trPr>
          <w:trHeight w:val="113"/>
        </w:trPr>
        <w:tc>
          <w:tcPr>
            <w:tcW w:w="1696" w:type="dxa"/>
            <w:noWrap/>
            <w:hideMark/>
          </w:tcPr>
          <w:p w14:paraId="1599D683" w14:textId="77777777" w:rsidR="00B33039" w:rsidRPr="003C476D" w:rsidRDefault="00B33039" w:rsidP="008E2607">
            <w:pPr>
              <w:rPr>
                <w:rFonts w:eastAsia="Times New Roman" w:cstheme="minorHAnsi"/>
                <w:color w:val="000000"/>
                <w:sz w:val="18"/>
                <w:szCs w:val="18"/>
              </w:rPr>
            </w:pPr>
          </w:p>
        </w:tc>
        <w:tc>
          <w:tcPr>
            <w:tcW w:w="1276" w:type="dxa"/>
            <w:noWrap/>
            <w:hideMark/>
          </w:tcPr>
          <w:p w14:paraId="49C70EB8" w14:textId="77777777" w:rsidR="00B33039" w:rsidRPr="002A235E" w:rsidRDefault="00B33039" w:rsidP="008E2607">
            <w:pPr>
              <w:rPr>
                <w:rFonts w:eastAsia="Times New Roman" w:cstheme="minorHAnsi"/>
                <w:sz w:val="18"/>
                <w:szCs w:val="18"/>
              </w:rPr>
            </w:pPr>
          </w:p>
        </w:tc>
        <w:tc>
          <w:tcPr>
            <w:tcW w:w="992" w:type="dxa"/>
            <w:noWrap/>
            <w:hideMark/>
          </w:tcPr>
          <w:p w14:paraId="748C8C58"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11669E</w:t>
            </w:r>
          </w:p>
        </w:tc>
        <w:tc>
          <w:tcPr>
            <w:tcW w:w="4536" w:type="dxa"/>
            <w:noWrap/>
            <w:hideMark/>
          </w:tcPr>
          <w:p w14:paraId="4EF11490"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30 mg</w:t>
            </w:r>
          </w:p>
        </w:tc>
      </w:tr>
      <w:tr w:rsidR="00B33039" w:rsidRPr="003C476D" w14:paraId="2DDDB6A4" w14:textId="77777777" w:rsidTr="00552183">
        <w:trPr>
          <w:trHeight w:val="113"/>
        </w:trPr>
        <w:tc>
          <w:tcPr>
            <w:tcW w:w="1696" w:type="dxa"/>
            <w:noWrap/>
            <w:hideMark/>
          </w:tcPr>
          <w:p w14:paraId="76B8CB0B" w14:textId="77777777" w:rsidR="00B33039" w:rsidRPr="003C476D" w:rsidRDefault="00B33039" w:rsidP="008E2607">
            <w:pPr>
              <w:rPr>
                <w:rFonts w:eastAsia="Times New Roman" w:cstheme="minorHAnsi"/>
                <w:color w:val="000000"/>
                <w:sz w:val="18"/>
                <w:szCs w:val="18"/>
              </w:rPr>
            </w:pPr>
          </w:p>
        </w:tc>
        <w:tc>
          <w:tcPr>
            <w:tcW w:w="1276" w:type="dxa"/>
            <w:noWrap/>
            <w:hideMark/>
          </w:tcPr>
          <w:p w14:paraId="2A525910" w14:textId="77777777" w:rsidR="00B33039" w:rsidRPr="002A235E" w:rsidRDefault="00B33039" w:rsidP="008E2607">
            <w:pPr>
              <w:rPr>
                <w:rFonts w:eastAsia="Times New Roman" w:cstheme="minorHAnsi"/>
                <w:sz w:val="18"/>
                <w:szCs w:val="18"/>
              </w:rPr>
            </w:pPr>
          </w:p>
        </w:tc>
        <w:tc>
          <w:tcPr>
            <w:tcW w:w="992" w:type="dxa"/>
            <w:noWrap/>
            <w:hideMark/>
          </w:tcPr>
          <w:p w14:paraId="342F7C3A"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11697P</w:t>
            </w:r>
          </w:p>
        </w:tc>
        <w:tc>
          <w:tcPr>
            <w:tcW w:w="4536" w:type="dxa"/>
            <w:noWrap/>
            <w:hideMark/>
          </w:tcPr>
          <w:p w14:paraId="1CBD8681"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30 mg (orally disintegrating)</w:t>
            </w:r>
          </w:p>
        </w:tc>
      </w:tr>
      <w:tr w:rsidR="00B33039" w:rsidRPr="003C476D" w14:paraId="4D40B32C" w14:textId="77777777" w:rsidTr="00552183">
        <w:trPr>
          <w:trHeight w:val="113"/>
        </w:trPr>
        <w:tc>
          <w:tcPr>
            <w:tcW w:w="1696" w:type="dxa"/>
            <w:noWrap/>
            <w:hideMark/>
          </w:tcPr>
          <w:p w14:paraId="2DB478C3" w14:textId="77777777" w:rsidR="00B33039" w:rsidRPr="003C476D" w:rsidRDefault="00B33039" w:rsidP="008E2607">
            <w:pPr>
              <w:rPr>
                <w:rFonts w:eastAsia="Times New Roman" w:cstheme="minorHAnsi"/>
                <w:color w:val="000000"/>
                <w:sz w:val="18"/>
                <w:szCs w:val="18"/>
              </w:rPr>
            </w:pPr>
            <w:r>
              <w:rPr>
                <w:rFonts w:eastAsia="Times New Roman" w:cstheme="minorHAnsi"/>
                <w:sz w:val="18"/>
                <w:szCs w:val="18"/>
              </w:rPr>
              <w:t>Twice daily for Complex GORD</w:t>
            </w:r>
          </w:p>
        </w:tc>
        <w:tc>
          <w:tcPr>
            <w:tcW w:w="1276" w:type="dxa"/>
            <w:noWrap/>
            <w:hideMark/>
          </w:tcPr>
          <w:p w14:paraId="7F8999BE" w14:textId="77777777" w:rsidR="00B33039" w:rsidRPr="002A235E" w:rsidRDefault="00B33039" w:rsidP="008E2607">
            <w:pPr>
              <w:rPr>
                <w:rFonts w:eastAsia="Times New Roman" w:cstheme="minorHAnsi"/>
                <w:sz w:val="18"/>
                <w:szCs w:val="18"/>
              </w:rPr>
            </w:pPr>
            <w:r w:rsidRPr="002A235E">
              <w:rPr>
                <w:rFonts w:eastAsia="Times New Roman" w:cstheme="minorHAnsi"/>
                <w:sz w:val="18"/>
                <w:szCs w:val="18"/>
              </w:rPr>
              <w:t>High dose</w:t>
            </w:r>
          </w:p>
        </w:tc>
        <w:tc>
          <w:tcPr>
            <w:tcW w:w="992" w:type="dxa"/>
            <w:noWrap/>
            <w:hideMark/>
          </w:tcPr>
          <w:p w14:paraId="5CDC041C"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12276D</w:t>
            </w:r>
          </w:p>
        </w:tc>
        <w:tc>
          <w:tcPr>
            <w:tcW w:w="4536" w:type="dxa"/>
            <w:noWrap/>
            <w:hideMark/>
          </w:tcPr>
          <w:p w14:paraId="7F968A33"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30 mg (orally disintegrating)</w:t>
            </w:r>
          </w:p>
        </w:tc>
      </w:tr>
      <w:tr w:rsidR="00B33039" w:rsidRPr="003C476D" w14:paraId="3F5EBC48" w14:textId="77777777" w:rsidTr="00552183">
        <w:trPr>
          <w:trHeight w:val="113"/>
        </w:trPr>
        <w:tc>
          <w:tcPr>
            <w:tcW w:w="1696" w:type="dxa"/>
            <w:noWrap/>
            <w:hideMark/>
          </w:tcPr>
          <w:p w14:paraId="46268782" w14:textId="77777777" w:rsidR="00B33039" w:rsidRPr="003C476D" w:rsidRDefault="00B33039" w:rsidP="008E2607">
            <w:pPr>
              <w:rPr>
                <w:rFonts w:eastAsia="Times New Roman" w:cstheme="minorHAnsi"/>
                <w:color w:val="000000"/>
                <w:sz w:val="18"/>
                <w:szCs w:val="18"/>
              </w:rPr>
            </w:pPr>
          </w:p>
        </w:tc>
        <w:tc>
          <w:tcPr>
            <w:tcW w:w="1276" w:type="dxa"/>
            <w:noWrap/>
            <w:hideMark/>
          </w:tcPr>
          <w:p w14:paraId="4F296EFA" w14:textId="77777777" w:rsidR="00B33039" w:rsidRPr="002A235E" w:rsidRDefault="00B33039" w:rsidP="008E2607">
            <w:pPr>
              <w:rPr>
                <w:rFonts w:eastAsia="Times New Roman" w:cstheme="minorHAnsi"/>
                <w:sz w:val="18"/>
                <w:szCs w:val="18"/>
              </w:rPr>
            </w:pPr>
          </w:p>
        </w:tc>
        <w:tc>
          <w:tcPr>
            <w:tcW w:w="992" w:type="dxa"/>
            <w:noWrap/>
            <w:hideMark/>
          </w:tcPr>
          <w:p w14:paraId="0393441E"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12284M</w:t>
            </w:r>
          </w:p>
        </w:tc>
        <w:tc>
          <w:tcPr>
            <w:tcW w:w="4536" w:type="dxa"/>
            <w:noWrap/>
            <w:hideMark/>
          </w:tcPr>
          <w:p w14:paraId="43A8D777"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30 mg</w:t>
            </w:r>
          </w:p>
        </w:tc>
      </w:tr>
      <w:tr w:rsidR="00B33039" w:rsidRPr="003C476D" w14:paraId="053E28E3" w14:textId="77777777" w:rsidTr="00552183">
        <w:trPr>
          <w:trHeight w:val="113"/>
        </w:trPr>
        <w:tc>
          <w:tcPr>
            <w:tcW w:w="1696" w:type="dxa"/>
            <w:noWrap/>
            <w:hideMark/>
          </w:tcPr>
          <w:p w14:paraId="3069FE02" w14:textId="77777777" w:rsidR="00B33039" w:rsidRPr="003C476D" w:rsidRDefault="00B33039" w:rsidP="008E2607">
            <w:pPr>
              <w:rPr>
                <w:rFonts w:eastAsia="Times New Roman" w:cstheme="minorHAnsi"/>
                <w:b/>
                <w:bCs/>
                <w:color w:val="000000"/>
                <w:sz w:val="18"/>
                <w:szCs w:val="18"/>
              </w:rPr>
            </w:pPr>
            <w:r w:rsidRPr="003C476D">
              <w:rPr>
                <w:rFonts w:eastAsia="Times New Roman" w:cstheme="minorHAnsi"/>
                <w:b/>
                <w:bCs/>
                <w:color w:val="000000"/>
                <w:sz w:val="18"/>
                <w:szCs w:val="18"/>
              </w:rPr>
              <w:t>OMEPRAZOLE</w:t>
            </w:r>
          </w:p>
        </w:tc>
        <w:tc>
          <w:tcPr>
            <w:tcW w:w="1276" w:type="dxa"/>
            <w:noWrap/>
            <w:hideMark/>
          </w:tcPr>
          <w:p w14:paraId="6D42631F" w14:textId="77777777" w:rsidR="00B33039" w:rsidRPr="002A235E" w:rsidRDefault="00B33039" w:rsidP="008E2607">
            <w:pPr>
              <w:rPr>
                <w:rFonts w:eastAsia="Times New Roman" w:cstheme="minorHAnsi"/>
                <w:color w:val="000000"/>
                <w:sz w:val="18"/>
                <w:szCs w:val="18"/>
              </w:rPr>
            </w:pPr>
            <w:r w:rsidRPr="002A235E">
              <w:rPr>
                <w:rFonts w:eastAsia="Times New Roman" w:cstheme="minorHAnsi"/>
                <w:color w:val="000000"/>
                <w:sz w:val="18"/>
                <w:szCs w:val="18"/>
              </w:rPr>
              <w:t>Low dose</w:t>
            </w:r>
          </w:p>
        </w:tc>
        <w:tc>
          <w:tcPr>
            <w:tcW w:w="992" w:type="dxa"/>
            <w:noWrap/>
            <w:hideMark/>
          </w:tcPr>
          <w:p w14:paraId="26E198A5"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08332M</w:t>
            </w:r>
          </w:p>
        </w:tc>
        <w:tc>
          <w:tcPr>
            <w:tcW w:w="4536" w:type="dxa"/>
            <w:noWrap/>
            <w:hideMark/>
          </w:tcPr>
          <w:p w14:paraId="37A9B980"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10 mg (as magnesium)</w:t>
            </w:r>
          </w:p>
        </w:tc>
      </w:tr>
      <w:tr w:rsidR="00B33039" w:rsidRPr="003C476D" w14:paraId="001B4918" w14:textId="77777777" w:rsidTr="00552183">
        <w:trPr>
          <w:trHeight w:val="113"/>
        </w:trPr>
        <w:tc>
          <w:tcPr>
            <w:tcW w:w="1696" w:type="dxa"/>
            <w:noWrap/>
            <w:hideMark/>
          </w:tcPr>
          <w:p w14:paraId="3CB34795" w14:textId="77777777" w:rsidR="00B33039" w:rsidRPr="003C476D" w:rsidRDefault="00B33039" w:rsidP="008E2607">
            <w:pPr>
              <w:rPr>
                <w:rFonts w:eastAsia="Times New Roman" w:cstheme="minorHAnsi"/>
                <w:color w:val="000000"/>
                <w:sz w:val="18"/>
                <w:szCs w:val="18"/>
              </w:rPr>
            </w:pPr>
          </w:p>
        </w:tc>
        <w:tc>
          <w:tcPr>
            <w:tcW w:w="1276" w:type="dxa"/>
            <w:noWrap/>
            <w:hideMark/>
          </w:tcPr>
          <w:p w14:paraId="44CE0508" w14:textId="77777777" w:rsidR="00B33039" w:rsidRPr="002A235E" w:rsidRDefault="00B33039" w:rsidP="008E2607">
            <w:pPr>
              <w:rPr>
                <w:rFonts w:eastAsia="Times New Roman" w:cstheme="minorHAnsi"/>
                <w:color w:val="000000"/>
                <w:sz w:val="18"/>
                <w:szCs w:val="18"/>
              </w:rPr>
            </w:pPr>
            <w:r w:rsidRPr="002A235E">
              <w:rPr>
                <w:rFonts w:eastAsia="Times New Roman" w:cstheme="minorHAnsi"/>
                <w:color w:val="000000"/>
                <w:sz w:val="18"/>
                <w:szCs w:val="18"/>
              </w:rPr>
              <w:t>Standard dose</w:t>
            </w:r>
          </w:p>
        </w:tc>
        <w:tc>
          <w:tcPr>
            <w:tcW w:w="992" w:type="dxa"/>
            <w:noWrap/>
            <w:hideMark/>
          </w:tcPr>
          <w:p w14:paraId="2EA3DEF2"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01326T</w:t>
            </w:r>
          </w:p>
        </w:tc>
        <w:tc>
          <w:tcPr>
            <w:tcW w:w="4536" w:type="dxa"/>
            <w:noWrap/>
            <w:hideMark/>
          </w:tcPr>
          <w:p w14:paraId="5FACB7FD"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20 mg</w:t>
            </w:r>
          </w:p>
        </w:tc>
      </w:tr>
      <w:tr w:rsidR="00B33039" w:rsidRPr="003C476D" w14:paraId="1B1988DA" w14:textId="77777777" w:rsidTr="00552183">
        <w:trPr>
          <w:trHeight w:val="113"/>
        </w:trPr>
        <w:tc>
          <w:tcPr>
            <w:tcW w:w="1696" w:type="dxa"/>
            <w:noWrap/>
            <w:hideMark/>
          </w:tcPr>
          <w:p w14:paraId="31CFCB93" w14:textId="77777777" w:rsidR="00B33039" w:rsidRPr="003C476D" w:rsidRDefault="00B33039" w:rsidP="008E2607">
            <w:pPr>
              <w:rPr>
                <w:rFonts w:eastAsia="Times New Roman" w:cstheme="minorHAnsi"/>
                <w:color w:val="000000"/>
                <w:sz w:val="18"/>
                <w:szCs w:val="18"/>
              </w:rPr>
            </w:pPr>
          </w:p>
        </w:tc>
        <w:tc>
          <w:tcPr>
            <w:tcW w:w="1276" w:type="dxa"/>
            <w:noWrap/>
            <w:hideMark/>
          </w:tcPr>
          <w:p w14:paraId="0BC1A68A" w14:textId="77777777" w:rsidR="00B33039" w:rsidRPr="002A235E" w:rsidRDefault="00B33039" w:rsidP="008E2607">
            <w:pPr>
              <w:rPr>
                <w:rFonts w:eastAsia="Times New Roman" w:cstheme="minorHAnsi"/>
                <w:sz w:val="18"/>
                <w:szCs w:val="18"/>
              </w:rPr>
            </w:pPr>
          </w:p>
        </w:tc>
        <w:tc>
          <w:tcPr>
            <w:tcW w:w="992" w:type="dxa"/>
            <w:noWrap/>
            <w:hideMark/>
          </w:tcPr>
          <w:p w14:paraId="1F1EBFB8"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01327W</w:t>
            </w:r>
          </w:p>
        </w:tc>
        <w:tc>
          <w:tcPr>
            <w:tcW w:w="4536" w:type="dxa"/>
            <w:noWrap/>
            <w:hideMark/>
          </w:tcPr>
          <w:p w14:paraId="79ADC98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20 mg</w:t>
            </w:r>
          </w:p>
        </w:tc>
      </w:tr>
      <w:tr w:rsidR="00B33039" w:rsidRPr="003C476D" w14:paraId="33CFF3AC" w14:textId="77777777" w:rsidTr="00552183">
        <w:trPr>
          <w:trHeight w:val="113"/>
        </w:trPr>
        <w:tc>
          <w:tcPr>
            <w:tcW w:w="1696" w:type="dxa"/>
            <w:noWrap/>
            <w:hideMark/>
          </w:tcPr>
          <w:p w14:paraId="3DA3E53E" w14:textId="77777777" w:rsidR="00B33039" w:rsidRPr="003C476D" w:rsidRDefault="00B33039" w:rsidP="008E2607">
            <w:pPr>
              <w:rPr>
                <w:rFonts w:eastAsia="Times New Roman" w:cstheme="minorHAnsi"/>
                <w:color w:val="000000"/>
                <w:sz w:val="18"/>
                <w:szCs w:val="18"/>
              </w:rPr>
            </w:pPr>
          </w:p>
        </w:tc>
        <w:tc>
          <w:tcPr>
            <w:tcW w:w="1276" w:type="dxa"/>
            <w:noWrap/>
            <w:hideMark/>
          </w:tcPr>
          <w:p w14:paraId="539E5164" w14:textId="77777777" w:rsidR="00B33039" w:rsidRPr="003C476D" w:rsidRDefault="00B33039" w:rsidP="008E2607">
            <w:pPr>
              <w:rPr>
                <w:rFonts w:eastAsia="Times New Roman" w:cstheme="minorHAnsi"/>
                <w:sz w:val="18"/>
                <w:szCs w:val="18"/>
              </w:rPr>
            </w:pPr>
          </w:p>
        </w:tc>
        <w:tc>
          <w:tcPr>
            <w:tcW w:w="992" w:type="dxa"/>
            <w:noWrap/>
            <w:hideMark/>
          </w:tcPr>
          <w:p w14:paraId="7BA5494F"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08331L</w:t>
            </w:r>
          </w:p>
        </w:tc>
        <w:tc>
          <w:tcPr>
            <w:tcW w:w="4536" w:type="dxa"/>
            <w:noWrap/>
            <w:hideMark/>
          </w:tcPr>
          <w:p w14:paraId="0EFA4FB1"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20 mg</w:t>
            </w:r>
          </w:p>
        </w:tc>
      </w:tr>
      <w:tr w:rsidR="00B33039" w:rsidRPr="003C476D" w14:paraId="01BE58B5" w14:textId="77777777" w:rsidTr="00552183">
        <w:trPr>
          <w:trHeight w:val="113"/>
        </w:trPr>
        <w:tc>
          <w:tcPr>
            <w:tcW w:w="1696" w:type="dxa"/>
            <w:noWrap/>
            <w:hideMark/>
          </w:tcPr>
          <w:p w14:paraId="4BC3D411" w14:textId="77777777" w:rsidR="00B33039" w:rsidRPr="003C476D" w:rsidRDefault="00B33039" w:rsidP="008E2607">
            <w:pPr>
              <w:rPr>
                <w:rFonts w:eastAsia="Times New Roman" w:cstheme="minorHAnsi"/>
                <w:color w:val="000000"/>
                <w:sz w:val="18"/>
                <w:szCs w:val="18"/>
              </w:rPr>
            </w:pPr>
          </w:p>
        </w:tc>
        <w:tc>
          <w:tcPr>
            <w:tcW w:w="1276" w:type="dxa"/>
            <w:noWrap/>
            <w:hideMark/>
          </w:tcPr>
          <w:p w14:paraId="32AB6E10" w14:textId="77777777" w:rsidR="00B33039" w:rsidRPr="003C476D" w:rsidRDefault="00B33039" w:rsidP="008E2607">
            <w:pPr>
              <w:rPr>
                <w:rFonts w:eastAsia="Times New Roman" w:cstheme="minorHAnsi"/>
                <w:sz w:val="18"/>
                <w:szCs w:val="18"/>
              </w:rPr>
            </w:pPr>
          </w:p>
        </w:tc>
        <w:tc>
          <w:tcPr>
            <w:tcW w:w="992" w:type="dxa"/>
            <w:noWrap/>
            <w:hideMark/>
          </w:tcPr>
          <w:p w14:paraId="75AA2623"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08333N</w:t>
            </w:r>
          </w:p>
        </w:tc>
        <w:tc>
          <w:tcPr>
            <w:tcW w:w="4536" w:type="dxa"/>
            <w:noWrap/>
            <w:hideMark/>
          </w:tcPr>
          <w:p w14:paraId="1B86141D"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20 mg</w:t>
            </w:r>
          </w:p>
        </w:tc>
      </w:tr>
      <w:tr w:rsidR="00B33039" w:rsidRPr="003C476D" w14:paraId="6F22693B" w14:textId="77777777" w:rsidTr="00552183">
        <w:trPr>
          <w:trHeight w:val="113"/>
        </w:trPr>
        <w:tc>
          <w:tcPr>
            <w:tcW w:w="1696" w:type="dxa"/>
            <w:noWrap/>
            <w:hideMark/>
          </w:tcPr>
          <w:p w14:paraId="7E5DC5C2" w14:textId="77777777" w:rsidR="00B33039" w:rsidRPr="003C476D" w:rsidRDefault="00B33039" w:rsidP="008E2607">
            <w:pPr>
              <w:rPr>
                <w:rFonts w:eastAsia="Times New Roman" w:cstheme="minorHAnsi"/>
                <w:color w:val="000000"/>
                <w:sz w:val="18"/>
                <w:szCs w:val="18"/>
              </w:rPr>
            </w:pPr>
          </w:p>
        </w:tc>
        <w:tc>
          <w:tcPr>
            <w:tcW w:w="1276" w:type="dxa"/>
            <w:noWrap/>
            <w:hideMark/>
          </w:tcPr>
          <w:p w14:paraId="6E78918C" w14:textId="77777777" w:rsidR="00B33039" w:rsidRPr="003C476D" w:rsidRDefault="00B33039" w:rsidP="008E2607">
            <w:pPr>
              <w:rPr>
                <w:rFonts w:eastAsia="Times New Roman" w:cstheme="minorHAnsi"/>
                <w:sz w:val="18"/>
                <w:szCs w:val="18"/>
              </w:rPr>
            </w:pPr>
          </w:p>
        </w:tc>
        <w:tc>
          <w:tcPr>
            <w:tcW w:w="992" w:type="dxa"/>
            <w:noWrap/>
            <w:hideMark/>
          </w:tcPr>
          <w:p w14:paraId="2274922F"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09109K</w:t>
            </w:r>
          </w:p>
        </w:tc>
        <w:tc>
          <w:tcPr>
            <w:tcW w:w="4536" w:type="dxa"/>
            <w:noWrap/>
            <w:hideMark/>
          </w:tcPr>
          <w:p w14:paraId="6D18E552"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20 mg (as magnesium)</w:t>
            </w:r>
          </w:p>
        </w:tc>
      </w:tr>
      <w:tr w:rsidR="00B33039" w:rsidRPr="003C476D" w14:paraId="33206845" w14:textId="77777777" w:rsidTr="00552183">
        <w:trPr>
          <w:trHeight w:val="113"/>
        </w:trPr>
        <w:tc>
          <w:tcPr>
            <w:tcW w:w="1696" w:type="dxa"/>
            <w:noWrap/>
            <w:hideMark/>
          </w:tcPr>
          <w:p w14:paraId="162BF2C0" w14:textId="77777777" w:rsidR="00B33039" w:rsidRPr="003C476D" w:rsidRDefault="00B33039" w:rsidP="008E2607">
            <w:pPr>
              <w:rPr>
                <w:rFonts w:eastAsia="Times New Roman" w:cstheme="minorHAnsi"/>
                <w:color w:val="000000"/>
                <w:sz w:val="18"/>
                <w:szCs w:val="18"/>
              </w:rPr>
            </w:pPr>
          </w:p>
        </w:tc>
        <w:tc>
          <w:tcPr>
            <w:tcW w:w="1276" w:type="dxa"/>
            <w:noWrap/>
            <w:hideMark/>
          </w:tcPr>
          <w:p w14:paraId="2F0C5C09" w14:textId="77777777" w:rsidR="00B33039" w:rsidRPr="003C476D" w:rsidRDefault="00B33039" w:rsidP="008E2607">
            <w:pPr>
              <w:rPr>
                <w:rFonts w:eastAsia="Times New Roman" w:cstheme="minorHAnsi"/>
                <w:sz w:val="18"/>
                <w:szCs w:val="18"/>
              </w:rPr>
            </w:pPr>
          </w:p>
        </w:tc>
        <w:tc>
          <w:tcPr>
            <w:tcW w:w="992" w:type="dxa"/>
            <w:noWrap/>
            <w:hideMark/>
          </w:tcPr>
          <w:p w14:paraId="0833862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09110L</w:t>
            </w:r>
          </w:p>
        </w:tc>
        <w:tc>
          <w:tcPr>
            <w:tcW w:w="4536" w:type="dxa"/>
            <w:noWrap/>
            <w:hideMark/>
          </w:tcPr>
          <w:p w14:paraId="3BAE91E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20 mg (as magnesium)</w:t>
            </w:r>
          </w:p>
        </w:tc>
      </w:tr>
      <w:tr w:rsidR="00B33039" w:rsidRPr="003C476D" w14:paraId="376EC33E" w14:textId="77777777" w:rsidTr="00552183">
        <w:trPr>
          <w:trHeight w:val="113"/>
        </w:trPr>
        <w:tc>
          <w:tcPr>
            <w:tcW w:w="1696" w:type="dxa"/>
            <w:noWrap/>
            <w:hideMark/>
          </w:tcPr>
          <w:p w14:paraId="7D4CE39F" w14:textId="77777777" w:rsidR="00B33039" w:rsidRPr="003C476D" w:rsidRDefault="00B33039" w:rsidP="008E2607">
            <w:pPr>
              <w:rPr>
                <w:rFonts w:eastAsia="Times New Roman" w:cstheme="minorHAnsi"/>
                <w:color w:val="000000"/>
                <w:sz w:val="18"/>
                <w:szCs w:val="18"/>
              </w:rPr>
            </w:pPr>
          </w:p>
        </w:tc>
        <w:tc>
          <w:tcPr>
            <w:tcW w:w="1276" w:type="dxa"/>
            <w:noWrap/>
            <w:hideMark/>
          </w:tcPr>
          <w:p w14:paraId="09C552AF" w14:textId="77777777" w:rsidR="00B33039" w:rsidRPr="003C476D" w:rsidRDefault="00B33039" w:rsidP="008E2607">
            <w:pPr>
              <w:rPr>
                <w:rFonts w:eastAsia="Times New Roman" w:cstheme="minorHAnsi"/>
                <w:sz w:val="18"/>
                <w:szCs w:val="18"/>
              </w:rPr>
            </w:pPr>
          </w:p>
        </w:tc>
        <w:tc>
          <w:tcPr>
            <w:tcW w:w="992" w:type="dxa"/>
            <w:noWrap/>
            <w:hideMark/>
          </w:tcPr>
          <w:p w14:paraId="7201CA3B"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11677N</w:t>
            </w:r>
          </w:p>
        </w:tc>
        <w:tc>
          <w:tcPr>
            <w:tcW w:w="4536" w:type="dxa"/>
            <w:noWrap/>
            <w:hideMark/>
          </w:tcPr>
          <w:p w14:paraId="49B81E4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20 mg (as magnesium)</w:t>
            </w:r>
          </w:p>
        </w:tc>
      </w:tr>
      <w:tr w:rsidR="00B33039" w:rsidRPr="003C476D" w14:paraId="778ABD99" w14:textId="77777777" w:rsidTr="00552183">
        <w:trPr>
          <w:trHeight w:val="113"/>
        </w:trPr>
        <w:tc>
          <w:tcPr>
            <w:tcW w:w="1696" w:type="dxa"/>
            <w:noWrap/>
            <w:hideMark/>
          </w:tcPr>
          <w:p w14:paraId="2F44EA81" w14:textId="77777777" w:rsidR="00B33039" w:rsidRPr="003C476D" w:rsidRDefault="00B33039" w:rsidP="008E2607">
            <w:pPr>
              <w:rPr>
                <w:rFonts w:eastAsia="Times New Roman" w:cstheme="minorHAnsi"/>
                <w:color w:val="000000"/>
                <w:sz w:val="18"/>
                <w:szCs w:val="18"/>
              </w:rPr>
            </w:pPr>
          </w:p>
        </w:tc>
        <w:tc>
          <w:tcPr>
            <w:tcW w:w="1276" w:type="dxa"/>
            <w:noWrap/>
            <w:hideMark/>
          </w:tcPr>
          <w:p w14:paraId="01E52D8F" w14:textId="77777777" w:rsidR="00B33039" w:rsidRPr="003C476D" w:rsidRDefault="00B33039" w:rsidP="008E2607">
            <w:pPr>
              <w:rPr>
                <w:rFonts w:eastAsia="Times New Roman" w:cstheme="minorHAnsi"/>
                <w:sz w:val="18"/>
                <w:szCs w:val="18"/>
              </w:rPr>
            </w:pPr>
          </w:p>
        </w:tc>
        <w:tc>
          <w:tcPr>
            <w:tcW w:w="992" w:type="dxa"/>
            <w:noWrap/>
            <w:hideMark/>
          </w:tcPr>
          <w:p w14:paraId="5011807E"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11682W</w:t>
            </w:r>
          </w:p>
        </w:tc>
        <w:tc>
          <w:tcPr>
            <w:tcW w:w="4536" w:type="dxa"/>
            <w:noWrap/>
            <w:hideMark/>
          </w:tcPr>
          <w:p w14:paraId="4A7B4ECC"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20 mg</w:t>
            </w:r>
          </w:p>
        </w:tc>
      </w:tr>
      <w:tr w:rsidR="00B33039" w:rsidRPr="003C476D" w14:paraId="0E3ECE66" w14:textId="77777777" w:rsidTr="00552183">
        <w:trPr>
          <w:trHeight w:val="113"/>
        </w:trPr>
        <w:tc>
          <w:tcPr>
            <w:tcW w:w="1696" w:type="dxa"/>
            <w:noWrap/>
            <w:hideMark/>
          </w:tcPr>
          <w:p w14:paraId="2098A074" w14:textId="77777777" w:rsidR="00B33039" w:rsidRPr="003C476D" w:rsidRDefault="00B33039" w:rsidP="008E2607">
            <w:pPr>
              <w:rPr>
                <w:rFonts w:eastAsia="Times New Roman" w:cstheme="minorHAnsi"/>
                <w:color w:val="000000"/>
                <w:sz w:val="18"/>
                <w:szCs w:val="18"/>
              </w:rPr>
            </w:pPr>
          </w:p>
        </w:tc>
        <w:tc>
          <w:tcPr>
            <w:tcW w:w="1276" w:type="dxa"/>
            <w:noWrap/>
            <w:hideMark/>
          </w:tcPr>
          <w:p w14:paraId="1A503E03" w14:textId="77777777" w:rsidR="00B33039" w:rsidRPr="003C476D" w:rsidRDefault="00B33039" w:rsidP="008E2607">
            <w:pPr>
              <w:rPr>
                <w:rFonts w:eastAsia="Times New Roman" w:cstheme="minorHAnsi"/>
                <w:sz w:val="18"/>
                <w:szCs w:val="18"/>
              </w:rPr>
            </w:pPr>
          </w:p>
        </w:tc>
        <w:tc>
          <w:tcPr>
            <w:tcW w:w="992" w:type="dxa"/>
            <w:noWrap/>
            <w:hideMark/>
          </w:tcPr>
          <w:p w14:paraId="1367B197"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11683X</w:t>
            </w:r>
          </w:p>
        </w:tc>
        <w:tc>
          <w:tcPr>
            <w:tcW w:w="4536" w:type="dxa"/>
            <w:noWrap/>
            <w:hideMark/>
          </w:tcPr>
          <w:p w14:paraId="0C149FB0"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20 mg</w:t>
            </w:r>
          </w:p>
        </w:tc>
      </w:tr>
      <w:tr w:rsidR="00B33039" w:rsidRPr="003C476D" w14:paraId="164C5627" w14:textId="77777777" w:rsidTr="00552183">
        <w:trPr>
          <w:trHeight w:val="113"/>
        </w:trPr>
        <w:tc>
          <w:tcPr>
            <w:tcW w:w="1696" w:type="dxa"/>
            <w:noWrap/>
            <w:hideMark/>
          </w:tcPr>
          <w:p w14:paraId="1A80E005" w14:textId="77777777" w:rsidR="00B33039" w:rsidRPr="003C476D" w:rsidRDefault="00B33039" w:rsidP="008E2607">
            <w:pPr>
              <w:rPr>
                <w:rFonts w:eastAsia="Times New Roman" w:cstheme="minorHAnsi"/>
                <w:color w:val="000000"/>
                <w:sz w:val="18"/>
                <w:szCs w:val="18"/>
              </w:rPr>
            </w:pPr>
            <w:r>
              <w:rPr>
                <w:rFonts w:eastAsia="Times New Roman" w:cstheme="minorHAnsi"/>
                <w:sz w:val="18"/>
                <w:szCs w:val="18"/>
              </w:rPr>
              <w:t>Twice daily for Complex GORD</w:t>
            </w:r>
          </w:p>
        </w:tc>
        <w:tc>
          <w:tcPr>
            <w:tcW w:w="1276" w:type="dxa"/>
            <w:noWrap/>
            <w:hideMark/>
          </w:tcPr>
          <w:p w14:paraId="5D1EE5CC" w14:textId="77777777" w:rsidR="00B33039" w:rsidRPr="002A235E" w:rsidRDefault="00B33039" w:rsidP="008E2607">
            <w:pPr>
              <w:rPr>
                <w:rFonts w:eastAsia="Times New Roman" w:cstheme="minorHAnsi"/>
                <w:bCs/>
                <w:sz w:val="18"/>
                <w:szCs w:val="18"/>
              </w:rPr>
            </w:pPr>
            <w:r w:rsidRPr="002A235E">
              <w:rPr>
                <w:rFonts w:eastAsia="Times New Roman" w:cstheme="minorHAnsi"/>
                <w:bCs/>
                <w:sz w:val="18"/>
                <w:szCs w:val="18"/>
              </w:rPr>
              <w:t>High dose</w:t>
            </w:r>
          </w:p>
        </w:tc>
        <w:tc>
          <w:tcPr>
            <w:tcW w:w="992" w:type="dxa"/>
            <w:noWrap/>
            <w:hideMark/>
          </w:tcPr>
          <w:p w14:paraId="0562B5FA"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12270T</w:t>
            </w:r>
          </w:p>
        </w:tc>
        <w:tc>
          <w:tcPr>
            <w:tcW w:w="4536" w:type="dxa"/>
            <w:noWrap/>
            <w:hideMark/>
          </w:tcPr>
          <w:p w14:paraId="36EBFCC1"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20 mg (as magnesium)</w:t>
            </w:r>
          </w:p>
        </w:tc>
      </w:tr>
      <w:tr w:rsidR="00B33039" w:rsidRPr="003C476D" w14:paraId="0C69A6A9" w14:textId="77777777" w:rsidTr="00552183">
        <w:trPr>
          <w:trHeight w:val="113"/>
        </w:trPr>
        <w:tc>
          <w:tcPr>
            <w:tcW w:w="1696" w:type="dxa"/>
            <w:noWrap/>
            <w:hideMark/>
          </w:tcPr>
          <w:p w14:paraId="0991C813" w14:textId="77777777" w:rsidR="00B33039" w:rsidRPr="003C476D" w:rsidRDefault="00B33039" w:rsidP="008E2607">
            <w:pPr>
              <w:rPr>
                <w:rFonts w:eastAsia="Times New Roman" w:cstheme="minorHAnsi"/>
                <w:color w:val="000000"/>
                <w:sz w:val="18"/>
                <w:szCs w:val="18"/>
              </w:rPr>
            </w:pPr>
          </w:p>
        </w:tc>
        <w:tc>
          <w:tcPr>
            <w:tcW w:w="1276" w:type="dxa"/>
            <w:noWrap/>
            <w:hideMark/>
          </w:tcPr>
          <w:p w14:paraId="38B53354" w14:textId="77777777" w:rsidR="00B33039" w:rsidRPr="002A235E" w:rsidRDefault="00B33039" w:rsidP="008E2607">
            <w:pPr>
              <w:rPr>
                <w:rFonts w:eastAsia="Times New Roman" w:cstheme="minorHAnsi"/>
                <w:bCs/>
                <w:sz w:val="18"/>
                <w:szCs w:val="18"/>
              </w:rPr>
            </w:pPr>
          </w:p>
        </w:tc>
        <w:tc>
          <w:tcPr>
            <w:tcW w:w="992" w:type="dxa"/>
            <w:noWrap/>
            <w:hideMark/>
          </w:tcPr>
          <w:p w14:paraId="1A7F00B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12272X</w:t>
            </w:r>
          </w:p>
        </w:tc>
        <w:tc>
          <w:tcPr>
            <w:tcW w:w="4536" w:type="dxa"/>
            <w:noWrap/>
            <w:hideMark/>
          </w:tcPr>
          <w:p w14:paraId="154B7F91"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20 mg</w:t>
            </w:r>
          </w:p>
        </w:tc>
      </w:tr>
      <w:tr w:rsidR="00B33039" w:rsidRPr="003C476D" w14:paraId="1BD6FC43" w14:textId="77777777" w:rsidTr="00552183">
        <w:trPr>
          <w:trHeight w:val="113"/>
        </w:trPr>
        <w:tc>
          <w:tcPr>
            <w:tcW w:w="1696" w:type="dxa"/>
            <w:noWrap/>
            <w:hideMark/>
          </w:tcPr>
          <w:p w14:paraId="4C2B51B9" w14:textId="77777777" w:rsidR="00B33039" w:rsidRPr="003C476D" w:rsidRDefault="00B33039" w:rsidP="008E2607">
            <w:pPr>
              <w:rPr>
                <w:rFonts w:eastAsia="Times New Roman" w:cstheme="minorHAnsi"/>
                <w:color w:val="000000"/>
                <w:sz w:val="18"/>
                <w:szCs w:val="18"/>
              </w:rPr>
            </w:pPr>
          </w:p>
        </w:tc>
        <w:tc>
          <w:tcPr>
            <w:tcW w:w="1276" w:type="dxa"/>
            <w:noWrap/>
            <w:hideMark/>
          </w:tcPr>
          <w:p w14:paraId="34EB061E" w14:textId="77777777" w:rsidR="00B33039" w:rsidRPr="002A235E" w:rsidRDefault="00B33039" w:rsidP="008E2607">
            <w:pPr>
              <w:rPr>
                <w:rFonts w:eastAsia="Times New Roman" w:cstheme="minorHAnsi"/>
                <w:bCs/>
                <w:sz w:val="18"/>
                <w:szCs w:val="18"/>
              </w:rPr>
            </w:pPr>
          </w:p>
        </w:tc>
        <w:tc>
          <w:tcPr>
            <w:tcW w:w="992" w:type="dxa"/>
            <w:noWrap/>
            <w:hideMark/>
          </w:tcPr>
          <w:p w14:paraId="3756738F"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12281J</w:t>
            </w:r>
          </w:p>
        </w:tc>
        <w:tc>
          <w:tcPr>
            <w:tcW w:w="4536" w:type="dxa"/>
            <w:noWrap/>
            <w:hideMark/>
          </w:tcPr>
          <w:p w14:paraId="0A9BF371"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Capsule 20 mg</w:t>
            </w:r>
          </w:p>
        </w:tc>
      </w:tr>
      <w:tr w:rsidR="00B33039" w:rsidRPr="003C476D" w14:paraId="2B766157" w14:textId="77777777" w:rsidTr="00552183">
        <w:trPr>
          <w:trHeight w:val="113"/>
        </w:trPr>
        <w:tc>
          <w:tcPr>
            <w:tcW w:w="1696" w:type="dxa"/>
            <w:noWrap/>
            <w:hideMark/>
          </w:tcPr>
          <w:p w14:paraId="21985163" w14:textId="77777777" w:rsidR="00B33039" w:rsidRPr="003C476D" w:rsidRDefault="00B33039" w:rsidP="008E2607">
            <w:pPr>
              <w:rPr>
                <w:rFonts w:eastAsia="Times New Roman" w:cstheme="minorHAnsi"/>
                <w:b/>
                <w:bCs/>
                <w:color w:val="000000"/>
                <w:sz w:val="18"/>
                <w:szCs w:val="18"/>
              </w:rPr>
            </w:pPr>
            <w:r w:rsidRPr="003C476D">
              <w:rPr>
                <w:rFonts w:eastAsia="Times New Roman" w:cstheme="minorHAnsi"/>
                <w:b/>
                <w:bCs/>
                <w:color w:val="000000"/>
                <w:sz w:val="18"/>
                <w:szCs w:val="18"/>
              </w:rPr>
              <w:t>PANTOPRAZOLE</w:t>
            </w:r>
          </w:p>
        </w:tc>
        <w:tc>
          <w:tcPr>
            <w:tcW w:w="1276" w:type="dxa"/>
            <w:noWrap/>
            <w:hideMark/>
          </w:tcPr>
          <w:p w14:paraId="6B76FB89" w14:textId="77777777" w:rsidR="00B33039" w:rsidRPr="002A235E" w:rsidRDefault="00B33039" w:rsidP="008E2607">
            <w:pPr>
              <w:rPr>
                <w:rFonts w:eastAsia="Times New Roman" w:cstheme="minorHAnsi"/>
                <w:bCs/>
                <w:color w:val="000000"/>
                <w:sz w:val="18"/>
                <w:szCs w:val="18"/>
              </w:rPr>
            </w:pPr>
            <w:r w:rsidRPr="002A235E">
              <w:rPr>
                <w:rFonts w:eastAsia="Times New Roman" w:cstheme="minorHAnsi"/>
                <w:bCs/>
                <w:color w:val="000000"/>
                <w:sz w:val="18"/>
                <w:szCs w:val="18"/>
              </w:rPr>
              <w:t>Low dose</w:t>
            </w:r>
          </w:p>
        </w:tc>
        <w:tc>
          <w:tcPr>
            <w:tcW w:w="992" w:type="dxa"/>
            <w:noWrap/>
            <w:hideMark/>
          </w:tcPr>
          <w:p w14:paraId="4E9C95EE"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08399C</w:t>
            </w:r>
          </w:p>
        </w:tc>
        <w:tc>
          <w:tcPr>
            <w:tcW w:w="4536" w:type="dxa"/>
            <w:noWrap/>
            <w:hideMark/>
          </w:tcPr>
          <w:p w14:paraId="6830994F"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20 mg (as sodium sesquihydrate)</w:t>
            </w:r>
          </w:p>
        </w:tc>
      </w:tr>
      <w:tr w:rsidR="00B33039" w:rsidRPr="003C476D" w14:paraId="2EEAA40E" w14:textId="77777777" w:rsidTr="00552183">
        <w:trPr>
          <w:trHeight w:val="113"/>
        </w:trPr>
        <w:tc>
          <w:tcPr>
            <w:tcW w:w="1696" w:type="dxa"/>
            <w:noWrap/>
            <w:hideMark/>
          </w:tcPr>
          <w:p w14:paraId="778100D2" w14:textId="77777777" w:rsidR="00B33039" w:rsidRPr="003C476D" w:rsidRDefault="00B33039" w:rsidP="008E2607">
            <w:pPr>
              <w:rPr>
                <w:rFonts w:eastAsia="Times New Roman" w:cstheme="minorHAnsi"/>
                <w:color w:val="000000"/>
                <w:sz w:val="18"/>
                <w:szCs w:val="18"/>
              </w:rPr>
            </w:pPr>
          </w:p>
        </w:tc>
        <w:tc>
          <w:tcPr>
            <w:tcW w:w="1276" w:type="dxa"/>
            <w:noWrap/>
            <w:hideMark/>
          </w:tcPr>
          <w:p w14:paraId="2B097DAA" w14:textId="77777777" w:rsidR="00B33039" w:rsidRPr="002A235E" w:rsidRDefault="00B33039" w:rsidP="008E2607">
            <w:pPr>
              <w:rPr>
                <w:rFonts w:eastAsia="Times New Roman" w:cstheme="minorHAnsi"/>
                <w:bCs/>
                <w:color w:val="000000"/>
                <w:sz w:val="18"/>
                <w:szCs w:val="18"/>
              </w:rPr>
            </w:pPr>
            <w:r w:rsidRPr="002A235E">
              <w:rPr>
                <w:rFonts w:eastAsia="Times New Roman" w:cstheme="minorHAnsi"/>
                <w:bCs/>
                <w:color w:val="000000"/>
                <w:sz w:val="18"/>
                <w:szCs w:val="18"/>
              </w:rPr>
              <w:t>Standard dose</w:t>
            </w:r>
          </w:p>
        </w:tc>
        <w:tc>
          <w:tcPr>
            <w:tcW w:w="992" w:type="dxa"/>
            <w:noWrap/>
            <w:hideMark/>
          </w:tcPr>
          <w:p w14:paraId="2626A286"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08007K</w:t>
            </w:r>
          </w:p>
        </w:tc>
        <w:tc>
          <w:tcPr>
            <w:tcW w:w="4536" w:type="dxa"/>
            <w:noWrap/>
            <w:hideMark/>
          </w:tcPr>
          <w:p w14:paraId="3335B843"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40 mg (as sodium sesquihydrate)</w:t>
            </w:r>
          </w:p>
        </w:tc>
      </w:tr>
      <w:tr w:rsidR="00B33039" w:rsidRPr="003C476D" w14:paraId="21C8359C" w14:textId="77777777" w:rsidTr="00552183">
        <w:trPr>
          <w:trHeight w:val="113"/>
        </w:trPr>
        <w:tc>
          <w:tcPr>
            <w:tcW w:w="1696" w:type="dxa"/>
            <w:noWrap/>
            <w:hideMark/>
          </w:tcPr>
          <w:p w14:paraId="7AA46C06" w14:textId="77777777" w:rsidR="00B33039" w:rsidRPr="003C476D" w:rsidRDefault="00B33039" w:rsidP="008E2607">
            <w:pPr>
              <w:rPr>
                <w:rFonts w:eastAsia="Times New Roman" w:cstheme="minorHAnsi"/>
                <w:color w:val="000000"/>
                <w:sz w:val="18"/>
                <w:szCs w:val="18"/>
              </w:rPr>
            </w:pPr>
          </w:p>
        </w:tc>
        <w:tc>
          <w:tcPr>
            <w:tcW w:w="1276" w:type="dxa"/>
            <w:noWrap/>
            <w:hideMark/>
          </w:tcPr>
          <w:p w14:paraId="10D11233" w14:textId="77777777" w:rsidR="00B33039" w:rsidRPr="002A235E" w:rsidRDefault="00B33039" w:rsidP="008E2607">
            <w:pPr>
              <w:rPr>
                <w:rFonts w:eastAsia="Times New Roman" w:cstheme="minorHAnsi"/>
                <w:bCs/>
                <w:sz w:val="18"/>
                <w:szCs w:val="18"/>
              </w:rPr>
            </w:pPr>
          </w:p>
        </w:tc>
        <w:tc>
          <w:tcPr>
            <w:tcW w:w="992" w:type="dxa"/>
            <w:noWrap/>
            <w:hideMark/>
          </w:tcPr>
          <w:p w14:paraId="3FB3F748"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08008L</w:t>
            </w:r>
          </w:p>
        </w:tc>
        <w:tc>
          <w:tcPr>
            <w:tcW w:w="4536" w:type="dxa"/>
            <w:noWrap/>
            <w:hideMark/>
          </w:tcPr>
          <w:p w14:paraId="76226D4E"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40 mg (as sodium sesquihydrate)</w:t>
            </w:r>
          </w:p>
        </w:tc>
      </w:tr>
      <w:tr w:rsidR="00B33039" w:rsidRPr="003C476D" w14:paraId="0BF4B406" w14:textId="77777777" w:rsidTr="00552183">
        <w:trPr>
          <w:trHeight w:val="113"/>
        </w:trPr>
        <w:tc>
          <w:tcPr>
            <w:tcW w:w="1696" w:type="dxa"/>
            <w:noWrap/>
            <w:hideMark/>
          </w:tcPr>
          <w:p w14:paraId="18BD6748" w14:textId="77777777" w:rsidR="00B33039" w:rsidRPr="003C476D" w:rsidRDefault="00B33039" w:rsidP="008E2607">
            <w:pPr>
              <w:rPr>
                <w:rFonts w:eastAsia="Times New Roman" w:cstheme="minorHAnsi"/>
                <w:color w:val="000000"/>
                <w:sz w:val="18"/>
                <w:szCs w:val="18"/>
              </w:rPr>
            </w:pPr>
          </w:p>
        </w:tc>
        <w:tc>
          <w:tcPr>
            <w:tcW w:w="1276" w:type="dxa"/>
            <w:noWrap/>
            <w:hideMark/>
          </w:tcPr>
          <w:p w14:paraId="3530052E" w14:textId="77777777" w:rsidR="00B33039" w:rsidRPr="002A235E" w:rsidRDefault="00B33039" w:rsidP="008E2607">
            <w:pPr>
              <w:rPr>
                <w:rFonts w:eastAsia="Times New Roman" w:cstheme="minorHAnsi"/>
                <w:bCs/>
                <w:sz w:val="18"/>
                <w:szCs w:val="18"/>
              </w:rPr>
            </w:pPr>
          </w:p>
        </w:tc>
        <w:tc>
          <w:tcPr>
            <w:tcW w:w="992" w:type="dxa"/>
            <w:noWrap/>
            <w:hideMark/>
          </w:tcPr>
          <w:p w14:paraId="0E438F41"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09423Y</w:t>
            </w:r>
          </w:p>
        </w:tc>
        <w:tc>
          <w:tcPr>
            <w:tcW w:w="4536" w:type="dxa"/>
            <w:noWrap/>
            <w:hideMark/>
          </w:tcPr>
          <w:p w14:paraId="50DB666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Sachet containing granules 40 mg (as sodium sesquihydrate)</w:t>
            </w:r>
          </w:p>
        </w:tc>
      </w:tr>
      <w:tr w:rsidR="00B33039" w:rsidRPr="003C476D" w14:paraId="0E08C35C" w14:textId="77777777" w:rsidTr="00552183">
        <w:trPr>
          <w:trHeight w:val="113"/>
        </w:trPr>
        <w:tc>
          <w:tcPr>
            <w:tcW w:w="1696" w:type="dxa"/>
            <w:noWrap/>
            <w:hideMark/>
          </w:tcPr>
          <w:p w14:paraId="45AAF08B" w14:textId="77777777" w:rsidR="00B33039" w:rsidRPr="003C476D" w:rsidRDefault="00B33039" w:rsidP="008E2607">
            <w:pPr>
              <w:rPr>
                <w:rFonts w:eastAsia="Times New Roman" w:cstheme="minorHAnsi"/>
                <w:color w:val="000000"/>
                <w:sz w:val="18"/>
                <w:szCs w:val="18"/>
              </w:rPr>
            </w:pPr>
          </w:p>
        </w:tc>
        <w:tc>
          <w:tcPr>
            <w:tcW w:w="1276" w:type="dxa"/>
            <w:noWrap/>
            <w:hideMark/>
          </w:tcPr>
          <w:p w14:paraId="49DADE56" w14:textId="77777777" w:rsidR="00B33039" w:rsidRPr="002A235E" w:rsidRDefault="00B33039" w:rsidP="008E2607">
            <w:pPr>
              <w:rPr>
                <w:rFonts w:eastAsia="Times New Roman" w:cstheme="minorHAnsi"/>
                <w:bCs/>
                <w:sz w:val="18"/>
                <w:szCs w:val="18"/>
              </w:rPr>
            </w:pPr>
          </w:p>
        </w:tc>
        <w:tc>
          <w:tcPr>
            <w:tcW w:w="992" w:type="dxa"/>
            <w:noWrap/>
            <w:hideMark/>
          </w:tcPr>
          <w:p w14:paraId="6C905AE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09424B</w:t>
            </w:r>
          </w:p>
        </w:tc>
        <w:tc>
          <w:tcPr>
            <w:tcW w:w="4536" w:type="dxa"/>
            <w:noWrap/>
            <w:hideMark/>
          </w:tcPr>
          <w:p w14:paraId="78FC9C65"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Sachet containing granules 40 mg (as sodium sesquihydrate)</w:t>
            </w:r>
          </w:p>
        </w:tc>
      </w:tr>
      <w:tr w:rsidR="00B33039" w:rsidRPr="003C476D" w14:paraId="12EE0F00" w14:textId="77777777" w:rsidTr="00552183">
        <w:trPr>
          <w:trHeight w:val="113"/>
        </w:trPr>
        <w:tc>
          <w:tcPr>
            <w:tcW w:w="1696" w:type="dxa"/>
            <w:noWrap/>
            <w:hideMark/>
          </w:tcPr>
          <w:p w14:paraId="013B4CDC" w14:textId="77777777" w:rsidR="00B33039" w:rsidRPr="003C476D" w:rsidRDefault="00B33039" w:rsidP="008E2607">
            <w:pPr>
              <w:rPr>
                <w:rFonts w:eastAsia="Times New Roman" w:cstheme="minorHAnsi"/>
                <w:color w:val="000000"/>
                <w:sz w:val="18"/>
                <w:szCs w:val="18"/>
              </w:rPr>
            </w:pPr>
          </w:p>
        </w:tc>
        <w:tc>
          <w:tcPr>
            <w:tcW w:w="1276" w:type="dxa"/>
            <w:noWrap/>
            <w:hideMark/>
          </w:tcPr>
          <w:p w14:paraId="5B003C62" w14:textId="77777777" w:rsidR="00B33039" w:rsidRPr="002A235E" w:rsidRDefault="00B33039" w:rsidP="008E2607">
            <w:pPr>
              <w:rPr>
                <w:rFonts w:eastAsia="Times New Roman" w:cstheme="minorHAnsi"/>
                <w:bCs/>
                <w:sz w:val="18"/>
                <w:szCs w:val="18"/>
              </w:rPr>
            </w:pPr>
          </w:p>
        </w:tc>
        <w:tc>
          <w:tcPr>
            <w:tcW w:w="992" w:type="dxa"/>
            <w:noWrap/>
            <w:hideMark/>
          </w:tcPr>
          <w:p w14:paraId="331958BD"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11678P</w:t>
            </w:r>
          </w:p>
        </w:tc>
        <w:tc>
          <w:tcPr>
            <w:tcW w:w="4536" w:type="dxa"/>
            <w:noWrap/>
            <w:hideMark/>
          </w:tcPr>
          <w:p w14:paraId="6E6E277E"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Sachet containing granules 40 mg (as sodium sesquihydrate)</w:t>
            </w:r>
          </w:p>
        </w:tc>
      </w:tr>
      <w:tr w:rsidR="00B33039" w:rsidRPr="003C476D" w14:paraId="313C4DAA" w14:textId="77777777" w:rsidTr="00552183">
        <w:trPr>
          <w:trHeight w:val="113"/>
        </w:trPr>
        <w:tc>
          <w:tcPr>
            <w:tcW w:w="1696" w:type="dxa"/>
            <w:noWrap/>
            <w:hideMark/>
          </w:tcPr>
          <w:p w14:paraId="51C24126" w14:textId="77777777" w:rsidR="00B33039" w:rsidRPr="003C476D" w:rsidRDefault="00B33039" w:rsidP="008E2607">
            <w:pPr>
              <w:rPr>
                <w:rFonts w:eastAsia="Times New Roman" w:cstheme="minorHAnsi"/>
                <w:color w:val="000000"/>
                <w:sz w:val="18"/>
                <w:szCs w:val="18"/>
              </w:rPr>
            </w:pPr>
          </w:p>
        </w:tc>
        <w:tc>
          <w:tcPr>
            <w:tcW w:w="1276" w:type="dxa"/>
            <w:noWrap/>
            <w:hideMark/>
          </w:tcPr>
          <w:p w14:paraId="244A39F4" w14:textId="77777777" w:rsidR="00B33039" w:rsidRPr="002A235E" w:rsidRDefault="00B33039" w:rsidP="008E2607">
            <w:pPr>
              <w:rPr>
                <w:rFonts w:eastAsia="Times New Roman" w:cstheme="minorHAnsi"/>
                <w:bCs/>
                <w:sz w:val="18"/>
                <w:szCs w:val="18"/>
              </w:rPr>
            </w:pPr>
          </w:p>
        </w:tc>
        <w:tc>
          <w:tcPr>
            <w:tcW w:w="992" w:type="dxa"/>
            <w:noWrap/>
            <w:hideMark/>
          </w:tcPr>
          <w:p w14:paraId="4E9E15BD"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11681T</w:t>
            </w:r>
          </w:p>
        </w:tc>
        <w:tc>
          <w:tcPr>
            <w:tcW w:w="4536" w:type="dxa"/>
            <w:noWrap/>
            <w:hideMark/>
          </w:tcPr>
          <w:p w14:paraId="21B4D42C"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40 mg (as sodium sesquihydrate)</w:t>
            </w:r>
          </w:p>
        </w:tc>
      </w:tr>
      <w:tr w:rsidR="00B33039" w:rsidRPr="003C476D" w14:paraId="59705162" w14:textId="77777777" w:rsidTr="00552183">
        <w:trPr>
          <w:trHeight w:val="113"/>
        </w:trPr>
        <w:tc>
          <w:tcPr>
            <w:tcW w:w="1696" w:type="dxa"/>
            <w:noWrap/>
            <w:hideMark/>
          </w:tcPr>
          <w:p w14:paraId="717C36A4" w14:textId="77777777" w:rsidR="00B33039" w:rsidRPr="003C476D" w:rsidRDefault="00B33039" w:rsidP="008E2607">
            <w:pPr>
              <w:rPr>
                <w:rFonts w:eastAsia="Times New Roman" w:cstheme="minorHAnsi"/>
                <w:color w:val="000000"/>
                <w:sz w:val="18"/>
                <w:szCs w:val="18"/>
              </w:rPr>
            </w:pPr>
            <w:r>
              <w:rPr>
                <w:rFonts w:eastAsia="Times New Roman" w:cstheme="minorHAnsi"/>
                <w:sz w:val="18"/>
                <w:szCs w:val="18"/>
              </w:rPr>
              <w:t>Twice daily for Complex GORD</w:t>
            </w:r>
          </w:p>
        </w:tc>
        <w:tc>
          <w:tcPr>
            <w:tcW w:w="1276" w:type="dxa"/>
            <w:noWrap/>
            <w:hideMark/>
          </w:tcPr>
          <w:p w14:paraId="45492125" w14:textId="77777777" w:rsidR="00B33039" w:rsidRPr="002A235E" w:rsidRDefault="00B33039" w:rsidP="008E2607">
            <w:pPr>
              <w:rPr>
                <w:rFonts w:eastAsia="Times New Roman" w:cstheme="minorHAnsi"/>
                <w:bCs/>
                <w:sz w:val="18"/>
                <w:szCs w:val="18"/>
              </w:rPr>
            </w:pPr>
            <w:r w:rsidRPr="002A235E">
              <w:rPr>
                <w:rFonts w:eastAsia="Times New Roman" w:cstheme="minorHAnsi"/>
                <w:bCs/>
                <w:sz w:val="18"/>
                <w:szCs w:val="18"/>
              </w:rPr>
              <w:t>High dose</w:t>
            </w:r>
          </w:p>
        </w:tc>
        <w:tc>
          <w:tcPr>
            <w:tcW w:w="992" w:type="dxa"/>
            <w:noWrap/>
            <w:hideMark/>
          </w:tcPr>
          <w:p w14:paraId="2189741E"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12277E</w:t>
            </w:r>
          </w:p>
        </w:tc>
        <w:tc>
          <w:tcPr>
            <w:tcW w:w="4536" w:type="dxa"/>
            <w:noWrap/>
            <w:hideMark/>
          </w:tcPr>
          <w:p w14:paraId="3138570D"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(enteric coated) 40 mg (as sodium sesquihydrate)</w:t>
            </w:r>
          </w:p>
        </w:tc>
      </w:tr>
      <w:tr w:rsidR="00B33039" w:rsidRPr="003C476D" w14:paraId="741C3902" w14:textId="77777777" w:rsidTr="00552183">
        <w:trPr>
          <w:trHeight w:val="113"/>
        </w:trPr>
        <w:tc>
          <w:tcPr>
            <w:tcW w:w="1696" w:type="dxa"/>
            <w:noWrap/>
            <w:hideMark/>
          </w:tcPr>
          <w:p w14:paraId="44EEF744" w14:textId="77777777" w:rsidR="00B33039" w:rsidRPr="003C476D" w:rsidRDefault="00B33039" w:rsidP="008E2607">
            <w:pPr>
              <w:rPr>
                <w:rFonts w:eastAsia="Times New Roman" w:cstheme="minorHAnsi"/>
                <w:color w:val="000000"/>
                <w:sz w:val="18"/>
                <w:szCs w:val="18"/>
              </w:rPr>
            </w:pPr>
          </w:p>
        </w:tc>
        <w:tc>
          <w:tcPr>
            <w:tcW w:w="1276" w:type="dxa"/>
            <w:noWrap/>
            <w:hideMark/>
          </w:tcPr>
          <w:p w14:paraId="1E90BD4D" w14:textId="77777777" w:rsidR="00B33039" w:rsidRPr="002A235E" w:rsidRDefault="00B33039" w:rsidP="008E2607">
            <w:pPr>
              <w:rPr>
                <w:rFonts w:eastAsia="Times New Roman" w:cstheme="minorHAnsi"/>
                <w:bCs/>
                <w:sz w:val="18"/>
                <w:szCs w:val="18"/>
              </w:rPr>
            </w:pPr>
          </w:p>
        </w:tc>
        <w:tc>
          <w:tcPr>
            <w:tcW w:w="992" w:type="dxa"/>
            <w:noWrap/>
            <w:hideMark/>
          </w:tcPr>
          <w:p w14:paraId="31BB0565"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12282K</w:t>
            </w:r>
          </w:p>
        </w:tc>
        <w:tc>
          <w:tcPr>
            <w:tcW w:w="4536" w:type="dxa"/>
            <w:noWrap/>
            <w:hideMark/>
          </w:tcPr>
          <w:p w14:paraId="6ECAC60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Sachet containing granules 40 mg (as sodium sesquihydrate)</w:t>
            </w:r>
          </w:p>
        </w:tc>
      </w:tr>
      <w:tr w:rsidR="00B33039" w:rsidRPr="003C476D" w14:paraId="5703D3C8" w14:textId="77777777" w:rsidTr="00552183">
        <w:trPr>
          <w:trHeight w:val="113"/>
        </w:trPr>
        <w:tc>
          <w:tcPr>
            <w:tcW w:w="1696" w:type="dxa"/>
            <w:noWrap/>
            <w:hideMark/>
          </w:tcPr>
          <w:p w14:paraId="79C3F7BC" w14:textId="77777777" w:rsidR="00B33039" w:rsidRPr="003C476D" w:rsidRDefault="00B33039" w:rsidP="008E2607">
            <w:pPr>
              <w:rPr>
                <w:rFonts w:eastAsia="Times New Roman" w:cstheme="minorHAnsi"/>
                <w:b/>
                <w:bCs/>
                <w:color w:val="000000"/>
                <w:sz w:val="18"/>
                <w:szCs w:val="18"/>
              </w:rPr>
            </w:pPr>
            <w:r w:rsidRPr="003C476D">
              <w:rPr>
                <w:rFonts w:eastAsia="Times New Roman" w:cstheme="minorHAnsi"/>
                <w:b/>
                <w:bCs/>
                <w:color w:val="000000"/>
                <w:sz w:val="18"/>
                <w:szCs w:val="18"/>
              </w:rPr>
              <w:t>RABEPRAZOLE</w:t>
            </w:r>
          </w:p>
        </w:tc>
        <w:tc>
          <w:tcPr>
            <w:tcW w:w="1276" w:type="dxa"/>
            <w:noWrap/>
            <w:hideMark/>
          </w:tcPr>
          <w:p w14:paraId="6E03EACB" w14:textId="77777777" w:rsidR="00B33039" w:rsidRPr="002A235E" w:rsidRDefault="00B33039" w:rsidP="008E2607">
            <w:pPr>
              <w:rPr>
                <w:rFonts w:eastAsia="Times New Roman" w:cstheme="minorHAnsi"/>
                <w:bCs/>
                <w:color w:val="000000"/>
                <w:sz w:val="18"/>
                <w:szCs w:val="18"/>
              </w:rPr>
            </w:pPr>
            <w:r w:rsidRPr="002A235E">
              <w:rPr>
                <w:rFonts w:eastAsia="Times New Roman" w:cstheme="minorHAnsi"/>
                <w:bCs/>
                <w:color w:val="000000"/>
                <w:sz w:val="18"/>
                <w:szCs w:val="18"/>
              </w:rPr>
              <w:t>Low dose</w:t>
            </w:r>
          </w:p>
        </w:tc>
        <w:tc>
          <w:tcPr>
            <w:tcW w:w="992" w:type="dxa"/>
            <w:noWrap/>
            <w:hideMark/>
          </w:tcPr>
          <w:p w14:paraId="2753658F"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08507R</w:t>
            </w:r>
          </w:p>
        </w:tc>
        <w:tc>
          <w:tcPr>
            <w:tcW w:w="4536" w:type="dxa"/>
            <w:noWrap/>
            <w:hideMark/>
          </w:tcPr>
          <w:p w14:paraId="456BE382"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containing rabeprazole sodium 10 mg (enteric coated)</w:t>
            </w:r>
          </w:p>
        </w:tc>
      </w:tr>
      <w:tr w:rsidR="00B33039" w:rsidRPr="003C476D" w14:paraId="5B6F481B" w14:textId="77777777" w:rsidTr="00552183">
        <w:trPr>
          <w:trHeight w:val="113"/>
        </w:trPr>
        <w:tc>
          <w:tcPr>
            <w:tcW w:w="1696" w:type="dxa"/>
            <w:noWrap/>
            <w:hideMark/>
          </w:tcPr>
          <w:p w14:paraId="48E08C87" w14:textId="77777777" w:rsidR="00B33039" w:rsidRPr="003C476D" w:rsidRDefault="00B33039" w:rsidP="008E2607">
            <w:pPr>
              <w:rPr>
                <w:rFonts w:eastAsia="Times New Roman" w:cstheme="minorHAnsi"/>
                <w:color w:val="000000"/>
                <w:sz w:val="18"/>
                <w:szCs w:val="18"/>
              </w:rPr>
            </w:pPr>
          </w:p>
        </w:tc>
        <w:tc>
          <w:tcPr>
            <w:tcW w:w="1276" w:type="dxa"/>
            <w:noWrap/>
            <w:hideMark/>
          </w:tcPr>
          <w:p w14:paraId="697BEDF5" w14:textId="77777777" w:rsidR="00B33039" w:rsidRPr="002A235E" w:rsidRDefault="00B33039" w:rsidP="008E2607">
            <w:pPr>
              <w:rPr>
                <w:rFonts w:eastAsia="Times New Roman" w:cstheme="minorHAnsi"/>
                <w:bCs/>
                <w:color w:val="000000"/>
                <w:sz w:val="18"/>
                <w:szCs w:val="18"/>
              </w:rPr>
            </w:pPr>
            <w:r w:rsidRPr="002A235E">
              <w:rPr>
                <w:rFonts w:eastAsia="Times New Roman" w:cstheme="minorHAnsi"/>
                <w:bCs/>
                <w:color w:val="000000"/>
                <w:sz w:val="18"/>
                <w:szCs w:val="18"/>
              </w:rPr>
              <w:t>Standard dose</w:t>
            </w:r>
          </w:p>
        </w:tc>
        <w:tc>
          <w:tcPr>
            <w:tcW w:w="992" w:type="dxa"/>
            <w:noWrap/>
            <w:hideMark/>
          </w:tcPr>
          <w:p w14:paraId="5264C4D1"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08508T</w:t>
            </w:r>
          </w:p>
        </w:tc>
        <w:tc>
          <w:tcPr>
            <w:tcW w:w="4536" w:type="dxa"/>
            <w:noWrap/>
            <w:hideMark/>
          </w:tcPr>
          <w:p w14:paraId="7EDF6694"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containing rabeprazole sodium 20 mg (enteric coated)</w:t>
            </w:r>
          </w:p>
        </w:tc>
      </w:tr>
      <w:tr w:rsidR="00B33039" w:rsidRPr="003C476D" w14:paraId="4547C7D0" w14:textId="77777777" w:rsidTr="00552183">
        <w:trPr>
          <w:trHeight w:val="113"/>
        </w:trPr>
        <w:tc>
          <w:tcPr>
            <w:tcW w:w="1696" w:type="dxa"/>
            <w:noWrap/>
            <w:hideMark/>
          </w:tcPr>
          <w:p w14:paraId="572E15E3" w14:textId="77777777" w:rsidR="00B33039" w:rsidRPr="003C476D" w:rsidRDefault="00B33039" w:rsidP="008E2607">
            <w:pPr>
              <w:rPr>
                <w:rFonts w:eastAsia="Times New Roman" w:cstheme="minorHAnsi"/>
                <w:color w:val="000000"/>
                <w:sz w:val="18"/>
                <w:szCs w:val="18"/>
              </w:rPr>
            </w:pPr>
          </w:p>
        </w:tc>
        <w:tc>
          <w:tcPr>
            <w:tcW w:w="1276" w:type="dxa"/>
            <w:noWrap/>
            <w:hideMark/>
          </w:tcPr>
          <w:p w14:paraId="1E0A9CC1" w14:textId="77777777" w:rsidR="00B33039" w:rsidRPr="002A235E" w:rsidRDefault="00B33039" w:rsidP="008E2607">
            <w:pPr>
              <w:rPr>
                <w:rFonts w:eastAsia="Times New Roman" w:cstheme="minorHAnsi"/>
                <w:bCs/>
                <w:sz w:val="18"/>
                <w:szCs w:val="18"/>
              </w:rPr>
            </w:pPr>
          </w:p>
        </w:tc>
        <w:tc>
          <w:tcPr>
            <w:tcW w:w="992" w:type="dxa"/>
            <w:noWrap/>
            <w:hideMark/>
          </w:tcPr>
          <w:p w14:paraId="182C522F"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08509W</w:t>
            </w:r>
          </w:p>
        </w:tc>
        <w:tc>
          <w:tcPr>
            <w:tcW w:w="4536" w:type="dxa"/>
            <w:noWrap/>
            <w:hideMark/>
          </w:tcPr>
          <w:p w14:paraId="7759A625"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containing rabeprazole sodium 20 mg (enteric coated)</w:t>
            </w:r>
          </w:p>
        </w:tc>
      </w:tr>
      <w:tr w:rsidR="00B33039" w:rsidRPr="003C476D" w14:paraId="4F6A4265" w14:textId="77777777" w:rsidTr="00552183">
        <w:trPr>
          <w:trHeight w:val="113"/>
        </w:trPr>
        <w:tc>
          <w:tcPr>
            <w:tcW w:w="1696" w:type="dxa"/>
            <w:noWrap/>
            <w:hideMark/>
          </w:tcPr>
          <w:p w14:paraId="6DC93F77" w14:textId="77777777" w:rsidR="00B33039" w:rsidRPr="003C476D" w:rsidRDefault="00B33039" w:rsidP="008E2607">
            <w:pPr>
              <w:rPr>
                <w:rFonts w:eastAsia="Times New Roman" w:cstheme="minorHAnsi"/>
                <w:color w:val="000000"/>
                <w:sz w:val="18"/>
                <w:szCs w:val="18"/>
              </w:rPr>
            </w:pPr>
          </w:p>
        </w:tc>
        <w:tc>
          <w:tcPr>
            <w:tcW w:w="1276" w:type="dxa"/>
            <w:noWrap/>
            <w:hideMark/>
          </w:tcPr>
          <w:p w14:paraId="5C94AE51" w14:textId="77777777" w:rsidR="00B33039" w:rsidRPr="002A235E" w:rsidRDefault="00B33039" w:rsidP="008E2607">
            <w:pPr>
              <w:rPr>
                <w:rFonts w:eastAsia="Times New Roman" w:cstheme="minorHAnsi"/>
                <w:bCs/>
                <w:sz w:val="18"/>
                <w:szCs w:val="18"/>
              </w:rPr>
            </w:pPr>
          </w:p>
        </w:tc>
        <w:tc>
          <w:tcPr>
            <w:tcW w:w="992" w:type="dxa"/>
            <w:noWrap/>
            <w:hideMark/>
          </w:tcPr>
          <w:p w14:paraId="4EF03D74"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11670F</w:t>
            </w:r>
          </w:p>
        </w:tc>
        <w:tc>
          <w:tcPr>
            <w:tcW w:w="4536" w:type="dxa"/>
            <w:noWrap/>
            <w:hideMark/>
          </w:tcPr>
          <w:p w14:paraId="717277C9"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containing rabeprazole sodium 20 mg (enteric coated)</w:t>
            </w:r>
          </w:p>
        </w:tc>
      </w:tr>
      <w:tr w:rsidR="00B33039" w:rsidRPr="003C476D" w14:paraId="606B12E5" w14:textId="77777777" w:rsidTr="00552183">
        <w:trPr>
          <w:trHeight w:val="113"/>
        </w:trPr>
        <w:tc>
          <w:tcPr>
            <w:tcW w:w="1696" w:type="dxa"/>
            <w:noWrap/>
            <w:hideMark/>
          </w:tcPr>
          <w:p w14:paraId="3A81F795" w14:textId="77777777" w:rsidR="00B33039" w:rsidRPr="003C476D" w:rsidRDefault="00B33039" w:rsidP="008E2607">
            <w:pPr>
              <w:rPr>
                <w:rFonts w:eastAsia="Times New Roman" w:cstheme="minorHAnsi"/>
                <w:color w:val="000000"/>
                <w:sz w:val="18"/>
                <w:szCs w:val="18"/>
              </w:rPr>
            </w:pPr>
            <w:r>
              <w:rPr>
                <w:rFonts w:eastAsia="Times New Roman" w:cstheme="minorHAnsi"/>
                <w:sz w:val="18"/>
                <w:szCs w:val="18"/>
              </w:rPr>
              <w:t>Twice daily for Complex GORD</w:t>
            </w:r>
          </w:p>
        </w:tc>
        <w:tc>
          <w:tcPr>
            <w:tcW w:w="1276" w:type="dxa"/>
            <w:noWrap/>
            <w:hideMark/>
          </w:tcPr>
          <w:p w14:paraId="2703CF45" w14:textId="77777777" w:rsidR="00B33039" w:rsidRPr="002A235E" w:rsidRDefault="00B33039" w:rsidP="008E2607">
            <w:pPr>
              <w:rPr>
                <w:rFonts w:eastAsia="Times New Roman" w:cstheme="minorHAnsi"/>
                <w:bCs/>
                <w:sz w:val="18"/>
                <w:szCs w:val="18"/>
              </w:rPr>
            </w:pPr>
            <w:r w:rsidRPr="002A235E">
              <w:rPr>
                <w:rFonts w:eastAsia="Times New Roman" w:cstheme="minorHAnsi"/>
                <w:bCs/>
                <w:sz w:val="18"/>
                <w:szCs w:val="18"/>
              </w:rPr>
              <w:t>High dose</w:t>
            </w:r>
          </w:p>
        </w:tc>
        <w:tc>
          <w:tcPr>
            <w:tcW w:w="992" w:type="dxa"/>
            <w:noWrap/>
            <w:hideMark/>
          </w:tcPr>
          <w:p w14:paraId="58335020"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12286P</w:t>
            </w:r>
          </w:p>
        </w:tc>
        <w:tc>
          <w:tcPr>
            <w:tcW w:w="4536" w:type="dxa"/>
            <w:noWrap/>
            <w:hideMark/>
          </w:tcPr>
          <w:p w14:paraId="4395AF18" w14:textId="77777777" w:rsidR="00B33039" w:rsidRPr="003C476D" w:rsidRDefault="00B33039" w:rsidP="008E2607">
            <w:pPr>
              <w:rPr>
                <w:rFonts w:eastAsia="Times New Roman" w:cstheme="minorHAnsi"/>
                <w:color w:val="000000"/>
                <w:sz w:val="18"/>
                <w:szCs w:val="18"/>
              </w:rPr>
            </w:pPr>
            <w:r w:rsidRPr="003C476D">
              <w:rPr>
                <w:rFonts w:eastAsia="Times New Roman" w:cstheme="minorHAnsi"/>
                <w:color w:val="000000"/>
                <w:sz w:val="18"/>
                <w:szCs w:val="18"/>
              </w:rPr>
              <w:t>Tablet containing rabeprazole sodium 20 mg (enteric coated)</w:t>
            </w:r>
          </w:p>
        </w:tc>
      </w:tr>
    </w:tbl>
    <w:p w14:paraId="06C0B99B" w14:textId="77777777" w:rsidR="00B33039" w:rsidRDefault="00B33039" w:rsidP="00B33039"/>
    <w:p w14:paraId="2A9D1DB1" w14:textId="77777777" w:rsidR="00B33039" w:rsidRDefault="00B33039" w:rsidP="00B33039">
      <w:pPr>
        <w:rPr>
          <w:u w:val="single"/>
        </w:rPr>
      </w:pPr>
      <w:r>
        <w:rPr>
          <w:u w:val="single"/>
        </w:rPr>
        <w:t>Prescription Sequence analysis</w:t>
      </w:r>
    </w:p>
    <w:p w14:paraId="64262120" w14:textId="150E8D3F" w:rsidR="00B33039" w:rsidRDefault="00B33039" w:rsidP="00107874">
      <w:r>
        <w:t>In the relative dose sequence analysis, e</w:t>
      </w:r>
      <w:r w:rsidRPr="00C21C5F">
        <w:t xml:space="preserve">ach patient </w:t>
      </w:r>
      <w:r w:rsidR="004D12CA">
        <w:t>wa</w:t>
      </w:r>
      <w:r w:rsidRPr="00C21C5F">
        <w:t xml:space="preserve">s limited to 12 months of PPI prescription history from their date of initiation so that the opportunity for switching </w:t>
      </w:r>
      <w:r>
        <w:t>dose</w:t>
      </w:r>
      <w:r w:rsidRPr="00C21C5F">
        <w:t xml:space="preserve"> is equal</w:t>
      </w:r>
      <w:r>
        <w:t xml:space="preserve"> for all patients</w:t>
      </w:r>
      <w:r w:rsidRPr="00C21C5F">
        <w:t>.</w:t>
      </w:r>
      <w:r>
        <w:t xml:space="preserve"> The two cohorts chosen for comparison are those patients who initiated PPI therapy in 2017 and 2020. The 2017 cohort uses </w:t>
      </w:r>
      <w:r w:rsidR="00596B25">
        <w:t xml:space="preserve">the </w:t>
      </w:r>
      <w:r>
        <w:t>prescription history up to the end of 2018 (</w:t>
      </w:r>
      <w:proofErr w:type="gramStart"/>
      <w:r>
        <w:t>i.e.</w:t>
      </w:r>
      <w:proofErr w:type="gramEnd"/>
      <w:r>
        <w:t xml:space="preserve"> 12 month of history for patients who initiated at the end of 2017). These patient prescription histories are all prior to the policy changes on 1 May 2019. In contrast, the 2020 initiators have prescription histories which are all after the policy changes.</w:t>
      </w:r>
    </w:p>
    <w:p w14:paraId="25D1A3BD" w14:textId="5DE06FCC" w:rsidR="00B33039" w:rsidRDefault="00B33039" w:rsidP="00B33039">
      <w:r>
        <w:t xml:space="preserve">In the relative dose sequence analysis </w:t>
      </w:r>
      <w:r w:rsidR="00596B25">
        <w:t xml:space="preserve">for </w:t>
      </w:r>
      <w:r>
        <w:t xml:space="preserve">Complex GORD patients, firstly all patients that had initiated treatment for Complex GORD (identified using the item codes in the table above), from 1 March 2021 (first listing of Complex GORD items) to the end of December 2021, were identified. Next all PPI prescriptions for these patients supplied from 1 January 2013 to the end of December 2021 were extracted, the relative dose of each prescription determined (as per the above table) and then the relative dose initiation sequence was constructed for each patient. </w:t>
      </w:r>
    </w:p>
    <w:p w14:paraId="566680C4" w14:textId="77777777" w:rsidR="00CC7FFE" w:rsidRDefault="00CC7FFE" w:rsidP="00CC7FFE">
      <w:pPr>
        <w:rPr>
          <w:sz w:val="22"/>
          <w:szCs w:val="22"/>
        </w:rPr>
      </w:pPr>
      <w:r>
        <w:lastRenderedPageBreak/>
        <w:t>The Defined Daily Doses (DDDs) where calculated as follows:</w:t>
      </w:r>
    </w:p>
    <w:p w14:paraId="3566CF72" w14:textId="77777777" w:rsidR="00CC7FFE" w:rsidRDefault="00CC7FFE" w:rsidP="00CC7FFE">
      <w:r>
        <w:t>DDDs = quantity (</w:t>
      </w:r>
      <w:proofErr w:type="gramStart"/>
      <w:r>
        <w:t>i.e.</w:t>
      </w:r>
      <w:proofErr w:type="gramEnd"/>
      <w:r>
        <w:t xml:space="preserve"> number of tablets or capsules dispensed) x mass amount (i.e. mg of drug in each tablet/capsule) / WHO Defined Daily Dose (drug specific)</w:t>
      </w:r>
    </w:p>
    <w:p w14:paraId="7A605901" w14:textId="00C9376C" w:rsidR="00CC7FFE" w:rsidRDefault="00CC7FFE" w:rsidP="00CC7FFE">
      <w:r>
        <w:t>The WHO DDD for each drug used in the above formula were; esomeprazole and lansoprazole = 30mg; omeprazole &amp; rabeprazole = 20mg; and pantoprazole=40mg.</w:t>
      </w:r>
    </w:p>
    <w:p w14:paraId="5D437D36" w14:textId="77777777" w:rsidR="00CC7FFE" w:rsidRDefault="00CC7FFE" w:rsidP="00CC7FFE">
      <w:r>
        <w:t>Note that the WHO DDD for esomeprazole changed from 20mg to 30mg in 2005.</w:t>
      </w:r>
    </w:p>
    <w:p w14:paraId="33671FAC" w14:textId="097720DC" w:rsidR="00E26B90" w:rsidRDefault="00E26B90" w:rsidP="00E26B90">
      <w:r>
        <w:t>As these analyses use</w:t>
      </w:r>
      <w:r w:rsidR="00236D30">
        <w:t>d</w:t>
      </w:r>
      <w:r>
        <w:t xml:space="preserve"> date of supply prescription data, there may be small differences compared with publicly available Services Australia PBS date of processing data</w:t>
      </w:r>
      <w:r>
        <w:rPr>
          <w:rStyle w:val="FootnoteReference"/>
          <w:color w:val="1F497D"/>
          <w:lang w:eastAsia="en-US"/>
        </w:rPr>
        <w:footnoteReference w:id="3"/>
      </w:r>
      <w:r w:rsidRPr="00B33039" w:rsidDel="00B33039">
        <w:rPr>
          <w:vertAlign w:val="superscript"/>
        </w:rPr>
        <w:t xml:space="preserve"> </w:t>
      </w:r>
      <w:r>
        <w:t>which only includes subsidised PBS and Repatriation PBS (R/PBS) prescriptions (</w:t>
      </w:r>
      <w:proofErr w:type="gramStart"/>
      <w:r>
        <w:t>i.e.</w:t>
      </w:r>
      <w:proofErr w:type="gramEnd"/>
      <w:r>
        <w:t xml:space="preserve"> prescriptions under the patient co-payment are not included).  The Services Australia prescription database data used in this report includes under co-payment prescriptions from 1 April 2012.</w:t>
      </w:r>
    </w:p>
    <w:p w14:paraId="3A764827" w14:textId="77777777" w:rsidR="008E5BAE" w:rsidRDefault="008E5BAE">
      <w:pPr>
        <w:spacing w:line="276" w:lineRule="auto"/>
        <w:rPr>
          <w:rFonts w:eastAsiaTheme="majorEastAsia" w:cstheme="majorBidi"/>
          <w:b/>
          <w:bCs/>
          <w:sz w:val="32"/>
          <w:szCs w:val="32"/>
        </w:rPr>
      </w:pPr>
      <w:r>
        <w:br w:type="page"/>
      </w:r>
    </w:p>
    <w:p w14:paraId="6CE2C013" w14:textId="0645AFCF" w:rsidR="00107BB6" w:rsidRDefault="00107BB6" w:rsidP="00107BB6">
      <w:pPr>
        <w:pStyle w:val="Heading1"/>
      </w:pPr>
      <w:r w:rsidRPr="005E22C2">
        <w:lastRenderedPageBreak/>
        <w:t>Results</w:t>
      </w:r>
    </w:p>
    <w:p w14:paraId="50EF6D97" w14:textId="0A31A52D" w:rsidR="008E5BAE" w:rsidRPr="008E5BAE" w:rsidRDefault="008E5BAE" w:rsidP="008E5BAE">
      <w:pPr>
        <w:pStyle w:val="Heading2"/>
      </w:pPr>
      <w:r w:rsidRPr="005E22C2">
        <w:t xml:space="preserve">Analysis of </w:t>
      </w:r>
      <w:r>
        <w:t>d</w:t>
      </w:r>
      <w:r w:rsidRPr="005E22C2">
        <w:t xml:space="preserve">rug </w:t>
      </w:r>
      <w:r>
        <w:t>u</w:t>
      </w:r>
      <w:r w:rsidRPr="005E22C2">
        <w:t>tilisation</w:t>
      </w:r>
    </w:p>
    <w:p w14:paraId="37B49247" w14:textId="2298D6F7" w:rsidR="00622C1A" w:rsidRPr="00622C1A" w:rsidRDefault="00622C1A" w:rsidP="00361F06">
      <w:pPr>
        <w:pStyle w:val="Heading3"/>
      </w:pPr>
      <w:r w:rsidRPr="005E22C2">
        <w:t>Overall utilisation</w:t>
      </w:r>
    </w:p>
    <w:p w14:paraId="4DBAD97F" w14:textId="77777777" w:rsidR="007B0B59" w:rsidRDefault="00107BB6" w:rsidP="008E5BAE">
      <w:r>
        <w:rPr>
          <w:noProof/>
        </w:rPr>
        <w:drawing>
          <wp:inline distT="0" distB="0" distL="0" distR="0" wp14:anchorId="6F59768B" wp14:editId="6BD958F4">
            <wp:extent cx="5433060" cy="3345180"/>
            <wp:effectExtent l="0" t="0" r="15240" b="7620"/>
            <wp:docPr id="1" name="Chart 1" descr="Figure 1: Number of prevalent patients supplied PPI drugs per quarter ">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0CC0DB" w14:textId="349BA58F" w:rsidR="00B86046" w:rsidRDefault="00107BB6" w:rsidP="007B0B59">
      <w:pPr>
        <w:pStyle w:val="Figuretitle"/>
        <w:ind w:right="-115"/>
      </w:pPr>
      <w:r w:rsidRPr="001D105D">
        <w:t>Figure</w:t>
      </w:r>
      <w:r>
        <w:t xml:space="preserve"> </w:t>
      </w:r>
      <w:r w:rsidR="00A14263">
        <w:t>1</w:t>
      </w:r>
      <w:r w:rsidR="00A14263" w:rsidRPr="001D105D">
        <w:t>:</w:t>
      </w:r>
      <w:r w:rsidR="00C00662">
        <w:t xml:space="preserve"> </w:t>
      </w:r>
      <w:r w:rsidR="003B5DE7">
        <w:t>Number</w:t>
      </w:r>
      <w:r w:rsidR="003B5DE7" w:rsidRPr="001D105D">
        <w:t xml:space="preserve"> </w:t>
      </w:r>
      <w:r w:rsidR="00CE3792">
        <w:t xml:space="preserve">of </w:t>
      </w:r>
      <w:r w:rsidR="003B5DE7">
        <w:t xml:space="preserve">prevalent </w:t>
      </w:r>
      <w:r w:rsidRPr="001D105D">
        <w:t xml:space="preserve">patients </w:t>
      </w:r>
      <w:r>
        <w:t>supplied</w:t>
      </w:r>
      <w:r w:rsidRPr="001D105D">
        <w:t xml:space="preserve"> </w:t>
      </w:r>
      <w:r>
        <w:t xml:space="preserve">PPI drugs </w:t>
      </w:r>
      <w:r w:rsidRPr="001D105D">
        <w:t>per quarter</w:t>
      </w:r>
      <w:r w:rsidR="00C00662">
        <w:t xml:space="preserve"> </w:t>
      </w:r>
    </w:p>
    <w:p w14:paraId="55309449" w14:textId="4A75F56C" w:rsidR="00107BB6" w:rsidRPr="008E5BAE" w:rsidRDefault="00107BB6" w:rsidP="008E5BAE"/>
    <w:p w14:paraId="7FDDBBE2" w14:textId="3BBE38C4" w:rsidR="00025C70" w:rsidRDefault="00E30154" w:rsidP="008E5BAE">
      <w:pPr>
        <w:rPr>
          <w:b/>
        </w:rPr>
      </w:pPr>
      <w:r w:rsidRPr="00025C70">
        <w:t xml:space="preserve">Figure </w:t>
      </w:r>
      <w:r w:rsidR="00625E49" w:rsidRPr="00025C70">
        <w:t>1</w:t>
      </w:r>
      <w:r w:rsidRPr="00025C70">
        <w:t xml:space="preserve"> shows the </w:t>
      </w:r>
      <w:r w:rsidR="003B5DE7">
        <w:t xml:space="preserve">number </w:t>
      </w:r>
      <w:r w:rsidRPr="00025C70">
        <w:t xml:space="preserve">of </w:t>
      </w:r>
      <w:r w:rsidR="003B5DE7">
        <w:t xml:space="preserve">prevalent </w:t>
      </w:r>
      <w:r w:rsidRPr="00025C70">
        <w:t xml:space="preserve">patients supplied PPI drugs per quarter. From 2013 to 2021, </w:t>
      </w:r>
      <w:r w:rsidR="007B0B59">
        <w:t>the number of</w:t>
      </w:r>
      <w:r w:rsidR="006C7556">
        <w:t xml:space="preserve"> </w:t>
      </w:r>
      <w:r w:rsidR="007B0B59">
        <w:t xml:space="preserve">patients supplied </w:t>
      </w:r>
      <w:r w:rsidR="00A63255">
        <w:t>l</w:t>
      </w:r>
      <w:r w:rsidRPr="00025C70">
        <w:t>ansoprazole ha</w:t>
      </w:r>
      <w:r w:rsidR="00236D30">
        <w:t>d</w:t>
      </w:r>
      <w:r w:rsidRPr="00025C70">
        <w:t xml:space="preserve"> remained relatively stable, </w:t>
      </w:r>
      <w:r w:rsidR="007B0B59">
        <w:t xml:space="preserve">whilst </w:t>
      </w:r>
      <w:r w:rsidRPr="00025C70">
        <w:t>omeprazole and rabeprazole ha</w:t>
      </w:r>
      <w:r w:rsidR="007B0B59">
        <w:t>ve</w:t>
      </w:r>
      <w:r w:rsidRPr="00025C70">
        <w:t xml:space="preserve"> a slight decrease, with rabeprazole dropp</w:t>
      </w:r>
      <w:r w:rsidR="00024962" w:rsidRPr="00025C70">
        <w:t>ing</w:t>
      </w:r>
      <w:r w:rsidRPr="00025C70">
        <w:t xml:space="preserve"> at a slower rate than omeprazole. In Q1 2019, </w:t>
      </w:r>
      <w:r w:rsidR="007620FE">
        <w:t xml:space="preserve">the number of patients supplied </w:t>
      </w:r>
      <w:r w:rsidRPr="00025C70">
        <w:t>pantoprazole</w:t>
      </w:r>
      <w:r w:rsidR="00F864C6">
        <w:t xml:space="preserve"> </w:t>
      </w:r>
      <w:r w:rsidRPr="00025C70">
        <w:t>increase</w:t>
      </w:r>
      <w:r w:rsidR="00024962" w:rsidRPr="00025C70">
        <w:t>d</w:t>
      </w:r>
      <w:r w:rsidR="00F864C6">
        <w:t xml:space="preserve">, </w:t>
      </w:r>
      <w:r w:rsidR="006A71D1">
        <w:t>over</w:t>
      </w:r>
      <w:r w:rsidR="00024962" w:rsidRPr="00025C70">
        <w:t xml:space="preserve">taking </w:t>
      </w:r>
      <w:r w:rsidR="00B90E03">
        <w:t>the number of</w:t>
      </w:r>
      <w:r w:rsidR="005D544E">
        <w:t xml:space="preserve"> </w:t>
      </w:r>
      <w:r w:rsidR="00F864C6" w:rsidRPr="00025C70">
        <w:t>esomeprazole</w:t>
      </w:r>
      <w:r w:rsidR="00F864C6" w:rsidDel="00F864C6">
        <w:t xml:space="preserve"> </w:t>
      </w:r>
      <w:r w:rsidR="003B5DE7">
        <w:t>patients</w:t>
      </w:r>
      <w:r w:rsidR="003B5DE7" w:rsidRPr="00025C70">
        <w:t xml:space="preserve"> </w:t>
      </w:r>
      <w:r w:rsidR="00F864C6">
        <w:t>in Q4 2019</w:t>
      </w:r>
      <w:r w:rsidR="006A71D1">
        <w:t xml:space="preserve">. The </w:t>
      </w:r>
      <w:r w:rsidR="00F864C6">
        <w:t>number of pantoprazole patients</w:t>
      </w:r>
      <w:r w:rsidR="00F864C6" w:rsidRPr="00025C70">
        <w:t xml:space="preserve"> </w:t>
      </w:r>
      <w:r w:rsidR="00A14263" w:rsidRPr="00025C70">
        <w:t>continued</w:t>
      </w:r>
      <w:r w:rsidRPr="00025C70">
        <w:t xml:space="preserve"> </w:t>
      </w:r>
      <w:r w:rsidR="00024962" w:rsidRPr="00025C70">
        <w:t>to increase,</w:t>
      </w:r>
      <w:r w:rsidRPr="00025C70">
        <w:t xml:space="preserve"> while esomeprazole started decreasing in Q4 2018 and appeared to </w:t>
      </w:r>
      <w:r w:rsidR="00024962" w:rsidRPr="00025C70">
        <w:t>stabilise</w:t>
      </w:r>
      <w:r w:rsidRPr="00025C70">
        <w:t xml:space="preserve"> between Q2-Q3 2020.</w:t>
      </w:r>
      <w:r w:rsidR="008612CF" w:rsidRPr="00025C70">
        <w:t xml:space="preserve">  </w:t>
      </w:r>
      <w:r w:rsidR="005320BB">
        <w:t xml:space="preserve">Interestingly, </w:t>
      </w:r>
      <w:r w:rsidR="00197597">
        <w:t xml:space="preserve">the COVID-19 pandemic </w:t>
      </w:r>
      <w:r w:rsidR="00236D30">
        <w:t>appeared not to have</w:t>
      </w:r>
      <w:r w:rsidR="008855A7">
        <w:t xml:space="preserve"> </w:t>
      </w:r>
      <w:r w:rsidR="005320BB">
        <w:t>impact</w:t>
      </w:r>
      <w:r w:rsidR="00236D30">
        <w:t>ed</w:t>
      </w:r>
      <w:r w:rsidR="005320BB">
        <w:t xml:space="preserve"> the utilisation of PPI medicine as there appear</w:t>
      </w:r>
      <w:r w:rsidR="00236D30">
        <w:t>ed</w:t>
      </w:r>
      <w:r w:rsidR="005320BB">
        <w:t xml:space="preserve"> to be no decrease from 2020. </w:t>
      </w:r>
    </w:p>
    <w:p w14:paraId="46657DB6" w14:textId="3E94897B" w:rsidR="004F517D" w:rsidRPr="008E5BAE" w:rsidRDefault="004F517D" w:rsidP="008E5BAE"/>
    <w:p w14:paraId="636B0FC5" w14:textId="77777777" w:rsidR="004F517D" w:rsidRPr="008E5BAE" w:rsidRDefault="004F517D" w:rsidP="008E5BAE"/>
    <w:p w14:paraId="2581B30D" w14:textId="34D529D7" w:rsidR="004250AB" w:rsidRDefault="004250AB" w:rsidP="008E5BAE">
      <w:r>
        <w:rPr>
          <w:noProof/>
        </w:rPr>
        <w:lastRenderedPageBreak/>
        <w:drawing>
          <wp:inline distT="0" distB="0" distL="0" distR="0" wp14:anchorId="70B2E57C" wp14:editId="42A873FD">
            <wp:extent cx="5615796" cy="3493698"/>
            <wp:effectExtent l="0" t="0" r="4445" b="12065"/>
            <wp:docPr id="8" name="Chart 8" descr="Figure 2: Initiating patients supplied PPI prescriptions by quarter ">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2F4603" w14:textId="43E1EB06" w:rsidR="008E5BAE" w:rsidRPr="008E5BAE" w:rsidRDefault="008E5BAE" w:rsidP="008E5BAE">
      <w:pPr>
        <w:pStyle w:val="Figuretitle"/>
        <w:ind w:right="-115"/>
      </w:pPr>
      <w:r w:rsidRPr="001D105D">
        <w:t>Figure</w:t>
      </w:r>
      <w:r>
        <w:t xml:space="preserve"> 2</w:t>
      </w:r>
      <w:r w:rsidRPr="001D105D">
        <w:t>:</w:t>
      </w:r>
      <w:r>
        <w:t xml:space="preserve"> Initiating patients supplied PPI prescriptions by</w:t>
      </w:r>
      <w:r w:rsidRPr="001D105D">
        <w:t xml:space="preserve"> quarter</w:t>
      </w:r>
      <w:r>
        <w:t xml:space="preserve"> </w:t>
      </w:r>
    </w:p>
    <w:p w14:paraId="12E51A71" w14:textId="4D021D85" w:rsidR="005F51BE" w:rsidRDefault="00C77615" w:rsidP="005F51BE">
      <w:pPr>
        <w:rPr>
          <w:rFonts w:ascii="Calibri" w:eastAsia="Times New Roman" w:hAnsi="Calibri" w:cs="Calibri"/>
          <w:color w:val="000000"/>
        </w:rPr>
      </w:pPr>
      <w:r>
        <w:rPr>
          <w:lang w:val="en-US"/>
        </w:rPr>
        <w:t xml:space="preserve">Figure </w:t>
      </w:r>
      <w:r w:rsidR="00625E49">
        <w:rPr>
          <w:lang w:val="en-US"/>
        </w:rPr>
        <w:t xml:space="preserve">2 </w:t>
      </w:r>
      <w:r>
        <w:rPr>
          <w:lang w:val="en-US"/>
        </w:rPr>
        <w:t xml:space="preserve">shows the number of initiating patients supplied PPI prescriptions by quarter. </w:t>
      </w:r>
      <w:r w:rsidR="00930541">
        <w:rPr>
          <w:lang w:val="en-US"/>
        </w:rPr>
        <w:t>From Q</w:t>
      </w:r>
      <w:r w:rsidR="005F51BE">
        <w:rPr>
          <w:lang w:val="en-US"/>
        </w:rPr>
        <w:t>2</w:t>
      </w:r>
      <w:r w:rsidR="00930541">
        <w:rPr>
          <w:lang w:val="en-US"/>
        </w:rPr>
        <w:t xml:space="preserve"> 2019 there is an i</w:t>
      </w:r>
      <w:r w:rsidR="00CE6F72">
        <w:rPr>
          <w:lang w:val="en-US"/>
        </w:rPr>
        <w:t xml:space="preserve">ncrease in </w:t>
      </w:r>
      <w:r w:rsidR="00A63255">
        <w:rPr>
          <w:lang w:val="en-US"/>
        </w:rPr>
        <w:t>p</w:t>
      </w:r>
      <w:r w:rsidR="00CE6F72">
        <w:rPr>
          <w:lang w:val="en-US"/>
        </w:rPr>
        <w:t>antoprazole</w:t>
      </w:r>
      <w:r w:rsidR="005F51BE">
        <w:rPr>
          <w:lang w:val="en-US"/>
        </w:rPr>
        <w:t xml:space="preserve"> (99</w:t>
      </w:r>
      <w:r w:rsidR="00B90E03">
        <w:rPr>
          <w:lang w:val="en-US"/>
        </w:rPr>
        <w:t>,</w:t>
      </w:r>
      <w:r w:rsidR="005F51BE">
        <w:rPr>
          <w:lang w:val="en-US"/>
        </w:rPr>
        <w:t>195 patients)</w:t>
      </w:r>
      <w:r w:rsidR="00CE6F72">
        <w:rPr>
          <w:lang w:val="en-US"/>
        </w:rPr>
        <w:t xml:space="preserve"> at the same time there is a </w:t>
      </w:r>
      <w:r w:rsidR="00930541">
        <w:rPr>
          <w:lang w:val="en-US"/>
        </w:rPr>
        <w:t>significant decrease</w:t>
      </w:r>
      <w:r w:rsidR="00CE6F72">
        <w:rPr>
          <w:lang w:val="en-US"/>
        </w:rPr>
        <w:t xml:space="preserve"> in </w:t>
      </w:r>
      <w:r w:rsidR="00A63255">
        <w:rPr>
          <w:lang w:val="en-US"/>
        </w:rPr>
        <w:t>e</w:t>
      </w:r>
      <w:r w:rsidR="00930541">
        <w:rPr>
          <w:lang w:val="en-US"/>
        </w:rPr>
        <w:t>someprazole</w:t>
      </w:r>
      <w:r w:rsidR="005F51BE">
        <w:rPr>
          <w:lang w:val="en-US"/>
        </w:rPr>
        <w:t xml:space="preserve"> (53</w:t>
      </w:r>
      <w:r w:rsidR="00B90E03">
        <w:rPr>
          <w:lang w:val="en-US"/>
        </w:rPr>
        <w:t>,</w:t>
      </w:r>
      <w:r w:rsidR="005F51BE">
        <w:rPr>
          <w:lang w:val="en-US"/>
        </w:rPr>
        <w:t>653 patients)</w:t>
      </w:r>
      <w:r w:rsidR="00CE6F72">
        <w:rPr>
          <w:lang w:val="en-US"/>
        </w:rPr>
        <w:t xml:space="preserve">. Rabeprazole, omeprazole and lansoprazole has </w:t>
      </w:r>
      <w:r w:rsidR="00CE6F72" w:rsidRPr="005F51BE">
        <w:rPr>
          <w:lang w:val="en-US"/>
        </w:rPr>
        <w:t>remained relatively consistent from 2019, a minor increase in 2019.</w:t>
      </w:r>
      <w:r w:rsidR="005F51BE" w:rsidRPr="007325D3">
        <w:rPr>
          <w:lang w:val="en-US"/>
        </w:rPr>
        <w:t xml:space="preserve"> In total</w:t>
      </w:r>
      <w:r w:rsidR="005F51BE" w:rsidRPr="00361D32">
        <w:rPr>
          <w:lang w:val="en-US"/>
        </w:rPr>
        <w:t xml:space="preserve">, there was </w:t>
      </w:r>
      <w:r w:rsidR="005F51BE" w:rsidRPr="00827F98">
        <w:rPr>
          <w:rFonts w:ascii="Calibri" w:eastAsia="Times New Roman" w:hAnsi="Calibri" w:cs="Calibri"/>
          <w:color w:val="000000"/>
        </w:rPr>
        <w:t>2</w:t>
      </w:r>
      <w:r w:rsidR="00A342CD">
        <w:rPr>
          <w:rFonts w:ascii="Calibri" w:eastAsia="Times New Roman" w:hAnsi="Calibri" w:cs="Calibri"/>
          <w:color w:val="000000"/>
        </w:rPr>
        <w:t>,</w:t>
      </w:r>
      <w:r w:rsidR="005F51BE" w:rsidRPr="00827F98">
        <w:rPr>
          <w:rFonts w:ascii="Calibri" w:eastAsia="Times New Roman" w:hAnsi="Calibri" w:cs="Calibri"/>
          <w:color w:val="000000"/>
        </w:rPr>
        <w:t>596</w:t>
      </w:r>
      <w:r w:rsidR="00A342CD">
        <w:rPr>
          <w:rFonts w:ascii="Calibri" w:eastAsia="Times New Roman" w:hAnsi="Calibri" w:cs="Calibri"/>
          <w:color w:val="000000"/>
        </w:rPr>
        <w:t>,</w:t>
      </w:r>
      <w:r w:rsidR="005F51BE" w:rsidRPr="00827F98">
        <w:rPr>
          <w:rFonts w:ascii="Calibri" w:eastAsia="Times New Roman" w:hAnsi="Calibri" w:cs="Calibri"/>
          <w:color w:val="000000"/>
        </w:rPr>
        <w:t>039 patients administered esomeprazole from 2014 – 2021 while there w</w:t>
      </w:r>
      <w:r w:rsidR="0031179D">
        <w:rPr>
          <w:rFonts w:ascii="Calibri" w:eastAsia="Times New Roman" w:hAnsi="Calibri" w:cs="Calibri"/>
          <w:color w:val="000000"/>
        </w:rPr>
        <w:t>ere</w:t>
      </w:r>
      <w:r w:rsidR="005F51BE" w:rsidRPr="00827F98">
        <w:rPr>
          <w:rFonts w:ascii="Calibri" w:eastAsia="Times New Roman" w:hAnsi="Calibri" w:cs="Calibri"/>
          <w:color w:val="000000"/>
        </w:rPr>
        <w:t xml:space="preserve"> 3</w:t>
      </w:r>
      <w:r w:rsidR="00A342CD">
        <w:rPr>
          <w:rFonts w:ascii="Calibri" w:eastAsia="Times New Roman" w:hAnsi="Calibri" w:cs="Calibri"/>
          <w:color w:val="000000"/>
        </w:rPr>
        <w:t>,</w:t>
      </w:r>
      <w:r w:rsidR="005F51BE" w:rsidRPr="00827F98">
        <w:rPr>
          <w:rFonts w:ascii="Calibri" w:eastAsia="Times New Roman" w:hAnsi="Calibri" w:cs="Calibri"/>
          <w:color w:val="000000"/>
        </w:rPr>
        <w:t>014</w:t>
      </w:r>
      <w:r w:rsidR="00A342CD">
        <w:rPr>
          <w:rFonts w:ascii="Calibri" w:eastAsia="Times New Roman" w:hAnsi="Calibri" w:cs="Calibri"/>
          <w:color w:val="000000"/>
        </w:rPr>
        <w:t>,</w:t>
      </w:r>
      <w:r w:rsidR="005F51BE" w:rsidRPr="00827F98">
        <w:rPr>
          <w:rFonts w:ascii="Calibri" w:eastAsia="Times New Roman" w:hAnsi="Calibri" w:cs="Calibri"/>
          <w:color w:val="000000"/>
        </w:rPr>
        <w:t xml:space="preserve">576 patients administered pantoprazole from the same </w:t>
      </w:r>
      <w:r w:rsidR="00407F67" w:rsidRPr="00827F98">
        <w:rPr>
          <w:rFonts w:ascii="Calibri" w:eastAsia="Times New Roman" w:hAnsi="Calibri" w:cs="Calibri"/>
          <w:color w:val="000000"/>
        </w:rPr>
        <w:t>time</w:t>
      </w:r>
      <w:r w:rsidR="005F51BE" w:rsidRPr="00827F98">
        <w:rPr>
          <w:rFonts w:ascii="Calibri" w:eastAsia="Times New Roman" w:hAnsi="Calibri" w:cs="Calibri"/>
          <w:color w:val="000000"/>
        </w:rPr>
        <w:t>.</w:t>
      </w:r>
    </w:p>
    <w:p w14:paraId="65335713" w14:textId="77777777" w:rsidR="008E5BAE" w:rsidRPr="005F51BE" w:rsidRDefault="008E5BAE" w:rsidP="005F51BE">
      <w:pPr>
        <w:rPr>
          <w:rFonts w:ascii="Calibri" w:eastAsia="Times New Roman" w:hAnsi="Calibri" w:cs="Calibri"/>
          <w:b/>
          <w:bCs/>
          <w:color w:val="000000"/>
          <w:sz w:val="22"/>
          <w:szCs w:val="22"/>
        </w:rPr>
      </w:pPr>
    </w:p>
    <w:p w14:paraId="0A9C7AA5" w14:textId="77777777" w:rsidR="008E5BAE" w:rsidRDefault="008E5BAE">
      <w:pPr>
        <w:spacing w:line="276" w:lineRule="auto"/>
        <w:rPr>
          <w:b/>
          <w:lang w:val="en-US"/>
        </w:rPr>
      </w:pPr>
      <w:r>
        <w:br w:type="page"/>
      </w:r>
    </w:p>
    <w:p w14:paraId="5F2862A5" w14:textId="7DA052FC" w:rsidR="00860071" w:rsidRDefault="00860071" w:rsidP="0089111E">
      <w:pPr>
        <w:pStyle w:val="Figuretitle"/>
      </w:pPr>
      <w:r w:rsidRPr="001D105D">
        <w:lastRenderedPageBreak/>
        <w:t xml:space="preserve">Table 1: </w:t>
      </w:r>
      <w:r>
        <w:t xml:space="preserve">PPI drug </w:t>
      </w:r>
      <w:r w:rsidRPr="001D105D">
        <w:t>prescription</w:t>
      </w:r>
      <w:r>
        <w:t>s dispensed</w:t>
      </w:r>
      <w:r w:rsidRPr="001D105D">
        <w:t xml:space="preserve"> </w:t>
      </w:r>
      <w:r>
        <w:t xml:space="preserve">by drug </w:t>
      </w:r>
      <w:r w:rsidRPr="001D105D">
        <w:t>by year</w:t>
      </w:r>
    </w:p>
    <w:tbl>
      <w:tblPr>
        <w:tblW w:w="5585" w:type="pct"/>
        <w:tblInd w:w="-638" w:type="dxa"/>
        <w:tblCellMar>
          <w:left w:w="28" w:type="dxa"/>
          <w:right w:w="28" w:type="dxa"/>
        </w:tblCellMar>
        <w:tblLook w:val="04A0" w:firstRow="1" w:lastRow="0" w:firstColumn="1" w:lastColumn="0" w:noHBand="0" w:noVBand="1"/>
      </w:tblPr>
      <w:tblGrid>
        <w:gridCol w:w="1943"/>
        <w:gridCol w:w="795"/>
        <w:gridCol w:w="795"/>
        <w:gridCol w:w="795"/>
        <w:gridCol w:w="795"/>
        <w:gridCol w:w="795"/>
        <w:gridCol w:w="795"/>
        <w:gridCol w:w="795"/>
        <w:gridCol w:w="795"/>
        <w:gridCol w:w="795"/>
        <w:gridCol w:w="885"/>
      </w:tblGrid>
      <w:tr w:rsidR="00247EEA" w:rsidRPr="000558BD" w14:paraId="260D3ED2" w14:textId="77777777" w:rsidTr="008E5BAE">
        <w:trPr>
          <w:cantSplit/>
          <w:trHeight w:val="227"/>
          <w:tblHeader/>
        </w:trPr>
        <w:tc>
          <w:tcPr>
            <w:tcW w:w="5000" w:type="pct"/>
            <w:gridSpan w:val="11"/>
            <w:tcBorders>
              <w:top w:val="single" w:sz="8" w:space="0" w:color="auto"/>
              <w:left w:val="single" w:sz="8" w:space="0" w:color="auto"/>
              <w:bottom w:val="single" w:sz="8" w:space="0" w:color="auto"/>
              <w:right w:val="single" w:sz="8" w:space="0" w:color="000000"/>
            </w:tcBorders>
            <w:shd w:val="clear" w:color="000000" w:fill="BFBFBF"/>
            <w:vAlign w:val="center"/>
            <w:hideMark/>
          </w:tcPr>
          <w:p w14:paraId="16D93685"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Prescription count</w:t>
            </w:r>
          </w:p>
        </w:tc>
      </w:tr>
      <w:tr w:rsidR="00247EEA" w:rsidRPr="000558BD" w14:paraId="0DC775A5" w14:textId="77777777" w:rsidTr="0094561B">
        <w:trPr>
          <w:cantSplit/>
          <w:trHeight w:val="227"/>
          <w:tblHeader/>
        </w:trPr>
        <w:tc>
          <w:tcPr>
            <w:tcW w:w="973" w:type="pct"/>
            <w:tcBorders>
              <w:top w:val="nil"/>
              <w:left w:val="single" w:sz="8" w:space="0" w:color="auto"/>
              <w:bottom w:val="single" w:sz="4" w:space="0" w:color="auto"/>
              <w:right w:val="single" w:sz="8" w:space="0" w:color="auto"/>
            </w:tcBorders>
            <w:shd w:val="clear" w:color="000000" w:fill="BFBFBF"/>
            <w:noWrap/>
            <w:vAlign w:val="center"/>
            <w:hideMark/>
          </w:tcPr>
          <w:p w14:paraId="652FC219"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Drug</w:t>
            </w:r>
          </w:p>
        </w:tc>
        <w:tc>
          <w:tcPr>
            <w:tcW w:w="398" w:type="pct"/>
            <w:tcBorders>
              <w:top w:val="nil"/>
              <w:left w:val="nil"/>
              <w:bottom w:val="single" w:sz="4" w:space="0" w:color="auto"/>
              <w:right w:val="single" w:sz="8" w:space="0" w:color="auto"/>
            </w:tcBorders>
            <w:shd w:val="clear" w:color="000000" w:fill="BFBFBF"/>
            <w:vAlign w:val="center"/>
            <w:hideMark/>
          </w:tcPr>
          <w:p w14:paraId="743621AE" w14:textId="72168432"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2013</w:t>
            </w:r>
          </w:p>
        </w:tc>
        <w:tc>
          <w:tcPr>
            <w:tcW w:w="398" w:type="pct"/>
            <w:tcBorders>
              <w:top w:val="nil"/>
              <w:left w:val="nil"/>
              <w:bottom w:val="single" w:sz="4" w:space="0" w:color="auto"/>
              <w:right w:val="single" w:sz="8" w:space="0" w:color="auto"/>
            </w:tcBorders>
            <w:shd w:val="clear" w:color="000000" w:fill="BFBFBF"/>
            <w:vAlign w:val="center"/>
            <w:hideMark/>
          </w:tcPr>
          <w:p w14:paraId="5BB6FFED" w14:textId="41E755BB"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2014</w:t>
            </w:r>
          </w:p>
        </w:tc>
        <w:tc>
          <w:tcPr>
            <w:tcW w:w="398" w:type="pct"/>
            <w:tcBorders>
              <w:top w:val="nil"/>
              <w:left w:val="single" w:sz="8" w:space="0" w:color="auto"/>
              <w:bottom w:val="single" w:sz="8" w:space="0" w:color="000000"/>
              <w:right w:val="single" w:sz="8" w:space="0" w:color="auto"/>
            </w:tcBorders>
            <w:shd w:val="clear" w:color="000000" w:fill="BFBFBF"/>
            <w:noWrap/>
            <w:vAlign w:val="center"/>
            <w:hideMark/>
          </w:tcPr>
          <w:p w14:paraId="168520B6"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2015</w:t>
            </w:r>
          </w:p>
        </w:tc>
        <w:tc>
          <w:tcPr>
            <w:tcW w:w="398" w:type="pct"/>
            <w:tcBorders>
              <w:top w:val="nil"/>
              <w:left w:val="single" w:sz="8" w:space="0" w:color="auto"/>
              <w:bottom w:val="single" w:sz="8" w:space="0" w:color="000000"/>
              <w:right w:val="single" w:sz="8" w:space="0" w:color="auto"/>
            </w:tcBorders>
            <w:shd w:val="clear" w:color="000000" w:fill="BFBFBF"/>
            <w:noWrap/>
            <w:vAlign w:val="center"/>
            <w:hideMark/>
          </w:tcPr>
          <w:p w14:paraId="0C449207"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2016</w:t>
            </w:r>
          </w:p>
        </w:tc>
        <w:tc>
          <w:tcPr>
            <w:tcW w:w="398" w:type="pct"/>
            <w:tcBorders>
              <w:top w:val="nil"/>
              <w:left w:val="single" w:sz="8" w:space="0" w:color="auto"/>
              <w:bottom w:val="single" w:sz="8" w:space="0" w:color="000000"/>
              <w:right w:val="single" w:sz="8" w:space="0" w:color="auto"/>
            </w:tcBorders>
            <w:shd w:val="clear" w:color="000000" w:fill="BFBFBF"/>
            <w:noWrap/>
            <w:vAlign w:val="center"/>
            <w:hideMark/>
          </w:tcPr>
          <w:p w14:paraId="3DA2DAF4"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2017</w:t>
            </w:r>
          </w:p>
        </w:tc>
        <w:tc>
          <w:tcPr>
            <w:tcW w:w="398" w:type="pct"/>
            <w:tcBorders>
              <w:top w:val="nil"/>
              <w:left w:val="single" w:sz="8" w:space="0" w:color="auto"/>
              <w:bottom w:val="single" w:sz="8" w:space="0" w:color="000000"/>
              <w:right w:val="single" w:sz="8" w:space="0" w:color="auto"/>
            </w:tcBorders>
            <w:shd w:val="clear" w:color="000000" w:fill="BFBFBF"/>
            <w:noWrap/>
            <w:vAlign w:val="center"/>
            <w:hideMark/>
          </w:tcPr>
          <w:p w14:paraId="2BB69643"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2018</w:t>
            </w:r>
          </w:p>
        </w:tc>
        <w:tc>
          <w:tcPr>
            <w:tcW w:w="398" w:type="pct"/>
            <w:tcBorders>
              <w:top w:val="nil"/>
              <w:left w:val="single" w:sz="8" w:space="0" w:color="auto"/>
              <w:bottom w:val="single" w:sz="8" w:space="0" w:color="000000"/>
              <w:right w:val="single" w:sz="8" w:space="0" w:color="auto"/>
            </w:tcBorders>
            <w:shd w:val="clear" w:color="000000" w:fill="BFBFBF"/>
            <w:noWrap/>
            <w:vAlign w:val="center"/>
            <w:hideMark/>
          </w:tcPr>
          <w:p w14:paraId="16AF5718"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2019</w:t>
            </w:r>
          </w:p>
        </w:tc>
        <w:tc>
          <w:tcPr>
            <w:tcW w:w="398" w:type="pct"/>
            <w:tcBorders>
              <w:top w:val="nil"/>
              <w:left w:val="single" w:sz="8" w:space="0" w:color="auto"/>
              <w:bottom w:val="single" w:sz="8" w:space="0" w:color="000000"/>
              <w:right w:val="single" w:sz="8" w:space="0" w:color="auto"/>
            </w:tcBorders>
            <w:shd w:val="clear" w:color="000000" w:fill="BFBFBF"/>
            <w:noWrap/>
            <w:vAlign w:val="center"/>
            <w:hideMark/>
          </w:tcPr>
          <w:p w14:paraId="5FACE385"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2020</w:t>
            </w:r>
          </w:p>
        </w:tc>
        <w:tc>
          <w:tcPr>
            <w:tcW w:w="398" w:type="pct"/>
            <w:tcBorders>
              <w:top w:val="nil"/>
              <w:left w:val="single" w:sz="8" w:space="0" w:color="auto"/>
              <w:bottom w:val="single" w:sz="8" w:space="0" w:color="000000"/>
              <w:right w:val="single" w:sz="8" w:space="0" w:color="auto"/>
            </w:tcBorders>
            <w:shd w:val="clear" w:color="000000" w:fill="BFBFBF"/>
            <w:noWrap/>
            <w:vAlign w:val="center"/>
            <w:hideMark/>
          </w:tcPr>
          <w:p w14:paraId="06A1612D"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2021</w:t>
            </w:r>
          </w:p>
        </w:tc>
        <w:tc>
          <w:tcPr>
            <w:tcW w:w="443" w:type="pct"/>
            <w:tcBorders>
              <w:top w:val="nil"/>
              <w:left w:val="single" w:sz="8" w:space="0" w:color="auto"/>
              <w:bottom w:val="single" w:sz="8" w:space="0" w:color="000000"/>
              <w:right w:val="single" w:sz="8" w:space="0" w:color="auto"/>
            </w:tcBorders>
            <w:shd w:val="clear" w:color="000000" w:fill="BFBFBF"/>
            <w:noWrap/>
            <w:vAlign w:val="center"/>
            <w:hideMark/>
          </w:tcPr>
          <w:p w14:paraId="7819B87C" w14:textId="77777777" w:rsidR="00247EEA" w:rsidRPr="00B51E5A" w:rsidRDefault="00247EEA" w:rsidP="00A342CD">
            <w:pPr>
              <w:spacing w:after="0"/>
              <w:ind w:left="-244" w:firstLine="244"/>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Grand Total</w:t>
            </w:r>
          </w:p>
        </w:tc>
      </w:tr>
      <w:tr w:rsidR="00247EEA" w:rsidRPr="000558BD" w14:paraId="20DA631F" w14:textId="77777777" w:rsidTr="0094561B">
        <w:trPr>
          <w:cantSplit/>
          <w:trHeight w:val="537"/>
          <w:tblHeader/>
        </w:trPr>
        <w:tc>
          <w:tcPr>
            <w:tcW w:w="9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43192" w14:textId="77777777"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ESOMEPRAZOLE</w:t>
            </w: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E9B23" w14:textId="4484853B"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8,273,359</w:t>
            </w: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A2532D" w14:textId="2AF806D8"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8,735,006</w:t>
            </w:r>
          </w:p>
        </w:tc>
        <w:tc>
          <w:tcPr>
            <w:tcW w:w="398" w:type="pct"/>
            <w:vMerge w:val="restart"/>
            <w:tcBorders>
              <w:top w:val="nil"/>
              <w:left w:val="single" w:sz="4" w:space="0" w:color="auto"/>
              <w:bottom w:val="single" w:sz="8" w:space="0" w:color="000000"/>
              <w:right w:val="single" w:sz="8" w:space="0" w:color="auto"/>
            </w:tcBorders>
            <w:shd w:val="clear" w:color="auto" w:fill="auto"/>
            <w:noWrap/>
            <w:vAlign w:val="center"/>
            <w:hideMark/>
          </w:tcPr>
          <w:p w14:paraId="285DA770" w14:textId="082B6137"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8,875,445</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BED2F1C" w14:textId="033D3F2B"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9,285,425</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5351139" w14:textId="5FAD1356"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9,471,639</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FE29F8F" w14:textId="0DCBA55C"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9,462,314</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4100159" w14:textId="5893801B"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8,596,775</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510895B" w14:textId="2DA662CD"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8,346,582</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6720940" w14:textId="632927E4"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8,414,198</w:t>
            </w:r>
          </w:p>
        </w:tc>
        <w:tc>
          <w:tcPr>
            <w:tcW w:w="44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FD9C7FF" w14:textId="3CEC325D"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79,460,743</w:t>
            </w:r>
          </w:p>
        </w:tc>
      </w:tr>
      <w:tr w:rsidR="00247EEA" w:rsidRPr="000558BD" w14:paraId="01DFDD06" w14:textId="77777777" w:rsidTr="0094561B">
        <w:trPr>
          <w:cantSplit/>
          <w:trHeight w:val="537"/>
          <w:tblHeader/>
        </w:trPr>
        <w:tc>
          <w:tcPr>
            <w:tcW w:w="973" w:type="pct"/>
            <w:vMerge/>
            <w:tcBorders>
              <w:top w:val="single" w:sz="4" w:space="0" w:color="auto"/>
              <w:left w:val="single" w:sz="4" w:space="0" w:color="auto"/>
              <w:bottom w:val="single" w:sz="4" w:space="0" w:color="auto"/>
              <w:right w:val="single" w:sz="4" w:space="0" w:color="auto"/>
            </w:tcBorders>
            <w:vAlign w:val="center"/>
            <w:hideMark/>
          </w:tcPr>
          <w:p w14:paraId="75195BCC"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8E3A282"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7FDE49BD"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4" w:space="0" w:color="auto"/>
              <w:bottom w:val="single" w:sz="8" w:space="0" w:color="000000"/>
              <w:right w:val="single" w:sz="8" w:space="0" w:color="auto"/>
            </w:tcBorders>
            <w:vAlign w:val="center"/>
            <w:hideMark/>
          </w:tcPr>
          <w:p w14:paraId="0DBFC2D0"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0A14F73"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771B6DC"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0080E5BA"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6BF9AED7"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64B556A1"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BC952DB"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443" w:type="pct"/>
            <w:vMerge/>
            <w:tcBorders>
              <w:top w:val="nil"/>
              <w:left w:val="single" w:sz="8" w:space="0" w:color="auto"/>
              <w:bottom w:val="single" w:sz="8" w:space="0" w:color="000000"/>
              <w:right w:val="single" w:sz="8" w:space="0" w:color="auto"/>
            </w:tcBorders>
            <w:vAlign w:val="center"/>
            <w:hideMark/>
          </w:tcPr>
          <w:p w14:paraId="157C5269"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r>
      <w:tr w:rsidR="00247EEA" w:rsidRPr="000558BD" w14:paraId="06CAF7E9" w14:textId="77777777" w:rsidTr="0094561B">
        <w:trPr>
          <w:cantSplit/>
          <w:trHeight w:val="537"/>
          <w:tblHeader/>
        </w:trPr>
        <w:tc>
          <w:tcPr>
            <w:tcW w:w="973"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042EE7E8" w14:textId="77777777"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PANTOPRAZOLE</w:t>
            </w:r>
          </w:p>
        </w:tc>
        <w:tc>
          <w:tcPr>
            <w:tcW w:w="398"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6834FA8" w14:textId="4C550023"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5,446,700</w:t>
            </w:r>
          </w:p>
        </w:tc>
        <w:tc>
          <w:tcPr>
            <w:tcW w:w="398"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693961F" w14:textId="73F31D32"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5,930,980</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6F2F366" w14:textId="50B4093D"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6,361,915</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17060D4" w14:textId="25D34F97"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6,703,448</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F3F7783" w14:textId="36A112F2"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6,992,544</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0D8B5E8" w14:textId="5C60A581"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7,270,194</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4C74C8A" w14:textId="02BA2CAB"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7,695,023</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CD01A01" w14:textId="3B5057B1"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8,939,128</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6828A55" w14:textId="1440E44B"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9,588,286</w:t>
            </w:r>
          </w:p>
        </w:tc>
        <w:tc>
          <w:tcPr>
            <w:tcW w:w="44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9019CEB" w14:textId="1882C433"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64,928,218</w:t>
            </w:r>
          </w:p>
        </w:tc>
      </w:tr>
      <w:tr w:rsidR="00247EEA" w:rsidRPr="000558BD" w14:paraId="395FCB82" w14:textId="77777777" w:rsidTr="008E5BAE">
        <w:trPr>
          <w:cantSplit/>
          <w:trHeight w:val="537"/>
          <w:tblHeader/>
        </w:trPr>
        <w:tc>
          <w:tcPr>
            <w:tcW w:w="973" w:type="pct"/>
            <w:vMerge/>
            <w:tcBorders>
              <w:top w:val="nil"/>
              <w:left w:val="single" w:sz="8" w:space="0" w:color="auto"/>
              <w:bottom w:val="single" w:sz="8" w:space="0" w:color="000000"/>
              <w:right w:val="single" w:sz="8" w:space="0" w:color="auto"/>
            </w:tcBorders>
            <w:vAlign w:val="center"/>
            <w:hideMark/>
          </w:tcPr>
          <w:p w14:paraId="33955BF8"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03F60706"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0782110"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6B9918E9"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6B5D8207"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7D522938"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54045216"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44CE02DD"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2E50AF34"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685E2C57"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443" w:type="pct"/>
            <w:vMerge/>
            <w:tcBorders>
              <w:top w:val="nil"/>
              <w:left w:val="single" w:sz="8" w:space="0" w:color="auto"/>
              <w:bottom w:val="single" w:sz="8" w:space="0" w:color="000000"/>
              <w:right w:val="single" w:sz="8" w:space="0" w:color="auto"/>
            </w:tcBorders>
            <w:vAlign w:val="center"/>
            <w:hideMark/>
          </w:tcPr>
          <w:p w14:paraId="7FD7E642"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r>
      <w:tr w:rsidR="00247EEA" w:rsidRPr="000558BD" w14:paraId="320C71C6" w14:textId="77777777" w:rsidTr="008E5BAE">
        <w:trPr>
          <w:cantSplit/>
          <w:trHeight w:val="537"/>
          <w:tblHeader/>
        </w:trPr>
        <w:tc>
          <w:tcPr>
            <w:tcW w:w="97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B0F0B27" w14:textId="77777777"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RABEPRAZOLE</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7B2B913C" w14:textId="6BAD9FC8"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2,846,075</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516FA23B" w14:textId="7ED7B1E4"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2,898,715</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2AF9FF4" w14:textId="33D069F2"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2,885,752</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6982A68" w14:textId="5D7D34F7"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2,837,249</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69FBEA8" w14:textId="2765CF95"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2,748,789</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9621BEE" w14:textId="07D95788"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2,677,054</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3D65EB0" w14:textId="37FFAC10"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2,569,705</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1FB6EFE" w14:textId="6678A95E"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2,680,532</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5DDACDD" w14:textId="3E0666E5"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2,669,124</w:t>
            </w:r>
          </w:p>
        </w:tc>
        <w:tc>
          <w:tcPr>
            <w:tcW w:w="44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43D62AB" w14:textId="16A640AD"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24,812,995</w:t>
            </w:r>
          </w:p>
        </w:tc>
      </w:tr>
      <w:tr w:rsidR="00247EEA" w:rsidRPr="000558BD" w14:paraId="57588611" w14:textId="77777777" w:rsidTr="008E5BAE">
        <w:trPr>
          <w:cantSplit/>
          <w:trHeight w:val="537"/>
          <w:tblHeader/>
        </w:trPr>
        <w:tc>
          <w:tcPr>
            <w:tcW w:w="973" w:type="pct"/>
            <w:vMerge/>
            <w:tcBorders>
              <w:top w:val="nil"/>
              <w:left w:val="single" w:sz="8" w:space="0" w:color="auto"/>
              <w:bottom w:val="single" w:sz="8" w:space="0" w:color="000000"/>
              <w:right w:val="single" w:sz="8" w:space="0" w:color="auto"/>
            </w:tcBorders>
            <w:vAlign w:val="center"/>
            <w:hideMark/>
          </w:tcPr>
          <w:p w14:paraId="22757D6B"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0593D1A"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4A89D002"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23FDB418"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56F2CE9D"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3BED4B55"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96FBDBE"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6ECEEEE6"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3AFD555"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5B97E762"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443" w:type="pct"/>
            <w:vMerge/>
            <w:tcBorders>
              <w:top w:val="nil"/>
              <w:left w:val="single" w:sz="8" w:space="0" w:color="auto"/>
              <w:bottom w:val="single" w:sz="8" w:space="0" w:color="000000"/>
              <w:right w:val="single" w:sz="8" w:space="0" w:color="auto"/>
            </w:tcBorders>
            <w:vAlign w:val="center"/>
            <w:hideMark/>
          </w:tcPr>
          <w:p w14:paraId="6D947BB5"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r>
      <w:tr w:rsidR="00247EEA" w:rsidRPr="000558BD" w14:paraId="202C1008" w14:textId="77777777" w:rsidTr="008E5BAE">
        <w:trPr>
          <w:cantSplit/>
          <w:trHeight w:val="537"/>
          <w:tblHeader/>
        </w:trPr>
        <w:tc>
          <w:tcPr>
            <w:tcW w:w="97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A1C0D6B" w14:textId="77777777"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OMEPRAZOLE</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213BBA82" w14:textId="030BEC64"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2,903,727</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0B6ED1CA" w14:textId="7B786D00"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2,729,358</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572ED94" w14:textId="55FA8D71"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2,578,092</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5110D47" w14:textId="0810FCF3"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2,434,640</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A370D59" w14:textId="0EC4A20A"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2,287,272</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D07DDC8" w14:textId="2889101C"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2,142,970</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1D42250" w14:textId="2D3BB7AC"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2,001,793</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2353D0A" w14:textId="67020F7C"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2,047,374</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F738AB6" w14:textId="5518E542"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1,947,592</w:t>
            </w:r>
          </w:p>
        </w:tc>
        <w:tc>
          <w:tcPr>
            <w:tcW w:w="44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E9D5F7B" w14:textId="371FED51"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21,072,818</w:t>
            </w:r>
          </w:p>
        </w:tc>
      </w:tr>
      <w:tr w:rsidR="00247EEA" w:rsidRPr="000558BD" w14:paraId="6E185E61" w14:textId="77777777" w:rsidTr="008E5BAE">
        <w:trPr>
          <w:cantSplit/>
          <w:trHeight w:val="537"/>
          <w:tblHeader/>
        </w:trPr>
        <w:tc>
          <w:tcPr>
            <w:tcW w:w="973" w:type="pct"/>
            <w:vMerge/>
            <w:tcBorders>
              <w:top w:val="nil"/>
              <w:left w:val="single" w:sz="8" w:space="0" w:color="auto"/>
              <w:bottom w:val="single" w:sz="8" w:space="0" w:color="000000"/>
              <w:right w:val="single" w:sz="8" w:space="0" w:color="auto"/>
            </w:tcBorders>
            <w:vAlign w:val="center"/>
            <w:hideMark/>
          </w:tcPr>
          <w:p w14:paraId="556FC72A"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3C38824E"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5EEBC153"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56488F0"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4CE6155C"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31CE50C6"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52FD9A6A"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6619B038"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028A3AC6"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0BFD7D06"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443" w:type="pct"/>
            <w:vMerge/>
            <w:tcBorders>
              <w:top w:val="nil"/>
              <w:left w:val="single" w:sz="8" w:space="0" w:color="auto"/>
              <w:bottom w:val="single" w:sz="8" w:space="0" w:color="000000"/>
              <w:right w:val="single" w:sz="8" w:space="0" w:color="auto"/>
            </w:tcBorders>
            <w:vAlign w:val="center"/>
            <w:hideMark/>
          </w:tcPr>
          <w:p w14:paraId="16B2006A"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r>
      <w:tr w:rsidR="00247EEA" w:rsidRPr="000558BD" w14:paraId="2C0BCEC3" w14:textId="77777777" w:rsidTr="008E5BAE">
        <w:trPr>
          <w:cantSplit/>
          <w:trHeight w:val="537"/>
          <w:tblHeader/>
        </w:trPr>
        <w:tc>
          <w:tcPr>
            <w:tcW w:w="97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7E9AE05" w14:textId="77777777"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LANSOPRAZOLE</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1AC5B62F" w14:textId="5EE01C2F"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593,710</w:t>
            </w:r>
          </w:p>
        </w:tc>
        <w:tc>
          <w:tcPr>
            <w:tcW w:w="398" w:type="pct"/>
            <w:vMerge w:val="restart"/>
            <w:tcBorders>
              <w:top w:val="nil"/>
              <w:left w:val="single" w:sz="8" w:space="0" w:color="auto"/>
              <w:bottom w:val="single" w:sz="8" w:space="0" w:color="000000"/>
              <w:right w:val="single" w:sz="8" w:space="0" w:color="auto"/>
            </w:tcBorders>
            <w:shd w:val="clear" w:color="auto" w:fill="auto"/>
            <w:vAlign w:val="center"/>
            <w:hideMark/>
          </w:tcPr>
          <w:p w14:paraId="2DEADDAD" w14:textId="56A61628"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577,480</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646FCF5" w14:textId="3CACE9A1"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558,931</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C6304F2" w14:textId="508B8AF2"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536,260</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DC16565" w14:textId="145E4E5E"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513,301</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F5BB759" w14:textId="00F12792"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496,270</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C959B23" w14:textId="3E87C117"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479,783</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26D6456" w14:textId="790759E8"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508,833</w:t>
            </w:r>
          </w:p>
        </w:tc>
        <w:tc>
          <w:tcPr>
            <w:tcW w:w="398"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9AEE9D1" w14:textId="2A111AAF"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495,263</w:t>
            </w:r>
          </w:p>
        </w:tc>
        <w:tc>
          <w:tcPr>
            <w:tcW w:w="44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64CE812" w14:textId="6D3979B9"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4,759,831</w:t>
            </w:r>
          </w:p>
        </w:tc>
      </w:tr>
      <w:tr w:rsidR="00247EEA" w:rsidRPr="000558BD" w14:paraId="0A87392B" w14:textId="77777777" w:rsidTr="008E5BAE">
        <w:trPr>
          <w:cantSplit/>
          <w:trHeight w:val="537"/>
          <w:tblHeader/>
        </w:trPr>
        <w:tc>
          <w:tcPr>
            <w:tcW w:w="973" w:type="pct"/>
            <w:vMerge/>
            <w:tcBorders>
              <w:top w:val="nil"/>
              <w:left w:val="single" w:sz="8" w:space="0" w:color="auto"/>
              <w:bottom w:val="single" w:sz="8" w:space="0" w:color="000000"/>
              <w:right w:val="single" w:sz="8" w:space="0" w:color="auto"/>
            </w:tcBorders>
            <w:vAlign w:val="center"/>
            <w:hideMark/>
          </w:tcPr>
          <w:p w14:paraId="5C07DE7D"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34EF3E79"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593C725C"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7EFC1B6B"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28B4DC92"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3D7E9AE4"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3D08EC1A"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A568208"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03C7258E"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09F8785B"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443" w:type="pct"/>
            <w:vMerge/>
            <w:tcBorders>
              <w:top w:val="nil"/>
              <w:left w:val="single" w:sz="8" w:space="0" w:color="auto"/>
              <w:bottom w:val="single" w:sz="8" w:space="0" w:color="000000"/>
              <w:right w:val="single" w:sz="8" w:space="0" w:color="auto"/>
            </w:tcBorders>
            <w:vAlign w:val="center"/>
            <w:hideMark/>
          </w:tcPr>
          <w:p w14:paraId="1C2DDE47"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r>
      <w:tr w:rsidR="00247EEA" w:rsidRPr="000558BD" w14:paraId="7474BFF4" w14:textId="77777777" w:rsidTr="008E5BAE">
        <w:trPr>
          <w:cantSplit/>
          <w:trHeight w:val="537"/>
          <w:tblHeader/>
        </w:trPr>
        <w:tc>
          <w:tcPr>
            <w:tcW w:w="97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0A8F048"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Grand Total</w:t>
            </w:r>
          </w:p>
        </w:tc>
        <w:tc>
          <w:tcPr>
            <w:tcW w:w="3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C169C79" w14:textId="50FF995B"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20,063,571</w:t>
            </w:r>
          </w:p>
        </w:tc>
        <w:tc>
          <w:tcPr>
            <w:tcW w:w="3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A7DAF24" w14:textId="78AB084E"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20,871,539</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2B4CDBA" w14:textId="546A86C8"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21,260,135</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D44FD48" w14:textId="15C1769C"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21,797,022</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AB5B384" w14:textId="39EFEAE1"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22,013,545</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7B478D6" w14:textId="44129A05"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22,048,802</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18C982F" w14:textId="18AB9B51"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21,343,079</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9B73962" w14:textId="0A7242AD"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22,522,449</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5215D89" w14:textId="5C74AEED"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23,114,463</w:t>
            </w:r>
          </w:p>
        </w:tc>
        <w:tc>
          <w:tcPr>
            <w:tcW w:w="44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C0E310D" w14:textId="0367B043" w:rsidR="00247EEA" w:rsidRPr="00B51E5A" w:rsidRDefault="00247EEA" w:rsidP="00A342CD">
            <w:pPr>
              <w:spacing w:after="0"/>
              <w:jc w:val="center"/>
              <w:rPr>
                <w:rFonts w:ascii="Arial Narrow" w:eastAsia="Times New Roman" w:hAnsi="Arial Narrow" w:cstheme="minorHAnsi"/>
                <w:color w:val="000000"/>
                <w:sz w:val="18"/>
                <w:szCs w:val="18"/>
              </w:rPr>
            </w:pPr>
            <w:r w:rsidRPr="00B51E5A">
              <w:rPr>
                <w:rFonts w:ascii="Arial Narrow" w:eastAsia="Times New Roman" w:hAnsi="Arial Narrow" w:cstheme="minorHAnsi"/>
                <w:color w:val="000000"/>
                <w:sz w:val="18"/>
                <w:szCs w:val="18"/>
              </w:rPr>
              <w:t>195,034,605</w:t>
            </w:r>
          </w:p>
        </w:tc>
      </w:tr>
      <w:tr w:rsidR="00247EEA" w:rsidRPr="000558BD" w14:paraId="7EF03734" w14:textId="77777777" w:rsidTr="008E5BAE">
        <w:trPr>
          <w:cantSplit/>
          <w:trHeight w:val="537"/>
          <w:tblHeader/>
        </w:trPr>
        <w:tc>
          <w:tcPr>
            <w:tcW w:w="973" w:type="pct"/>
            <w:vMerge/>
            <w:tcBorders>
              <w:top w:val="nil"/>
              <w:left w:val="single" w:sz="8" w:space="0" w:color="auto"/>
              <w:bottom w:val="single" w:sz="8" w:space="0" w:color="000000"/>
              <w:right w:val="single" w:sz="8" w:space="0" w:color="auto"/>
            </w:tcBorders>
            <w:vAlign w:val="center"/>
            <w:hideMark/>
          </w:tcPr>
          <w:p w14:paraId="3DF4E216" w14:textId="77777777" w:rsidR="00247EEA" w:rsidRPr="0019030F" w:rsidRDefault="00247EEA" w:rsidP="00A342CD">
            <w:pPr>
              <w:spacing w:after="0"/>
              <w:jc w:val="center"/>
              <w:rPr>
                <w:rFonts w:ascii="Arial Narrow" w:eastAsia="Times New Roman" w:hAnsi="Arial Narrow" w:cstheme="minorHAnsi"/>
                <w:b/>
                <w:bCs/>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769235F0"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622C311F"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546552B2"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4E2247BC"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426E5AB"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334599F4"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02FEE66"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19D980D8"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398" w:type="pct"/>
            <w:vMerge/>
            <w:tcBorders>
              <w:top w:val="nil"/>
              <w:left w:val="single" w:sz="8" w:space="0" w:color="auto"/>
              <w:bottom w:val="single" w:sz="8" w:space="0" w:color="000000"/>
              <w:right w:val="single" w:sz="8" w:space="0" w:color="auto"/>
            </w:tcBorders>
            <w:vAlign w:val="center"/>
            <w:hideMark/>
          </w:tcPr>
          <w:p w14:paraId="4830A460"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c>
          <w:tcPr>
            <w:tcW w:w="443" w:type="pct"/>
            <w:vMerge/>
            <w:tcBorders>
              <w:top w:val="nil"/>
              <w:left w:val="single" w:sz="8" w:space="0" w:color="auto"/>
              <w:bottom w:val="single" w:sz="8" w:space="0" w:color="000000"/>
              <w:right w:val="single" w:sz="8" w:space="0" w:color="auto"/>
            </w:tcBorders>
            <w:vAlign w:val="center"/>
            <w:hideMark/>
          </w:tcPr>
          <w:p w14:paraId="0D1EE2C6" w14:textId="77777777" w:rsidR="00247EEA" w:rsidRPr="0019030F" w:rsidRDefault="00247EEA" w:rsidP="00A342CD">
            <w:pPr>
              <w:spacing w:after="0"/>
              <w:jc w:val="center"/>
              <w:rPr>
                <w:rFonts w:ascii="Arial Narrow" w:eastAsia="Times New Roman" w:hAnsi="Arial Narrow" w:cstheme="minorHAnsi"/>
                <w:color w:val="000000"/>
                <w:sz w:val="18"/>
                <w:szCs w:val="18"/>
              </w:rPr>
            </w:pPr>
          </w:p>
        </w:tc>
      </w:tr>
      <w:tr w:rsidR="00247EEA" w:rsidRPr="000558BD" w14:paraId="17AC0875" w14:textId="77777777" w:rsidTr="008E5BAE">
        <w:trPr>
          <w:cantSplit/>
          <w:trHeight w:val="537"/>
          <w:tblHeader/>
        </w:trPr>
        <w:tc>
          <w:tcPr>
            <w:tcW w:w="97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082C830"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Growth from previous year</w:t>
            </w:r>
          </w:p>
        </w:tc>
        <w:tc>
          <w:tcPr>
            <w:tcW w:w="3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446D4D9"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w:t>
            </w:r>
          </w:p>
        </w:tc>
        <w:tc>
          <w:tcPr>
            <w:tcW w:w="398" w:type="pct"/>
            <w:vMerge w:val="restart"/>
            <w:tcBorders>
              <w:top w:val="nil"/>
              <w:left w:val="nil"/>
              <w:right w:val="single" w:sz="8" w:space="0" w:color="auto"/>
            </w:tcBorders>
            <w:shd w:val="clear" w:color="000000" w:fill="FFFFFF"/>
            <w:vAlign w:val="center"/>
            <w:hideMark/>
          </w:tcPr>
          <w:p w14:paraId="7C604286" w14:textId="79FFB83F"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4.00%</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3E509A4"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1.90%</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4AF8EE6"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2.50%</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E0A01D7"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1.00%</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0F591B7"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0.20%</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7E3CFA8"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-3.20%</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9A22005"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5.50%</w:t>
            </w:r>
          </w:p>
        </w:tc>
        <w:tc>
          <w:tcPr>
            <w:tcW w:w="39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BB33E4E" w14:textId="77777777" w:rsidR="00247EEA" w:rsidRPr="00B51E5A" w:rsidRDefault="00247EEA" w:rsidP="00A342CD">
            <w:pPr>
              <w:spacing w:after="0"/>
              <w:jc w:val="center"/>
              <w:rPr>
                <w:rFonts w:ascii="Arial Narrow" w:eastAsia="Times New Roman" w:hAnsi="Arial Narrow" w:cstheme="minorHAnsi"/>
                <w:b/>
                <w:bCs/>
                <w:color w:val="000000"/>
                <w:sz w:val="18"/>
                <w:szCs w:val="18"/>
              </w:rPr>
            </w:pPr>
            <w:r w:rsidRPr="00B51E5A">
              <w:rPr>
                <w:rFonts w:ascii="Arial Narrow" w:eastAsia="Times New Roman" w:hAnsi="Arial Narrow" w:cstheme="minorHAnsi"/>
                <w:b/>
                <w:bCs/>
                <w:color w:val="000000"/>
                <w:sz w:val="18"/>
                <w:szCs w:val="18"/>
              </w:rPr>
              <w:t>2.60%</w:t>
            </w:r>
          </w:p>
        </w:tc>
        <w:tc>
          <w:tcPr>
            <w:tcW w:w="44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14:paraId="4669EBAF" w14:textId="3BE1BEFA" w:rsidR="00247EEA" w:rsidRPr="00B51E5A" w:rsidRDefault="00247EEA" w:rsidP="00A342CD">
            <w:pPr>
              <w:spacing w:after="0"/>
              <w:jc w:val="center"/>
              <w:rPr>
                <w:rFonts w:ascii="Arial Narrow" w:eastAsia="Times New Roman" w:hAnsi="Arial Narrow" w:cstheme="minorHAnsi"/>
                <w:b/>
                <w:bCs/>
                <w:color w:val="000000"/>
                <w:sz w:val="18"/>
                <w:szCs w:val="18"/>
              </w:rPr>
            </w:pPr>
          </w:p>
        </w:tc>
      </w:tr>
      <w:tr w:rsidR="00247EEA" w:rsidRPr="000558BD" w14:paraId="66792530" w14:textId="77777777" w:rsidTr="008E5BAE">
        <w:trPr>
          <w:trHeight w:val="537"/>
        </w:trPr>
        <w:tc>
          <w:tcPr>
            <w:tcW w:w="973" w:type="pct"/>
            <w:vMerge/>
            <w:tcBorders>
              <w:top w:val="nil"/>
              <w:left w:val="single" w:sz="8" w:space="0" w:color="auto"/>
              <w:bottom w:val="single" w:sz="8" w:space="0" w:color="000000"/>
              <w:right w:val="single" w:sz="8" w:space="0" w:color="auto"/>
            </w:tcBorders>
            <w:vAlign w:val="center"/>
            <w:hideMark/>
          </w:tcPr>
          <w:p w14:paraId="3DCD21BB" w14:textId="77777777" w:rsidR="00247EEA" w:rsidRPr="000558BD" w:rsidRDefault="00247EEA" w:rsidP="00A342CD">
            <w:pPr>
              <w:spacing w:after="0"/>
              <w:rPr>
                <w:rFonts w:ascii="Calibri" w:eastAsia="Times New Roman" w:hAnsi="Calibri" w:cs="Calibri"/>
                <w:b/>
                <w:bCs/>
                <w:color w:val="000000"/>
                <w:sz w:val="20"/>
                <w:szCs w:val="20"/>
              </w:rPr>
            </w:pPr>
          </w:p>
        </w:tc>
        <w:tc>
          <w:tcPr>
            <w:tcW w:w="398" w:type="pct"/>
            <w:vMerge/>
            <w:tcBorders>
              <w:top w:val="nil"/>
              <w:left w:val="single" w:sz="8" w:space="0" w:color="auto"/>
              <w:bottom w:val="single" w:sz="8" w:space="0" w:color="000000"/>
              <w:right w:val="single" w:sz="8" w:space="0" w:color="auto"/>
            </w:tcBorders>
            <w:vAlign w:val="center"/>
            <w:hideMark/>
          </w:tcPr>
          <w:p w14:paraId="0193E9BD" w14:textId="77777777" w:rsidR="00247EEA" w:rsidRPr="000558BD" w:rsidRDefault="00247EEA" w:rsidP="00A342CD">
            <w:pPr>
              <w:spacing w:after="0"/>
              <w:rPr>
                <w:rFonts w:ascii="Calibri" w:eastAsia="Times New Roman" w:hAnsi="Calibri" w:cs="Calibri"/>
                <w:b/>
                <w:bCs/>
                <w:color w:val="000000"/>
                <w:sz w:val="20"/>
                <w:szCs w:val="20"/>
              </w:rPr>
            </w:pPr>
          </w:p>
        </w:tc>
        <w:tc>
          <w:tcPr>
            <w:tcW w:w="398" w:type="pct"/>
            <w:vMerge/>
            <w:tcBorders>
              <w:left w:val="nil"/>
              <w:bottom w:val="single" w:sz="8" w:space="0" w:color="auto"/>
              <w:right w:val="single" w:sz="8" w:space="0" w:color="auto"/>
            </w:tcBorders>
            <w:shd w:val="clear" w:color="000000" w:fill="FFFFFF"/>
            <w:vAlign w:val="center"/>
            <w:hideMark/>
          </w:tcPr>
          <w:p w14:paraId="227AB33B" w14:textId="136A8F14" w:rsidR="00247EEA" w:rsidRPr="000558BD" w:rsidRDefault="00247EEA" w:rsidP="00A342CD">
            <w:pPr>
              <w:spacing w:after="0"/>
              <w:rPr>
                <w:rFonts w:ascii="Calibri" w:eastAsia="Times New Roman" w:hAnsi="Calibri" w:cs="Calibri"/>
                <w:b/>
                <w:bCs/>
                <w:color w:val="000000"/>
                <w:sz w:val="20"/>
                <w:szCs w:val="20"/>
              </w:rPr>
            </w:pPr>
          </w:p>
        </w:tc>
        <w:tc>
          <w:tcPr>
            <w:tcW w:w="398" w:type="pct"/>
            <w:vMerge/>
            <w:tcBorders>
              <w:top w:val="nil"/>
              <w:left w:val="single" w:sz="8" w:space="0" w:color="auto"/>
              <w:bottom w:val="single" w:sz="8" w:space="0" w:color="000000"/>
              <w:right w:val="single" w:sz="8" w:space="0" w:color="auto"/>
            </w:tcBorders>
            <w:vAlign w:val="center"/>
            <w:hideMark/>
          </w:tcPr>
          <w:p w14:paraId="583AA16B" w14:textId="77777777" w:rsidR="00247EEA" w:rsidRPr="000558BD" w:rsidRDefault="00247EEA" w:rsidP="00A342CD">
            <w:pPr>
              <w:spacing w:after="0"/>
              <w:rPr>
                <w:rFonts w:ascii="Calibri" w:eastAsia="Times New Roman" w:hAnsi="Calibri" w:cs="Calibri"/>
                <w:b/>
                <w:bCs/>
                <w:color w:val="000000"/>
                <w:sz w:val="20"/>
                <w:szCs w:val="20"/>
              </w:rPr>
            </w:pPr>
          </w:p>
        </w:tc>
        <w:tc>
          <w:tcPr>
            <w:tcW w:w="398" w:type="pct"/>
            <w:vMerge/>
            <w:tcBorders>
              <w:top w:val="nil"/>
              <w:left w:val="single" w:sz="8" w:space="0" w:color="auto"/>
              <w:bottom w:val="single" w:sz="8" w:space="0" w:color="000000"/>
              <w:right w:val="single" w:sz="8" w:space="0" w:color="auto"/>
            </w:tcBorders>
            <w:vAlign w:val="center"/>
            <w:hideMark/>
          </w:tcPr>
          <w:p w14:paraId="5C4F7A0C" w14:textId="77777777" w:rsidR="00247EEA" w:rsidRPr="000558BD" w:rsidRDefault="00247EEA" w:rsidP="00A342CD">
            <w:pPr>
              <w:spacing w:after="0"/>
              <w:rPr>
                <w:rFonts w:ascii="Calibri" w:eastAsia="Times New Roman" w:hAnsi="Calibri" w:cs="Calibri"/>
                <w:b/>
                <w:bCs/>
                <w:color w:val="000000"/>
                <w:sz w:val="20"/>
                <w:szCs w:val="20"/>
              </w:rPr>
            </w:pPr>
          </w:p>
        </w:tc>
        <w:tc>
          <w:tcPr>
            <w:tcW w:w="398" w:type="pct"/>
            <w:vMerge/>
            <w:tcBorders>
              <w:top w:val="nil"/>
              <w:left w:val="single" w:sz="8" w:space="0" w:color="auto"/>
              <w:bottom w:val="single" w:sz="8" w:space="0" w:color="000000"/>
              <w:right w:val="single" w:sz="8" w:space="0" w:color="auto"/>
            </w:tcBorders>
            <w:vAlign w:val="center"/>
            <w:hideMark/>
          </w:tcPr>
          <w:p w14:paraId="7009FD5E" w14:textId="77777777" w:rsidR="00247EEA" w:rsidRPr="000558BD" w:rsidRDefault="00247EEA" w:rsidP="00A342CD">
            <w:pPr>
              <w:spacing w:after="0"/>
              <w:rPr>
                <w:rFonts w:ascii="Calibri" w:eastAsia="Times New Roman" w:hAnsi="Calibri" w:cs="Calibri"/>
                <w:b/>
                <w:bCs/>
                <w:color w:val="000000"/>
                <w:sz w:val="20"/>
                <w:szCs w:val="20"/>
              </w:rPr>
            </w:pPr>
          </w:p>
        </w:tc>
        <w:tc>
          <w:tcPr>
            <w:tcW w:w="398" w:type="pct"/>
            <w:vMerge/>
            <w:tcBorders>
              <w:top w:val="nil"/>
              <w:left w:val="single" w:sz="8" w:space="0" w:color="auto"/>
              <w:bottom w:val="single" w:sz="8" w:space="0" w:color="000000"/>
              <w:right w:val="single" w:sz="8" w:space="0" w:color="auto"/>
            </w:tcBorders>
            <w:vAlign w:val="center"/>
            <w:hideMark/>
          </w:tcPr>
          <w:p w14:paraId="4A49E547" w14:textId="77777777" w:rsidR="00247EEA" w:rsidRPr="000558BD" w:rsidRDefault="00247EEA" w:rsidP="00A342CD">
            <w:pPr>
              <w:spacing w:after="0"/>
              <w:rPr>
                <w:rFonts w:ascii="Calibri" w:eastAsia="Times New Roman" w:hAnsi="Calibri" w:cs="Calibri"/>
                <w:b/>
                <w:bCs/>
                <w:color w:val="000000"/>
                <w:sz w:val="20"/>
                <w:szCs w:val="20"/>
              </w:rPr>
            </w:pPr>
          </w:p>
        </w:tc>
        <w:tc>
          <w:tcPr>
            <w:tcW w:w="398" w:type="pct"/>
            <w:vMerge/>
            <w:tcBorders>
              <w:top w:val="nil"/>
              <w:left w:val="single" w:sz="8" w:space="0" w:color="auto"/>
              <w:bottom w:val="single" w:sz="8" w:space="0" w:color="000000"/>
              <w:right w:val="single" w:sz="8" w:space="0" w:color="auto"/>
            </w:tcBorders>
            <w:vAlign w:val="center"/>
            <w:hideMark/>
          </w:tcPr>
          <w:p w14:paraId="0FED9E73" w14:textId="77777777" w:rsidR="00247EEA" w:rsidRPr="000558BD" w:rsidRDefault="00247EEA" w:rsidP="00A342CD">
            <w:pPr>
              <w:spacing w:after="0"/>
              <w:rPr>
                <w:rFonts w:ascii="Calibri" w:eastAsia="Times New Roman" w:hAnsi="Calibri" w:cs="Calibri"/>
                <w:b/>
                <w:bCs/>
                <w:color w:val="000000"/>
                <w:sz w:val="20"/>
                <w:szCs w:val="20"/>
              </w:rPr>
            </w:pPr>
          </w:p>
        </w:tc>
        <w:tc>
          <w:tcPr>
            <w:tcW w:w="398" w:type="pct"/>
            <w:vMerge/>
            <w:tcBorders>
              <w:top w:val="nil"/>
              <w:left w:val="single" w:sz="8" w:space="0" w:color="auto"/>
              <w:bottom w:val="single" w:sz="8" w:space="0" w:color="000000"/>
              <w:right w:val="single" w:sz="8" w:space="0" w:color="auto"/>
            </w:tcBorders>
            <w:vAlign w:val="center"/>
            <w:hideMark/>
          </w:tcPr>
          <w:p w14:paraId="29E46A76" w14:textId="77777777" w:rsidR="00247EEA" w:rsidRPr="000558BD" w:rsidRDefault="00247EEA" w:rsidP="00A342CD">
            <w:pPr>
              <w:spacing w:after="0"/>
              <w:rPr>
                <w:rFonts w:ascii="Calibri" w:eastAsia="Times New Roman" w:hAnsi="Calibri" w:cs="Calibri"/>
                <w:b/>
                <w:bCs/>
                <w:color w:val="000000"/>
                <w:sz w:val="20"/>
                <w:szCs w:val="20"/>
              </w:rPr>
            </w:pPr>
          </w:p>
        </w:tc>
        <w:tc>
          <w:tcPr>
            <w:tcW w:w="398" w:type="pct"/>
            <w:vMerge/>
            <w:tcBorders>
              <w:top w:val="nil"/>
              <w:left w:val="single" w:sz="8" w:space="0" w:color="auto"/>
              <w:bottom w:val="single" w:sz="8" w:space="0" w:color="000000"/>
              <w:right w:val="single" w:sz="8" w:space="0" w:color="auto"/>
            </w:tcBorders>
            <w:vAlign w:val="center"/>
            <w:hideMark/>
          </w:tcPr>
          <w:p w14:paraId="3AD4EBB0" w14:textId="77777777" w:rsidR="00247EEA" w:rsidRPr="000558BD" w:rsidRDefault="00247EEA" w:rsidP="00A342CD">
            <w:pPr>
              <w:spacing w:after="0"/>
              <w:rPr>
                <w:rFonts w:ascii="Calibri" w:eastAsia="Times New Roman" w:hAnsi="Calibri" w:cs="Calibri"/>
                <w:b/>
                <w:bCs/>
                <w:color w:val="000000"/>
                <w:sz w:val="20"/>
                <w:szCs w:val="20"/>
              </w:rPr>
            </w:pPr>
          </w:p>
        </w:tc>
        <w:tc>
          <w:tcPr>
            <w:tcW w:w="443" w:type="pct"/>
            <w:vMerge/>
            <w:tcBorders>
              <w:top w:val="nil"/>
              <w:left w:val="single" w:sz="8" w:space="0" w:color="auto"/>
              <w:bottom w:val="single" w:sz="8" w:space="0" w:color="000000"/>
              <w:right w:val="single" w:sz="8" w:space="0" w:color="auto"/>
            </w:tcBorders>
            <w:vAlign w:val="center"/>
            <w:hideMark/>
          </w:tcPr>
          <w:p w14:paraId="156288F8" w14:textId="77777777" w:rsidR="00247EEA" w:rsidRPr="000558BD" w:rsidRDefault="00247EEA" w:rsidP="00A342CD">
            <w:pPr>
              <w:spacing w:after="0"/>
              <w:rPr>
                <w:rFonts w:ascii="Calibri" w:eastAsia="Times New Roman" w:hAnsi="Calibri" w:cs="Calibri"/>
                <w:b/>
                <w:bCs/>
                <w:color w:val="000000"/>
                <w:sz w:val="20"/>
                <w:szCs w:val="20"/>
              </w:rPr>
            </w:pPr>
          </w:p>
        </w:tc>
      </w:tr>
    </w:tbl>
    <w:p w14:paraId="1930A3FE" w14:textId="77777777" w:rsidR="000558BD" w:rsidRPr="00BD3CD1" w:rsidRDefault="000558BD" w:rsidP="00860071"/>
    <w:p w14:paraId="0D1F6E24" w14:textId="6F8E2C46" w:rsidR="00860071" w:rsidRPr="00E93F62" w:rsidRDefault="00860071" w:rsidP="008E5BAE">
      <w:pPr>
        <w:rPr>
          <w:b/>
        </w:rPr>
      </w:pPr>
      <w:r w:rsidRPr="006A71D1">
        <w:t xml:space="preserve">Table </w:t>
      </w:r>
      <w:r w:rsidR="0072612D">
        <w:t>1</w:t>
      </w:r>
      <w:r w:rsidRPr="006A71D1">
        <w:t xml:space="preserve"> shows the PPI drug </w:t>
      </w:r>
      <w:r w:rsidRPr="00E93F62">
        <w:t xml:space="preserve">prescriptions dispensed by drug each year; it also </w:t>
      </w:r>
      <w:r>
        <w:t>shows</w:t>
      </w:r>
      <w:r w:rsidRPr="00E93F62">
        <w:t xml:space="preserve"> the total </w:t>
      </w:r>
      <w:r w:rsidR="0072612D">
        <w:t xml:space="preserve">overall </w:t>
      </w:r>
      <w:r w:rsidRPr="00E93F62">
        <w:t xml:space="preserve">growth rate from the previous year. Esomeprazole is the most dispensed drug in total from the years 2013 to 2021, followed by pantoprazole. In 2020 and 2021, pantoprazole had more </w:t>
      </w:r>
      <w:proofErr w:type="spellStart"/>
      <w:r w:rsidRPr="00E93F62">
        <w:t>dispensings</w:t>
      </w:r>
      <w:proofErr w:type="spellEnd"/>
      <w:r w:rsidRPr="00E93F62">
        <w:t xml:space="preserve"> than esomeprazole </w:t>
      </w:r>
      <w:r>
        <w:t>however,</w:t>
      </w:r>
      <w:r w:rsidRPr="00E93F62">
        <w:t xml:space="preserve"> prior to that</w:t>
      </w:r>
      <w:r>
        <w:t xml:space="preserve"> </w:t>
      </w:r>
      <w:r w:rsidRPr="00E93F62">
        <w:t>esomeprazole was the most prescribed drug from 2013 to 2019.</w:t>
      </w:r>
      <w:r>
        <w:t xml:space="preserve"> The growth rate for all PPI medications was the highest in 2020 at 5.5%.</w:t>
      </w:r>
    </w:p>
    <w:p w14:paraId="1B6F8C8E" w14:textId="77777777" w:rsidR="005F51BE" w:rsidRPr="008E5BAE" w:rsidRDefault="005F51BE" w:rsidP="008E5BAE"/>
    <w:p w14:paraId="376C35CC" w14:textId="77777777" w:rsidR="00107BB6" w:rsidRPr="008E5BAE" w:rsidRDefault="00107BB6" w:rsidP="008E5BAE">
      <w:r w:rsidRPr="008E5BAE">
        <w:rPr>
          <w:noProof/>
        </w:rPr>
        <w:lastRenderedPageBreak/>
        <w:drawing>
          <wp:inline distT="0" distB="0" distL="0" distR="0" wp14:anchorId="78D8D7A4" wp14:editId="09D8BD9A">
            <wp:extent cx="5687695" cy="3708400"/>
            <wp:effectExtent l="0" t="0" r="8255" b="6350"/>
            <wp:docPr id="3" name="Chart 3" descr="Figure 3: Number of prescriptions supplied for PPI drugs by quarter ">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58A5D4" w14:textId="6E10D1E3" w:rsidR="00107BB6" w:rsidRDefault="00107BB6" w:rsidP="00107BB6">
      <w:pPr>
        <w:pStyle w:val="Figuretitle"/>
      </w:pPr>
      <w:r w:rsidRPr="009B3A48">
        <w:t xml:space="preserve">Figure </w:t>
      </w:r>
      <w:r w:rsidR="00625E49">
        <w:t>3</w:t>
      </w:r>
      <w:r w:rsidRPr="009B3A48">
        <w:t xml:space="preserve">: Number of prescriptions </w:t>
      </w:r>
      <w:r>
        <w:t xml:space="preserve">supplied </w:t>
      </w:r>
      <w:r w:rsidRPr="009B3A48">
        <w:t xml:space="preserve">for </w:t>
      </w:r>
      <w:r>
        <w:t>PPI</w:t>
      </w:r>
      <w:r w:rsidRPr="009B3A48">
        <w:t xml:space="preserve"> drugs by quarter </w:t>
      </w:r>
    </w:p>
    <w:p w14:paraId="6A511FF2" w14:textId="45438458" w:rsidR="00CE6F72" w:rsidRPr="008E5BAE" w:rsidRDefault="00CE6F72" w:rsidP="008E5BAE"/>
    <w:p w14:paraId="56FDB115" w14:textId="1650D978" w:rsidR="00107BB6" w:rsidRDefault="006304A8" w:rsidP="008E5BAE">
      <w:pPr>
        <w:rPr>
          <w:b/>
        </w:rPr>
      </w:pPr>
      <w:r w:rsidRPr="00827F98">
        <w:t xml:space="preserve">Figure </w:t>
      </w:r>
      <w:r w:rsidR="00625E49">
        <w:t>3</w:t>
      </w:r>
      <w:r w:rsidRPr="00827F98">
        <w:t xml:space="preserve"> shows the number of </w:t>
      </w:r>
      <w:r w:rsidR="00E30154" w:rsidRPr="00827F98">
        <w:t>prescriptions</w:t>
      </w:r>
      <w:r w:rsidRPr="00827F98">
        <w:t xml:space="preserve"> supplied for PPI drugs by quarter each year. </w:t>
      </w:r>
      <w:r w:rsidR="00CE6F72" w:rsidRPr="00827F98">
        <w:t xml:space="preserve">The two most </w:t>
      </w:r>
      <w:r w:rsidR="006F0A8F">
        <w:t>commonly dispensed</w:t>
      </w:r>
      <w:r w:rsidR="006F0A8F" w:rsidRPr="00827F98">
        <w:t xml:space="preserve"> </w:t>
      </w:r>
      <w:r w:rsidR="00CE6F72" w:rsidRPr="00827F98">
        <w:t>PPI</w:t>
      </w:r>
      <w:r w:rsidR="002C2C6B">
        <w:t xml:space="preserve"> </w:t>
      </w:r>
      <w:r w:rsidR="004F0311">
        <w:t>listings are</w:t>
      </w:r>
      <w:r w:rsidR="00191A91">
        <w:t xml:space="preserve"> </w:t>
      </w:r>
      <w:r w:rsidR="00F95271">
        <w:t>e</w:t>
      </w:r>
      <w:r w:rsidR="00CE6F72" w:rsidRPr="00827F98">
        <w:t>someprazole and pantoprazole. Each quarter</w:t>
      </w:r>
      <w:r w:rsidR="006F0A8F">
        <w:t xml:space="preserve"> the utilisation of</w:t>
      </w:r>
      <w:r w:rsidR="00B63CD3" w:rsidRPr="00827F98">
        <w:t xml:space="preserve"> </w:t>
      </w:r>
      <w:r w:rsidR="00F95271">
        <w:t>e</w:t>
      </w:r>
      <w:r w:rsidR="00B63CD3" w:rsidRPr="00827F98">
        <w:t xml:space="preserve">someprazole and pantoprazole fluctuate </w:t>
      </w:r>
      <w:r w:rsidR="00CE6F72" w:rsidRPr="00827F98">
        <w:t xml:space="preserve">however, in </w:t>
      </w:r>
      <w:r w:rsidR="00AD1023" w:rsidRPr="00827F98">
        <w:t xml:space="preserve">Q3 </w:t>
      </w:r>
      <w:r w:rsidR="00CE6F72" w:rsidRPr="00827F98">
        <w:t xml:space="preserve">2019 </w:t>
      </w:r>
      <w:r w:rsidRPr="00827F98">
        <w:t xml:space="preserve">the number of </w:t>
      </w:r>
      <w:r w:rsidR="00CE6F72" w:rsidRPr="00827F98">
        <w:t>pantoprazole</w:t>
      </w:r>
      <w:r w:rsidRPr="00827F98">
        <w:t xml:space="preserve"> prescriptions supplied</w:t>
      </w:r>
      <w:r w:rsidR="00B63CD3" w:rsidRPr="00827F98">
        <w:t xml:space="preserve"> increased, being the highest among all PPI for prescriptions supplied to patients</w:t>
      </w:r>
      <w:r w:rsidR="00E30154" w:rsidRPr="00827F98">
        <w:t xml:space="preserve"> while the number of esomeprazole prescriptions supplied slightly decreased in Q3 2019.</w:t>
      </w:r>
    </w:p>
    <w:p w14:paraId="4FE6BCFE" w14:textId="77777777" w:rsidR="00D6410C" w:rsidRPr="008E5BAE" w:rsidRDefault="00D6410C" w:rsidP="008E5BAE"/>
    <w:p w14:paraId="45B6101E" w14:textId="239A8D26" w:rsidR="00075328" w:rsidRDefault="00B46300" w:rsidP="008E5BAE">
      <w:r>
        <w:rPr>
          <w:noProof/>
        </w:rPr>
        <w:lastRenderedPageBreak/>
        <w:drawing>
          <wp:inline distT="0" distB="0" distL="0" distR="0" wp14:anchorId="459103CD" wp14:editId="5A702876">
            <wp:extent cx="5676181" cy="3778370"/>
            <wp:effectExtent l="0" t="0" r="1270" b="12700"/>
            <wp:docPr id="10" name="Chart 10" descr="Figure 4a: PPI prescriptions per quarter from 2013 to 202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27977F" w14:textId="43995E82" w:rsidR="0004354C" w:rsidRPr="004224E2" w:rsidRDefault="00E603E0">
      <w:pPr>
        <w:pStyle w:val="Figuretitle"/>
      </w:pPr>
      <w:r w:rsidRPr="004224E2">
        <w:t xml:space="preserve">Figure </w:t>
      </w:r>
      <w:r w:rsidR="0004354C" w:rsidRPr="004224E2">
        <w:t>4a</w:t>
      </w:r>
      <w:r w:rsidRPr="004224E2">
        <w:t>:</w:t>
      </w:r>
      <w:r w:rsidR="005F46B7">
        <w:t xml:space="preserve"> PPI </w:t>
      </w:r>
      <w:r w:rsidR="00E232EA">
        <w:t xml:space="preserve">prescriptions </w:t>
      </w:r>
      <w:r w:rsidR="005F46B7">
        <w:t>per quarter from 2013 to 2021</w:t>
      </w:r>
    </w:p>
    <w:p w14:paraId="67890898" w14:textId="784977DE" w:rsidR="0004354C" w:rsidRDefault="00987738" w:rsidP="008E5BAE">
      <w:pPr>
        <w:rPr>
          <w:b/>
        </w:rPr>
      </w:pPr>
      <w:r w:rsidRPr="008E5BAE">
        <w:t>Figure</w:t>
      </w:r>
      <w:r>
        <w:t xml:space="preserve"> 4a shows the number of scripts prescribed to patients for PPI medications per quarter from 2013 to 2021. </w:t>
      </w:r>
      <w:r w:rsidR="001C630E">
        <w:t>After the PPI reforms on 1 May 2019</w:t>
      </w:r>
      <w:r w:rsidR="007D5771">
        <w:t xml:space="preserve"> there was a </w:t>
      </w:r>
      <w:r w:rsidR="001C630E">
        <w:t xml:space="preserve">small </w:t>
      </w:r>
      <w:r w:rsidR="007D5771">
        <w:t xml:space="preserve">decrease </w:t>
      </w:r>
      <w:r w:rsidR="00E046B7">
        <w:t>that remained stable bef</w:t>
      </w:r>
      <w:r w:rsidR="007D5771">
        <w:t xml:space="preserve">ore an increase </w:t>
      </w:r>
      <w:r w:rsidR="001C630E">
        <w:t xml:space="preserve">after </w:t>
      </w:r>
      <w:r w:rsidR="007D5771">
        <w:t xml:space="preserve">Q2 2020. </w:t>
      </w:r>
    </w:p>
    <w:p w14:paraId="32E68243" w14:textId="50201ACE" w:rsidR="0004354C" w:rsidRPr="008E5BAE" w:rsidRDefault="0004354C" w:rsidP="008E5BAE"/>
    <w:p w14:paraId="7AB14233" w14:textId="5E4D82EB" w:rsidR="0004354C" w:rsidRPr="008E5BAE" w:rsidRDefault="0004354C" w:rsidP="008E5BAE"/>
    <w:p w14:paraId="4B4720EE" w14:textId="112386E6" w:rsidR="0004354C" w:rsidRPr="004224E2" w:rsidRDefault="00B46300">
      <w:pPr>
        <w:pStyle w:val="Figuretitle"/>
      </w:pPr>
      <w:r>
        <w:rPr>
          <w:noProof/>
        </w:rPr>
        <w:lastRenderedPageBreak/>
        <w:drawing>
          <wp:inline distT="0" distB="0" distL="0" distR="0" wp14:anchorId="1AFADFC7" wp14:editId="6554C4EF">
            <wp:extent cx="5641675" cy="3579962"/>
            <wp:effectExtent l="0" t="0" r="16510" b="1905"/>
            <wp:docPr id="11" name="Chart 11" descr="Figure 4b: Number of DDD’s supplied for PPI medications per quarter from 2013 to 2021">
              <a:extLst xmlns:a="http://schemas.openxmlformats.org/drawingml/2006/main">
                <a:ext uri="{FF2B5EF4-FFF2-40B4-BE49-F238E27FC236}">
                  <a16:creationId xmlns:a16="http://schemas.microsoft.com/office/drawing/2014/main" id="{8DCC6AB3-AC11-4229-B557-CDC483D16A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E603E0" w:rsidRPr="004224E2">
        <w:t xml:space="preserve">Figure </w:t>
      </w:r>
      <w:r w:rsidR="0004354C" w:rsidRPr="004224E2">
        <w:t>4b</w:t>
      </w:r>
      <w:r w:rsidR="00E603E0" w:rsidRPr="004224E2">
        <w:t>:</w:t>
      </w:r>
      <w:r w:rsidR="005F46B7">
        <w:t xml:space="preserve"> Number of DDD’s supplied for PPI medications per quarter from 2013 to 2021</w:t>
      </w:r>
    </w:p>
    <w:p w14:paraId="1704FC8C" w14:textId="4BBFF8E4" w:rsidR="0004354C" w:rsidRPr="008E5BAE" w:rsidRDefault="0004354C" w:rsidP="008E5BAE"/>
    <w:p w14:paraId="1EBC2B0E" w14:textId="5A206C1C" w:rsidR="002016F8" w:rsidRDefault="002016F8" w:rsidP="008E5BAE">
      <w:pPr>
        <w:rPr>
          <w:b/>
        </w:rPr>
      </w:pPr>
      <w:r>
        <w:t xml:space="preserve">Figure 4b shows that the number of DDD’s decreased in Q1 2019 until 2021. </w:t>
      </w:r>
      <w:r w:rsidR="001C630E">
        <w:t xml:space="preserve">Comparing Figure 4a </w:t>
      </w:r>
      <w:r w:rsidR="00236D30">
        <w:t>and</w:t>
      </w:r>
      <w:r w:rsidR="001C630E">
        <w:t xml:space="preserve"> 4b shows that whilst the PPI reforms had minimal impact on prescriptions utilisation, the </w:t>
      </w:r>
      <w:r w:rsidR="006E5242">
        <w:t>DDD utili</w:t>
      </w:r>
      <w:r w:rsidR="00236D30">
        <w:t>s</w:t>
      </w:r>
      <w:r w:rsidR="006E5242">
        <w:t>ation was decreased.</w:t>
      </w:r>
      <w:r w:rsidR="001C630E">
        <w:t xml:space="preserve"> </w:t>
      </w:r>
    </w:p>
    <w:p w14:paraId="5B6950F5" w14:textId="040D356D" w:rsidR="0004354C" w:rsidRDefault="0004354C" w:rsidP="008E5BAE"/>
    <w:p w14:paraId="09C7517F" w14:textId="77777777" w:rsidR="008E5BAE" w:rsidRPr="008E5BAE" w:rsidRDefault="008E5BAE" w:rsidP="008E5BAE"/>
    <w:p w14:paraId="5F368004" w14:textId="30CD6765" w:rsidR="00075328" w:rsidRPr="008E5BAE" w:rsidRDefault="0019030F" w:rsidP="008E5BAE">
      <w:r>
        <w:rPr>
          <w:noProof/>
        </w:rPr>
        <w:lastRenderedPageBreak/>
        <w:drawing>
          <wp:inline distT="0" distB="0" distL="0" distR="0" wp14:anchorId="68285734" wp14:editId="53F19200">
            <wp:extent cx="5469147" cy="3364302"/>
            <wp:effectExtent l="0" t="0" r="17780" b="7620"/>
            <wp:docPr id="5" name="Chart 5" descr="Figure 5a: Number of prescriptions supplied for PPI medication by strength dose quarterly from 2013 to 202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51FE2D0" w14:textId="77777777" w:rsidR="008E5BAE" w:rsidRDefault="00075328" w:rsidP="008E5BAE">
      <w:pPr>
        <w:pStyle w:val="Figuretitle"/>
        <w:ind w:left="-284"/>
      </w:pPr>
      <w:r>
        <w:t xml:space="preserve">Figure </w:t>
      </w:r>
      <w:r w:rsidR="0004354C">
        <w:t>5</w:t>
      </w:r>
      <w:r>
        <w:t>a: Number of prescriptions supplied for PPI medication by strength dose</w:t>
      </w:r>
      <w:r w:rsidR="0019030F">
        <w:t xml:space="preserve"> quarterly</w:t>
      </w:r>
      <w:r>
        <w:t xml:space="preserve"> from 2013 to 2021</w:t>
      </w:r>
    </w:p>
    <w:p w14:paraId="6D4E8ACB" w14:textId="5BC08E4C" w:rsidR="00075328" w:rsidRPr="008E5BAE" w:rsidRDefault="00075328" w:rsidP="008E5BAE">
      <w:pPr>
        <w:pStyle w:val="Figuretitle"/>
        <w:ind w:left="-284"/>
        <w:rPr>
          <w:b w:val="0"/>
          <w:bCs/>
        </w:rPr>
      </w:pPr>
      <w:r w:rsidRPr="008E5BAE">
        <w:rPr>
          <w:b w:val="0"/>
          <w:bCs/>
        </w:rPr>
        <w:t xml:space="preserve">Figure </w:t>
      </w:r>
      <w:r w:rsidR="0004354C" w:rsidRPr="008E5BAE">
        <w:rPr>
          <w:b w:val="0"/>
          <w:bCs/>
        </w:rPr>
        <w:t>5</w:t>
      </w:r>
      <w:r w:rsidR="0068774E" w:rsidRPr="008E5BAE">
        <w:rPr>
          <w:b w:val="0"/>
          <w:bCs/>
        </w:rPr>
        <w:t>a</w:t>
      </w:r>
      <w:r w:rsidRPr="008E5BAE">
        <w:rPr>
          <w:b w:val="0"/>
          <w:bCs/>
        </w:rPr>
        <w:t xml:space="preserve"> shows the number of PPI prescriptions supplied by strength dose quarterly from 2013 to 2021. The number of high strength prescriptions remained relatively stable until 2019, where there is a decrease before </w:t>
      </w:r>
      <w:proofErr w:type="spellStart"/>
      <w:r w:rsidRPr="008E5BAE">
        <w:rPr>
          <w:b w:val="0"/>
          <w:bCs/>
        </w:rPr>
        <w:t>stabilising</w:t>
      </w:r>
      <w:proofErr w:type="spellEnd"/>
      <w:r w:rsidRPr="008E5BAE">
        <w:rPr>
          <w:b w:val="0"/>
          <w:bCs/>
        </w:rPr>
        <w:t xml:space="preserve">. The number of low strength PPI prescriptions supplied also remained relatively stable until 2019 and a gradual increase from 2019 to 2021. </w:t>
      </w:r>
      <w:r w:rsidR="00FE60ED" w:rsidRPr="008E5BAE">
        <w:rPr>
          <w:b w:val="0"/>
          <w:bCs/>
        </w:rPr>
        <w:t>The s</w:t>
      </w:r>
      <w:r w:rsidRPr="008E5BAE">
        <w:rPr>
          <w:b w:val="0"/>
          <w:bCs/>
        </w:rPr>
        <w:t xml:space="preserve">tandard strength of PPI medications is the most </w:t>
      </w:r>
      <w:r w:rsidR="00FE60ED" w:rsidRPr="008E5BAE">
        <w:rPr>
          <w:b w:val="0"/>
          <w:bCs/>
        </w:rPr>
        <w:t xml:space="preserve">commonly </w:t>
      </w:r>
      <w:r w:rsidRPr="008E5BAE">
        <w:rPr>
          <w:b w:val="0"/>
          <w:bCs/>
        </w:rPr>
        <w:t>prescribed, with small increases and decreases at every quarter from 2013 to 2021.</w:t>
      </w:r>
    </w:p>
    <w:p w14:paraId="61EDA3E3" w14:textId="74B52E67" w:rsidR="00075328" w:rsidRPr="008E5BAE" w:rsidRDefault="00075328" w:rsidP="008E5BAE"/>
    <w:p w14:paraId="23A8F86F" w14:textId="129E888B" w:rsidR="00075328" w:rsidRDefault="00D52A1A" w:rsidP="008E5BAE">
      <w:r>
        <w:rPr>
          <w:noProof/>
        </w:rPr>
        <w:lastRenderedPageBreak/>
        <w:drawing>
          <wp:inline distT="0" distB="0" distL="0" distR="0" wp14:anchorId="17EA1580" wp14:editId="32B71785">
            <wp:extent cx="5434641" cy="3338423"/>
            <wp:effectExtent l="0" t="0" r="13970" b="14605"/>
            <wp:docPr id="19" name="Chart 19" descr="Figure 5b: Number of DDD’s supplied for PPI by quarter from 2013 to 202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965743" w14:textId="1F95AC1F" w:rsidR="00075328" w:rsidRPr="00A64BA1" w:rsidRDefault="00075328">
      <w:pPr>
        <w:pStyle w:val="Figuretitle"/>
      </w:pPr>
      <w:r w:rsidRPr="00A64BA1">
        <w:t xml:space="preserve">Figure </w:t>
      </w:r>
      <w:r w:rsidR="0004354C">
        <w:t>5</w:t>
      </w:r>
      <w:r w:rsidRPr="00A64BA1">
        <w:t>b: Number of DDD’s supplied for PPI by quarter from 2013 to 2021</w:t>
      </w:r>
    </w:p>
    <w:p w14:paraId="30326D70" w14:textId="199D39CE" w:rsidR="004D739C" w:rsidRPr="008E5BAE" w:rsidRDefault="004D739C" w:rsidP="008E5BAE"/>
    <w:p w14:paraId="3FBF5EB1" w14:textId="438A1AF9" w:rsidR="004D739C" w:rsidRPr="00361F06" w:rsidRDefault="00D52A1A" w:rsidP="008E5BAE">
      <w:pPr>
        <w:rPr>
          <w:b/>
        </w:rPr>
      </w:pPr>
      <w:r>
        <w:t xml:space="preserve">Figure </w:t>
      </w:r>
      <w:r w:rsidR="0004354C">
        <w:t>5</w:t>
      </w:r>
      <w:r>
        <w:t xml:space="preserve">b shows the number of </w:t>
      </w:r>
      <w:r w:rsidR="001C1E1F">
        <w:t xml:space="preserve">defined </w:t>
      </w:r>
      <w:r>
        <w:t>daily doses supplied to patients for all PPI medication</w:t>
      </w:r>
      <w:r w:rsidR="000543C7">
        <w:t>s</w:t>
      </w:r>
      <w:r w:rsidR="00FC1BC6">
        <w:t xml:space="preserve"> by </w:t>
      </w:r>
      <w:r w:rsidR="001C1E1F">
        <w:t xml:space="preserve">relative </w:t>
      </w:r>
      <w:r w:rsidR="00FC1BC6">
        <w:t>dose</w:t>
      </w:r>
      <w:r>
        <w:t xml:space="preserve"> from 2013 to 2021. </w:t>
      </w:r>
      <w:r w:rsidR="000543C7">
        <w:t xml:space="preserve">Following the restriction changes in </w:t>
      </w:r>
      <w:r>
        <w:t xml:space="preserve">2019 the </w:t>
      </w:r>
      <w:r w:rsidR="000543C7">
        <w:t xml:space="preserve">number of DDDs for </w:t>
      </w:r>
      <w:r>
        <w:t>high dose</w:t>
      </w:r>
      <w:r w:rsidR="000543C7">
        <w:t>s</w:t>
      </w:r>
      <w:r>
        <w:t xml:space="preserve"> decrease</w:t>
      </w:r>
      <w:r w:rsidR="00461412">
        <w:t>d</w:t>
      </w:r>
      <w:r>
        <w:t xml:space="preserve"> whilst the low dose increase</w:t>
      </w:r>
      <w:r w:rsidR="00461412">
        <w:t>d</w:t>
      </w:r>
      <w:r>
        <w:t xml:space="preserve">. </w:t>
      </w:r>
      <w:r w:rsidR="000543C7">
        <w:t xml:space="preserve">Figure </w:t>
      </w:r>
      <w:r w:rsidR="001C1E1F">
        <w:t>5</w:t>
      </w:r>
      <w:r w:rsidR="000543C7">
        <w:t xml:space="preserve">b shows the high and low dose </w:t>
      </w:r>
      <w:r w:rsidR="001C1E1F">
        <w:t>prescriptions supply</w:t>
      </w:r>
      <w:r w:rsidR="00332273">
        <w:t xml:space="preserve"> a similar number of DDDs per quarter following the restriction changes. </w:t>
      </w:r>
      <w:r w:rsidR="001C1E1F">
        <w:t xml:space="preserve">In contrast, </w:t>
      </w:r>
      <w:r w:rsidR="00332273">
        <w:t xml:space="preserve">Figure </w:t>
      </w:r>
      <w:r w:rsidR="001C1E1F">
        <w:t>5a</w:t>
      </w:r>
      <w:r w:rsidR="00332273">
        <w:t xml:space="preserve">, shows </w:t>
      </w:r>
      <w:r w:rsidR="001C1E1F">
        <w:t>more</w:t>
      </w:r>
      <w:r w:rsidR="00332273">
        <w:t xml:space="preserve"> prescriptions per quarter for the low dose</w:t>
      </w:r>
      <w:r w:rsidR="001C1E1F">
        <w:t xml:space="preserve"> than for high dose</w:t>
      </w:r>
      <w:r w:rsidR="00332273">
        <w:t xml:space="preserve">. </w:t>
      </w:r>
    </w:p>
    <w:p w14:paraId="3BF7C53E" w14:textId="77777777" w:rsidR="001638D7" w:rsidRPr="008E5BAE" w:rsidRDefault="001638D7" w:rsidP="008E5BAE"/>
    <w:p w14:paraId="2A9BE278" w14:textId="6225DCCA" w:rsidR="00702CE3" w:rsidRPr="008E5BAE" w:rsidRDefault="00702CE3" w:rsidP="008E5BAE"/>
    <w:p w14:paraId="44CBD8DB" w14:textId="77777777" w:rsidR="003B18E3" w:rsidRDefault="003B18E3" w:rsidP="00107874">
      <w:pPr>
        <w:pStyle w:val="Figuretitle"/>
        <w:ind w:left="-284"/>
      </w:pPr>
    </w:p>
    <w:p w14:paraId="6C26D6E6" w14:textId="77777777" w:rsidR="003B18E3" w:rsidRDefault="003B18E3" w:rsidP="00107874">
      <w:pPr>
        <w:pStyle w:val="Figuretitle"/>
        <w:ind w:left="-284"/>
      </w:pPr>
    </w:p>
    <w:p w14:paraId="4372148F" w14:textId="77777777" w:rsidR="003B18E3" w:rsidRDefault="003B18E3" w:rsidP="00107874">
      <w:pPr>
        <w:pStyle w:val="Figuretitle"/>
        <w:ind w:left="-284"/>
      </w:pPr>
    </w:p>
    <w:p w14:paraId="238A9812" w14:textId="77777777" w:rsidR="003B18E3" w:rsidRDefault="003B18E3" w:rsidP="00107874">
      <w:pPr>
        <w:pStyle w:val="Figuretitle"/>
        <w:ind w:left="-284"/>
      </w:pPr>
    </w:p>
    <w:p w14:paraId="5C346137" w14:textId="77777777" w:rsidR="003B18E3" w:rsidRDefault="003B18E3" w:rsidP="00107874">
      <w:pPr>
        <w:pStyle w:val="Figuretitle"/>
        <w:ind w:left="-284"/>
      </w:pPr>
    </w:p>
    <w:p w14:paraId="0771FA9F" w14:textId="77777777" w:rsidR="003B18E3" w:rsidRDefault="003B18E3" w:rsidP="00107874">
      <w:pPr>
        <w:pStyle w:val="Figuretitle"/>
        <w:ind w:left="-284"/>
      </w:pPr>
    </w:p>
    <w:p w14:paraId="696B5433" w14:textId="72E495AC" w:rsidR="003B18E3" w:rsidRDefault="003B18E3" w:rsidP="00107874">
      <w:pPr>
        <w:pStyle w:val="Figuretitle"/>
        <w:ind w:left="-284"/>
        <w:rPr>
          <w:noProof/>
        </w:rPr>
      </w:pPr>
      <w:r>
        <w:rPr>
          <w:noProof/>
        </w:rPr>
        <w:lastRenderedPageBreak/>
        <w:drawing>
          <wp:inline distT="0" distB="0" distL="0" distR="0" wp14:anchorId="22EDE6A9" wp14:editId="1BB6A402">
            <wp:extent cx="5425440" cy="3493135"/>
            <wp:effectExtent l="0" t="0" r="3810" b="12065"/>
            <wp:docPr id="7" name="Chart 7" descr="Figure 6: Strength of initiating dose and dose titrations for patients supplied a PPI medication &#10;In 2017. &#10;">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3B18E3">
        <w:rPr>
          <w:noProof/>
        </w:rPr>
        <w:t xml:space="preserve"> </w:t>
      </w:r>
      <w:r>
        <w:rPr>
          <w:noProof/>
        </w:rPr>
        <w:drawing>
          <wp:inline distT="0" distB="0" distL="0" distR="0" wp14:anchorId="487F9EAB" wp14:editId="62F6ED98">
            <wp:extent cx="5460521" cy="3571336"/>
            <wp:effectExtent l="0" t="0" r="6985" b="10160"/>
            <wp:docPr id="9" name="Chart 9" descr="Figure 6: Strength of initiating dose and dose titrations for patients supplied a PPI medication &#10; in 2020.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C6B8CD1" w14:textId="41319FA2" w:rsidR="003B18E3" w:rsidRPr="003B18E3" w:rsidRDefault="003B18E3" w:rsidP="003B18E3">
      <w:pPr>
        <w:pStyle w:val="Figuretitle"/>
      </w:pPr>
      <w:r w:rsidRPr="003B18E3">
        <w:t xml:space="preserve">Figure 6: Strength of initiating dose and dose titrations for patients supplied a PPI medication </w:t>
      </w:r>
      <w:r>
        <w:t>i</w:t>
      </w:r>
      <w:r w:rsidRPr="003B18E3">
        <w:t xml:space="preserve">n 2017 and in 2020. </w:t>
      </w:r>
    </w:p>
    <w:p w14:paraId="45062D27" w14:textId="77777777" w:rsidR="003B18E3" w:rsidRPr="00461412" w:rsidRDefault="003B18E3" w:rsidP="003B18E3">
      <w:pPr>
        <w:pStyle w:val="Figuretitle"/>
        <w:rPr>
          <w:b w:val="0"/>
        </w:rPr>
      </w:pPr>
      <w:r w:rsidRPr="00461412">
        <w:rPr>
          <w:b w:val="0"/>
          <w:sz w:val="20"/>
          <w:szCs w:val="20"/>
        </w:rPr>
        <w:t>Note: A single dose (</w:t>
      </w:r>
      <w:proofErr w:type="gramStart"/>
      <w:r w:rsidRPr="00461412">
        <w:rPr>
          <w:b w:val="0"/>
          <w:sz w:val="20"/>
          <w:szCs w:val="20"/>
        </w:rPr>
        <w:t>e.g.</w:t>
      </w:r>
      <w:proofErr w:type="gramEnd"/>
      <w:r w:rsidRPr="00461412">
        <w:rPr>
          <w:b w:val="0"/>
          <w:sz w:val="20"/>
          <w:szCs w:val="20"/>
        </w:rPr>
        <w:t xml:space="preserve"> standard) indicates there was no dose titration.</w:t>
      </w:r>
    </w:p>
    <w:p w14:paraId="464ED04F" w14:textId="0D48CDD5" w:rsidR="003B18E3" w:rsidRDefault="003B18E3" w:rsidP="00107874">
      <w:pPr>
        <w:pStyle w:val="Figuretitle"/>
        <w:ind w:left="-284"/>
      </w:pPr>
    </w:p>
    <w:p w14:paraId="3D0D1741" w14:textId="6F83B484" w:rsidR="003B18E3" w:rsidRDefault="003B18E3" w:rsidP="003B18E3">
      <w:r w:rsidRPr="003B18E3">
        <w:t xml:space="preserve">Figure 6 shows that in 2017 there were 611,154 initiating patients on PPI medication and in 2020 there were 494,347 initiating patients on PPI medication. Figure 6 shows that in 2017 there were 145,903 (24%) patients first starting on a high dose of PPI medication. However, </w:t>
      </w:r>
      <w:r w:rsidRPr="003B18E3">
        <w:lastRenderedPageBreak/>
        <w:t>in 2020 there were 8,026 (2%) initiating patients on high dose of PPI. For first initiators in 2017, 20,309 (3%) patients went from a standard dose to high dose medication and in 2020 there was 5,896 (1%) patients starting on standard dose who transitioned to a high dose</w:t>
      </w:r>
      <w:r>
        <w:t>.</w:t>
      </w:r>
    </w:p>
    <w:p w14:paraId="2AB122A4" w14:textId="0B9D8421" w:rsidR="003B18E3" w:rsidRDefault="00D66273" w:rsidP="003B18E3">
      <w:r>
        <w:rPr>
          <w:noProof/>
        </w:rPr>
        <w:drawing>
          <wp:inline distT="0" distB="0" distL="0" distR="0" wp14:anchorId="34E29904" wp14:editId="2CA54700">
            <wp:extent cx="5687695" cy="3093330"/>
            <wp:effectExtent l="0" t="0" r="8255" b="12065"/>
            <wp:docPr id="17" name="Chart 17" descr="Figure 6a: Number of prescriptions supplied for esomeprazole in 2018 and 2021 for male and femal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03E4ECB" w14:textId="567F12CE" w:rsidR="00107874" w:rsidRDefault="00075328" w:rsidP="003B18E3">
      <w:pPr>
        <w:pStyle w:val="Figuretitle"/>
      </w:pPr>
      <w:r>
        <w:t xml:space="preserve">Figure </w:t>
      </w:r>
      <w:r w:rsidR="00D66273">
        <w:t>7</w:t>
      </w:r>
      <w:r>
        <w:t>a: Number of prescriptions supplied for esomeprazole in 2018 and 2021 for male and female</w:t>
      </w:r>
      <w:r w:rsidR="00461412">
        <w:t xml:space="preserve"> patients</w:t>
      </w:r>
      <w:r w:rsidR="00863EC0">
        <w:t xml:space="preserve"> by age group</w:t>
      </w:r>
    </w:p>
    <w:p w14:paraId="64D7A67C" w14:textId="77777777" w:rsidR="00107874" w:rsidRPr="00107874" w:rsidRDefault="00107874" w:rsidP="003B18E3">
      <w:pPr>
        <w:ind w:firstLine="284"/>
      </w:pPr>
    </w:p>
    <w:p w14:paraId="1CAD159E" w14:textId="4F0E99B9" w:rsidR="002B6135" w:rsidRPr="00107874" w:rsidRDefault="002B6135" w:rsidP="003B18E3">
      <w:pPr>
        <w:pStyle w:val="Figuretitle"/>
        <w:rPr>
          <w:b w:val="0"/>
          <w:bCs/>
        </w:rPr>
      </w:pPr>
      <w:r w:rsidRPr="00107874">
        <w:rPr>
          <w:b w:val="0"/>
          <w:bCs/>
        </w:rPr>
        <w:t xml:space="preserve">Figure </w:t>
      </w:r>
      <w:r w:rsidR="00D66273">
        <w:rPr>
          <w:b w:val="0"/>
          <w:bCs/>
        </w:rPr>
        <w:t>7</w:t>
      </w:r>
      <w:r w:rsidR="00BE29F8" w:rsidRPr="00107874">
        <w:rPr>
          <w:b w:val="0"/>
          <w:bCs/>
        </w:rPr>
        <w:t>a</w:t>
      </w:r>
      <w:r w:rsidR="001818D6" w:rsidRPr="00107874">
        <w:rPr>
          <w:b w:val="0"/>
          <w:bCs/>
        </w:rPr>
        <w:t xml:space="preserve"> </w:t>
      </w:r>
      <w:r w:rsidRPr="00107874">
        <w:rPr>
          <w:b w:val="0"/>
          <w:bCs/>
        </w:rPr>
        <w:t xml:space="preserve">shows the number of prescriptions supplied for esomeprazole in the year 2018 and 2021. </w:t>
      </w:r>
      <w:r w:rsidR="004019B6" w:rsidRPr="00107874">
        <w:rPr>
          <w:b w:val="0"/>
          <w:bCs/>
        </w:rPr>
        <w:t xml:space="preserve">Patients aged </w:t>
      </w:r>
      <w:r w:rsidRPr="00107874">
        <w:rPr>
          <w:b w:val="0"/>
          <w:bCs/>
        </w:rPr>
        <w:t>70–74-year</w:t>
      </w:r>
      <w:r w:rsidR="004019B6" w:rsidRPr="00107874">
        <w:rPr>
          <w:b w:val="0"/>
          <w:bCs/>
        </w:rPr>
        <w:t>s</w:t>
      </w:r>
      <w:r w:rsidRPr="00107874">
        <w:rPr>
          <w:b w:val="0"/>
          <w:bCs/>
        </w:rPr>
        <w:t xml:space="preserve"> </w:t>
      </w:r>
      <w:r w:rsidR="00863EC0">
        <w:rPr>
          <w:b w:val="0"/>
          <w:bCs/>
        </w:rPr>
        <w:t>we</w:t>
      </w:r>
      <w:r w:rsidR="004019B6" w:rsidRPr="00107874">
        <w:rPr>
          <w:b w:val="0"/>
          <w:bCs/>
        </w:rPr>
        <w:t>re</w:t>
      </w:r>
      <w:r w:rsidR="00D311FD" w:rsidRPr="00107874">
        <w:rPr>
          <w:b w:val="0"/>
          <w:bCs/>
        </w:rPr>
        <w:t xml:space="preserve"> </w:t>
      </w:r>
      <w:r w:rsidRPr="00107874">
        <w:rPr>
          <w:b w:val="0"/>
          <w:bCs/>
        </w:rPr>
        <w:t xml:space="preserve">the most common age group to be supplied PPI medications. In addition, more females </w:t>
      </w:r>
      <w:r w:rsidR="00863EC0">
        <w:rPr>
          <w:b w:val="0"/>
          <w:bCs/>
        </w:rPr>
        <w:t>we</w:t>
      </w:r>
      <w:r w:rsidRPr="00107874">
        <w:rPr>
          <w:b w:val="0"/>
          <w:bCs/>
        </w:rPr>
        <w:t xml:space="preserve">re prescribed esomeprazole and pantoprazole than males across all age groups. </w:t>
      </w:r>
    </w:p>
    <w:p w14:paraId="79ADB1DB" w14:textId="5768788D" w:rsidR="00107BB6" w:rsidRPr="008E5BAE" w:rsidRDefault="00107BB6" w:rsidP="008E5BAE"/>
    <w:tbl>
      <w:tblPr>
        <w:tblStyle w:val="TableGrid"/>
        <w:tblW w:w="939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1E3B36" w14:paraId="071BD690" w14:textId="77777777" w:rsidTr="001E3B36">
        <w:trPr>
          <w:trHeight w:val="4419"/>
        </w:trPr>
        <w:tc>
          <w:tcPr>
            <w:tcW w:w="9396" w:type="dxa"/>
          </w:tcPr>
          <w:p w14:paraId="3981183B" w14:textId="264612B9" w:rsidR="001E3B36" w:rsidRDefault="001E3B36" w:rsidP="00107BB6">
            <w:pPr>
              <w:pStyle w:val="Figuretitle"/>
            </w:pPr>
            <w:r>
              <w:rPr>
                <w:noProof/>
                <w:lang w:val="en-AU"/>
              </w:rPr>
              <w:lastRenderedPageBreak/>
              <w:drawing>
                <wp:inline distT="0" distB="0" distL="0" distR="0" wp14:anchorId="1001E8D0" wp14:editId="0CEB8258">
                  <wp:extent cx="5822830" cy="3657600"/>
                  <wp:effectExtent l="0" t="0" r="6985" b="0"/>
                  <wp:docPr id="18" name="Chart 18" descr="Figure 6b: Number of prescriptions supplied for pantoprazole in 2018 and 2021 for male and female">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35CD6F74" w14:textId="23B37FB7" w:rsidR="00D52A1A" w:rsidRPr="008E5BAE" w:rsidRDefault="00D52A1A" w:rsidP="008E5BAE"/>
    <w:p w14:paraId="7C8A9C95" w14:textId="12377F9C" w:rsidR="008E5BAE" w:rsidRPr="008E5BAE" w:rsidRDefault="008E5BAE" w:rsidP="003B18E3">
      <w:pPr>
        <w:pStyle w:val="Figuretitle"/>
      </w:pPr>
      <w:r>
        <w:t xml:space="preserve">Figure </w:t>
      </w:r>
      <w:r w:rsidR="00D66273">
        <w:t>7</w:t>
      </w:r>
      <w:r>
        <w:t>b: Number of prescriptions supplied for pantoprazole in 2018 and 2021 for male and female</w:t>
      </w:r>
      <w:r w:rsidR="00461412">
        <w:t xml:space="preserve"> patients</w:t>
      </w:r>
      <w:r w:rsidR="00863EC0">
        <w:t xml:space="preserve"> by age group</w:t>
      </w:r>
    </w:p>
    <w:p w14:paraId="6D8798A8" w14:textId="7E2C3335" w:rsidR="008E5BAE" w:rsidRPr="008E5BAE" w:rsidRDefault="006E50DE" w:rsidP="003B18E3">
      <w:pPr>
        <w:pStyle w:val="Figuretitle"/>
        <w:rPr>
          <w:b w:val="0"/>
          <w:bCs/>
        </w:rPr>
      </w:pPr>
      <w:r w:rsidRPr="008E5BAE">
        <w:rPr>
          <w:b w:val="0"/>
          <w:bCs/>
        </w:rPr>
        <w:t>F</w:t>
      </w:r>
      <w:r w:rsidR="00C40010" w:rsidRPr="008E5BAE">
        <w:rPr>
          <w:b w:val="0"/>
          <w:bCs/>
        </w:rPr>
        <w:t xml:space="preserve">igure </w:t>
      </w:r>
      <w:r w:rsidR="00D66273">
        <w:rPr>
          <w:b w:val="0"/>
          <w:bCs/>
        </w:rPr>
        <w:t>7</w:t>
      </w:r>
      <w:r w:rsidRPr="008E5BAE">
        <w:rPr>
          <w:b w:val="0"/>
          <w:bCs/>
        </w:rPr>
        <w:t>b</w:t>
      </w:r>
      <w:r w:rsidR="00C40010" w:rsidRPr="008E5BAE">
        <w:rPr>
          <w:b w:val="0"/>
          <w:bCs/>
        </w:rPr>
        <w:t xml:space="preserve"> shows the number of prescriptions supplied for pantoprazole in the year 2018</w:t>
      </w:r>
      <w:r w:rsidR="00FF50EF" w:rsidRPr="008E5BAE">
        <w:rPr>
          <w:b w:val="0"/>
          <w:bCs/>
        </w:rPr>
        <w:t xml:space="preserve"> and 2021. </w:t>
      </w:r>
      <w:r w:rsidR="00CC5913" w:rsidRPr="008E5BAE">
        <w:rPr>
          <w:b w:val="0"/>
          <w:bCs/>
        </w:rPr>
        <w:t>As for</w:t>
      </w:r>
      <w:r w:rsidR="00FF50EF" w:rsidRPr="008E5BAE">
        <w:rPr>
          <w:b w:val="0"/>
          <w:bCs/>
        </w:rPr>
        <w:t xml:space="preserve"> esomeprazole </w:t>
      </w:r>
      <w:r w:rsidR="00CC5913" w:rsidRPr="008E5BAE">
        <w:rPr>
          <w:b w:val="0"/>
          <w:bCs/>
        </w:rPr>
        <w:t>with the patients aged</w:t>
      </w:r>
      <w:r w:rsidR="00FF50EF" w:rsidRPr="008E5BAE">
        <w:rPr>
          <w:b w:val="0"/>
          <w:bCs/>
        </w:rPr>
        <w:t xml:space="preserve"> </w:t>
      </w:r>
      <w:r w:rsidR="00407F67" w:rsidRPr="008E5BAE">
        <w:rPr>
          <w:b w:val="0"/>
          <w:bCs/>
        </w:rPr>
        <w:t>70–74-year</w:t>
      </w:r>
      <w:r w:rsidR="00CC5913" w:rsidRPr="008E5BAE">
        <w:rPr>
          <w:b w:val="0"/>
          <w:bCs/>
        </w:rPr>
        <w:t>s</w:t>
      </w:r>
      <w:r w:rsidR="001818D6" w:rsidRPr="008E5BAE">
        <w:rPr>
          <w:b w:val="0"/>
          <w:bCs/>
        </w:rPr>
        <w:t xml:space="preserve"> </w:t>
      </w:r>
      <w:r w:rsidR="00863EC0">
        <w:rPr>
          <w:b w:val="0"/>
          <w:bCs/>
        </w:rPr>
        <w:t>we</w:t>
      </w:r>
      <w:r w:rsidR="00CC5913" w:rsidRPr="008E5BAE">
        <w:rPr>
          <w:b w:val="0"/>
          <w:bCs/>
        </w:rPr>
        <w:t>re</w:t>
      </w:r>
      <w:r w:rsidR="00FF50EF" w:rsidRPr="008E5BAE">
        <w:rPr>
          <w:b w:val="0"/>
          <w:bCs/>
        </w:rPr>
        <w:t xml:space="preserve"> the </w:t>
      </w:r>
      <w:r w:rsidR="00C40010" w:rsidRPr="008E5BAE">
        <w:rPr>
          <w:b w:val="0"/>
          <w:bCs/>
        </w:rPr>
        <w:t xml:space="preserve">most common age group to be supplied </w:t>
      </w:r>
      <w:r w:rsidR="00CC5913" w:rsidRPr="008E5BAE">
        <w:rPr>
          <w:b w:val="0"/>
          <w:bCs/>
        </w:rPr>
        <w:t>pantoprazole</w:t>
      </w:r>
      <w:r w:rsidR="00C40010" w:rsidRPr="008E5BAE">
        <w:rPr>
          <w:b w:val="0"/>
          <w:bCs/>
        </w:rPr>
        <w:t xml:space="preserve">. </w:t>
      </w:r>
    </w:p>
    <w:p w14:paraId="1D6759AD" w14:textId="41F7A73D" w:rsidR="00717F3D" w:rsidRDefault="00717F3D" w:rsidP="0095634B">
      <w:pPr>
        <w:rPr>
          <w:rFonts w:ascii="Calibri" w:eastAsia="Times New Roman" w:hAnsi="Calibri" w:cs="Calibri"/>
        </w:rPr>
      </w:pPr>
    </w:p>
    <w:p w14:paraId="03F6DFFC" w14:textId="77777777" w:rsidR="008E5BAE" w:rsidRDefault="008E5BAE">
      <w:pPr>
        <w:spacing w:line="276" w:lineRule="auto"/>
        <w:rPr>
          <w:rFonts w:eastAsia="Times New Roman" w:cstheme="minorHAnsi"/>
          <w:b/>
          <w:bCs/>
        </w:rPr>
      </w:pPr>
      <w:r>
        <w:rPr>
          <w:rFonts w:eastAsia="Times New Roman" w:cstheme="minorHAnsi"/>
          <w:b/>
          <w:bCs/>
        </w:rPr>
        <w:br w:type="page"/>
      </w:r>
    </w:p>
    <w:p w14:paraId="5C176259" w14:textId="1F3CA1D8" w:rsidR="00853264" w:rsidRPr="00717F3D" w:rsidRDefault="00751750" w:rsidP="00361F06">
      <w:pPr>
        <w:ind w:left="-284"/>
        <w:rPr>
          <w:rFonts w:eastAsia="Times New Roman" w:cstheme="minorHAnsi"/>
          <w:b/>
          <w:bCs/>
        </w:rPr>
      </w:pPr>
      <w:r w:rsidRPr="00361F06">
        <w:rPr>
          <w:rFonts w:eastAsia="Times New Roman" w:cstheme="minorHAnsi"/>
          <w:b/>
          <w:bCs/>
        </w:rPr>
        <w:lastRenderedPageBreak/>
        <w:t xml:space="preserve">Table </w:t>
      </w:r>
      <w:r w:rsidR="0068774E" w:rsidRPr="00361F06">
        <w:rPr>
          <w:rFonts w:eastAsia="Times New Roman" w:cstheme="minorHAnsi"/>
          <w:b/>
          <w:bCs/>
        </w:rPr>
        <w:t>2</w:t>
      </w:r>
      <w:r w:rsidRPr="00361F06">
        <w:rPr>
          <w:rFonts w:eastAsia="Times New Roman" w:cstheme="minorHAnsi"/>
          <w:b/>
          <w:bCs/>
        </w:rPr>
        <w:t>:</w:t>
      </w:r>
      <w:r w:rsidR="0079608B" w:rsidRPr="00361F06">
        <w:rPr>
          <w:rFonts w:cstheme="minorHAnsi"/>
        </w:rPr>
        <w:t xml:space="preserve"> </w:t>
      </w:r>
      <w:r w:rsidR="00825510" w:rsidRPr="00E26B90">
        <w:rPr>
          <w:rFonts w:cstheme="minorHAnsi"/>
          <w:b/>
          <w:bCs/>
        </w:rPr>
        <w:t>D</w:t>
      </w:r>
      <w:r w:rsidR="0079608B" w:rsidRPr="00E26B90">
        <w:rPr>
          <w:rFonts w:cstheme="minorHAnsi"/>
          <w:b/>
          <w:bCs/>
        </w:rPr>
        <w:t>ose titration sequences for Complex GORD</w:t>
      </w:r>
      <w:r w:rsidR="003E1DCF">
        <w:rPr>
          <w:rFonts w:cstheme="minorHAnsi"/>
          <w:b/>
          <w:bCs/>
        </w:rPr>
        <w:t xml:space="preserve"> (CGORD)</w:t>
      </w:r>
      <w:r w:rsidR="0079608B" w:rsidRPr="00E26B90">
        <w:rPr>
          <w:rFonts w:cstheme="minorHAnsi"/>
          <w:b/>
          <w:bCs/>
        </w:rPr>
        <w:t xml:space="preserve"> patients</w:t>
      </w:r>
    </w:p>
    <w:tbl>
      <w:tblPr>
        <w:tblStyle w:val="TableGrid"/>
        <w:tblW w:w="5000" w:type="pct"/>
        <w:tblInd w:w="-5" w:type="dxa"/>
        <w:tblLook w:val="04A0" w:firstRow="1" w:lastRow="0" w:firstColumn="1" w:lastColumn="0" w:noHBand="0" w:noVBand="1"/>
      </w:tblPr>
      <w:tblGrid>
        <w:gridCol w:w="5519"/>
        <w:gridCol w:w="2140"/>
        <w:gridCol w:w="1288"/>
      </w:tblGrid>
      <w:tr w:rsidR="00853264" w:rsidRPr="00853264" w14:paraId="7E4CC06C" w14:textId="77777777" w:rsidTr="00107874">
        <w:trPr>
          <w:trHeight w:val="288"/>
        </w:trPr>
        <w:tc>
          <w:tcPr>
            <w:tcW w:w="3084" w:type="pct"/>
            <w:shd w:val="clear" w:color="auto" w:fill="BFBFBF" w:themeFill="background1" w:themeFillShade="BF"/>
            <w:noWrap/>
            <w:hideMark/>
          </w:tcPr>
          <w:p w14:paraId="4258D853" w14:textId="77777777" w:rsidR="00853264" w:rsidRPr="00853264" w:rsidRDefault="00853264" w:rsidP="00853264">
            <w:pPr>
              <w:rPr>
                <w:rFonts w:ascii="Times New Roman" w:eastAsia="Times New Roman" w:hAnsi="Times New Roman" w:cs="Times New Roman"/>
                <w:sz w:val="20"/>
                <w:szCs w:val="20"/>
              </w:rPr>
            </w:pPr>
          </w:p>
        </w:tc>
        <w:tc>
          <w:tcPr>
            <w:tcW w:w="1196" w:type="pct"/>
            <w:shd w:val="clear" w:color="auto" w:fill="BFBFBF" w:themeFill="background1" w:themeFillShade="BF"/>
            <w:noWrap/>
            <w:hideMark/>
          </w:tcPr>
          <w:p w14:paraId="656FB8FF" w14:textId="77777777" w:rsidR="00853264" w:rsidRPr="00853264" w:rsidRDefault="00853264" w:rsidP="00853264">
            <w:pPr>
              <w:rPr>
                <w:rFonts w:ascii="Calibri" w:eastAsia="Times New Roman" w:hAnsi="Calibri" w:cs="Calibri"/>
                <w:b/>
                <w:bCs/>
                <w:color w:val="000000"/>
                <w:sz w:val="22"/>
                <w:szCs w:val="22"/>
              </w:rPr>
            </w:pPr>
            <w:r w:rsidRPr="00853264">
              <w:rPr>
                <w:rFonts w:ascii="Calibri" w:eastAsia="Times New Roman" w:hAnsi="Calibri" w:cs="Calibri"/>
                <w:b/>
                <w:bCs/>
                <w:color w:val="000000"/>
                <w:sz w:val="22"/>
                <w:szCs w:val="22"/>
              </w:rPr>
              <w:t>Values</w:t>
            </w:r>
          </w:p>
        </w:tc>
        <w:tc>
          <w:tcPr>
            <w:tcW w:w="720" w:type="pct"/>
            <w:shd w:val="clear" w:color="auto" w:fill="BFBFBF" w:themeFill="background1" w:themeFillShade="BF"/>
            <w:noWrap/>
            <w:hideMark/>
          </w:tcPr>
          <w:p w14:paraId="0A190E78" w14:textId="77777777" w:rsidR="00853264" w:rsidRPr="00853264" w:rsidRDefault="00853264" w:rsidP="00853264">
            <w:pPr>
              <w:rPr>
                <w:rFonts w:ascii="Calibri" w:eastAsia="Times New Roman" w:hAnsi="Calibri" w:cs="Calibri"/>
                <w:b/>
                <w:bCs/>
                <w:color w:val="000000"/>
                <w:sz w:val="22"/>
                <w:szCs w:val="22"/>
              </w:rPr>
            </w:pPr>
          </w:p>
        </w:tc>
      </w:tr>
      <w:tr w:rsidR="00853264" w:rsidRPr="00853264" w14:paraId="60974784" w14:textId="77777777" w:rsidTr="00107874">
        <w:trPr>
          <w:trHeight w:val="288"/>
        </w:trPr>
        <w:tc>
          <w:tcPr>
            <w:tcW w:w="3084" w:type="pct"/>
            <w:shd w:val="clear" w:color="auto" w:fill="BFBFBF" w:themeFill="background1" w:themeFillShade="BF"/>
            <w:noWrap/>
            <w:hideMark/>
          </w:tcPr>
          <w:p w14:paraId="617EDD3A" w14:textId="6AC76D06" w:rsidR="00853264" w:rsidRPr="00853264" w:rsidRDefault="00853264" w:rsidP="00853264">
            <w:pPr>
              <w:rPr>
                <w:rFonts w:ascii="Calibri" w:eastAsia="Times New Roman" w:hAnsi="Calibri" w:cs="Calibri"/>
                <w:b/>
                <w:bCs/>
                <w:color w:val="000000"/>
                <w:sz w:val="22"/>
                <w:szCs w:val="22"/>
              </w:rPr>
            </w:pPr>
            <w:r w:rsidRPr="00853264">
              <w:rPr>
                <w:rFonts w:ascii="Calibri" w:eastAsia="Times New Roman" w:hAnsi="Calibri" w:cs="Calibri"/>
                <w:b/>
                <w:bCs/>
                <w:color w:val="000000"/>
                <w:sz w:val="22"/>
                <w:szCs w:val="22"/>
              </w:rPr>
              <w:t>Relative dose init</w:t>
            </w:r>
            <w:r w:rsidR="00E50C71">
              <w:rPr>
                <w:rFonts w:ascii="Calibri" w:eastAsia="Times New Roman" w:hAnsi="Calibri" w:cs="Calibri"/>
                <w:b/>
                <w:bCs/>
                <w:color w:val="000000"/>
                <w:sz w:val="22"/>
                <w:szCs w:val="22"/>
              </w:rPr>
              <w:t>i</w:t>
            </w:r>
            <w:r w:rsidRPr="00853264">
              <w:rPr>
                <w:rFonts w:ascii="Calibri" w:eastAsia="Times New Roman" w:hAnsi="Calibri" w:cs="Calibri"/>
                <w:b/>
                <w:bCs/>
                <w:color w:val="000000"/>
                <w:sz w:val="22"/>
                <w:szCs w:val="22"/>
              </w:rPr>
              <w:t>ation sequences</w:t>
            </w:r>
          </w:p>
        </w:tc>
        <w:tc>
          <w:tcPr>
            <w:tcW w:w="1196" w:type="pct"/>
            <w:shd w:val="clear" w:color="auto" w:fill="BFBFBF" w:themeFill="background1" w:themeFillShade="BF"/>
            <w:noWrap/>
            <w:hideMark/>
          </w:tcPr>
          <w:p w14:paraId="5AF9ECC9" w14:textId="77777777" w:rsidR="00853264" w:rsidRPr="00853264" w:rsidRDefault="00853264" w:rsidP="00853264">
            <w:pPr>
              <w:rPr>
                <w:rFonts w:ascii="Calibri" w:eastAsia="Times New Roman" w:hAnsi="Calibri" w:cs="Calibri"/>
                <w:b/>
                <w:bCs/>
                <w:color w:val="000000"/>
                <w:sz w:val="22"/>
                <w:szCs w:val="22"/>
              </w:rPr>
            </w:pPr>
            <w:r w:rsidRPr="00853264">
              <w:rPr>
                <w:rFonts w:ascii="Calibri" w:eastAsia="Times New Roman" w:hAnsi="Calibri" w:cs="Calibri"/>
                <w:b/>
                <w:bCs/>
                <w:color w:val="000000"/>
                <w:sz w:val="22"/>
                <w:szCs w:val="22"/>
              </w:rPr>
              <w:t>Patients</w:t>
            </w:r>
          </w:p>
        </w:tc>
        <w:tc>
          <w:tcPr>
            <w:tcW w:w="720" w:type="pct"/>
            <w:shd w:val="clear" w:color="auto" w:fill="BFBFBF" w:themeFill="background1" w:themeFillShade="BF"/>
            <w:noWrap/>
            <w:hideMark/>
          </w:tcPr>
          <w:p w14:paraId="40FDB861" w14:textId="77777777" w:rsidR="00853264" w:rsidRPr="00853264" w:rsidRDefault="00853264" w:rsidP="00853264">
            <w:pPr>
              <w:rPr>
                <w:rFonts w:ascii="Calibri" w:eastAsia="Times New Roman" w:hAnsi="Calibri" w:cs="Calibri"/>
                <w:b/>
                <w:bCs/>
                <w:color w:val="000000"/>
                <w:sz w:val="22"/>
                <w:szCs w:val="22"/>
              </w:rPr>
            </w:pPr>
            <w:r w:rsidRPr="00853264">
              <w:rPr>
                <w:rFonts w:ascii="Calibri" w:eastAsia="Times New Roman" w:hAnsi="Calibri" w:cs="Calibri"/>
                <w:b/>
                <w:bCs/>
                <w:color w:val="000000"/>
                <w:sz w:val="22"/>
                <w:szCs w:val="22"/>
              </w:rPr>
              <w:t>% Patients</w:t>
            </w:r>
          </w:p>
        </w:tc>
      </w:tr>
      <w:tr w:rsidR="00853264" w:rsidRPr="00853264" w14:paraId="6D5C3D47" w14:textId="77777777" w:rsidTr="00107874">
        <w:trPr>
          <w:trHeight w:val="288"/>
        </w:trPr>
        <w:tc>
          <w:tcPr>
            <w:tcW w:w="3084" w:type="pct"/>
            <w:noWrap/>
            <w:hideMark/>
          </w:tcPr>
          <w:p w14:paraId="269F6A79"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Standard-&gt;High(CGORD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4CC45D6D" w14:textId="02901078"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4,491</w:t>
            </w:r>
          </w:p>
        </w:tc>
        <w:tc>
          <w:tcPr>
            <w:tcW w:w="720" w:type="pct"/>
            <w:noWrap/>
            <w:hideMark/>
          </w:tcPr>
          <w:p w14:paraId="244104A7"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14.5%</w:t>
            </w:r>
          </w:p>
        </w:tc>
      </w:tr>
      <w:tr w:rsidR="00853264" w:rsidRPr="00853264" w14:paraId="0930CE98" w14:textId="77777777" w:rsidTr="00107874">
        <w:trPr>
          <w:trHeight w:val="288"/>
        </w:trPr>
        <w:tc>
          <w:tcPr>
            <w:tcW w:w="3084" w:type="pct"/>
            <w:noWrap/>
            <w:hideMark/>
          </w:tcPr>
          <w:p w14:paraId="06A7B8FE"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Standard-&gt;High(CGORD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)-&gt;High(CGORD)</w:t>
            </w:r>
          </w:p>
        </w:tc>
        <w:tc>
          <w:tcPr>
            <w:tcW w:w="1196" w:type="pct"/>
            <w:noWrap/>
            <w:hideMark/>
          </w:tcPr>
          <w:p w14:paraId="6B70A6D6" w14:textId="54B68935"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4,235</w:t>
            </w:r>
          </w:p>
        </w:tc>
        <w:tc>
          <w:tcPr>
            <w:tcW w:w="720" w:type="pct"/>
            <w:noWrap/>
            <w:hideMark/>
          </w:tcPr>
          <w:p w14:paraId="5BBD5348"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13.7%</w:t>
            </w:r>
          </w:p>
        </w:tc>
      </w:tr>
      <w:tr w:rsidR="00853264" w:rsidRPr="00853264" w14:paraId="485F0398" w14:textId="77777777" w:rsidTr="00107874">
        <w:trPr>
          <w:trHeight w:val="288"/>
        </w:trPr>
        <w:tc>
          <w:tcPr>
            <w:tcW w:w="3084" w:type="pct"/>
            <w:noWrap/>
            <w:hideMark/>
          </w:tcPr>
          <w:p w14:paraId="3072641A"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Standard-&gt;Standard(CGORD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2F770CD8" w14:textId="090DCE2A"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2,159</w:t>
            </w:r>
          </w:p>
        </w:tc>
        <w:tc>
          <w:tcPr>
            <w:tcW w:w="720" w:type="pct"/>
            <w:noWrap/>
            <w:hideMark/>
          </w:tcPr>
          <w:p w14:paraId="05347451"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7.0%</w:t>
            </w:r>
          </w:p>
        </w:tc>
      </w:tr>
      <w:tr w:rsidR="00853264" w:rsidRPr="00853264" w14:paraId="6613BAE0" w14:textId="77777777" w:rsidTr="00107874">
        <w:trPr>
          <w:trHeight w:val="288"/>
        </w:trPr>
        <w:tc>
          <w:tcPr>
            <w:tcW w:w="3084" w:type="pct"/>
            <w:noWrap/>
            <w:hideMark/>
          </w:tcPr>
          <w:p w14:paraId="0019B298"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Standard-&gt;Standard(CGORD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)-&gt;Standard(CGORD)</w:t>
            </w:r>
          </w:p>
        </w:tc>
        <w:tc>
          <w:tcPr>
            <w:tcW w:w="1196" w:type="pct"/>
            <w:noWrap/>
            <w:hideMark/>
          </w:tcPr>
          <w:p w14:paraId="74E5128F" w14:textId="431FF16A"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1,652</w:t>
            </w:r>
          </w:p>
        </w:tc>
        <w:tc>
          <w:tcPr>
            <w:tcW w:w="720" w:type="pct"/>
            <w:noWrap/>
            <w:hideMark/>
          </w:tcPr>
          <w:p w14:paraId="1305F1A3"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5.3%</w:t>
            </w:r>
          </w:p>
        </w:tc>
      </w:tr>
      <w:tr w:rsidR="00853264" w:rsidRPr="00853264" w14:paraId="167B6426" w14:textId="77777777" w:rsidTr="00107874">
        <w:trPr>
          <w:trHeight w:val="288"/>
        </w:trPr>
        <w:tc>
          <w:tcPr>
            <w:tcW w:w="3084" w:type="pct"/>
            <w:noWrap/>
            <w:hideMark/>
          </w:tcPr>
          <w:p w14:paraId="1DF51A37"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High-&gt;Standard-&gt;Standard(CGORD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5EFB669A" w14:textId="51D81CF7"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1,298</w:t>
            </w:r>
          </w:p>
        </w:tc>
        <w:tc>
          <w:tcPr>
            <w:tcW w:w="720" w:type="pct"/>
            <w:noWrap/>
            <w:hideMark/>
          </w:tcPr>
          <w:p w14:paraId="6D9C0BBE"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4.2%</w:t>
            </w:r>
          </w:p>
        </w:tc>
      </w:tr>
      <w:tr w:rsidR="00853264" w:rsidRPr="00853264" w14:paraId="4FABA55C" w14:textId="77777777" w:rsidTr="00107874">
        <w:trPr>
          <w:trHeight w:val="288"/>
        </w:trPr>
        <w:tc>
          <w:tcPr>
            <w:tcW w:w="3084" w:type="pct"/>
            <w:noWrap/>
            <w:hideMark/>
          </w:tcPr>
          <w:p w14:paraId="16BDBD7B"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High-&gt;Standard-&gt;Standard(CGORD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)-&gt;Standard(CGORD)</w:t>
            </w:r>
          </w:p>
        </w:tc>
        <w:tc>
          <w:tcPr>
            <w:tcW w:w="1196" w:type="pct"/>
            <w:noWrap/>
            <w:hideMark/>
          </w:tcPr>
          <w:p w14:paraId="081AC997" w14:textId="1A3F0B7C"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1,110</w:t>
            </w:r>
          </w:p>
        </w:tc>
        <w:tc>
          <w:tcPr>
            <w:tcW w:w="720" w:type="pct"/>
            <w:noWrap/>
            <w:hideMark/>
          </w:tcPr>
          <w:p w14:paraId="06B45849"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3.6%</w:t>
            </w:r>
          </w:p>
        </w:tc>
      </w:tr>
      <w:tr w:rsidR="00853264" w:rsidRPr="00853264" w14:paraId="5B1B6C01" w14:textId="77777777" w:rsidTr="00107874">
        <w:trPr>
          <w:trHeight w:val="288"/>
        </w:trPr>
        <w:tc>
          <w:tcPr>
            <w:tcW w:w="3084" w:type="pct"/>
            <w:noWrap/>
            <w:hideMark/>
          </w:tcPr>
          <w:p w14:paraId="06F3A726"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4C5FFF6C" w14:textId="773CA0CB"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1,052</w:t>
            </w:r>
          </w:p>
        </w:tc>
        <w:tc>
          <w:tcPr>
            <w:tcW w:w="720" w:type="pct"/>
            <w:noWrap/>
            <w:hideMark/>
          </w:tcPr>
          <w:p w14:paraId="19D6A8EE"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3.4%</w:t>
            </w:r>
          </w:p>
        </w:tc>
      </w:tr>
      <w:tr w:rsidR="00853264" w:rsidRPr="00853264" w14:paraId="569A3C86" w14:textId="77777777" w:rsidTr="00107874">
        <w:trPr>
          <w:trHeight w:val="288"/>
        </w:trPr>
        <w:tc>
          <w:tcPr>
            <w:tcW w:w="3084" w:type="pct"/>
            <w:noWrap/>
            <w:hideMark/>
          </w:tcPr>
          <w:p w14:paraId="460B4F62"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High-&gt;Standard-&gt;High(CGORD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)-&gt;High(CGORD)</w:t>
            </w:r>
          </w:p>
        </w:tc>
        <w:tc>
          <w:tcPr>
            <w:tcW w:w="1196" w:type="pct"/>
            <w:noWrap/>
            <w:hideMark/>
          </w:tcPr>
          <w:p w14:paraId="3AF14775" w14:textId="2DF72AFD"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809</w:t>
            </w:r>
          </w:p>
        </w:tc>
        <w:tc>
          <w:tcPr>
            <w:tcW w:w="720" w:type="pct"/>
            <w:noWrap/>
            <w:hideMark/>
          </w:tcPr>
          <w:p w14:paraId="554F19B6"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2.6%</w:t>
            </w:r>
          </w:p>
        </w:tc>
      </w:tr>
      <w:tr w:rsidR="00853264" w:rsidRPr="00853264" w14:paraId="0E22D5CE" w14:textId="77777777" w:rsidTr="00107874">
        <w:trPr>
          <w:trHeight w:val="288"/>
        </w:trPr>
        <w:tc>
          <w:tcPr>
            <w:tcW w:w="3084" w:type="pct"/>
            <w:noWrap/>
            <w:hideMark/>
          </w:tcPr>
          <w:p w14:paraId="7610BF9C"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7B93C931" w14:textId="6BC3F240"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791</w:t>
            </w:r>
          </w:p>
        </w:tc>
        <w:tc>
          <w:tcPr>
            <w:tcW w:w="720" w:type="pct"/>
            <w:noWrap/>
            <w:hideMark/>
          </w:tcPr>
          <w:p w14:paraId="6F9A5103"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2.6%</w:t>
            </w:r>
          </w:p>
        </w:tc>
      </w:tr>
      <w:tr w:rsidR="00853264" w:rsidRPr="00853264" w14:paraId="4D422179" w14:textId="77777777" w:rsidTr="00107874">
        <w:trPr>
          <w:trHeight w:val="288"/>
        </w:trPr>
        <w:tc>
          <w:tcPr>
            <w:tcW w:w="3084" w:type="pct"/>
            <w:noWrap/>
            <w:hideMark/>
          </w:tcPr>
          <w:p w14:paraId="69710119"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High-&gt;Standard-&gt;High(CGORD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2F43FDF1" w14:textId="1C6648C2"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777</w:t>
            </w:r>
          </w:p>
        </w:tc>
        <w:tc>
          <w:tcPr>
            <w:tcW w:w="720" w:type="pct"/>
            <w:noWrap/>
            <w:hideMark/>
          </w:tcPr>
          <w:p w14:paraId="5E71C291"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2.5%</w:t>
            </w:r>
          </w:p>
        </w:tc>
      </w:tr>
      <w:tr w:rsidR="00853264" w:rsidRPr="00853264" w14:paraId="4693DC90" w14:textId="77777777" w:rsidTr="00107874">
        <w:trPr>
          <w:trHeight w:val="288"/>
        </w:trPr>
        <w:tc>
          <w:tcPr>
            <w:tcW w:w="3084" w:type="pct"/>
            <w:noWrap/>
            <w:hideMark/>
          </w:tcPr>
          <w:p w14:paraId="7D0AEEE7"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Standard-&gt;High-&gt;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 xml:space="preserve">(CGORD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(CGORD)</w:t>
            </w:r>
          </w:p>
        </w:tc>
        <w:tc>
          <w:tcPr>
            <w:tcW w:w="1196" w:type="pct"/>
            <w:noWrap/>
            <w:hideMark/>
          </w:tcPr>
          <w:p w14:paraId="277C0CDB" w14:textId="3762752A"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749</w:t>
            </w:r>
          </w:p>
        </w:tc>
        <w:tc>
          <w:tcPr>
            <w:tcW w:w="720" w:type="pct"/>
            <w:noWrap/>
            <w:hideMark/>
          </w:tcPr>
          <w:p w14:paraId="5D05E7A0"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2.4%</w:t>
            </w:r>
          </w:p>
        </w:tc>
      </w:tr>
      <w:tr w:rsidR="00853264" w:rsidRPr="00853264" w14:paraId="6D54E61A" w14:textId="77777777" w:rsidTr="00107874">
        <w:trPr>
          <w:trHeight w:val="288"/>
        </w:trPr>
        <w:tc>
          <w:tcPr>
            <w:tcW w:w="3084" w:type="pct"/>
            <w:noWrap/>
            <w:hideMark/>
          </w:tcPr>
          <w:p w14:paraId="31814852"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Standard-&gt;Low-&gt;High(CGORD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47C03A9F" w14:textId="3C29ED2F"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676</w:t>
            </w:r>
          </w:p>
        </w:tc>
        <w:tc>
          <w:tcPr>
            <w:tcW w:w="720" w:type="pct"/>
            <w:noWrap/>
            <w:hideMark/>
          </w:tcPr>
          <w:p w14:paraId="3495AE85"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2.2%</w:t>
            </w:r>
          </w:p>
        </w:tc>
      </w:tr>
      <w:tr w:rsidR="00853264" w:rsidRPr="00853264" w14:paraId="4C9521AB" w14:textId="77777777" w:rsidTr="00107874">
        <w:trPr>
          <w:trHeight w:val="288"/>
        </w:trPr>
        <w:tc>
          <w:tcPr>
            <w:tcW w:w="3084" w:type="pct"/>
            <w:noWrap/>
            <w:hideMark/>
          </w:tcPr>
          <w:p w14:paraId="6D0C5FB7"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Standard-&gt;Low-&gt;High(CGORD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)-&gt;High(CGORD)</w:t>
            </w:r>
          </w:p>
        </w:tc>
        <w:tc>
          <w:tcPr>
            <w:tcW w:w="1196" w:type="pct"/>
            <w:noWrap/>
            <w:hideMark/>
          </w:tcPr>
          <w:p w14:paraId="0EC0DB75" w14:textId="6693894B"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652</w:t>
            </w:r>
          </w:p>
        </w:tc>
        <w:tc>
          <w:tcPr>
            <w:tcW w:w="720" w:type="pct"/>
            <w:noWrap/>
            <w:hideMark/>
          </w:tcPr>
          <w:p w14:paraId="17AFC13E"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2.1%</w:t>
            </w:r>
          </w:p>
        </w:tc>
      </w:tr>
      <w:tr w:rsidR="00853264" w:rsidRPr="00853264" w14:paraId="51D7398A" w14:textId="77777777" w:rsidTr="00107874">
        <w:trPr>
          <w:trHeight w:val="288"/>
        </w:trPr>
        <w:tc>
          <w:tcPr>
            <w:tcW w:w="3084" w:type="pct"/>
            <w:noWrap/>
            <w:hideMark/>
          </w:tcPr>
          <w:p w14:paraId="1039752A"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Standard-&gt;High-&gt;Standard(CGORD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07509026" w14:textId="369742BD"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622</w:t>
            </w:r>
          </w:p>
        </w:tc>
        <w:tc>
          <w:tcPr>
            <w:tcW w:w="720" w:type="pct"/>
            <w:noWrap/>
            <w:hideMark/>
          </w:tcPr>
          <w:p w14:paraId="38B6A4A6"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2.0%</w:t>
            </w:r>
          </w:p>
        </w:tc>
      </w:tr>
      <w:tr w:rsidR="00853264" w:rsidRPr="00853264" w14:paraId="41E4A36E" w14:textId="77777777" w:rsidTr="00107874">
        <w:trPr>
          <w:trHeight w:val="288"/>
        </w:trPr>
        <w:tc>
          <w:tcPr>
            <w:tcW w:w="3084" w:type="pct"/>
            <w:noWrap/>
            <w:hideMark/>
          </w:tcPr>
          <w:p w14:paraId="48C736AD"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High-&gt;Standard-&gt;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 xml:space="preserve">(CGORD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(CGORD)</w:t>
            </w:r>
          </w:p>
        </w:tc>
        <w:tc>
          <w:tcPr>
            <w:tcW w:w="1196" w:type="pct"/>
            <w:noWrap/>
            <w:hideMark/>
          </w:tcPr>
          <w:p w14:paraId="1D8978FF" w14:textId="5A1D0510"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583</w:t>
            </w:r>
          </w:p>
        </w:tc>
        <w:tc>
          <w:tcPr>
            <w:tcW w:w="720" w:type="pct"/>
            <w:noWrap/>
            <w:hideMark/>
          </w:tcPr>
          <w:p w14:paraId="3DF38290"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1.9%</w:t>
            </w:r>
          </w:p>
        </w:tc>
      </w:tr>
      <w:tr w:rsidR="00853264" w:rsidRPr="00853264" w14:paraId="0A7A071C" w14:textId="77777777" w:rsidTr="00107874">
        <w:trPr>
          <w:trHeight w:val="288"/>
        </w:trPr>
        <w:tc>
          <w:tcPr>
            <w:tcW w:w="3084" w:type="pct"/>
            <w:noWrap/>
            <w:hideMark/>
          </w:tcPr>
          <w:p w14:paraId="7B5E99FC"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Standard-&gt;High-&gt;Standard(CGORD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)-&gt;Standard(CGORD)</w:t>
            </w:r>
          </w:p>
        </w:tc>
        <w:tc>
          <w:tcPr>
            <w:tcW w:w="1196" w:type="pct"/>
            <w:noWrap/>
            <w:hideMark/>
          </w:tcPr>
          <w:p w14:paraId="77464F61" w14:textId="1B868837"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583</w:t>
            </w:r>
          </w:p>
        </w:tc>
        <w:tc>
          <w:tcPr>
            <w:tcW w:w="720" w:type="pct"/>
            <w:noWrap/>
            <w:hideMark/>
          </w:tcPr>
          <w:p w14:paraId="5F603FBC"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1.9%</w:t>
            </w:r>
          </w:p>
        </w:tc>
      </w:tr>
      <w:tr w:rsidR="00853264" w:rsidRPr="00853264" w14:paraId="13D93CE0" w14:textId="77777777" w:rsidTr="00107874">
        <w:trPr>
          <w:trHeight w:val="288"/>
        </w:trPr>
        <w:tc>
          <w:tcPr>
            <w:tcW w:w="3084" w:type="pct"/>
            <w:noWrap/>
            <w:hideMark/>
          </w:tcPr>
          <w:p w14:paraId="066F81A9"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Standard-&gt;High-&gt;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 xml:space="preserve">(CGORD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7ECDE49E" w14:textId="73D95710"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566</w:t>
            </w:r>
          </w:p>
        </w:tc>
        <w:tc>
          <w:tcPr>
            <w:tcW w:w="720" w:type="pct"/>
            <w:noWrap/>
            <w:hideMark/>
          </w:tcPr>
          <w:p w14:paraId="3BC87264"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1.8%</w:t>
            </w:r>
          </w:p>
        </w:tc>
      </w:tr>
      <w:tr w:rsidR="00853264" w:rsidRPr="00853264" w14:paraId="3CBDFA91" w14:textId="77777777" w:rsidTr="00107874">
        <w:trPr>
          <w:trHeight w:val="288"/>
        </w:trPr>
        <w:tc>
          <w:tcPr>
            <w:tcW w:w="3084" w:type="pct"/>
            <w:noWrap/>
            <w:hideMark/>
          </w:tcPr>
          <w:p w14:paraId="100108FD"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High-&gt;Standard-&gt;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 xml:space="preserve">(CGORD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12C27A73" w14:textId="0A064685"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482</w:t>
            </w:r>
          </w:p>
        </w:tc>
        <w:tc>
          <w:tcPr>
            <w:tcW w:w="720" w:type="pct"/>
            <w:noWrap/>
            <w:hideMark/>
          </w:tcPr>
          <w:p w14:paraId="49E04B85"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1.6%</w:t>
            </w:r>
          </w:p>
        </w:tc>
      </w:tr>
      <w:tr w:rsidR="00853264" w:rsidRPr="00853264" w14:paraId="0BCBE85E" w14:textId="77777777" w:rsidTr="00107874">
        <w:trPr>
          <w:trHeight w:val="288"/>
        </w:trPr>
        <w:tc>
          <w:tcPr>
            <w:tcW w:w="3084" w:type="pct"/>
            <w:noWrap/>
            <w:hideMark/>
          </w:tcPr>
          <w:p w14:paraId="5F4270EE"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Standard-&gt;High-&gt;High(CGORD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)-&gt;High(CGORD)</w:t>
            </w:r>
          </w:p>
        </w:tc>
        <w:tc>
          <w:tcPr>
            <w:tcW w:w="1196" w:type="pct"/>
            <w:noWrap/>
            <w:hideMark/>
          </w:tcPr>
          <w:p w14:paraId="12F335A7" w14:textId="09DFA0E7"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477</w:t>
            </w:r>
          </w:p>
        </w:tc>
        <w:tc>
          <w:tcPr>
            <w:tcW w:w="720" w:type="pct"/>
            <w:noWrap/>
            <w:hideMark/>
          </w:tcPr>
          <w:p w14:paraId="175DFD52"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1.5%</w:t>
            </w:r>
          </w:p>
        </w:tc>
      </w:tr>
      <w:tr w:rsidR="00853264" w:rsidRPr="00853264" w14:paraId="4F88368B" w14:textId="77777777" w:rsidTr="00107874">
        <w:trPr>
          <w:trHeight w:val="288"/>
        </w:trPr>
        <w:tc>
          <w:tcPr>
            <w:tcW w:w="3084" w:type="pct"/>
            <w:noWrap/>
            <w:hideMark/>
          </w:tcPr>
          <w:p w14:paraId="289E0CC1"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Standard-&gt;High-&gt;High(CGORD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525C2134" w14:textId="3B96BAE6"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458</w:t>
            </w:r>
          </w:p>
        </w:tc>
        <w:tc>
          <w:tcPr>
            <w:tcW w:w="720" w:type="pct"/>
            <w:noWrap/>
            <w:hideMark/>
          </w:tcPr>
          <w:p w14:paraId="3372A09B"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1.5%</w:t>
            </w:r>
          </w:p>
        </w:tc>
      </w:tr>
      <w:tr w:rsidR="00853264" w:rsidRPr="00853264" w14:paraId="575D1787" w14:textId="77777777" w:rsidTr="00107874">
        <w:trPr>
          <w:trHeight w:val="288"/>
        </w:trPr>
        <w:tc>
          <w:tcPr>
            <w:tcW w:w="3084" w:type="pct"/>
            <w:noWrap/>
            <w:hideMark/>
          </w:tcPr>
          <w:p w14:paraId="37A16357"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Low-&gt;Standard-&gt;High(CGORD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456CC936" w14:textId="55C904B6"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438</w:t>
            </w:r>
          </w:p>
        </w:tc>
        <w:tc>
          <w:tcPr>
            <w:tcW w:w="720" w:type="pct"/>
            <w:noWrap/>
            <w:hideMark/>
          </w:tcPr>
          <w:p w14:paraId="796FF6D4"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1.4%</w:t>
            </w:r>
          </w:p>
        </w:tc>
      </w:tr>
      <w:tr w:rsidR="00853264" w:rsidRPr="00853264" w14:paraId="28D2AA0F" w14:textId="77777777" w:rsidTr="00107874">
        <w:trPr>
          <w:trHeight w:val="288"/>
        </w:trPr>
        <w:tc>
          <w:tcPr>
            <w:tcW w:w="3084" w:type="pct"/>
            <w:noWrap/>
            <w:hideMark/>
          </w:tcPr>
          <w:p w14:paraId="295C8144"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Low-&gt;Standard-&gt;High(CGORD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)-&gt;High(CGORD)</w:t>
            </w:r>
          </w:p>
        </w:tc>
        <w:tc>
          <w:tcPr>
            <w:tcW w:w="1196" w:type="pct"/>
            <w:noWrap/>
            <w:hideMark/>
          </w:tcPr>
          <w:p w14:paraId="5CD7E4C5" w14:textId="2C662CD5"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373</w:t>
            </w:r>
          </w:p>
        </w:tc>
        <w:tc>
          <w:tcPr>
            <w:tcW w:w="720" w:type="pct"/>
            <w:noWrap/>
            <w:hideMark/>
          </w:tcPr>
          <w:p w14:paraId="617035F4"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1.2%</w:t>
            </w:r>
          </w:p>
        </w:tc>
      </w:tr>
      <w:tr w:rsidR="00853264" w:rsidRPr="00853264" w14:paraId="6E40CF1A" w14:textId="77777777" w:rsidTr="00107874">
        <w:trPr>
          <w:trHeight w:val="288"/>
        </w:trPr>
        <w:tc>
          <w:tcPr>
            <w:tcW w:w="3084" w:type="pct"/>
            <w:noWrap/>
            <w:hideMark/>
          </w:tcPr>
          <w:p w14:paraId="34D2C1D0"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High-&gt;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 xml:space="preserve">(CGORD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(CGORD)</w:t>
            </w:r>
          </w:p>
        </w:tc>
        <w:tc>
          <w:tcPr>
            <w:tcW w:w="1196" w:type="pct"/>
            <w:noWrap/>
            <w:hideMark/>
          </w:tcPr>
          <w:p w14:paraId="14622387" w14:textId="3C236BD9"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346</w:t>
            </w:r>
          </w:p>
        </w:tc>
        <w:tc>
          <w:tcPr>
            <w:tcW w:w="720" w:type="pct"/>
            <w:noWrap/>
            <w:hideMark/>
          </w:tcPr>
          <w:p w14:paraId="13F9B927"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1.1%</w:t>
            </w:r>
          </w:p>
        </w:tc>
      </w:tr>
      <w:tr w:rsidR="00853264" w:rsidRPr="00853264" w14:paraId="7D5CC082" w14:textId="77777777" w:rsidTr="00107874">
        <w:trPr>
          <w:trHeight w:val="288"/>
        </w:trPr>
        <w:tc>
          <w:tcPr>
            <w:tcW w:w="3084" w:type="pct"/>
            <w:noWrap/>
            <w:hideMark/>
          </w:tcPr>
          <w:p w14:paraId="475612A7"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)-&gt;Standard</w:t>
            </w:r>
          </w:p>
        </w:tc>
        <w:tc>
          <w:tcPr>
            <w:tcW w:w="1196" w:type="pct"/>
            <w:noWrap/>
            <w:hideMark/>
          </w:tcPr>
          <w:p w14:paraId="4C167466" w14:textId="672A9AC3"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324</w:t>
            </w:r>
          </w:p>
        </w:tc>
        <w:tc>
          <w:tcPr>
            <w:tcW w:w="720" w:type="pct"/>
            <w:noWrap/>
            <w:hideMark/>
          </w:tcPr>
          <w:p w14:paraId="147C3DD5"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1.0%</w:t>
            </w:r>
          </w:p>
        </w:tc>
      </w:tr>
      <w:tr w:rsidR="00853264" w:rsidRPr="00853264" w14:paraId="34CA237B" w14:textId="77777777" w:rsidTr="00107874">
        <w:trPr>
          <w:trHeight w:val="288"/>
        </w:trPr>
        <w:tc>
          <w:tcPr>
            <w:tcW w:w="3084" w:type="pct"/>
            <w:noWrap/>
            <w:hideMark/>
          </w:tcPr>
          <w:p w14:paraId="6A523AE7"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High-&gt;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 xml:space="preserve">(CGORD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6FAA9D89" w14:textId="13BBC7D1"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282</w:t>
            </w:r>
          </w:p>
        </w:tc>
        <w:tc>
          <w:tcPr>
            <w:tcW w:w="720" w:type="pct"/>
            <w:noWrap/>
            <w:hideMark/>
          </w:tcPr>
          <w:p w14:paraId="7F6A8701"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0.9%</w:t>
            </w:r>
          </w:p>
        </w:tc>
      </w:tr>
      <w:tr w:rsidR="00853264" w:rsidRPr="00853264" w14:paraId="4B2643E8" w14:textId="77777777" w:rsidTr="00107874">
        <w:trPr>
          <w:trHeight w:val="288"/>
        </w:trPr>
        <w:tc>
          <w:tcPr>
            <w:tcW w:w="3084" w:type="pct"/>
            <w:noWrap/>
            <w:hideMark/>
          </w:tcPr>
          <w:p w14:paraId="49BFF1BC"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High(CGORD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)-&gt;High(CGORD)</w:t>
            </w:r>
          </w:p>
        </w:tc>
        <w:tc>
          <w:tcPr>
            <w:tcW w:w="1196" w:type="pct"/>
            <w:noWrap/>
            <w:hideMark/>
          </w:tcPr>
          <w:p w14:paraId="63A9A125" w14:textId="1B189DC4"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269</w:t>
            </w:r>
          </w:p>
        </w:tc>
        <w:tc>
          <w:tcPr>
            <w:tcW w:w="720" w:type="pct"/>
            <w:noWrap/>
            <w:hideMark/>
          </w:tcPr>
          <w:p w14:paraId="7D97FF33"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0.9%</w:t>
            </w:r>
          </w:p>
        </w:tc>
      </w:tr>
      <w:tr w:rsidR="00853264" w:rsidRPr="00853264" w14:paraId="6C46338B" w14:textId="77777777" w:rsidTr="00107874">
        <w:trPr>
          <w:trHeight w:val="288"/>
        </w:trPr>
        <w:tc>
          <w:tcPr>
            <w:tcW w:w="3084" w:type="pct"/>
            <w:noWrap/>
            <w:hideMark/>
          </w:tcPr>
          <w:p w14:paraId="16080934"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Standard-&gt;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 xml:space="preserve">(CGORD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(CGORD)</w:t>
            </w:r>
          </w:p>
        </w:tc>
        <w:tc>
          <w:tcPr>
            <w:tcW w:w="1196" w:type="pct"/>
            <w:noWrap/>
            <w:hideMark/>
          </w:tcPr>
          <w:p w14:paraId="4D55D546" w14:textId="504E91BD"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221</w:t>
            </w:r>
          </w:p>
        </w:tc>
        <w:tc>
          <w:tcPr>
            <w:tcW w:w="720" w:type="pct"/>
            <w:noWrap/>
            <w:hideMark/>
          </w:tcPr>
          <w:p w14:paraId="70E3BFE9"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0.7%</w:t>
            </w:r>
          </w:p>
        </w:tc>
      </w:tr>
      <w:tr w:rsidR="00853264" w:rsidRPr="00853264" w14:paraId="266B4B3C" w14:textId="77777777" w:rsidTr="00107874">
        <w:trPr>
          <w:trHeight w:val="288"/>
        </w:trPr>
        <w:tc>
          <w:tcPr>
            <w:tcW w:w="3084" w:type="pct"/>
            <w:noWrap/>
            <w:hideMark/>
          </w:tcPr>
          <w:p w14:paraId="5C345CE5"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Standard-&gt;</w:t>
            </w: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 xml:space="preserve">(CGORD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5FDCB1B4" w14:textId="56F76B87"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219</w:t>
            </w:r>
          </w:p>
        </w:tc>
        <w:tc>
          <w:tcPr>
            <w:tcW w:w="720" w:type="pct"/>
            <w:noWrap/>
            <w:hideMark/>
          </w:tcPr>
          <w:p w14:paraId="309A318A"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0.7%</w:t>
            </w:r>
          </w:p>
        </w:tc>
      </w:tr>
      <w:tr w:rsidR="00853264" w:rsidRPr="00853264" w14:paraId="431A5EE3" w14:textId="77777777" w:rsidTr="00107874">
        <w:trPr>
          <w:trHeight w:val="288"/>
        </w:trPr>
        <w:tc>
          <w:tcPr>
            <w:tcW w:w="3084" w:type="pct"/>
            <w:noWrap/>
            <w:hideMark/>
          </w:tcPr>
          <w:p w14:paraId="7D31F6F0" w14:textId="77777777" w:rsidR="00853264" w:rsidRPr="00853264" w:rsidRDefault="00853264" w:rsidP="00853264">
            <w:pPr>
              <w:rPr>
                <w:rFonts w:ascii="Calibri" w:eastAsia="Times New Roman" w:hAnsi="Calibri" w:cs="Calibri"/>
                <w:sz w:val="22"/>
                <w:szCs w:val="22"/>
              </w:rPr>
            </w:pPr>
            <w:r w:rsidRPr="00853264">
              <w:rPr>
                <w:rFonts w:ascii="Calibri" w:eastAsia="Times New Roman" w:hAnsi="Calibri" w:cs="Calibri"/>
                <w:sz w:val="22"/>
                <w:szCs w:val="22"/>
              </w:rPr>
              <w:t xml:space="preserve">Standard(CGORD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)-&gt;Standard(CGORD)</w:t>
            </w:r>
          </w:p>
        </w:tc>
        <w:tc>
          <w:tcPr>
            <w:tcW w:w="1196" w:type="pct"/>
            <w:noWrap/>
            <w:hideMark/>
          </w:tcPr>
          <w:p w14:paraId="00DB5399" w14:textId="28B75C65"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185</w:t>
            </w:r>
          </w:p>
        </w:tc>
        <w:tc>
          <w:tcPr>
            <w:tcW w:w="720" w:type="pct"/>
            <w:noWrap/>
            <w:hideMark/>
          </w:tcPr>
          <w:p w14:paraId="7922B22D"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0.6%</w:t>
            </w:r>
          </w:p>
        </w:tc>
      </w:tr>
      <w:tr w:rsidR="00853264" w:rsidRPr="00853264" w14:paraId="3DF01D70" w14:textId="77777777" w:rsidTr="00107874">
        <w:trPr>
          <w:trHeight w:val="288"/>
        </w:trPr>
        <w:tc>
          <w:tcPr>
            <w:tcW w:w="3084" w:type="pct"/>
            <w:noWrap/>
            <w:hideMark/>
          </w:tcPr>
          <w:p w14:paraId="65B6F71D" w14:textId="77777777" w:rsidR="00853264" w:rsidRPr="00853264" w:rsidRDefault="00853264" w:rsidP="00853264">
            <w:pPr>
              <w:rPr>
                <w:rFonts w:ascii="Calibri" w:eastAsia="Times New Roman" w:hAnsi="Calibri" w:cs="Calibri"/>
                <w:sz w:val="22"/>
                <w:szCs w:val="22"/>
              </w:rPr>
            </w:pPr>
            <w:proofErr w:type="spellStart"/>
            <w:r w:rsidRPr="00853264">
              <w:rPr>
                <w:rFonts w:ascii="Calibri" w:eastAsia="Times New Roman" w:hAnsi="Calibri" w:cs="Calibri"/>
                <w:sz w:val="22"/>
                <w:szCs w:val="22"/>
              </w:rPr>
              <w:t>VeryHigh</w:t>
            </w:r>
            <w:proofErr w:type="spellEnd"/>
            <w:r w:rsidRPr="00853264">
              <w:rPr>
                <w:rFonts w:ascii="Calibri" w:eastAsia="Times New Roman" w:hAnsi="Calibri" w:cs="Calibri"/>
                <w:sz w:val="22"/>
                <w:szCs w:val="22"/>
              </w:rPr>
              <w:t xml:space="preserve">(CGORD </w:t>
            </w:r>
            <w:proofErr w:type="spellStart"/>
            <w:r w:rsidRPr="00853264">
              <w:rPr>
                <w:rFonts w:ascii="Calibri" w:eastAsia="Times New Roman" w:hAnsi="Calibri" w:cs="Calibri"/>
                <w:sz w:val="22"/>
                <w:szCs w:val="22"/>
              </w:rPr>
              <w:t>init</w:t>
            </w:r>
            <w:proofErr w:type="spellEnd"/>
            <w:r w:rsidRPr="00853264">
              <w:rPr>
                <w:rFonts w:ascii="Calibri" w:eastAsia="Times New Roman" w:hAnsi="Calibri" w:cs="Calibri"/>
                <w:sz w:val="22"/>
                <w:szCs w:val="22"/>
              </w:rPr>
              <w:t>)</w:t>
            </w:r>
          </w:p>
        </w:tc>
        <w:tc>
          <w:tcPr>
            <w:tcW w:w="1196" w:type="pct"/>
            <w:noWrap/>
            <w:hideMark/>
          </w:tcPr>
          <w:p w14:paraId="37330CC5" w14:textId="114A3820" w:rsidR="00853264" w:rsidRPr="00853264" w:rsidRDefault="00853264" w:rsidP="00FF384F">
            <w:pPr>
              <w:jc w:val="center"/>
              <w:rPr>
                <w:rFonts w:ascii="Calibri" w:eastAsia="Times New Roman" w:hAnsi="Calibri" w:cs="Calibri"/>
                <w:sz w:val="22"/>
                <w:szCs w:val="22"/>
              </w:rPr>
            </w:pPr>
            <w:r w:rsidRPr="00853264">
              <w:rPr>
                <w:rFonts w:ascii="Calibri" w:eastAsia="Times New Roman" w:hAnsi="Calibri" w:cs="Calibri"/>
                <w:sz w:val="22"/>
                <w:szCs w:val="22"/>
              </w:rPr>
              <w:t>174</w:t>
            </w:r>
          </w:p>
        </w:tc>
        <w:tc>
          <w:tcPr>
            <w:tcW w:w="720" w:type="pct"/>
            <w:noWrap/>
            <w:hideMark/>
          </w:tcPr>
          <w:p w14:paraId="3C7DB75C" w14:textId="77777777" w:rsidR="00853264" w:rsidRPr="00853264" w:rsidRDefault="00853264" w:rsidP="00853264">
            <w:pPr>
              <w:jc w:val="right"/>
              <w:rPr>
                <w:rFonts w:ascii="Calibri" w:eastAsia="Times New Roman" w:hAnsi="Calibri" w:cs="Calibri"/>
                <w:sz w:val="22"/>
                <w:szCs w:val="22"/>
              </w:rPr>
            </w:pPr>
            <w:r w:rsidRPr="00853264">
              <w:rPr>
                <w:rFonts w:ascii="Calibri" w:eastAsia="Times New Roman" w:hAnsi="Calibri" w:cs="Calibri"/>
                <w:sz w:val="22"/>
                <w:szCs w:val="22"/>
              </w:rPr>
              <w:t>0.6%</w:t>
            </w:r>
          </w:p>
        </w:tc>
      </w:tr>
      <w:tr w:rsidR="00E12E2D" w:rsidRPr="00853264" w14:paraId="62CB37F3" w14:textId="77777777" w:rsidTr="00107874">
        <w:trPr>
          <w:trHeight w:val="288"/>
        </w:trPr>
        <w:tc>
          <w:tcPr>
            <w:tcW w:w="3084" w:type="pct"/>
            <w:noWrap/>
          </w:tcPr>
          <w:p w14:paraId="23A36137" w14:textId="1731B11E" w:rsidR="00E12E2D" w:rsidRPr="00853264" w:rsidRDefault="00E12E2D" w:rsidP="00853264">
            <w:pPr>
              <w:rPr>
                <w:rFonts w:ascii="Calibri" w:eastAsia="Times New Roman" w:hAnsi="Calibri" w:cs="Calibri"/>
                <w:sz w:val="22"/>
                <w:szCs w:val="22"/>
              </w:rPr>
            </w:pPr>
            <w:r>
              <w:rPr>
                <w:rFonts w:ascii="Calibri" w:eastAsia="Times New Roman" w:hAnsi="Calibri" w:cs="Calibri"/>
                <w:sz w:val="22"/>
                <w:szCs w:val="22"/>
              </w:rPr>
              <w:t>Other</w:t>
            </w:r>
          </w:p>
        </w:tc>
        <w:tc>
          <w:tcPr>
            <w:tcW w:w="1196" w:type="pct"/>
            <w:noWrap/>
          </w:tcPr>
          <w:p w14:paraId="4DD5459C" w14:textId="0B03B9E8" w:rsidR="00E12E2D" w:rsidRPr="00853264" w:rsidRDefault="00B61B54" w:rsidP="00FF384F">
            <w:pPr>
              <w:jc w:val="center"/>
              <w:rPr>
                <w:rFonts w:ascii="Calibri" w:eastAsia="Times New Roman" w:hAnsi="Calibri" w:cs="Calibri"/>
                <w:sz w:val="22"/>
                <w:szCs w:val="22"/>
              </w:rPr>
            </w:pPr>
            <w:r>
              <w:rPr>
                <w:rFonts w:ascii="Calibri" w:eastAsia="Times New Roman" w:hAnsi="Calibri" w:cs="Calibri"/>
                <w:sz w:val="22"/>
                <w:szCs w:val="22"/>
              </w:rPr>
              <w:t>3</w:t>
            </w:r>
            <w:r w:rsidR="00FF384F">
              <w:rPr>
                <w:rFonts w:ascii="Calibri" w:eastAsia="Times New Roman" w:hAnsi="Calibri" w:cs="Calibri"/>
                <w:sz w:val="22"/>
                <w:szCs w:val="22"/>
              </w:rPr>
              <w:t>,927</w:t>
            </w:r>
          </w:p>
        </w:tc>
        <w:tc>
          <w:tcPr>
            <w:tcW w:w="720" w:type="pct"/>
            <w:noWrap/>
          </w:tcPr>
          <w:p w14:paraId="09DC4838" w14:textId="28FFBC7E" w:rsidR="00E12E2D" w:rsidRPr="00853264" w:rsidRDefault="00FF384F" w:rsidP="00853264">
            <w:pPr>
              <w:jc w:val="right"/>
              <w:rPr>
                <w:rFonts w:ascii="Calibri" w:eastAsia="Times New Roman" w:hAnsi="Calibri" w:cs="Calibri"/>
                <w:sz w:val="22"/>
                <w:szCs w:val="22"/>
              </w:rPr>
            </w:pPr>
            <w:r>
              <w:rPr>
                <w:rFonts w:ascii="Calibri" w:eastAsia="Times New Roman" w:hAnsi="Calibri" w:cs="Calibri"/>
                <w:sz w:val="22"/>
                <w:szCs w:val="22"/>
              </w:rPr>
              <w:t>12.7%</w:t>
            </w:r>
          </w:p>
        </w:tc>
      </w:tr>
      <w:tr w:rsidR="00E12E2D" w:rsidRPr="00853264" w14:paraId="1C4F6CBF" w14:textId="77777777" w:rsidTr="00107874">
        <w:trPr>
          <w:trHeight w:val="288"/>
        </w:trPr>
        <w:tc>
          <w:tcPr>
            <w:tcW w:w="3084" w:type="pct"/>
            <w:noWrap/>
          </w:tcPr>
          <w:p w14:paraId="239C4BFA" w14:textId="300CE993" w:rsidR="00E12E2D" w:rsidRDefault="00E12E2D" w:rsidP="00853264">
            <w:pPr>
              <w:rPr>
                <w:rFonts w:ascii="Calibri" w:eastAsia="Times New Roman" w:hAnsi="Calibri" w:cs="Calibri"/>
                <w:sz w:val="22"/>
                <w:szCs w:val="22"/>
              </w:rPr>
            </w:pPr>
            <w:r>
              <w:rPr>
                <w:rFonts w:ascii="Calibri" w:eastAsia="Times New Roman" w:hAnsi="Calibri" w:cs="Calibri"/>
                <w:sz w:val="22"/>
                <w:szCs w:val="22"/>
              </w:rPr>
              <w:t>Total</w:t>
            </w:r>
          </w:p>
        </w:tc>
        <w:tc>
          <w:tcPr>
            <w:tcW w:w="1196" w:type="pct"/>
            <w:noWrap/>
          </w:tcPr>
          <w:p w14:paraId="3E1B7FC6" w14:textId="75EF04FD" w:rsidR="00E12E2D" w:rsidRDefault="00FF384F" w:rsidP="00FF384F">
            <w:pPr>
              <w:jc w:val="center"/>
              <w:rPr>
                <w:rFonts w:ascii="Calibri" w:eastAsia="Times New Roman" w:hAnsi="Calibri" w:cs="Calibri"/>
                <w:sz w:val="22"/>
                <w:szCs w:val="22"/>
              </w:rPr>
            </w:pPr>
            <w:r>
              <w:rPr>
                <w:rFonts w:ascii="Calibri" w:eastAsia="Times New Roman" w:hAnsi="Calibri" w:cs="Calibri"/>
                <w:sz w:val="22"/>
                <w:szCs w:val="22"/>
              </w:rPr>
              <w:t>30,980</w:t>
            </w:r>
          </w:p>
        </w:tc>
        <w:tc>
          <w:tcPr>
            <w:tcW w:w="720" w:type="pct"/>
            <w:noWrap/>
          </w:tcPr>
          <w:p w14:paraId="4001B37C" w14:textId="480E8744" w:rsidR="00E12E2D" w:rsidRDefault="00E12E2D" w:rsidP="00853264">
            <w:pPr>
              <w:jc w:val="right"/>
              <w:rPr>
                <w:rFonts w:ascii="Calibri" w:eastAsia="Times New Roman" w:hAnsi="Calibri" w:cs="Calibri"/>
                <w:sz w:val="22"/>
                <w:szCs w:val="22"/>
              </w:rPr>
            </w:pPr>
            <w:r>
              <w:rPr>
                <w:rFonts w:ascii="Calibri" w:eastAsia="Times New Roman" w:hAnsi="Calibri" w:cs="Calibri"/>
                <w:sz w:val="22"/>
                <w:szCs w:val="22"/>
              </w:rPr>
              <w:t>100%</w:t>
            </w:r>
          </w:p>
        </w:tc>
      </w:tr>
    </w:tbl>
    <w:p w14:paraId="61EA4DA6" w14:textId="77777777" w:rsidR="00853264" w:rsidRPr="0095634B" w:rsidRDefault="00853264" w:rsidP="0095634B">
      <w:pPr>
        <w:rPr>
          <w:rFonts w:ascii="Calibri" w:eastAsia="Times New Roman" w:hAnsi="Calibri" w:cs="Calibri"/>
          <w:b/>
          <w:bCs/>
          <w:color w:val="000000"/>
          <w:sz w:val="22"/>
          <w:szCs w:val="22"/>
        </w:rPr>
      </w:pPr>
    </w:p>
    <w:p w14:paraId="3892829B" w14:textId="0656E598" w:rsidR="006C77EA" w:rsidRDefault="006C77EA" w:rsidP="006C77EA">
      <w:r>
        <w:t xml:space="preserve">In </w:t>
      </w:r>
      <w:r w:rsidR="008E5BAE">
        <w:t>T</w:t>
      </w:r>
      <w:r>
        <w:t>able 2, the relative dose sequence analysis was completed on e</w:t>
      </w:r>
      <w:r w:rsidRPr="00C21C5F">
        <w:t xml:space="preserve">ach patient </w:t>
      </w:r>
      <w:r>
        <w:t xml:space="preserve">however </w:t>
      </w:r>
      <w:r w:rsidRPr="00C21C5F">
        <w:t xml:space="preserve">is limited to 12 months of PPI prescription history from their date of initiation so that the opportunity for switching </w:t>
      </w:r>
      <w:r>
        <w:t>dose</w:t>
      </w:r>
      <w:r w:rsidRPr="00C21C5F">
        <w:t xml:space="preserve"> </w:t>
      </w:r>
      <w:r>
        <w:t>was</w:t>
      </w:r>
      <w:r w:rsidRPr="00C21C5F">
        <w:t xml:space="preserve"> equal</w:t>
      </w:r>
      <w:r>
        <w:t xml:space="preserve"> for all patients</w:t>
      </w:r>
      <w:r w:rsidRPr="00C21C5F">
        <w:t>.</w:t>
      </w:r>
      <w:r>
        <w:t xml:space="preserve"> The two cohorts chosen for comparison were those patients who initiated PPI therapy in 2017 and 2020. The 2017 cohort use</w:t>
      </w:r>
      <w:r w:rsidR="003E1DCF">
        <w:t>d</w:t>
      </w:r>
      <w:r>
        <w:t xml:space="preserve"> the prescription history up to the end of 2018 (</w:t>
      </w:r>
      <w:proofErr w:type="gramStart"/>
      <w:r>
        <w:t>i.e.</w:t>
      </w:r>
      <w:proofErr w:type="gramEnd"/>
      <w:r>
        <w:t xml:space="preserve"> 12 month</w:t>
      </w:r>
      <w:r w:rsidR="003E1DCF">
        <w:t>s</w:t>
      </w:r>
      <w:r>
        <w:t xml:space="preserve"> of </w:t>
      </w:r>
      <w:r w:rsidR="003E1DCF">
        <w:t xml:space="preserve">supply </w:t>
      </w:r>
      <w:r>
        <w:t xml:space="preserve">history for patients who initiated at the end of 2017). These patient prescription histories are all prior to the policy changes on 1 May 2019. In contrast, the 2020 initiators </w:t>
      </w:r>
      <w:r w:rsidR="003E1DCF">
        <w:t xml:space="preserve">had </w:t>
      </w:r>
      <w:r>
        <w:t xml:space="preserve">prescription </w:t>
      </w:r>
      <w:r>
        <w:lastRenderedPageBreak/>
        <w:t xml:space="preserve">histories which </w:t>
      </w:r>
      <w:r w:rsidR="003E1DCF">
        <w:t>we</w:t>
      </w:r>
      <w:r>
        <w:t xml:space="preserve">re all after the policy changes. </w:t>
      </w:r>
      <w:r w:rsidR="003E1DCF">
        <w:t xml:space="preserve">Referring to Table 2, </w:t>
      </w:r>
      <w:r>
        <w:t xml:space="preserve">14.5% of patients started on a standard dose and increased to a high dose, while a smaller number (4.2%) were starting at high doses before reducing to a lower dose. </w:t>
      </w:r>
    </w:p>
    <w:p w14:paraId="226AB23B" w14:textId="77777777" w:rsidR="00F9332D" w:rsidRPr="008E5BAE" w:rsidRDefault="00F9332D" w:rsidP="008E5BAE"/>
    <w:p w14:paraId="7234C00C" w14:textId="77777777" w:rsidR="00107BB6" w:rsidRDefault="00107BB6" w:rsidP="00107BB6">
      <w:pPr>
        <w:spacing w:line="276" w:lineRule="auto"/>
        <w:rPr>
          <w:b/>
          <w:bCs/>
          <w:u w:val="single"/>
        </w:rPr>
      </w:pPr>
      <w:r>
        <w:rPr>
          <w:b/>
          <w:bCs/>
          <w:u w:val="single"/>
        </w:rPr>
        <w:br w:type="page"/>
      </w:r>
    </w:p>
    <w:p w14:paraId="6CB883A5" w14:textId="77777777" w:rsidR="00107BB6" w:rsidRDefault="00107BB6" w:rsidP="00107BB6">
      <w:pPr>
        <w:pStyle w:val="Heading1"/>
        <w:spacing w:before="0" w:after="0"/>
        <w:contextualSpacing/>
      </w:pPr>
      <w:r>
        <w:lastRenderedPageBreak/>
        <w:t>D</w:t>
      </w:r>
      <w:r w:rsidRPr="005E22C2">
        <w:t>iscussion</w:t>
      </w:r>
    </w:p>
    <w:p w14:paraId="7D9F315F" w14:textId="77777777" w:rsidR="00107BB6" w:rsidRDefault="00107BB6" w:rsidP="00107BB6">
      <w:pPr>
        <w:spacing w:after="0"/>
        <w:contextualSpacing/>
      </w:pPr>
    </w:p>
    <w:p w14:paraId="6B3D75CC" w14:textId="4EB2A912" w:rsidR="00EF72CC" w:rsidRDefault="00EF72CC" w:rsidP="008E5BAE">
      <w:pPr>
        <w:widowControl w:val="0"/>
        <w:snapToGrid w:val="0"/>
        <w:spacing w:after="0"/>
        <w:rPr>
          <w:rFonts w:cstheme="minorHAnsi"/>
          <w:color w:val="333333"/>
          <w:shd w:val="clear" w:color="auto" w:fill="FFFFFF"/>
        </w:rPr>
      </w:pPr>
      <w:r>
        <w:t>PPI medicines are one of the most used medicines worldwide. Evidence has shown that they are inappropriately prescribed for a longer period than recommended by the current guidelines. Additional studies investigating international data on PPI prescriptions suggest</w:t>
      </w:r>
      <w:r w:rsidR="00B506C1">
        <w:t>s</w:t>
      </w:r>
      <w:r>
        <w:t xml:space="preserve"> that approximately half of prescriptions are inappropriate according to treatment guidelines; with estimates of the proportion of inappropriate prescribing of PPI medicines in Australia ranging from 22% to 63%</w:t>
      </w:r>
      <w:r w:rsidR="00393D05">
        <w:t>.</w:t>
      </w:r>
      <w:r>
        <w:rPr>
          <w:rStyle w:val="FootnoteReference"/>
        </w:rPr>
        <w:footnoteReference w:id="4"/>
      </w:r>
      <w:r>
        <w:t xml:space="preserve"> In addition, the use of PPI therapy for adults in Australia are mostly prescribed for </w:t>
      </w:r>
      <w:r w:rsidR="00393D05">
        <w:t>GORD</w:t>
      </w:r>
      <w:r>
        <w:t xml:space="preserve"> (68%). This has raised concerns on the impact of long-term use of PPI medications, with research suggesting the negative consequences of prolonged use can i</w:t>
      </w:r>
      <w:r w:rsidRPr="00E45AAE">
        <w:rPr>
          <w:rFonts w:cstheme="minorHAnsi"/>
        </w:rPr>
        <w:t>nclude</w:t>
      </w:r>
      <w:r w:rsidRPr="00C27CA1">
        <w:rPr>
          <w:rFonts w:cstheme="minorHAnsi"/>
        </w:rPr>
        <w:t xml:space="preserve"> </w:t>
      </w:r>
      <w:r>
        <w:rPr>
          <w:rFonts w:cstheme="minorHAnsi"/>
        </w:rPr>
        <w:t xml:space="preserve">the development of </w:t>
      </w:r>
      <w:r w:rsidRPr="00953518">
        <w:rPr>
          <w:rFonts w:cstheme="minorHAnsi"/>
          <w:color w:val="333333"/>
          <w:shd w:val="clear" w:color="auto" w:fill="FFFFFF"/>
        </w:rPr>
        <w:t>osteoporosis, pneumonia, fractures, multiple vitamin deficiencies, and colon cancer</w:t>
      </w:r>
      <w:r w:rsidR="00393D05">
        <w:rPr>
          <w:rFonts w:cstheme="minorHAnsi"/>
          <w:color w:val="333333"/>
          <w:shd w:val="clear" w:color="auto" w:fill="FFFFFF"/>
        </w:rPr>
        <w:t>.</w:t>
      </w:r>
      <w:r>
        <w:rPr>
          <w:rStyle w:val="FootnoteReference"/>
          <w:rFonts w:cstheme="minorHAnsi"/>
          <w:color w:val="333333"/>
          <w:shd w:val="clear" w:color="auto" w:fill="FFFFFF"/>
        </w:rPr>
        <w:footnoteReference w:id="5"/>
      </w:r>
      <w:r w:rsidRPr="00953518">
        <w:rPr>
          <w:rFonts w:cstheme="minorHAnsi"/>
          <w:color w:val="333333"/>
          <w:shd w:val="clear" w:color="auto" w:fill="FFFFFF"/>
        </w:rPr>
        <w:t> </w:t>
      </w:r>
    </w:p>
    <w:p w14:paraId="78CF13DB" w14:textId="77777777" w:rsidR="008E2ED5" w:rsidRDefault="008E2ED5" w:rsidP="00EF72CC">
      <w:pPr>
        <w:widowControl w:val="0"/>
        <w:snapToGrid w:val="0"/>
        <w:spacing w:after="0"/>
        <w:jc w:val="both"/>
        <w:rPr>
          <w:rFonts w:ascii="Calibri" w:eastAsia="Times New Roman" w:hAnsi="Calibri" w:cs="Calibri"/>
        </w:rPr>
      </w:pPr>
    </w:p>
    <w:p w14:paraId="2403A3C2" w14:textId="41B173A8" w:rsidR="00A52F56" w:rsidRDefault="00EF72CC" w:rsidP="00107874">
      <w:pPr>
        <w:widowControl w:val="0"/>
        <w:snapToGrid w:val="0"/>
        <w:spacing w:after="0"/>
        <w:jc w:val="both"/>
        <w:rPr>
          <w:rFonts w:ascii="Calibri" w:eastAsia="Times New Roman" w:hAnsi="Calibri" w:cs="Calibri"/>
        </w:rPr>
      </w:pPr>
      <w:r w:rsidRPr="00953518">
        <w:rPr>
          <w:rFonts w:ascii="Calibri" w:eastAsia="Times New Roman" w:hAnsi="Calibri" w:cs="Calibri"/>
        </w:rPr>
        <w:t>The PBS data indicates that following the 1 May 2019 PPI restriction changes there has been a decrease in number of high dose PPI prescriptions and a general shift towards the prescription of lower doses of PPIs. The total number of PBS subsidised PPI prescriptions was 5% less from 1 May-31 December 2019 compared to the same period in 2018.</w:t>
      </w:r>
    </w:p>
    <w:p w14:paraId="4FAED9EF" w14:textId="77777777" w:rsidR="00107874" w:rsidRDefault="00107874" w:rsidP="00107874">
      <w:pPr>
        <w:widowControl w:val="0"/>
        <w:snapToGrid w:val="0"/>
        <w:spacing w:after="0"/>
        <w:jc w:val="both"/>
        <w:rPr>
          <w:rFonts w:ascii="Calibri" w:eastAsia="Times New Roman" w:hAnsi="Calibri" w:cs="Calibri"/>
        </w:rPr>
      </w:pPr>
    </w:p>
    <w:p w14:paraId="015E31D0" w14:textId="1729220A" w:rsidR="007248F4" w:rsidRDefault="00B506C1" w:rsidP="00107874">
      <w:pPr>
        <w:spacing w:after="0"/>
      </w:pPr>
      <w:r>
        <w:t>T</w:t>
      </w:r>
      <w:r w:rsidR="00EF72CC">
        <w:t>he overall supply of PPI medicines ha</w:t>
      </w:r>
      <w:r w:rsidR="000F0225">
        <w:t>d</w:t>
      </w:r>
      <w:r w:rsidR="00EF72CC">
        <w:t xml:space="preserve"> remained relatively consistent for rabeprazole, omeprazole and lansoprazole over the reporting period of 2013 Q1 to 2021 Q3. </w:t>
      </w:r>
      <w:r w:rsidR="000F0225">
        <w:t>The utilisation of e</w:t>
      </w:r>
      <w:r w:rsidR="00EF72CC">
        <w:t>someprazole and pantoprazole var</w:t>
      </w:r>
      <w:r w:rsidR="000F0225">
        <w:t>ied</w:t>
      </w:r>
      <w:r w:rsidR="00EF72CC">
        <w:t xml:space="preserve"> over the period of 2013 to 2021 with an increase in pantoprazole and a decrease in esomeprazole from 2019. When looking</w:t>
      </w:r>
      <w:r>
        <w:t xml:space="preserve"> at</w:t>
      </w:r>
      <w:r w:rsidR="00EF72CC">
        <w:t xml:space="preserve"> the drugs singularly, pantoprazole and esomeprazole </w:t>
      </w:r>
      <w:r w:rsidR="000F0225">
        <w:t>we</w:t>
      </w:r>
      <w:r w:rsidR="00EF72CC">
        <w:t>re the most supplied drugs since 2013.</w:t>
      </w:r>
      <w:r>
        <w:t xml:space="preserve"> </w:t>
      </w:r>
      <w:r w:rsidR="00EF72CC" w:rsidRPr="00A14263">
        <w:t xml:space="preserve">In 2019, </w:t>
      </w:r>
      <w:r w:rsidR="003843A1">
        <w:t xml:space="preserve">the utilisation of </w:t>
      </w:r>
      <w:r w:rsidR="00EF72CC" w:rsidRPr="00A14263">
        <w:t>high strength dose</w:t>
      </w:r>
      <w:r w:rsidR="000F0225">
        <w:t xml:space="preserve"> listings</w:t>
      </w:r>
      <w:r w:rsidR="00EF72CC" w:rsidRPr="00A14263">
        <w:t xml:space="preserve"> decreased from </w:t>
      </w:r>
      <w:r w:rsidR="00EF72CC" w:rsidRPr="009C1111">
        <w:rPr>
          <w:rFonts w:ascii="Calibri" w:eastAsia="Times New Roman" w:hAnsi="Calibri" w:cs="Calibri"/>
        </w:rPr>
        <w:t xml:space="preserve">31,859 prescriptions in 2018 to 11,380 prescriptions in 2021. At the same time, </w:t>
      </w:r>
      <w:r w:rsidR="003843A1">
        <w:rPr>
          <w:rFonts w:ascii="Calibri" w:eastAsia="Times New Roman" w:hAnsi="Calibri" w:cs="Calibri"/>
        </w:rPr>
        <w:t xml:space="preserve">the utilisation of </w:t>
      </w:r>
      <w:r w:rsidR="00EF72CC" w:rsidRPr="009C1111">
        <w:rPr>
          <w:rFonts w:ascii="Calibri" w:eastAsia="Times New Roman" w:hAnsi="Calibri" w:cs="Calibri"/>
        </w:rPr>
        <w:t xml:space="preserve">low dose strength </w:t>
      </w:r>
      <w:r w:rsidR="003843A1">
        <w:rPr>
          <w:rFonts w:ascii="Calibri" w:eastAsia="Times New Roman" w:hAnsi="Calibri" w:cs="Calibri"/>
        </w:rPr>
        <w:t xml:space="preserve">listings </w:t>
      </w:r>
      <w:r w:rsidR="00EF72CC" w:rsidRPr="009C1111">
        <w:rPr>
          <w:rFonts w:ascii="Calibri" w:eastAsia="Times New Roman" w:hAnsi="Calibri" w:cs="Calibri"/>
        </w:rPr>
        <w:t xml:space="preserve">increased from 13,720 prescriptions in 2018 to 33,485 prescriptions in 2021. </w:t>
      </w:r>
    </w:p>
    <w:p w14:paraId="509A2F53" w14:textId="77777777" w:rsidR="00107874" w:rsidRDefault="00107874" w:rsidP="00107874">
      <w:pPr>
        <w:spacing w:after="0"/>
      </w:pPr>
    </w:p>
    <w:p w14:paraId="44FC6FDC" w14:textId="6A3434CF" w:rsidR="00107874" w:rsidRDefault="00EF72CC" w:rsidP="00107874">
      <w:pPr>
        <w:rPr>
          <w:rFonts w:ascii="Calibri" w:eastAsia="Times New Roman" w:hAnsi="Calibri" w:cs="Calibri"/>
        </w:rPr>
      </w:pPr>
      <w:r>
        <w:t>Figure</w:t>
      </w:r>
      <w:r w:rsidR="007248F4">
        <w:t>s</w:t>
      </w:r>
      <w:r>
        <w:t xml:space="preserve"> </w:t>
      </w:r>
      <w:r w:rsidR="00124935">
        <w:t>6</w:t>
      </w:r>
      <w:r>
        <w:t xml:space="preserve">a and </w:t>
      </w:r>
      <w:r w:rsidR="00124935">
        <w:t>6</w:t>
      </w:r>
      <w:r>
        <w:t xml:space="preserve">b show the total use of PPI prescription drugs </w:t>
      </w:r>
      <w:r w:rsidR="000F0225">
        <w:t>we</w:t>
      </w:r>
      <w:r>
        <w:t xml:space="preserve">re more prevalent in the female population than male population in 2018 prior to </w:t>
      </w:r>
      <w:r w:rsidR="008E2ED5">
        <w:t xml:space="preserve">the </w:t>
      </w:r>
      <w:r>
        <w:t xml:space="preserve">restriction changes and in 2021 after the </w:t>
      </w:r>
      <w:r w:rsidR="000F0225">
        <w:t xml:space="preserve">introduction </w:t>
      </w:r>
      <w:r w:rsidR="008E2ED5">
        <w:t xml:space="preserve">of the new </w:t>
      </w:r>
      <w:r>
        <w:t xml:space="preserve">restrictions. The </w:t>
      </w:r>
      <w:r w:rsidR="00FC6CD4">
        <w:t xml:space="preserve">most common </w:t>
      </w:r>
      <w:r>
        <w:t xml:space="preserve">age group for PPI utilisation </w:t>
      </w:r>
      <w:r w:rsidR="000F0225">
        <w:t>wa</w:t>
      </w:r>
      <w:r>
        <w:t xml:space="preserve">s 70-74 years among both genders. </w:t>
      </w:r>
    </w:p>
    <w:p w14:paraId="3B6C93AE" w14:textId="29EFA731" w:rsidR="00D659B6" w:rsidRDefault="00EF72CC" w:rsidP="00EF72CC">
      <w:r>
        <w:t xml:space="preserve">This analysis reflects the restrictions made in 2019, as data in </w:t>
      </w:r>
      <w:r w:rsidRPr="00240945">
        <w:t xml:space="preserve">2017 </w:t>
      </w:r>
      <w:r>
        <w:t xml:space="preserve">shows </w:t>
      </w:r>
      <w:r w:rsidRPr="00240945">
        <w:t xml:space="preserve">there were </w:t>
      </w:r>
      <w:r w:rsidRPr="00240945">
        <w:rPr>
          <w:rFonts w:ascii="Calibri" w:eastAsia="Times New Roman" w:hAnsi="Calibri" w:cs="Calibri"/>
        </w:rPr>
        <w:t>145,903 patients starting on a high dose of PPI medication</w:t>
      </w:r>
      <w:r w:rsidR="007248F4">
        <w:rPr>
          <w:rFonts w:ascii="Calibri" w:eastAsia="Times New Roman" w:hAnsi="Calibri" w:cs="Calibri"/>
        </w:rPr>
        <w:t>.</w:t>
      </w:r>
      <w:r w:rsidRPr="00240945">
        <w:rPr>
          <w:rFonts w:ascii="Calibri" w:eastAsia="Times New Roman" w:hAnsi="Calibri" w:cs="Calibri"/>
        </w:rPr>
        <w:t xml:space="preserve"> </w:t>
      </w:r>
      <w:proofErr w:type="gramStart"/>
      <w:r w:rsidR="007248F4">
        <w:rPr>
          <w:rFonts w:ascii="Calibri" w:eastAsia="Times New Roman" w:hAnsi="Calibri" w:cs="Calibri"/>
        </w:rPr>
        <w:t>H</w:t>
      </w:r>
      <w:r w:rsidRPr="00240945">
        <w:rPr>
          <w:rFonts w:ascii="Calibri" w:eastAsia="Times New Roman" w:hAnsi="Calibri" w:cs="Calibri"/>
        </w:rPr>
        <w:t>owever</w:t>
      </w:r>
      <w:proofErr w:type="gramEnd"/>
      <w:r w:rsidRPr="00240945">
        <w:rPr>
          <w:rFonts w:ascii="Calibri" w:eastAsia="Times New Roman" w:hAnsi="Calibri" w:cs="Calibri"/>
        </w:rPr>
        <w:t xml:space="preserve"> in 2020 there were </w:t>
      </w:r>
      <w:r>
        <w:rPr>
          <w:rFonts w:ascii="Calibri" w:eastAsia="Times New Roman" w:hAnsi="Calibri" w:cs="Calibri"/>
        </w:rPr>
        <w:t xml:space="preserve">significantly less </w:t>
      </w:r>
      <w:r w:rsidRPr="00240945">
        <w:rPr>
          <w:rFonts w:ascii="Calibri" w:eastAsia="Times New Roman" w:hAnsi="Calibri" w:cs="Calibri"/>
        </w:rPr>
        <w:t>patients</w:t>
      </w:r>
      <w:r>
        <w:rPr>
          <w:rFonts w:ascii="Calibri" w:eastAsia="Times New Roman" w:hAnsi="Calibri" w:cs="Calibri"/>
        </w:rPr>
        <w:t xml:space="preserve"> (</w:t>
      </w:r>
      <w:r w:rsidRPr="00240945">
        <w:rPr>
          <w:rFonts w:ascii="Calibri" w:eastAsia="Times New Roman" w:hAnsi="Calibri" w:cs="Calibri"/>
        </w:rPr>
        <w:t>8,026</w:t>
      </w:r>
      <w:r>
        <w:rPr>
          <w:rFonts w:ascii="Calibri" w:eastAsia="Times New Roman" w:hAnsi="Calibri" w:cs="Calibri"/>
        </w:rPr>
        <w:t xml:space="preserve">) </w:t>
      </w:r>
      <w:r w:rsidRPr="00240945">
        <w:rPr>
          <w:rFonts w:ascii="Calibri" w:eastAsia="Times New Roman" w:hAnsi="Calibri" w:cs="Calibri"/>
        </w:rPr>
        <w:t xml:space="preserve">on high dose PPI. </w:t>
      </w:r>
      <w:r>
        <w:rPr>
          <w:rFonts w:ascii="Calibri" w:eastAsia="Times New Roman" w:hAnsi="Calibri" w:cs="Calibri"/>
        </w:rPr>
        <w:t>In 2017 there was</w:t>
      </w:r>
      <w:r w:rsidRPr="00240945">
        <w:rPr>
          <w:rFonts w:ascii="Calibri" w:eastAsia="Times New Roman" w:hAnsi="Calibri" w:cs="Calibri"/>
        </w:rPr>
        <w:t xml:space="preserve"> 20,309 patients </w:t>
      </w:r>
      <w:r>
        <w:rPr>
          <w:rFonts w:ascii="Calibri" w:eastAsia="Times New Roman" w:hAnsi="Calibri" w:cs="Calibri"/>
        </w:rPr>
        <w:t xml:space="preserve">that </w:t>
      </w:r>
      <w:r w:rsidRPr="00240945">
        <w:rPr>
          <w:rFonts w:ascii="Calibri" w:eastAsia="Times New Roman" w:hAnsi="Calibri" w:cs="Calibri"/>
        </w:rPr>
        <w:t xml:space="preserve">went from standard to high dose medication and in 2020 there was 5,896 patients starting on </w:t>
      </w:r>
      <w:r>
        <w:rPr>
          <w:rFonts w:ascii="Calibri" w:eastAsia="Times New Roman" w:hAnsi="Calibri" w:cs="Calibri"/>
        </w:rPr>
        <w:t xml:space="preserve">a </w:t>
      </w:r>
      <w:r w:rsidRPr="00240945">
        <w:rPr>
          <w:rFonts w:ascii="Calibri" w:eastAsia="Times New Roman" w:hAnsi="Calibri" w:cs="Calibri"/>
        </w:rPr>
        <w:t xml:space="preserve">standard </w:t>
      </w:r>
      <w:r>
        <w:rPr>
          <w:rFonts w:ascii="Calibri" w:eastAsia="Times New Roman" w:hAnsi="Calibri" w:cs="Calibri"/>
        </w:rPr>
        <w:t xml:space="preserve">dose </w:t>
      </w:r>
      <w:r w:rsidRPr="00240945">
        <w:rPr>
          <w:rFonts w:ascii="Calibri" w:eastAsia="Times New Roman" w:hAnsi="Calibri" w:cs="Calibri"/>
        </w:rPr>
        <w:t xml:space="preserve">and </w:t>
      </w:r>
      <w:r>
        <w:rPr>
          <w:rFonts w:ascii="Calibri" w:eastAsia="Times New Roman" w:hAnsi="Calibri" w:cs="Calibri"/>
        </w:rPr>
        <w:t>shifting</w:t>
      </w:r>
      <w:r w:rsidRPr="00240945">
        <w:rPr>
          <w:rFonts w:ascii="Calibri" w:eastAsia="Times New Roman" w:hAnsi="Calibri" w:cs="Calibri"/>
        </w:rPr>
        <w:t xml:space="preserve"> to a high dose</w:t>
      </w:r>
      <w:r>
        <w:rPr>
          <w:rFonts w:ascii="Calibri" w:eastAsia="Times New Roman" w:hAnsi="Calibri" w:cs="Calibri"/>
        </w:rPr>
        <w:t xml:space="preserve"> PPI</w:t>
      </w:r>
      <w:r w:rsidRPr="00240945">
        <w:rPr>
          <w:rFonts w:ascii="Calibri" w:eastAsia="Times New Roman" w:hAnsi="Calibri" w:cs="Calibri"/>
        </w:rPr>
        <w:t>.</w:t>
      </w:r>
      <w:r>
        <w:rPr>
          <w:rFonts w:ascii="Calibri" w:eastAsia="Times New Roman" w:hAnsi="Calibri" w:cs="Calibri"/>
        </w:rPr>
        <w:t xml:space="preserve"> In </w:t>
      </w:r>
      <w:r w:rsidRPr="00240945">
        <w:rPr>
          <w:rFonts w:ascii="Calibri" w:eastAsia="Times New Roman" w:hAnsi="Calibri" w:cs="Calibri"/>
        </w:rPr>
        <w:t>20</w:t>
      </w:r>
      <w:r>
        <w:rPr>
          <w:rFonts w:ascii="Calibri" w:eastAsia="Times New Roman" w:hAnsi="Calibri" w:cs="Calibri"/>
        </w:rPr>
        <w:t>20</w:t>
      </w:r>
      <w:r w:rsidRPr="00240945">
        <w:rPr>
          <w:rFonts w:ascii="Calibri" w:eastAsia="Times New Roman" w:hAnsi="Calibri" w:cs="Calibri"/>
        </w:rPr>
        <w:t xml:space="preserve"> there w</w:t>
      </w:r>
      <w:r>
        <w:rPr>
          <w:rFonts w:ascii="Calibri" w:eastAsia="Times New Roman" w:hAnsi="Calibri" w:cs="Calibri"/>
        </w:rPr>
        <w:t>as a significant decrease in the number of patients initiating</w:t>
      </w:r>
      <w:r w:rsidR="00CD63AA">
        <w:rPr>
          <w:rFonts w:ascii="Calibri" w:eastAsia="Times New Roman" w:hAnsi="Calibri" w:cs="Calibri"/>
        </w:rPr>
        <w:t xml:space="preserve"> on</w:t>
      </w:r>
      <w:r>
        <w:rPr>
          <w:rFonts w:ascii="Calibri" w:eastAsia="Times New Roman" w:hAnsi="Calibri" w:cs="Calibri"/>
        </w:rPr>
        <w:t xml:space="preserve"> PPI medication, </w:t>
      </w:r>
      <w:r w:rsidR="00CD63AA">
        <w:rPr>
          <w:rFonts w:ascii="Calibri" w:eastAsia="Times New Roman" w:hAnsi="Calibri" w:cs="Calibri"/>
        </w:rPr>
        <w:t xml:space="preserve">with </w:t>
      </w:r>
      <w:r w:rsidRPr="00240945">
        <w:rPr>
          <w:rFonts w:ascii="Calibri" w:eastAsia="Times New Roman" w:hAnsi="Calibri" w:cs="Calibri"/>
          <w:color w:val="000000"/>
        </w:rPr>
        <w:t xml:space="preserve">611,154 initiating patients </w:t>
      </w:r>
      <w:r>
        <w:rPr>
          <w:rFonts w:ascii="Calibri" w:eastAsia="Times New Roman" w:hAnsi="Calibri" w:cs="Calibri"/>
          <w:color w:val="000000"/>
        </w:rPr>
        <w:t xml:space="preserve">in 2017 </w:t>
      </w:r>
      <w:r w:rsidR="00CD63AA">
        <w:rPr>
          <w:rFonts w:ascii="Calibri" w:eastAsia="Times New Roman" w:hAnsi="Calibri" w:cs="Calibri"/>
          <w:color w:val="000000"/>
        </w:rPr>
        <w:t>compared to</w:t>
      </w:r>
      <w:r w:rsidRPr="00240945">
        <w:rPr>
          <w:rFonts w:ascii="Calibri" w:eastAsia="Times New Roman" w:hAnsi="Calibri" w:cs="Calibri"/>
          <w:color w:val="000000"/>
        </w:rPr>
        <w:t xml:space="preserve"> 494,347 </w:t>
      </w:r>
      <w:r w:rsidR="00CD63AA">
        <w:rPr>
          <w:rFonts w:ascii="Calibri" w:eastAsia="Times New Roman" w:hAnsi="Calibri" w:cs="Calibri"/>
          <w:color w:val="000000"/>
        </w:rPr>
        <w:t>in 2020</w:t>
      </w:r>
      <w:r>
        <w:rPr>
          <w:rFonts w:ascii="Calibri" w:eastAsia="Times New Roman" w:hAnsi="Calibri" w:cs="Calibri"/>
          <w:color w:val="000000"/>
        </w:rPr>
        <w:t xml:space="preserve">. One explanation for this could potentially be the </w:t>
      </w:r>
      <w:r>
        <w:rPr>
          <w:rFonts w:ascii="Calibri" w:eastAsia="Times New Roman" w:hAnsi="Calibri" w:cs="Calibri"/>
          <w:color w:val="000000"/>
        </w:rPr>
        <w:lastRenderedPageBreak/>
        <w:t>education provided to general practitioners</w:t>
      </w:r>
      <w:r w:rsidR="007D0981">
        <w:rPr>
          <w:rFonts w:ascii="Calibri" w:eastAsia="Times New Roman" w:hAnsi="Calibri" w:cs="Calibri"/>
          <w:color w:val="000000"/>
        </w:rPr>
        <w:t>, such as</w:t>
      </w:r>
      <w:r>
        <w:rPr>
          <w:rFonts w:ascii="Calibri" w:eastAsia="Times New Roman" w:hAnsi="Calibri" w:cs="Calibri"/>
          <w:color w:val="000000"/>
        </w:rPr>
        <w:t xml:space="preserve"> </w:t>
      </w:r>
      <w:r w:rsidR="002F39D0">
        <w:rPr>
          <w:rFonts w:ascii="Calibri" w:eastAsia="Times New Roman" w:hAnsi="Calibri" w:cs="Calibri"/>
          <w:color w:val="000000"/>
        </w:rPr>
        <w:t>from NPS MedicineWise</w:t>
      </w:r>
      <w:r w:rsidR="00107874">
        <w:rPr>
          <w:rFonts w:ascii="Calibri" w:eastAsia="Times New Roman" w:hAnsi="Calibri" w:cs="Calibri"/>
          <w:color w:val="000000"/>
        </w:rPr>
        <w:t>,</w:t>
      </w:r>
      <w:r w:rsidR="009838B8" w:rsidRPr="009838B8">
        <w:rPr>
          <w:rStyle w:val="FootnoteReference"/>
          <w:rFonts w:ascii="Calibri" w:eastAsia="Times New Roman" w:hAnsi="Calibri" w:cs="Calibri"/>
          <w:color w:val="000000"/>
        </w:rPr>
        <w:footnoteReference w:id="6"/>
      </w:r>
      <w:r w:rsidR="009838B8" w:rsidRPr="009838B8">
        <w:rPr>
          <w:rFonts w:ascii="Calibri" w:eastAsia="Times New Roman" w:hAnsi="Calibri" w:cs="Calibri"/>
          <w:color w:val="000000"/>
          <w:vertAlign w:val="superscript"/>
        </w:rPr>
        <w:t>,</w:t>
      </w:r>
      <w:r w:rsidR="009838B8">
        <w:rPr>
          <w:rStyle w:val="FootnoteReference"/>
          <w:rFonts w:ascii="Calibri" w:eastAsia="Times New Roman" w:hAnsi="Calibri" w:cs="Calibri"/>
          <w:color w:val="000000"/>
        </w:rPr>
        <w:footnoteReference w:id="7"/>
      </w:r>
      <w:r w:rsidR="00107874">
        <w:rPr>
          <w:rFonts w:ascii="Calibri" w:eastAsia="Times New Roman" w:hAnsi="Calibri" w:cs="Calibri"/>
          <w:color w:val="000000"/>
        </w:rPr>
        <w:t xml:space="preserve"> </w:t>
      </w:r>
      <w:r>
        <w:rPr>
          <w:rFonts w:ascii="Calibri" w:eastAsia="Times New Roman" w:hAnsi="Calibri" w:cs="Calibri"/>
          <w:color w:val="000000"/>
        </w:rPr>
        <w:t xml:space="preserve">on the use and appropriate prescribing of PPI medications in addition to the </w:t>
      </w:r>
      <w:r w:rsidR="007D0981">
        <w:rPr>
          <w:rFonts w:ascii="Calibri" w:eastAsia="Times New Roman" w:hAnsi="Calibri" w:cs="Calibri"/>
          <w:color w:val="000000"/>
        </w:rPr>
        <w:t xml:space="preserve">new </w:t>
      </w:r>
      <w:r>
        <w:rPr>
          <w:rFonts w:ascii="Calibri" w:eastAsia="Times New Roman" w:hAnsi="Calibri" w:cs="Calibri"/>
          <w:color w:val="000000"/>
        </w:rPr>
        <w:t xml:space="preserve">restrictions in place as of 2019. In addition, </w:t>
      </w:r>
      <w:r w:rsidR="001164FF">
        <w:rPr>
          <w:rFonts w:ascii="Calibri" w:eastAsia="Times New Roman" w:hAnsi="Calibri" w:cs="Calibri"/>
          <w:color w:val="000000"/>
        </w:rPr>
        <w:t xml:space="preserve">the supply of </w:t>
      </w:r>
      <w:r>
        <w:t>h</w:t>
      </w:r>
      <w:r w:rsidRPr="009C1111">
        <w:t xml:space="preserve">igh dose prescriptions have reduced and an increase in the </w:t>
      </w:r>
      <w:r w:rsidR="001164FF">
        <w:t xml:space="preserve">utilisation of </w:t>
      </w:r>
      <w:r w:rsidRPr="009C1111">
        <w:t xml:space="preserve">low dose prescriptions for PPI, in particular pantoprazole. </w:t>
      </w:r>
    </w:p>
    <w:p w14:paraId="16D96C34" w14:textId="6FDADB50" w:rsidR="00EF72CC" w:rsidRPr="00107874" w:rsidRDefault="00EF72CC" w:rsidP="00107874">
      <w:pPr>
        <w:rPr>
          <w:rFonts w:ascii="Calibri" w:eastAsia="Times New Roman" w:hAnsi="Calibri" w:cs="Calibri"/>
          <w:b/>
          <w:bCs/>
          <w:color w:val="000000"/>
          <w:sz w:val="22"/>
          <w:szCs w:val="22"/>
        </w:rPr>
      </w:pPr>
      <w:r>
        <w:t>More patients starting PPI treatment were prescribed pantoprazole, however total prevalence of patients prescribed esomeprazole was higher than pantoprazole in total from 2013-2021.</w:t>
      </w:r>
      <w:r w:rsidRPr="00DE658C">
        <w:t xml:space="preserve"> </w:t>
      </w:r>
      <w:r>
        <w:t xml:space="preserve">The decrease in </w:t>
      </w:r>
      <w:r w:rsidR="00E15EA5">
        <w:t xml:space="preserve">the utilisation of </w:t>
      </w:r>
      <w:r>
        <w:t xml:space="preserve">esomeprazole and increase in pantoprazole in 2019 </w:t>
      </w:r>
      <w:r w:rsidR="000F0225">
        <w:t>wa</w:t>
      </w:r>
      <w:r>
        <w:t>s likely due to the restriction changes where h</w:t>
      </w:r>
      <w:r w:rsidRPr="00960D56">
        <w:t xml:space="preserve">igh dose esomeprazole 40 mg for complex GORD </w:t>
      </w:r>
      <w:r>
        <w:t>was</w:t>
      </w:r>
      <w:r w:rsidRPr="00960D56">
        <w:t xml:space="preserve"> restricted to </w:t>
      </w:r>
      <w:r>
        <w:t xml:space="preserve">being </w:t>
      </w:r>
      <w:r w:rsidRPr="00960D56">
        <w:t xml:space="preserve">prescribing by a specialist (gastroenterologist or upper </w:t>
      </w:r>
      <w:r w:rsidR="0011535A">
        <w:t>gastrointestinal (</w:t>
      </w:r>
      <w:r w:rsidRPr="00960D56">
        <w:t>GI</w:t>
      </w:r>
      <w:r w:rsidR="0011535A">
        <w:t>)</w:t>
      </w:r>
      <w:r w:rsidRPr="00960D56">
        <w:t xml:space="preserve"> surgeon)</w:t>
      </w:r>
      <w:r>
        <w:t xml:space="preserve"> only rather than a decrease in PPI utilisation overall. Pantoprazole was classified as either standard or low dose and had more prescription </w:t>
      </w:r>
      <w:proofErr w:type="spellStart"/>
      <w:r>
        <w:t>dispensings</w:t>
      </w:r>
      <w:proofErr w:type="spellEnd"/>
      <w:r>
        <w:t xml:space="preserve"> from 2019 than any other PPI therefore being the most </w:t>
      </w:r>
      <w:r w:rsidR="0011535A">
        <w:t xml:space="preserve">common </w:t>
      </w:r>
      <w:r>
        <w:t xml:space="preserve">medication </w:t>
      </w:r>
      <w:r w:rsidR="00E15EA5">
        <w:t xml:space="preserve">supplied </w:t>
      </w:r>
      <w:r>
        <w:t>among all the PPI prescriptions.</w:t>
      </w:r>
    </w:p>
    <w:p w14:paraId="2E18B858" w14:textId="0CC3F75A" w:rsidR="00EF72CC" w:rsidRDefault="00EF72CC" w:rsidP="00EF72CC">
      <w:pPr>
        <w:spacing w:after="0"/>
        <w:contextualSpacing/>
      </w:pPr>
      <w:r>
        <w:t>Previous data has shown the older population are more prevalent to using PPI long term than any other age group</w:t>
      </w:r>
      <w:r w:rsidR="00107874">
        <w:t>.</w:t>
      </w:r>
      <w:r w:rsidR="00A92388">
        <w:rPr>
          <w:rStyle w:val="FootnoteReference"/>
        </w:rPr>
        <w:footnoteReference w:id="8"/>
      </w:r>
      <w:r>
        <w:t xml:space="preserve"> </w:t>
      </w:r>
      <w:r w:rsidRPr="00DE658C">
        <w:t>This was also evident within this data,</w:t>
      </w:r>
      <w:r w:rsidR="000F0225">
        <w:t xml:space="preserve"> where</w:t>
      </w:r>
      <w:r w:rsidR="008855A7">
        <w:t xml:space="preserve"> </w:t>
      </w:r>
      <w:r w:rsidR="001D70DA">
        <w:t xml:space="preserve">patients aged </w:t>
      </w:r>
      <w:r>
        <w:t>70-74 years</w:t>
      </w:r>
      <w:r w:rsidRPr="00DE658C">
        <w:t xml:space="preserve"> </w:t>
      </w:r>
      <w:r w:rsidR="001D70DA">
        <w:t>ha</w:t>
      </w:r>
      <w:r w:rsidR="000F0225">
        <w:t>d</w:t>
      </w:r>
      <w:r w:rsidR="001D70DA">
        <w:t xml:space="preserve"> the highest supply of </w:t>
      </w:r>
      <w:r w:rsidRPr="00DE658C">
        <w:t>PPI</w:t>
      </w:r>
      <w:r>
        <w:t xml:space="preserve"> medication</w:t>
      </w:r>
      <w:r w:rsidRPr="00DE658C">
        <w:t xml:space="preserve"> </w:t>
      </w:r>
      <w:r w:rsidR="001D70DA">
        <w:t>compared to</w:t>
      </w:r>
      <w:r w:rsidRPr="00DE658C">
        <w:t xml:space="preserve"> other age group</w:t>
      </w:r>
      <w:r w:rsidR="001D70DA">
        <w:t>s</w:t>
      </w:r>
      <w:r w:rsidR="00107874">
        <w:t>.</w:t>
      </w:r>
      <w:r w:rsidR="0019030F">
        <w:rPr>
          <w:rStyle w:val="FootnoteReference"/>
        </w:rPr>
        <w:footnoteReference w:id="9"/>
      </w:r>
      <w:r w:rsidR="00107874">
        <w:t xml:space="preserve"> </w:t>
      </w:r>
      <w:r w:rsidRPr="00DE658C">
        <w:t xml:space="preserve">This </w:t>
      </w:r>
      <w:r w:rsidR="000F0225">
        <w:t>wa</w:t>
      </w:r>
      <w:r w:rsidRPr="00DE658C">
        <w:t>s likely due to this population having multiple co-morbidities</w:t>
      </w:r>
      <w:r>
        <w:t xml:space="preserve"> (including a high prevalence of GORD)</w:t>
      </w:r>
      <w:r w:rsidRPr="00DE658C">
        <w:t xml:space="preserve"> coupled with age-related physiological changes therefore requiring medication for symptom management</w:t>
      </w:r>
      <w:r w:rsidR="00107874">
        <w:t>.</w:t>
      </w:r>
      <w:r>
        <w:rPr>
          <w:vertAlign w:val="superscript"/>
        </w:rPr>
        <w:t>4</w:t>
      </w:r>
    </w:p>
    <w:p w14:paraId="20D35B1E" w14:textId="77777777" w:rsidR="007F6179" w:rsidRDefault="007F6179" w:rsidP="00EF72CC">
      <w:pPr>
        <w:spacing w:after="0"/>
        <w:contextualSpacing/>
        <w:rPr>
          <w:rFonts w:cstheme="minorHAnsi"/>
          <w:color w:val="333333"/>
          <w:shd w:val="clear" w:color="auto" w:fill="FFFFFF"/>
        </w:rPr>
      </w:pPr>
    </w:p>
    <w:p w14:paraId="0A4ED292" w14:textId="3F4E4488" w:rsidR="00332273" w:rsidRPr="00D62445" w:rsidRDefault="00EF72CC" w:rsidP="00EF72CC">
      <w:pPr>
        <w:spacing w:after="0"/>
        <w:contextualSpacing/>
        <w:rPr>
          <w:rFonts w:cstheme="minorHAnsi"/>
          <w:shd w:val="clear" w:color="auto" w:fill="FFFFFF"/>
        </w:rPr>
      </w:pPr>
      <w:r>
        <w:rPr>
          <w:rFonts w:cstheme="minorHAnsi"/>
          <w:color w:val="333333"/>
          <w:shd w:val="clear" w:color="auto" w:fill="FFFFFF"/>
        </w:rPr>
        <w:t>The current data observed that the use of PPI medications, in particular pantoprazole</w:t>
      </w:r>
      <w:r w:rsidR="007F6179">
        <w:rPr>
          <w:rFonts w:cstheme="minorHAnsi"/>
          <w:color w:val="333333"/>
          <w:shd w:val="clear" w:color="auto" w:fill="FFFFFF"/>
        </w:rPr>
        <w:t>,</w:t>
      </w:r>
      <w:r>
        <w:rPr>
          <w:rFonts w:cstheme="minorHAnsi"/>
          <w:color w:val="333333"/>
          <w:shd w:val="clear" w:color="auto" w:fill="FFFFFF"/>
        </w:rPr>
        <w:t xml:space="preserve"> is still </w:t>
      </w:r>
      <w:r w:rsidRPr="00D62445">
        <w:rPr>
          <w:rFonts w:cstheme="minorHAnsi"/>
          <w:shd w:val="clear" w:color="auto" w:fill="FFFFFF"/>
        </w:rPr>
        <w:t>increasing on a yearly basis. The</w:t>
      </w:r>
      <w:r w:rsidR="00CB174A" w:rsidRPr="00D62445">
        <w:rPr>
          <w:rFonts w:cstheme="minorHAnsi"/>
          <w:shd w:val="clear" w:color="auto" w:fill="FFFFFF"/>
        </w:rPr>
        <w:t xml:space="preserve"> utilisation of the</w:t>
      </w:r>
      <w:r w:rsidRPr="00D62445">
        <w:rPr>
          <w:rFonts w:cstheme="minorHAnsi"/>
          <w:shd w:val="clear" w:color="auto" w:fill="FFFFFF"/>
        </w:rPr>
        <w:t xml:space="preserve"> remaining four PPI</w:t>
      </w:r>
      <w:r w:rsidR="00CB174A" w:rsidRPr="00D62445">
        <w:rPr>
          <w:rFonts w:cstheme="minorHAnsi"/>
          <w:shd w:val="clear" w:color="auto" w:fill="FFFFFF"/>
        </w:rPr>
        <w:t xml:space="preserve"> listings</w:t>
      </w:r>
      <w:r w:rsidRPr="00D62445">
        <w:rPr>
          <w:rFonts w:cstheme="minorHAnsi"/>
          <w:shd w:val="clear" w:color="auto" w:fill="FFFFFF"/>
        </w:rPr>
        <w:t xml:space="preserve"> remained relatively consistent. In addition, the growth rate </w:t>
      </w:r>
      <w:r w:rsidR="007F6179">
        <w:rPr>
          <w:rFonts w:cstheme="minorHAnsi"/>
          <w:shd w:val="clear" w:color="auto" w:fill="FFFFFF"/>
        </w:rPr>
        <w:t xml:space="preserve">in utilisation </w:t>
      </w:r>
      <w:r w:rsidRPr="00D62445">
        <w:rPr>
          <w:rFonts w:cstheme="minorHAnsi"/>
          <w:shd w:val="clear" w:color="auto" w:fill="FFFFFF"/>
        </w:rPr>
        <w:t>for 2020 and 2021 was more than the previous years. This suggests PPI medications may still be prescribed for long</w:t>
      </w:r>
      <w:r w:rsidR="00CB174A" w:rsidRPr="00D62445">
        <w:rPr>
          <w:rFonts w:cstheme="minorHAnsi"/>
          <w:shd w:val="clear" w:color="auto" w:fill="FFFFFF"/>
        </w:rPr>
        <w:t>er</w:t>
      </w:r>
      <w:r w:rsidRPr="00D62445">
        <w:rPr>
          <w:rFonts w:cstheme="minorHAnsi"/>
          <w:shd w:val="clear" w:color="auto" w:fill="FFFFFF"/>
        </w:rPr>
        <w:t xml:space="preserve"> periods of time than </w:t>
      </w:r>
      <w:r w:rsidR="00CB174A" w:rsidRPr="00D62445">
        <w:rPr>
          <w:rFonts w:cstheme="minorHAnsi"/>
          <w:shd w:val="clear" w:color="auto" w:fill="FFFFFF"/>
        </w:rPr>
        <w:t>recommended</w:t>
      </w:r>
      <w:r w:rsidRPr="00D62445">
        <w:rPr>
          <w:rFonts w:cstheme="minorHAnsi"/>
          <w:shd w:val="clear" w:color="auto" w:fill="FFFFFF"/>
        </w:rPr>
        <w:t>.</w:t>
      </w:r>
    </w:p>
    <w:p w14:paraId="3734B02B" w14:textId="77777777" w:rsidR="00D62445" w:rsidRDefault="00D62445" w:rsidP="00EF72CC">
      <w:pPr>
        <w:spacing w:after="0"/>
        <w:contextualSpacing/>
      </w:pPr>
    </w:p>
    <w:p w14:paraId="69552CEC" w14:textId="3D8A5F18" w:rsidR="006E56A2" w:rsidRPr="008E5BAE" w:rsidRDefault="00A22441" w:rsidP="008E5BAE">
      <w:pPr>
        <w:pStyle w:val="CommentText"/>
        <w:rPr>
          <w:sz w:val="24"/>
          <w:szCs w:val="24"/>
        </w:rPr>
      </w:pPr>
      <w:r w:rsidRPr="00D62445">
        <w:rPr>
          <w:sz w:val="24"/>
          <w:szCs w:val="24"/>
        </w:rPr>
        <w:t xml:space="preserve">The aim of the </w:t>
      </w:r>
      <w:r w:rsidR="007F6179">
        <w:rPr>
          <w:sz w:val="24"/>
          <w:szCs w:val="24"/>
        </w:rPr>
        <w:t xml:space="preserve">2019 </w:t>
      </w:r>
      <w:r w:rsidRPr="00D62445">
        <w:rPr>
          <w:sz w:val="24"/>
          <w:szCs w:val="24"/>
        </w:rPr>
        <w:t xml:space="preserve">restriction changes was to reduce the number of patients using high dose formulations. The DDD </w:t>
      </w:r>
      <w:r w:rsidR="007F6179">
        <w:rPr>
          <w:sz w:val="24"/>
          <w:szCs w:val="24"/>
        </w:rPr>
        <w:t>analysis</w:t>
      </w:r>
      <w:r w:rsidR="007F6179" w:rsidRPr="00D62445">
        <w:rPr>
          <w:sz w:val="24"/>
          <w:szCs w:val="24"/>
        </w:rPr>
        <w:t xml:space="preserve"> </w:t>
      </w:r>
      <w:r w:rsidRPr="00D62445">
        <w:rPr>
          <w:sz w:val="24"/>
          <w:szCs w:val="24"/>
        </w:rPr>
        <w:t xml:space="preserve">shows that there has been a reduction in the </w:t>
      </w:r>
      <w:r w:rsidR="000F0225">
        <w:rPr>
          <w:sz w:val="24"/>
          <w:szCs w:val="24"/>
        </w:rPr>
        <w:t xml:space="preserve">utilisation by </w:t>
      </w:r>
      <w:r w:rsidRPr="00D62445">
        <w:rPr>
          <w:sz w:val="24"/>
          <w:szCs w:val="24"/>
        </w:rPr>
        <w:t>DDDs for high dose</w:t>
      </w:r>
      <w:r w:rsidR="007F6179">
        <w:rPr>
          <w:sz w:val="24"/>
          <w:szCs w:val="24"/>
        </w:rPr>
        <w:t xml:space="preserve"> listings</w:t>
      </w:r>
      <w:r w:rsidRPr="00D62445">
        <w:rPr>
          <w:sz w:val="24"/>
          <w:szCs w:val="24"/>
        </w:rPr>
        <w:t>. The overall DDDs for all PP</w:t>
      </w:r>
      <w:r w:rsidR="007F6179">
        <w:rPr>
          <w:sz w:val="24"/>
          <w:szCs w:val="24"/>
        </w:rPr>
        <w:t>I</w:t>
      </w:r>
      <w:r w:rsidRPr="00D62445">
        <w:rPr>
          <w:sz w:val="24"/>
          <w:szCs w:val="24"/>
        </w:rPr>
        <w:t>s (</w:t>
      </w:r>
      <w:r w:rsidR="00107874">
        <w:rPr>
          <w:sz w:val="24"/>
          <w:szCs w:val="24"/>
        </w:rPr>
        <w:t>Figure</w:t>
      </w:r>
      <w:r w:rsidRPr="00D62445">
        <w:rPr>
          <w:sz w:val="24"/>
          <w:szCs w:val="24"/>
        </w:rPr>
        <w:t xml:space="preserve"> 4b) show</w:t>
      </w:r>
      <w:r w:rsidR="000F0225">
        <w:rPr>
          <w:sz w:val="24"/>
          <w:szCs w:val="24"/>
        </w:rPr>
        <w:t>ed</w:t>
      </w:r>
      <w:r w:rsidR="008855A7">
        <w:rPr>
          <w:sz w:val="24"/>
          <w:szCs w:val="24"/>
        </w:rPr>
        <w:t xml:space="preserve"> </w:t>
      </w:r>
      <w:r w:rsidRPr="00D62445">
        <w:rPr>
          <w:sz w:val="24"/>
          <w:szCs w:val="24"/>
        </w:rPr>
        <w:t xml:space="preserve">there </w:t>
      </w:r>
      <w:r w:rsidR="000F0225">
        <w:rPr>
          <w:sz w:val="24"/>
          <w:szCs w:val="24"/>
        </w:rPr>
        <w:t>wa</w:t>
      </w:r>
      <w:r w:rsidRPr="00D62445">
        <w:rPr>
          <w:sz w:val="24"/>
          <w:szCs w:val="24"/>
        </w:rPr>
        <w:t>s an overall reduction in DDDs following the restriction changes</w:t>
      </w:r>
      <w:r w:rsidR="00D62445" w:rsidRPr="00D62445">
        <w:rPr>
          <w:sz w:val="24"/>
          <w:szCs w:val="24"/>
        </w:rPr>
        <w:t xml:space="preserve">. </w:t>
      </w:r>
      <w:r w:rsidR="00E54ACC">
        <w:rPr>
          <w:sz w:val="24"/>
          <w:szCs w:val="24"/>
        </w:rPr>
        <w:t>E</w:t>
      </w:r>
      <w:r w:rsidR="00D62445" w:rsidRPr="00D62445">
        <w:rPr>
          <w:sz w:val="24"/>
          <w:szCs w:val="24"/>
        </w:rPr>
        <w:t xml:space="preserve">ven though total script utilisation (across all drugs) increased after the May 2019 </w:t>
      </w:r>
      <w:r w:rsidR="00E54ACC">
        <w:rPr>
          <w:sz w:val="24"/>
          <w:szCs w:val="24"/>
        </w:rPr>
        <w:t xml:space="preserve">restriction </w:t>
      </w:r>
      <w:r w:rsidR="00D62445" w:rsidRPr="00D62445">
        <w:rPr>
          <w:sz w:val="24"/>
          <w:szCs w:val="24"/>
        </w:rPr>
        <w:t xml:space="preserve">changes, the total number of DDDs decreased. As such the </w:t>
      </w:r>
      <w:r w:rsidR="000F0225">
        <w:rPr>
          <w:sz w:val="24"/>
          <w:szCs w:val="24"/>
        </w:rPr>
        <w:t>listing changes</w:t>
      </w:r>
      <w:r w:rsidR="000F0225" w:rsidRPr="00D62445">
        <w:rPr>
          <w:sz w:val="24"/>
          <w:szCs w:val="24"/>
        </w:rPr>
        <w:t xml:space="preserve"> </w:t>
      </w:r>
      <w:r w:rsidR="00D62445" w:rsidRPr="00D62445">
        <w:rPr>
          <w:sz w:val="24"/>
          <w:szCs w:val="24"/>
        </w:rPr>
        <w:t xml:space="preserve">could be regarded as achieving </w:t>
      </w:r>
      <w:r w:rsidR="000F0225">
        <w:rPr>
          <w:sz w:val="24"/>
          <w:szCs w:val="24"/>
        </w:rPr>
        <w:t>a reduction</w:t>
      </w:r>
      <w:r w:rsidR="00D62445" w:rsidRPr="00D62445">
        <w:rPr>
          <w:sz w:val="24"/>
          <w:szCs w:val="24"/>
        </w:rPr>
        <w:t xml:space="preserve"> overall utilisation of PPIs by moving patients to lower dose PPIs</w:t>
      </w:r>
      <w:r w:rsidR="00E54ACC">
        <w:rPr>
          <w:sz w:val="24"/>
          <w:szCs w:val="24"/>
        </w:rPr>
        <w:t>.</w:t>
      </w:r>
      <w:r w:rsidR="00D62445" w:rsidRPr="00D62445">
        <w:rPr>
          <w:sz w:val="24"/>
          <w:szCs w:val="24"/>
        </w:rPr>
        <w:t xml:space="preserve"> </w:t>
      </w:r>
      <w:r w:rsidR="00E54ACC">
        <w:rPr>
          <w:sz w:val="24"/>
          <w:szCs w:val="24"/>
        </w:rPr>
        <w:lastRenderedPageBreak/>
        <w:t>H</w:t>
      </w:r>
      <w:r w:rsidRPr="00D62445">
        <w:rPr>
          <w:sz w:val="24"/>
          <w:szCs w:val="24"/>
        </w:rPr>
        <w:t xml:space="preserve">owever further investigation </w:t>
      </w:r>
      <w:r w:rsidR="00E54ACC">
        <w:rPr>
          <w:sz w:val="24"/>
          <w:szCs w:val="24"/>
        </w:rPr>
        <w:t xml:space="preserve">is warranted </w:t>
      </w:r>
      <w:r w:rsidRPr="00D62445">
        <w:rPr>
          <w:sz w:val="24"/>
          <w:szCs w:val="24"/>
        </w:rPr>
        <w:t>at a later date as total DDDs appear</w:t>
      </w:r>
      <w:r w:rsidR="000F0225">
        <w:rPr>
          <w:sz w:val="24"/>
          <w:szCs w:val="24"/>
        </w:rPr>
        <w:t>ed</w:t>
      </w:r>
      <w:r w:rsidRPr="00D62445">
        <w:rPr>
          <w:sz w:val="24"/>
          <w:szCs w:val="24"/>
        </w:rPr>
        <w:t xml:space="preserve"> to be on an upward trend again.</w:t>
      </w:r>
    </w:p>
    <w:p w14:paraId="1E3D7480" w14:textId="77777777" w:rsidR="00782663" w:rsidRDefault="00782663" w:rsidP="00782663">
      <w:pPr>
        <w:pStyle w:val="Heading1"/>
      </w:pPr>
      <w:r>
        <w:t>DUSC consideration</w:t>
      </w:r>
    </w:p>
    <w:p w14:paraId="7CF39349" w14:textId="60C97F2E" w:rsidR="00782663" w:rsidRPr="00782663" w:rsidRDefault="00782663" w:rsidP="00782663">
      <w:pPr>
        <w:rPr>
          <w:bCs/>
        </w:rPr>
      </w:pPr>
      <w:r w:rsidRPr="00782663">
        <w:rPr>
          <w:bCs/>
        </w:rPr>
        <w:t xml:space="preserve">DUSC noted PBS data indicated that following the 1 May 2019 PPI restriction changes there was a decrease in the number of high dose PPI prescriptions and a general shift towards the prescribing of lower doses of PPIs. The total number of PBS subsidised PPI prescriptions was 5% less from 1 May-31 December 2019 compared to the same period in 2018. </w:t>
      </w:r>
    </w:p>
    <w:p w14:paraId="1AFE3471" w14:textId="18DC9193" w:rsidR="00782663" w:rsidRPr="00782663" w:rsidRDefault="00782663" w:rsidP="00782663">
      <w:pPr>
        <w:rPr>
          <w:bCs/>
        </w:rPr>
      </w:pPr>
      <w:r w:rsidRPr="00782663">
        <w:rPr>
          <w:bCs/>
        </w:rPr>
        <w:t>DUSC noted the overall supply of PPI medicines had remained relatively consistent for rabeprazole, omeprazole and lansoprazole over the reporting period of 2013 Q1 to 2021 Q3. The utilisation of esomeprazole and pantoprazole varied over the period from 2013 to 2021 with an increase in pantoprazole and a decrease in esomeprazole from 2019. DUSC noted pantoprazole and esomeprazole were the most supplied drugs since 2013. In 2019, the utilisation of high strength listings decreased from 31,859 prescriptions in 2018 to 11,380 prescriptions in 2021. At the same time, the utilisation of low strength listings increased from 13,720 prescriptions in 2018 to 33,485 prescriptions in 2021. DUSC noted that omeprazole, esomeprazole and pantoprazole were available as over the counter (OTC) medications and that these as well as private prescriptions were not considered therefore utilisation could be higher than seen within this analysis.</w:t>
      </w:r>
    </w:p>
    <w:p w14:paraId="0613CD66" w14:textId="06918D0B" w:rsidR="00782663" w:rsidRPr="00782663" w:rsidRDefault="00782663" w:rsidP="00782663">
      <w:pPr>
        <w:rPr>
          <w:bCs/>
        </w:rPr>
      </w:pPr>
      <w:r w:rsidRPr="00782663">
        <w:rPr>
          <w:bCs/>
        </w:rPr>
        <w:t xml:space="preserve">DUSC noted more patients starting PPI treatment were prescribed pantoprazole, however total prevalence of patients prescribed esomeprazole was the highest from 2013-2021. The decrease in the utilisation of esomeprazole and increase in pantoprazole in 2019 is likely due to the restriction changes where high dose esomeprazole 40 mg for complex GORD was restricted to being prescribing by a specialist (gastroenterologist or upper gastrointestinal (GI) surgeon) only rather than a decrease in PPI utilisation overall. Pantoprazole was classified as either standard or low dose and had more </w:t>
      </w:r>
      <w:proofErr w:type="spellStart"/>
      <w:r w:rsidRPr="00782663">
        <w:rPr>
          <w:bCs/>
        </w:rPr>
        <w:t>dispensings</w:t>
      </w:r>
      <w:proofErr w:type="spellEnd"/>
      <w:r w:rsidRPr="00782663">
        <w:rPr>
          <w:bCs/>
        </w:rPr>
        <w:t xml:space="preserve"> from 2019 than any other PPI. </w:t>
      </w:r>
    </w:p>
    <w:p w14:paraId="7228991E" w14:textId="1F3F2AE1" w:rsidR="00782663" w:rsidRPr="00782663" w:rsidRDefault="00782663" w:rsidP="00782663">
      <w:pPr>
        <w:rPr>
          <w:bCs/>
        </w:rPr>
      </w:pPr>
      <w:r w:rsidRPr="00782663">
        <w:rPr>
          <w:bCs/>
        </w:rPr>
        <w:t xml:space="preserve">DUSC noted in 2017 there were 145,903 patients starting on a high dose of PPI medication and in 2020 there were significantly less patients initiating (8,026) on high dose PPI. DUSC considered that the restriction changes in 2019 were effective at reducing the number of patients starting on high dose PPI.  In 2017 there were 20,309 patients that went from standard to high dose listings and in 2020 there were 5,896 patients starting on a standard dose and shifting to a high dose PPI. In 2020 there was a significant decrease in the number of patients initiating on PPI medication, with 611,154 initiating patients in 2017 compared to 494,347 in 2020. DUSC noted that this could be due to education programs provided to </w:t>
      </w:r>
      <w:r w:rsidRPr="00782663">
        <w:rPr>
          <w:bCs/>
        </w:rPr>
        <w:lastRenderedPageBreak/>
        <w:t>general practitioners, such as from NPS MedicineWise,</w:t>
      </w:r>
      <w:r w:rsidRPr="00782663">
        <w:rPr>
          <w:bCs/>
          <w:vertAlign w:val="superscript"/>
        </w:rPr>
        <w:footnoteReference w:id="10"/>
      </w:r>
      <w:r w:rsidRPr="00782663">
        <w:rPr>
          <w:bCs/>
          <w:vertAlign w:val="superscript"/>
        </w:rPr>
        <w:t>,</w:t>
      </w:r>
      <w:r w:rsidRPr="00782663">
        <w:rPr>
          <w:bCs/>
          <w:vertAlign w:val="superscript"/>
        </w:rPr>
        <w:footnoteReference w:id="11"/>
      </w:r>
      <w:r w:rsidRPr="00782663">
        <w:rPr>
          <w:bCs/>
        </w:rPr>
        <w:t xml:space="preserve"> on the use and appropriate prescribing of PPI medications in addition to the new restrictions. DUSC noted the supply of high dose prescriptions ha</w:t>
      </w:r>
      <w:r w:rsidR="000F0225">
        <w:rPr>
          <w:bCs/>
        </w:rPr>
        <w:t>d</w:t>
      </w:r>
      <w:r w:rsidR="008855A7">
        <w:rPr>
          <w:bCs/>
        </w:rPr>
        <w:t xml:space="preserve"> </w:t>
      </w:r>
      <w:r w:rsidRPr="00782663">
        <w:rPr>
          <w:bCs/>
        </w:rPr>
        <w:t>reduced and low dose prescriptions ha</w:t>
      </w:r>
      <w:r w:rsidR="00CB6AD7">
        <w:rPr>
          <w:bCs/>
        </w:rPr>
        <w:t>d</w:t>
      </w:r>
      <w:r w:rsidRPr="00782663">
        <w:rPr>
          <w:bCs/>
        </w:rPr>
        <w:t xml:space="preserve"> increased for PPI, in particular for pantoprazole. </w:t>
      </w:r>
    </w:p>
    <w:p w14:paraId="4C208F7F" w14:textId="0F5BD0E6" w:rsidR="00782663" w:rsidRPr="00782663" w:rsidRDefault="00782663" w:rsidP="00782663">
      <w:pPr>
        <w:rPr>
          <w:bCs/>
        </w:rPr>
      </w:pPr>
      <w:r w:rsidRPr="00782663">
        <w:rPr>
          <w:bCs/>
        </w:rPr>
        <w:t>Previous data had shown that the older population were more likely to use PPI long term than any other age group.</w:t>
      </w:r>
      <w:r w:rsidRPr="00782663">
        <w:rPr>
          <w:bCs/>
          <w:vertAlign w:val="superscript"/>
        </w:rPr>
        <w:footnoteReference w:id="12"/>
      </w:r>
      <w:r w:rsidRPr="00782663">
        <w:rPr>
          <w:bCs/>
        </w:rPr>
        <w:t xml:space="preserve"> DUSC noted this was evident within the analysis where patients aged 70-74 years had the highest supply of PPI medication compared to other age groups. This was likely due to this population having multiple co-morbidities (including a high prevalence of GORD) coupled with age-related physiological changes and consumption of multiple medication that cause heartburn therefore requiring medication for symptom management.</w:t>
      </w:r>
      <w:r w:rsidRPr="00782663">
        <w:rPr>
          <w:bCs/>
          <w:vertAlign w:val="superscript"/>
        </w:rPr>
        <w:t>4</w:t>
      </w:r>
      <w:r w:rsidRPr="00782663">
        <w:rPr>
          <w:rFonts w:ascii="Times New Roman" w:hAnsi="Times New Roman" w:cs="Times New Roman"/>
        </w:rPr>
        <w:t xml:space="preserve"> </w:t>
      </w:r>
    </w:p>
    <w:p w14:paraId="34A04658" w14:textId="0FD59257" w:rsidR="00782663" w:rsidRPr="00782663" w:rsidRDefault="00782663" w:rsidP="00782663">
      <w:pPr>
        <w:rPr>
          <w:bCs/>
        </w:rPr>
      </w:pPr>
      <w:r w:rsidRPr="00782663">
        <w:rPr>
          <w:bCs/>
        </w:rPr>
        <w:t>DUSC noted that PPI medication and in particular pantoprazole, was still increasing on a yearly basis. The utilisation of the remaining four PPI listings had remained relatively consistent. DUSC considered the growth rate in utilisation for 2020 and 2021 was more than the previous years’ suggesting PPI medications may still be prescribed for longer periods of time than recommended. DUSC considered the reasoning for prescribing for longer periods than recommended may be due to patients not ceasing treatment and new patients receiving prescriptions. DUSC also considered that patients were being prescribed PPI medication in conjunction with anti-inflammatory medication to counteract adverse effects. DUSC noted there could be higher OTC and private prescription data that was not considered.</w:t>
      </w:r>
    </w:p>
    <w:p w14:paraId="03B75CEA" w14:textId="77777777" w:rsidR="00782663" w:rsidRPr="00782663" w:rsidRDefault="00782663" w:rsidP="00782663">
      <w:pPr>
        <w:rPr>
          <w:bCs/>
        </w:rPr>
      </w:pPr>
      <w:r w:rsidRPr="00782663">
        <w:rPr>
          <w:bCs/>
        </w:rPr>
        <w:t xml:space="preserve">DUSC noted the DDD analysis showed that there has been a reduction in the DDDs for high dose listings. The overall DDDs for all PPIs showed there is an overall reduction in DDDs following the restriction changes. Even though total script utilisation (across all drugs) increased after the May 2019 restriction changes, the total number of DDDs decreased. DUSC considered the restriction changes were successful in decreasing overall utilisation of PPIs by moving patients to lower dose PPIs. However further investigation was warranted at a later time as total DDDs appeared to be on an upward trend and OTC and private prescription data were not included in the analysis. </w:t>
      </w:r>
    </w:p>
    <w:p w14:paraId="2C74204D" w14:textId="77777777" w:rsidR="00782663" w:rsidRPr="006C0546" w:rsidRDefault="00782663" w:rsidP="00782663">
      <w:pPr>
        <w:rPr>
          <w:i/>
          <w:iCs/>
        </w:rPr>
      </w:pPr>
      <w:r>
        <w:rPr>
          <w:i/>
          <w:iCs/>
        </w:rPr>
        <w:t xml:space="preserve"> </w:t>
      </w:r>
    </w:p>
    <w:p w14:paraId="5C589F3D" w14:textId="77777777" w:rsidR="00782663" w:rsidRDefault="00782663" w:rsidP="00782663">
      <w:pPr>
        <w:pStyle w:val="Heading1"/>
      </w:pPr>
      <w:r>
        <w:lastRenderedPageBreak/>
        <w:t>DUSC actions</w:t>
      </w:r>
    </w:p>
    <w:p w14:paraId="4EE1C7F8" w14:textId="534211E9" w:rsidR="00782663" w:rsidRPr="00782663" w:rsidRDefault="00782663" w:rsidP="00782663">
      <w:r w:rsidRPr="00782663">
        <w:t xml:space="preserve">DUSC requested that the report be provided to the PBAC for consideration. </w:t>
      </w:r>
    </w:p>
    <w:p w14:paraId="46C142A5" w14:textId="77777777" w:rsidR="00782663" w:rsidRDefault="00782663" w:rsidP="00782663">
      <w:pPr>
        <w:pStyle w:val="Heading1"/>
      </w:pPr>
      <w:r w:rsidRPr="0092516A">
        <w:t>Context for analysis</w:t>
      </w:r>
    </w:p>
    <w:p w14:paraId="7F268DB4" w14:textId="77777777" w:rsidR="00782663" w:rsidRDefault="00782663" w:rsidP="00782663">
      <w:r>
        <w:t>The DUSC is a Sub Committee of the Pharmaceutical Benefits Advisory Committee (PBAC). The DUSC assesses estimates on projected usage and financial cost of medicines.</w:t>
      </w:r>
    </w:p>
    <w:p w14:paraId="05172376" w14:textId="77777777" w:rsidR="00782663" w:rsidRDefault="00782663" w:rsidP="00782663">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3B81D16" w14:textId="77777777" w:rsidR="00782663" w:rsidRDefault="00782663" w:rsidP="00782663">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2940D02D" w14:textId="77777777" w:rsidR="00782663" w:rsidRDefault="00782663" w:rsidP="00782663">
      <w:r>
        <w:t>The utilisation analysis report was provided to the pharmaceutical sponsors of each drug and comments on the report were provided to DUSC prior to its consideration of the analysis.</w:t>
      </w:r>
    </w:p>
    <w:p w14:paraId="367F1980" w14:textId="77777777" w:rsidR="00782663" w:rsidRDefault="00782663" w:rsidP="00782663">
      <w:pPr>
        <w:pStyle w:val="Heading1"/>
      </w:pPr>
      <w:r>
        <w:t>Sponsor</w:t>
      </w:r>
      <w:r w:rsidRPr="0092516A">
        <w:t>s</w:t>
      </w:r>
      <w:r>
        <w:t>’</w:t>
      </w:r>
      <w:r w:rsidRPr="0092516A">
        <w:t xml:space="preserve"> comments</w:t>
      </w:r>
    </w:p>
    <w:p w14:paraId="25B0E242" w14:textId="4B131720" w:rsidR="00782663" w:rsidRPr="00782663" w:rsidRDefault="00782663" w:rsidP="00782663">
      <w:pPr>
        <w:rPr>
          <w:rFonts w:ascii="Calibri" w:hAnsi="Calibri" w:cs="Calibri"/>
          <w:color w:val="000000"/>
        </w:rPr>
      </w:pPr>
      <w:proofErr w:type="spellStart"/>
      <w:r w:rsidRPr="00782663">
        <w:rPr>
          <w:rFonts w:ascii="Calibri" w:hAnsi="Calibri" w:cs="Calibri"/>
          <w:color w:val="000000"/>
        </w:rPr>
        <w:t>Alphapharm</w:t>
      </w:r>
      <w:proofErr w:type="spellEnd"/>
      <w:r w:rsidRPr="00782663">
        <w:rPr>
          <w:rFonts w:ascii="Calibri" w:hAnsi="Calibri" w:cs="Calibri"/>
          <w:color w:val="000000"/>
        </w:rPr>
        <w:t xml:space="preserve"> Pty Ltd</w:t>
      </w:r>
      <w:r>
        <w:rPr>
          <w:rFonts w:ascii="Calibri" w:hAnsi="Calibri" w:cs="Calibri"/>
          <w:color w:val="000000"/>
        </w:rPr>
        <w:t>:</w:t>
      </w:r>
      <w:r w:rsidR="00337624">
        <w:rPr>
          <w:rFonts w:ascii="Calibri" w:hAnsi="Calibri" w:cs="Calibri"/>
          <w:color w:val="000000"/>
        </w:rPr>
        <w:t xml:space="preserve"> The sponsor has no comment.</w:t>
      </w:r>
    </w:p>
    <w:p w14:paraId="43614566" w14:textId="6AC8F9CC" w:rsidR="00782663" w:rsidRPr="00782663" w:rsidRDefault="00782663" w:rsidP="00782663">
      <w:pPr>
        <w:rPr>
          <w:rFonts w:ascii="Calibri" w:hAnsi="Calibri" w:cs="Calibri"/>
          <w:color w:val="000000"/>
        </w:rPr>
      </w:pPr>
      <w:proofErr w:type="spellStart"/>
      <w:r w:rsidRPr="00782663">
        <w:rPr>
          <w:rFonts w:ascii="Calibri" w:hAnsi="Calibri" w:cs="Calibri"/>
          <w:color w:val="222222"/>
        </w:rPr>
        <w:t>Amneal</w:t>
      </w:r>
      <w:proofErr w:type="spellEnd"/>
      <w:r w:rsidRPr="00782663">
        <w:rPr>
          <w:rFonts w:ascii="Calibri" w:hAnsi="Calibri" w:cs="Calibri"/>
          <w:color w:val="222222"/>
        </w:rPr>
        <w:t xml:space="preserve"> Pharmaceuticals Pty Ltd</w:t>
      </w:r>
      <w:r>
        <w:rPr>
          <w:rFonts w:ascii="Calibri" w:hAnsi="Calibri" w:cs="Calibri"/>
          <w:color w:val="000000"/>
        </w:rPr>
        <w:t>:</w:t>
      </w:r>
      <w:r w:rsidR="00337624">
        <w:rPr>
          <w:rFonts w:ascii="Calibri" w:hAnsi="Calibri" w:cs="Calibri"/>
          <w:color w:val="000000"/>
        </w:rPr>
        <w:t xml:space="preserve"> The sponsor has no comment.</w:t>
      </w:r>
    </w:p>
    <w:p w14:paraId="1C6FBCBC" w14:textId="6EF7684B" w:rsidR="00782663" w:rsidRPr="00782663" w:rsidRDefault="00782663" w:rsidP="00782663">
      <w:pPr>
        <w:rPr>
          <w:rFonts w:ascii="Calibri" w:hAnsi="Calibri" w:cs="Calibri"/>
          <w:color w:val="000000"/>
        </w:rPr>
      </w:pPr>
      <w:proofErr w:type="spellStart"/>
      <w:r w:rsidRPr="00782663">
        <w:rPr>
          <w:rFonts w:ascii="Calibri" w:hAnsi="Calibri" w:cs="Calibri"/>
          <w:color w:val="000000"/>
        </w:rPr>
        <w:t>Apotex</w:t>
      </w:r>
      <w:proofErr w:type="spellEnd"/>
      <w:r w:rsidRPr="00782663">
        <w:rPr>
          <w:rFonts w:ascii="Calibri" w:hAnsi="Calibri" w:cs="Calibri"/>
          <w:color w:val="000000"/>
        </w:rPr>
        <w:t xml:space="preserve"> Pty Ltd</w:t>
      </w:r>
      <w:r>
        <w:rPr>
          <w:rFonts w:ascii="Calibri" w:hAnsi="Calibri" w:cs="Calibri"/>
          <w:color w:val="000000"/>
        </w:rPr>
        <w:t>:</w:t>
      </w:r>
      <w:r w:rsidR="00337624">
        <w:rPr>
          <w:rFonts w:ascii="Calibri" w:hAnsi="Calibri" w:cs="Calibri"/>
          <w:color w:val="000000"/>
        </w:rPr>
        <w:t xml:space="preserve"> The sponsor has no comment.</w:t>
      </w:r>
    </w:p>
    <w:p w14:paraId="28D961F1" w14:textId="676B337E" w:rsidR="00782663" w:rsidRPr="00782663" w:rsidRDefault="00782663" w:rsidP="00782663">
      <w:pPr>
        <w:rPr>
          <w:rFonts w:ascii="Calibri" w:hAnsi="Calibri" w:cs="Calibri"/>
          <w:color w:val="000000"/>
        </w:rPr>
      </w:pPr>
      <w:r w:rsidRPr="00782663">
        <w:rPr>
          <w:rFonts w:ascii="Calibri" w:hAnsi="Calibri" w:cs="Calibri"/>
          <w:color w:val="000000"/>
        </w:rPr>
        <w:t>Arrow Pharma Pty Ltd</w:t>
      </w:r>
      <w:r>
        <w:rPr>
          <w:rFonts w:ascii="Calibri" w:hAnsi="Calibri" w:cs="Calibri"/>
          <w:color w:val="000000"/>
        </w:rPr>
        <w:t>:</w:t>
      </w:r>
      <w:r w:rsidR="00337624">
        <w:rPr>
          <w:rFonts w:ascii="Calibri" w:hAnsi="Calibri" w:cs="Calibri"/>
          <w:color w:val="000000"/>
        </w:rPr>
        <w:t xml:space="preserve"> The sponsor has no comment.</w:t>
      </w:r>
    </w:p>
    <w:p w14:paraId="61A3A831" w14:textId="11E5DFB3" w:rsidR="00782663" w:rsidRPr="00782663" w:rsidRDefault="00782663" w:rsidP="00782663">
      <w:pPr>
        <w:rPr>
          <w:rFonts w:ascii="Calibri" w:hAnsi="Calibri" w:cs="Calibri"/>
          <w:color w:val="000000"/>
        </w:rPr>
      </w:pPr>
      <w:r w:rsidRPr="00782663">
        <w:rPr>
          <w:rFonts w:ascii="Calibri" w:hAnsi="Calibri" w:cs="Calibri"/>
          <w:color w:val="000000"/>
        </w:rPr>
        <w:t>AstraZeneca Pty Ltd</w:t>
      </w:r>
      <w:r>
        <w:rPr>
          <w:rFonts w:ascii="Calibri" w:hAnsi="Calibri" w:cs="Calibri"/>
          <w:color w:val="000000"/>
        </w:rPr>
        <w:t>:</w:t>
      </w:r>
      <w:r w:rsidR="00337624">
        <w:rPr>
          <w:rFonts w:ascii="Calibri" w:hAnsi="Calibri" w:cs="Calibri"/>
          <w:color w:val="000000"/>
        </w:rPr>
        <w:t xml:space="preserve"> The sponsor has no comment.</w:t>
      </w:r>
    </w:p>
    <w:p w14:paraId="44FF9733" w14:textId="7BA13E78" w:rsidR="00782663" w:rsidRPr="00782663" w:rsidRDefault="00782663" w:rsidP="00782663">
      <w:pPr>
        <w:rPr>
          <w:rFonts w:ascii="Calibri" w:hAnsi="Calibri" w:cs="Calibri"/>
          <w:color w:val="000000"/>
        </w:rPr>
      </w:pPr>
      <w:proofErr w:type="spellStart"/>
      <w:r w:rsidRPr="00782663">
        <w:rPr>
          <w:rFonts w:ascii="Calibri" w:hAnsi="Calibri" w:cs="Calibri"/>
          <w:color w:val="000000"/>
        </w:rPr>
        <w:t>Avallon</w:t>
      </w:r>
      <w:proofErr w:type="spellEnd"/>
      <w:r w:rsidRPr="00782663">
        <w:rPr>
          <w:rFonts w:ascii="Calibri" w:hAnsi="Calibri" w:cs="Calibri"/>
          <w:color w:val="000000"/>
        </w:rPr>
        <w:t xml:space="preserve"> Pharmaceuticals Pty Limited</w:t>
      </w:r>
      <w:r>
        <w:rPr>
          <w:rFonts w:ascii="Calibri" w:hAnsi="Calibri" w:cs="Calibri"/>
          <w:color w:val="000000"/>
        </w:rPr>
        <w:t>:</w:t>
      </w:r>
      <w:r w:rsidR="00337624">
        <w:rPr>
          <w:rFonts w:ascii="Calibri" w:hAnsi="Calibri" w:cs="Calibri"/>
          <w:color w:val="000000"/>
        </w:rPr>
        <w:t xml:space="preserve"> The sponsor has no comment.</w:t>
      </w:r>
    </w:p>
    <w:p w14:paraId="49FF63EF" w14:textId="6DDA57BF" w:rsidR="00782663" w:rsidRPr="00782663" w:rsidRDefault="00782663" w:rsidP="00782663">
      <w:pPr>
        <w:rPr>
          <w:rFonts w:ascii="Calibri" w:hAnsi="Calibri" w:cs="Calibri"/>
          <w:color w:val="000000"/>
        </w:rPr>
      </w:pPr>
      <w:r w:rsidRPr="00782663">
        <w:rPr>
          <w:rFonts w:ascii="Calibri" w:hAnsi="Calibri" w:cs="Calibri"/>
          <w:color w:val="000000"/>
        </w:rPr>
        <w:t>Generic Health Pty Ltd</w:t>
      </w:r>
      <w:r>
        <w:rPr>
          <w:rFonts w:ascii="Calibri" w:hAnsi="Calibri" w:cs="Calibri"/>
          <w:color w:val="000000"/>
        </w:rPr>
        <w:t>:</w:t>
      </w:r>
      <w:r w:rsidR="00337624">
        <w:rPr>
          <w:rFonts w:ascii="Calibri" w:hAnsi="Calibri" w:cs="Calibri"/>
          <w:color w:val="000000"/>
        </w:rPr>
        <w:t xml:space="preserve"> The sponsor has no comment.</w:t>
      </w:r>
    </w:p>
    <w:p w14:paraId="3D9E78FE" w14:textId="08BAFFB0" w:rsidR="00782663" w:rsidRPr="00782663" w:rsidRDefault="00782663" w:rsidP="00782663">
      <w:pPr>
        <w:rPr>
          <w:rFonts w:ascii="Calibri" w:hAnsi="Calibri" w:cs="Calibri"/>
          <w:color w:val="222222"/>
        </w:rPr>
      </w:pPr>
      <w:r w:rsidRPr="00782663">
        <w:rPr>
          <w:rFonts w:ascii="Calibri" w:hAnsi="Calibri" w:cs="Calibri"/>
          <w:color w:val="222222"/>
        </w:rPr>
        <w:t>Janssen-</w:t>
      </w:r>
      <w:proofErr w:type="spellStart"/>
      <w:r w:rsidRPr="00782663">
        <w:rPr>
          <w:rFonts w:ascii="Calibri" w:hAnsi="Calibri" w:cs="Calibri"/>
          <w:color w:val="222222"/>
        </w:rPr>
        <w:t>Cilag</w:t>
      </w:r>
      <w:proofErr w:type="spellEnd"/>
      <w:r w:rsidRPr="00782663">
        <w:rPr>
          <w:rFonts w:ascii="Calibri" w:hAnsi="Calibri" w:cs="Calibri"/>
          <w:color w:val="222222"/>
        </w:rPr>
        <w:t xml:space="preserve"> Pty Ltd</w:t>
      </w:r>
      <w:r>
        <w:rPr>
          <w:rFonts w:ascii="Calibri" w:hAnsi="Calibri" w:cs="Calibri"/>
          <w:color w:val="222222"/>
        </w:rPr>
        <w:t>:</w:t>
      </w:r>
      <w:r w:rsidRPr="00782663">
        <w:rPr>
          <w:rFonts w:ascii="Calibri" w:hAnsi="Calibri" w:cs="Calibri"/>
          <w:color w:val="222222"/>
        </w:rPr>
        <w:t xml:space="preserve"> </w:t>
      </w:r>
      <w:r w:rsidR="00337624">
        <w:rPr>
          <w:rFonts w:ascii="Calibri" w:hAnsi="Calibri" w:cs="Calibri"/>
          <w:color w:val="000000"/>
        </w:rPr>
        <w:t>The sponsor has no comment.</w:t>
      </w:r>
    </w:p>
    <w:p w14:paraId="1D39ABDD" w14:textId="7188E2E8" w:rsidR="00782663" w:rsidRPr="00782663" w:rsidRDefault="00782663" w:rsidP="00782663">
      <w:pPr>
        <w:rPr>
          <w:rFonts w:ascii="Calibri" w:hAnsi="Calibri" w:cs="Calibri"/>
          <w:color w:val="222222"/>
        </w:rPr>
      </w:pPr>
      <w:proofErr w:type="spellStart"/>
      <w:r w:rsidRPr="00782663">
        <w:rPr>
          <w:rFonts w:ascii="Calibri" w:hAnsi="Calibri" w:cs="Calibri"/>
          <w:color w:val="222222"/>
        </w:rPr>
        <w:t>Medis</w:t>
      </w:r>
      <w:proofErr w:type="spellEnd"/>
      <w:r w:rsidRPr="00782663">
        <w:rPr>
          <w:rFonts w:ascii="Calibri" w:hAnsi="Calibri" w:cs="Calibri"/>
          <w:color w:val="222222"/>
        </w:rPr>
        <w:t xml:space="preserve"> Pharma Pty Ltd</w:t>
      </w:r>
      <w:r>
        <w:rPr>
          <w:rFonts w:ascii="Calibri" w:hAnsi="Calibri" w:cs="Calibri"/>
          <w:color w:val="222222"/>
        </w:rPr>
        <w:t>:</w:t>
      </w:r>
      <w:r w:rsidR="00337624">
        <w:rPr>
          <w:rFonts w:ascii="Calibri" w:hAnsi="Calibri" w:cs="Calibri"/>
          <w:color w:val="222222"/>
        </w:rPr>
        <w:t xml:space="preserve"> </w:t>
      </w:r>
      <w:r w:rsidR="00337624">
        <w:rPr>
          <w:rFonts w:ascii="Calibri" w:hAnsi="Calibri" w:cs="Calibri"/>
          <w:color w:val="000000"/>
        </w:rPr>
        <w:t>The sponsor has no comment.</w:t>
      </w:r>
    </w:p>
    <w:p w14:paraId="773DA46C" w14:textId="66FE8DAD" w:rsidR="00782663" w:rsidRPr="00782663" w:rsidRDefault="00782663" w:rsidP="00782663">
      <w:pPr>
        <w:rPr>
          <w:rFonts w:ascii="Calibri" w:hAnsi="Calibri" w:cs="Calibri"/>
          <w:color w:val="000000"/>
        </w:rPr>
      </w:pPr>
      <w:r w:rsidRPr="00782663">
        <w:rPr>
          <w:rFonts w:ascii="Calibri" w:hAnsi="Calibri" w:cs="Calibri"/>
          <w:color w:val="000000"/>
        </w:rPr>
        <w:t>Pfizer Australia Pty Ltd</w:t>
      </w:r>
      <w:r>
        <w:rPr>
          <w:rFonts w:ascii="Calibri" w:hAnsi="Calibri" w:cs="Calibri"/>
          <w:color w:val="000000"/>
        </w:rPr>
        <w:t>:</w:t>
      </w:r>
      <w:r w:rsidRPr="00782663">
        <w:rPr>
          <w:rFonts w:ascii="Calibri" w:hAnsi="Calibri" w:cs="Calibri"/>
          <w:color w:val="000000"/>
        </w:rPr>
        <w:t xml:space="preserve"> </w:t>
      </w:r>
      <w:r w:rsidR="00337624">
        <w:rPr>
          <w:rFonts w:ascii="Calibri" w:hAnsi="Calibri" w:cs="Calibri"/>
          <w:color w:val="000000"/>
        </w:rPr>
        <w:t>The sponsor has no comment.</w:t>
      </w:r>
    </w:p>
    <w:p w14:paraId="53A9BB71" w14:textId="3D429ECF" w:rsidR="00782663" w:rsidRPr="00782663" w:rsidRDefault="00782663" w:rsidP="00782663">
      <w:pPr>
        <w:rPr>
          <w:rFonts w:ascii="Calibri" w:hAnsi="Calibri" w:cs="Calibri"/>
          <w:color w:val="222222"/>
        </w:rPr>
      </w:pPr>
      <w:proofErr w:type="spellStart"/>
      <w:r w:rsidRPr="00782663">
        <w:rPr>
          <w:rFonts w:ascii="Calibri" w:hAnsi="Calibri" w:cs="Calibri"/>
          <w:color w:val="222222"/>
        </w:rPr>
        <w:t>Pharmaco</w:t>
      </w:r>
      <w:proofErr w:type="spellEnd"/>
      <w:r w:rsidRPr="00782663">
        <w:rPr>
          <w:rFonts w:ascii="Calibri" w:hAnsi="Calibri" w:cs="Calibri"/>
          <w:color w:val="222222"/>
        </w:rPr>
        <w:t xml:space="preserve"> (Australia) Limited</w:t>
      </w:r>
      <w:r>
        <w:rPr>
          <w:rFonts w:ascii="Calibri" w:hAnsi="Calibri" w:cs="Calibri"/>
          <w:color w:val="222222"/>
        </w:rPr>
        <w:t>:</w:t>
      </w:r>
      <w:r w:rsidR="00337624">
        <w:rPr>
          <w:rFonts w:ascii="Calibri" w:hAnsi="Calibri" w:cs="Calibri"/>
          <w:color w:val="222222"/>
        </w:rPr>
        <w:t xml:space="preserve"> </w:t>
      </w:r>
      <w:r w:rsidR="00337624">
        <w:rPr>
          <w:rFonts w:ascii="Calibri" w:hAnsi="Calibri" w:cs="Calibri"/>
          <w:color w:val="000000"/>
        </w:rPr>
        <w:t>The sponsor has no comment.</w:t>
      </w:r>
    </w:p>
    <w:p w14:paraId="4E3BA82C" w14:textId="3FD35094" w:rsidR="00782663" w:rsidRPr="00782663" w:rsidRDefault="00782663" w:rsidP="00782663">
      <w:pPr>
        <w:rPr>
          <w:rFonts w:ascii="Calibri" w:hAnsi="Calibri" w:cs="Calibri"/>
          <w:color w:val="000000"/>
        </w:rPr>
      </w:pPr>
      <w:proofErr w:type="spellStart"/>
      <w:r w:rsidRPr="00782663">
        <w:rPr>
          <w:rFonts w:ascii="Calibri" w:hAnsi="Calibri" w:cs="Calibri"/>
          <w:color w:val="222222"/>
        </w:rPr>
        <w:t>Pharmacor</w:t>
      </w:r>
      <w:proofErr w:type="spellEnd"/>
      <w:r w:rsidRPr="00782663">
        <w:rPr>
          <w:rFonts w:ascii="Calibri" w:hAnsi="Calibri" w:cs="Calibri"/>
          <w:color w:val="222222"/>
        </w:rPr>
        <w:t xml:space="preserve"> Pty Limited</w:t>
      </w:r>
      <w:r>
        <w:rPr>
          <w:rFonts w:ascii="Calibri" w:hAnsi="Calibri" w:cs="Calibri"/>
          <w:color w:val="222222"/>
        </w:rPr>
        <w:t>:</w:t>
      </w:r>
      <w:r w:rsidRPr="00782663">
        <w:rPr>
          <w:rFonts w:ascii="Calibri" w:hAnsi="Calibri" w:cs="Calibri"/>
          <w:color w:val="000000"/>
        </w:rPr>
        <w:t xml:space="preserve"> </w:t>
      </w:r>
      <w:r w:rsidR="00337624">
        <w:rPr>
          <w:rFonts w:ascii="Calibri" w:hAnsi="Calibri" w:cs="Calibri"/>
          <w:color w:val="000000"/>
        </w:rPr>
        <w:t>The sponsor has no comment.</w:t>
      </w:r>
    </w:p>
    <w:p w14:paraId="2020A61B" w14:textId="28C70E64" w:rsidR="00782663" w:rsidRPr="00782663" w:rsidRDefault="00782663" w:rsidP="00782663">
      <w:pPr>
        <w:rPr>
          <w:rFonts w:ascii="Calibri" w:hAnsi="Calibri" w:cs="Calibri"/>
          <w:color w:val="000000"/>
        </w:rPr>
      </w:pPr>
      <w:r w:rsidRPr="00782663">
        <w:rPr>
          <w:rFonts w:ascii="Calibri" w:hAnsi="Calibri" w:cs="Calibri"/>
          <w:color w:val="000000"/>
        </w:rPr>
        <w:lastRenderedPageBreak/>
        <w:t>Sandoz Pty Ltd</w:t>
      </w:r>
      <w:r>
        <w:rPr>
          <w:rFonts w:ascii="Calibri" w:hAnsi="Calibri" w:cs="Calibri"/>
          <w:color w:val="000000"/>
        </w:rPr>
        <w:t>:</w:t>
      </w:r>
      <w:r w:rsidRPr="00782663">
        <w:rPr>
          <w:rFonts w:ascii="Calibri" w:hAnsi="Calibri" w:cs="Calibri"/>
          <w:color w:val="000000"/>
        </w:rPr>
        <w:t xml:space="preserve"> </w:t>
      </w:r>
      <w:r w:rsidR="00337624">
        <w:rPr>
          <w:rFonts w:ascii="Calibri" w:hAnsi="Calibri" w:cs="Calibri"/>
          <w:color w:val="000000"/>
        </w:rPr>
        <w:t>The sponsor has no comment.</w:t>
      </w:r>
    </w:p>
    <w:p w14:paraId="068F1F67" w14:textId="777FD6E2" w:rsidR="00782663" w:rsidRPr="00782663" w:rsidRDefault="00782663" w:rsidP="00782663">
      <w:pPr>
        <w:rPr>
          <w:rFonts w:ascii="Calibri" w:hAnsi="Calibri" w:cs="Calibri"/>
          <w:color w:val="000000"/>
        </w:rPr>
      </w:pPr>
      <w:r w:rsidRPr="00782663">
        <w:rPr>
          <w:rFonts w:ascii="Calibri" w:hAnsi="Calibri" w:cs="Calibri"/>
          <w:color w:val="222222"/>
        </w:rPr>
        <w:t>Strides Pharma Science Pty Ltd</w:t>
      </w:r>
      <w:r>
        <w:rPr>
          <w:rFonts w:ascii="Calibri" w:hAnsi="Calibri" w:cs="Calibri"/>
          <w:color w:val="222222"/>
        </w:rPr>
        <w:t>:</w:t>
      </w:r>
      <w:r w:rsidRPr="00782663">
        <w:rPr>
          <w:rFonts w:ascii="Calibri" w:hAnsi="Calibri" w:cs="Calibri"/>
          <w:color w:val="000000"/>
        </w:rPr>
        <w:t xml:space="preserve"> </w:t>
      </w:r>
      <w:r w:rsidR="00337624">
        <w:rPr>
          <w:rFonts w:ascii="Calibri" w:hAnsi="Calibri" w:cs="Calibri"/>
          <w:color w:val="000000"/>
        </w:rPr>
        <w:t>The sponsor has no comment.</w:t>
      </w:r>
    </w:p>
    <w:p w14:paraId="5FF6DD16" w14:textId="7E63A405" w:rsidR="00782663" w:rsidRPr="00782663" w:rsidRDefault="00782663" w:rsidP="00782663">
      <w:pPr>
        <w:rPr>
          <w:rFonts w:ascii="Calibri" w:hAnsi="Calibri" w:cs="Calibri"/>
          <w:color w:val="222222"/>
        </w:rPr>
      </w:pPr>
      <w:r w:rsidRPr="00782663">
        <w:rPr>
          <w:rFonts w:ascii="Calibri" w:hAnsi="Calibri" w:cs="Calibri"/>
          <w:color w:val="000000"/>
        </w:rPr>
        <w:t>Sun Pharma ANZ Pty Ltd</w:t>
      </w:r>
      <w:r>
        <w:rPr>
          <w:rFonts w:ascii="Calibri" w:hAnsi="Calibri" w:cs="Calibri"/>
          <w:color w:val="000000"/>
        </w:rPr>
        <w:t>:</w:t>
      </w:r>
      <w:r w:rsidRPr="00782663">
        <w:rPr>
          <w:rFonts w:ascii="Calibri" w:hAnsi="Calibri" w:cs="Calibri"/>
          <w:color w:val="222222"/>
        </w:rPr>
        <w:t xml:space="preserve"> </w:t>
      </w:r>
      <w:r w:rsidR="00337624">
        <w:rPr>
          <w:rFonts w:ascii="Calibri" w:hAnsi="Calibri" w:cs="Calibri"/>
          <w:color w:val="000000"/>
        </w:rPr>
        <w:t>The sponsor has no comment.</w:t>
      </w:r>
    </w:p>
    <w:p w14:paraId="35132939" w14:textId="1EFC36AC" w:rsidR="00782663" w:rsidRPr="00782663" w:rsidRDefault="00782663" w:rsidP="00782663">
      <w:pPr>
        <w:rPr>
          <w:rFonts w:ascii="Calibri" w:hAnsi="Calibri" w:cs="Calibri"/>
          <w:color w:val="222222"/>
        </w:rPr>
      </w:pPr>
      <w:r w:rsidRPr="00782663">
        <w:rPr>
          <w:rFonts w:ascii="Calibri" w:hAnsi="Calibri" w:cs="Calibri"/>
          <w:color w:val="222222"/>
        </w:rPr>
        <w:t>Takeda Pharmaceuticals Australia Pty. Ltd</w:t>
      </w:r>
      <w:r>
        <w:rPr>
          <w:rFonts w:ascii="Calibri" w:hAnsi="Calibri" w:cs="Calibri"/>
          <w:color w:val="222222"/>
        </w:rPr>
        <w:t>:</w:t>
      </w:r>
      <w:r w:rsidR="00337624">
        <w:rPr>
          <w:rFonts w:ascii="Calibri" w:hAnsi="Calibri" w:cs="Calibri"/>
          <w:color w:val="222222"/>
        </w:rPr>
        <w:t xml:space="preserve"> </w:t>
      </w:r>
      <w:r w:rsidR="00337624">
        <w:rPr>
          <w:rFonts w:ascii="Calibri" w:hAnsi="Calibri" w:cs="Calibri"/>
          <w:color w:val="000000"/>
        </w:rPr>
        <w:t>The sponsor has no comment.</w:t>
      </w:r>
    </w:p>
    <w:p w14:paraId="7E3D77FD" w14:textId="03947740" w:rsidR="00782663" w:rsidRDefault="00782663" w:rsidP="00782663">
      <w:pPr>
        <w:pStyle w:val="Heading1"/>
      </w:pPr>
      <w:r w:rsidRPr="00A4020E">
        <w:t>Disclaimer</w:t>
      </w:r>
    </w:p>
    <w:p w14:paraId="17311CCC" w14:textId="77777777" w:rsidR="00782663" w:rsidRDefault="00782663" w:rsidP="00782663">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522A8990" w14:textId="194C9872" w:rsidR="00782663" w:rsidRDefault="00782663" w:rsidP="00782663">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44EC2FC8" w14:textId="2B20FD6D" w:rsidR="00782663" w:rsidRDefault="00782663" w:rsidP="00782663">
      <w:r>
        <w:t xml:space="preserve">To the extent provided by law, the Department of Health and Aged Care makes no warranties or representations as to accuracy or completeness of information contained in this report. </w:t>
      </w:r>
    </w:p>
    <w:p w14:paraId="33F1D6A9" w14:textId="78534EE0" w:rsidR="00782663" w:rsidRDefault="00782663" w:rsidP="00782663">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02E5C35D" w14:textId="4384698D" w:rsidR="00681D83" w:rsidRDefault="00681D83" w:rsidP="00025C70">
      <w:pPr>
        <w:spacing w:after="0"/>
      </w:pPr>
    </w:p>
    <w:p w14:paraId="7B1AEABD" w14:textId="52AC5A2E" w:rsidR="00681D83" w:rsidRDefault="00681D83" w:rsidP="00025C70">
      <w:pPr>
        <w:spacing w:after="0"/>
      </w:pPr>
    </w:p>
    <w:p w14:paraId="390C8AED" w14:textId="313A755F" w:rsidR="00681D83" w:rsidRDefault="00681D83" w:rsidP="00025C70">
      <w:pPr>
        <w:spacing w:after="0"/>
      </w:pPr>
    </w:p>
    <w:p w14:paraId="2AB59E19" w14:textId="147EDDBB" w:rsidR="00681D83" w:rsidRDefault="00681D83" w:rsidP="00025C70">
      <w:pPr>
        <w:spacing w:after="0"/>
      </w:pPr>
    </w:p>
    <w:p w14:paraId="620D0EB2" w14:textId="29F9B29C" w:rsidR="00681D83" w:rsidRDefault="00681D83" w:rsidP="00025C70">
      <w:pPr>
        <w:spacing w:after="0"/>
      </w:pPr>
    </w:p>
    <w:p w14:paraId="404A33B8" w14:textId="79AEF8A0" w:rsidR="00681D83" w:rsidRDefault="00681D83" w:rsidP="00025C70">
      <w:pPr>
        <w:spacing w:after="0"/>
      </w:pPr>
    </w:p>
    <w:p w14:paraId="488509B6" w14:textId="32D26110" w:rsidR="00681D83" w:rsidRDefault="00681D83" w:rsidP="00025C70">
      <w:pPr>
        <w:spacing w:after="0"/>
      </w:pPr>
    </w:p>
    <w:p w14:paraId="1334983C" w14:textId="767F7E57" w:rsidR="00F5075C" w:rsidRDefault="00F5075C">
      <w:pPr>
        <w:spacing w:line="276" w:lineRule="auto"/>
        <w:sectPr w:rsidR="00F5075C" w:rsidSect="00220C3F">
          <w:headerReference w:type="even" r:id="rId27"/>
          <w:headerReference w:type="default" r:id="rId28"/>
          <w:footerReference w:type="even" r:id="rId29"/>
          <w:footerReference w:type="default" r:id="rId30"/>
          <w:headerReference w:type="first" r:id="rId31"/>
          <w:footerReference w:type="first" r:id="rId32"/>
          <w:pgSz w:w="11906" w:h="16838"/>
          <w:pgMar w:top="1644" w:right="1361" w:bottom="1644" w:left="1588" w:header="709" w:footer="709" w:gutter="0"/>
          <w:cols w:space="708"/>
          <w:docGrid w:linePitch="360"/>
        </w:sectPr>
      </w:pPr>
    </w:p>
    <w:p w14:paraId="60C28BB6" w14:textId="77777777" w:rsidR="00220C3F" w:rsidRDefault="00220C3F" w:rsidP="00220C3F">
      <w:pPr>
        <w:pStyle w:val="Heading1"/>
      </w:pPr>
      <w:r>
        <w:lastRenderedPageBreak/>
        <w:t>Appendices</w:t>
      </w:r>
    </w:p>
    <w:p w14:paraId="274690BB" w14:textId="036B24C3" w:rsidR="003C0CBB" w:rsidRPr="00183EF0" w:rsidRDefault="00220C3F" w:rsidP="00183EF0">
      <w:pPr>
        <w:pStyle w:val="Heading3"/>
        <w:rPr>
          <w:i w:val="0"/>
          <w:iCs/>
          <w:sz w:val="28"/>
          <w:szCs w:val="32"/>
        </w:rPr>
      </w:pPr>
      <w:r>
        <w:rPr>
          <w:i w:val="0"/>
          <w:iCs/>
          <w:sz w:val="28"/>
          <w:szCs w:val="32"/>
        </w:rPr>
        <w:t>Appendix A – PBS listings of PPIs as at March 202</w:t>
      </w:r>
      <w:r w:rsidR="00183EF0">
        <w:rPr>
          <w:i w:val="0"/>
          <w:iCs/>
          <w:sz w:val="28"/>
          <w:szCs w:val="32"/>
        </w:rPr>
        <w:t>2</w:t>
      </w:r>
    </w:p>
    <w:tbl>
      <w:tblPr>
        <w:tblStyle w:val="TableGrid"/>
        <w:tblW w:w="13183" w:type="dxa"/>
        <w:tblLook w:val="04A0" w:firstRow="1" w:lastRow="0" w:firstColumn="1" w:lastColumn="0" w:noHBand="0" w:noVBand="1"/>
      </w:tblPr>
      <w:tblGrid>
        <w:gridCol w:w="901"/>
        <w:gridCol w:w="4481"/>
        <w:gridCol w:w="1276"/>
        <w:gridCol w:w="713"/>
        <w:gridCol w:w="993"/>
        <w:gridCol w:w="2409"/>
        <w:gridCol w:w="2410"/>
      </w:tblGrid>
      <w:tr w:rsidR="006268DA" w:rsidRPr="008658B2" w14:paraId="5445A432" w14:textId="77777777" w:rsidTr="007065F6">
        <w:trPr>
          <w:trHeight w:val="102"/>
        </w:trPr>
        <w:tc>
          <w:tcPr>
            <w:tcW w:w="901" w:type="dxa"/>
            <w:shd w:val="clear" w:color="auto" w:fill="BFBFBF" w:themeFill="background1" w:themeFillShade="BF"/>
            <w:hideMark/>
          </w:tcPr>
          <w:p w14:paraId="1E0C6D5D" w14:textId="77777777" w:rsidR="00681D83" w:rsidRPr="008658B2" w:rsidRDefault="00681D83" w:rsidP="00681D83">
            <w:pPr>
              <w:jc w:val="center"/>
              <w:rPr>
                <w:rFonts w:ascii="Calibri" w:eastAsia="Times New Roman" w:hAnsi="Calibri" w:cs="Calibri"/>
                <w:b/>
                <w:bCs/>
                <w:color w:val="000000"/>
                <w:sz w:val="20"/>
                <w:szCs w:val="20"/>
              </w:rPr>
            </w:pPr>
            <w:r w:rsidRPr="008658B2">
              <w:rPr>
                <w:rFonts w:ascii="Calibri" w:eastAsia="Times New Roman" w:hAnsi="Calibri" w:cs="Calibri"/>
                <w:b/>
                <w:bCs/>
                <w:color w:val="000000"/>
                <w:sz w:val="20"/>
                <w:szCs w:val="20"/>
              </w:rPr>
              <w:t>Item</w:t>
            </w:r>
          </w:p>
        </w:tc>
        <w:tc>
          <w:tcPr>
            <w:tcW w:w="4481" w:type="dxa"/>
            <w:shd w:val="clear" w:color="auto" w:fill="BFBFBF" w:themeFill="background1" w:themeFillShade="BF"/>
            <w:hideMark/>
          </w:tcPr>
          <w:p w14:paraId="5DCC38F6" w14:textId="77777777" w:rsidR="00681D83" w:rsidRPr="008658B2" w:rsidRDefault="00681D83" w:rsidP="00681D83">
            <w:pPr>
              <w:jc w:val="center"/>
              <w:rPr>
                <w:rFonts w:ascii="Calibri" w:eastAsia="Times New Roman" w:hAnsi="Calibri" w:cs="Calibri"/>
                <w:b/>
                <w:bCs/>
                <w:color w:val="000000"/>
                <w:sz w:val="20"/>
                <w:szCs w:val="20"/>
              </w:rPr>
            </w:pPr>
            <w:r w:rsidRPr="008658B2">
              <w:rPr>
                <w:rFonts w:ascii="Calibri" w:eastAsia="Times New Roman" w:hAnsi="Calibri" w:cs="Calibri"/>
                <w:b/>
                <w:bCs/>
                <w:color w:val="000000"/>
                <w:sz w:val="20"/>
                <w:szCs w:val="20"/>
              </w:rPr>
              <w:t>Name, form &amp; strength, pack size</w:t>
            </w:r>
          </w:p>
        </w:tc>
        <w:tc>
          <w:tcPr>
            <w:tcW w:w="1276" w:type="dxa"/>
            <w:shd w:val="clear" w:color="auto" w:fill="BFBFBF" w:themeFill="background1" w:themeFillShade="BF"/>
            <w:hideMark/>
          </w:tcPr>
          <w:p w14:paraId="7EB22DB3" w14:textId="193BDFDD" w:rsidR="00681D83" w:rsidRPr="008658B2" w:rsidRDefault="00681D83" w:rsidP="008658B2">
            <w:pPr>
              <w:jc w:val="center"/>
              <w:rPr>
                <w:rFonts w:ascii="Calibri" w:eastAsia="Times New Roman" w:hAnsi="Calibri" w:cs="Calibri"/>
                <w:b/>
                <w:bCs/>
                <w:color w:val="000000"/>
                <w:sz w:val="20"/>
                <w:szCs w:val="20"/>
              </w:rPr>
            </w:pPr>
            <w:r w:rsidRPr="008658B2">
              <w:rPr>
                <w:rFonts w:ascii="Calibri" w:eastAsia="Times New Roman" w:hAnsi="Calibri" w:cs="Calibri"/>
                <w:b/>
                <w:bCs/>
                <w:color w:val="000000"/>
                <w:sz w:val="20"/>
                <w:szCs w:val="20"/>
              </w:rPr>
              <w:t>Max. quant.</w:t>
            </w:r>
          </w:p>
        </w:tc>
        <w:tc>
          <w:tcPr>
            <w:tcW w:w="713" w:type="dxa"/>
            <w:shd w:val="clear" w:color="auto" w:fill="BFBFBF" w:themeFill="background1" w:themeFillShade="BF"/>
            <w:hideMark/>
          </w:tcPr>
          <w:p w14:paraId="1490214B" w14:textId="2907D510" w:rsidR="00681D83" w:rsidRPr="008658B2" w:rsidRDefault="00681D83" w:rsidP="008658B2">
            <w:pPr>
              <w:jc w:val="center"/>
              <w:rPr>
                <w:rFonts w:ascii="Calibri" w:eastAsia="Times New Roman" w:hAnsi="Calibri" w:cs="Calibri"/>
                <w:b/>
                <w:bCs/>
                <w:color w:val="000000"/>
                <w:sz w:val="20"/>
                <w:szCs w:val="20"/>
              </w:rPr>
            </w:pPr>
            <w:proofErr w:type="spellStart"/>
            <w:r w:rsidRPr="008658B2">
              <w:rPr>
                <w:rFonts w:ascii="Calibri" w:eastAsia="Times New Roman" w:hAnsi="Calibri" w:cs="Calibri"/>
                <w:b/>
                <w:bCs/>
                <w:color w:val="000000"/>
                <w:sz w:val="20"/>
                <w:szCs w:val="20"/>
              </w:rPr>
              <w:t>Rpts</w:t>
            </w:r>
            <w:proofErr w:type="spellEnd"/>
          </w:p>
        </w:tc>
        <w:tc>
          <w:tcPr>
            <w:tcW w:w="993" w:type="dxa"/>
            <w:shd w:val="clear" w:color="auto" w:fill="BFBFBF" w:themeFill="background1" w:themeFillShade="BF"/>
            <w:hideMark/>
          </w:tcPr>
          <w:p w14:paraId="7859F80F" w14:textId="2C858DFF" w:rsidR="00681D83" w:rsidRPr="008658B2" w:rsidRDefault="00681D83" w:rsidP="008658B2">
            <w:pPr>
              <w:jc w:val="center"/>
              <w:rPr>
                <w:rFonts w:ascii="Calibri" w:eastAsia="Times New Roman" w:hAnsi="Calibri" w:cs="Calibri"/>
                <w:b/>
                <w:bCs/>
                <w:color w:val="000000"/>
                <w:sz w:val="20"/>
                <w:szCs w:val="20"/>
              </w:rPr>
            </w:pPr>
            <w:r w:rsidRPr="008658B2">
              <w:rPr>
                <w:rFonts w:ascii="Calibri" w:eastAsia="Times New Roman" w:hAnsi="Calibri" w:cs="Calibri"/>
                <w:b/>
                <w:bCs/>
                <w:color w:val="000000"/>
                <w:sz w:val="20"/>
                <w:szCs w:val="20"/>
              </w:rPr>
              <w:t>DPMQ</w:t>
            </w:r>
          </w:p>
        </w:tc>
        <w:tc>
          <w:tcPr>
            <w:tcW w:w="2409" w:type="dxa"/>
            <w:shd w:val="clear" w:color="auto" w:fill="BFBFBF" w:themeFill="background1" w:themeFillShade="BF"/>
            <w:hideMark/>
          </w:tcPr>
          <w:p w14:paraId="2E8E5209" w14:textId="1FE70A8C" w:rsidR="00681D83" w:rsidRPr="008658B2" w:rsidRDefault="00681D83" w:rsidP="00681D83">
            <w:pPr>
              <w:jc w:val="center"/>
              <w:rPr>
                <w:rFonts w:ascii="Calibri" w:eastAsia="Times New Roman" w:hAnsi="Calibri" w:cs="Calibri"/>
                <w:b/>
                <w:bCs/>
                <w:color w:val="000000"/>
                <w:sz w:val="20"/>
                <w:szCs w:val="20"/>
              </w:rPr>
            </w:pPr>
            <w:r w:rsidRPr="008658B2">
              <w:rPr>
                <w:rFonts w:ascii="Calibri" w:eastAsia="Times New Roman" w:hAnsi="Calibri" w:cs="Calibri"/>
                <w:b/>
                <w:bCs/>
                <w:color w:val="000000"/>
                <w:sz w:val="20"/>
                <w:szCs w:val="20"/>
              </w:rPr>
              <w:t xml:space="preserve">Brand name </w:t>
            </w:r>
          </w:p>
        </w:tc>
        <w:tc>
          <w:tcPr>
            <w:tcW w:w="2410" w:type="dxa"/>
            <w:shd w:val="clear" w:color="auto" w:fill="BFBFBF" w:themeFill="background1" w:themeFillShade="BF"/>
            <w:hideMark/>
          </w:tcPr>
          <w:p w14:paraId="24EDDD0B" w14:textId="77777777" w:rsidR="00681D83" w:rsidRPr="008658B2" w:rsidRDefault="00681D83" w:rsidP="00681D83">
            <w:pPr>
              <w:jc w:val="center"/>
              <w:rPr>
                <w:rFonts w:ascii="Calibri" w:eastAsia="Times New Roman" w:hAnsi="Calibri" w:cs="Calibri"/>
                <w:b/>
                <w:bCs/>
                <w:color w:val="000000"/>
                <w:sz w:val="20"/>
                <w:szCs w:val="20"/>
              </w:rPr>
            </w:pPr>
            <w:r w:rsidRPr="008658B2">
              <w:rPr>
                <w:rFonts w:ascii="Calibri" w:eastAsia="Times New Roman" w:hAnsi="Calibri" w:cs="Calibri"/>
                <w:b/>
                <w:bCs/>
                <w:color w:val="000000"/>
                <w:sz w:val="20"/>
                <w:szCs w:val="20"/>
              </w:rPr>
              <w:t>Indication</w:t>
            </w:r>
          </w:p>
        </w:tc>
      </w:tr>
      <w:tr w:rsidR="006268DA" w:rsidRPr="008658B2" w14:paraId="709C19C3" w14:textId="77777777" w:rsidTr="007065F6">
        <w:trPr>
          <w:trHeight w:val="816"/>
        </w:trPr>
        <w:tc>
          <w:tcPr>
            <w:tcW w:w="901" w:type="dxa"/>
            <w:noWrap/>
            <w:hideMark/>
          </w:tcPr>
          <w:p w14:paraId="0EB8EAA8" w14:textId="77777777" w:rsidR="00681D83"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8601Q</w:t>
            </w:r>
          </w:p>
        </w:tc>
        <w:tc>
          <w:tcPr>
            <w:tcW w:w="4481" w:type="dxa"/>
            <w:noWrap/>
            <w:hideMark/>
          </w:tcPr>
          <w:p w14:paraId="670EF65C" w14:textId="77777777" w:rsidR="00681D83"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40 mg enteric tablet, 30</w:t>
            </w:r>
          </w:p>
        </w:tc>
        <w:tc>
          <w:tcPr>
            <w:tcW w:w="1276" w:type="dxa"/>
            <w:noWrap/>
            <w:hideMark/>
          </w:tcPr>
          <w:p w14:paraId="440E24A1" w14:textId="77777777" w:rsidR="00681D83" w:rsidRPr="008658B2" w:rsidRDefault="00681D83" w:rsidP="008658B2">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6D9FFBF8" w14:textId="77777777" w:rsidR="00681D83" w:rsidRPr="008658B2" w:rsidRDefault="00681D83" w:rsidP="008658B2">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2D923DE0" w14:textId="4F76FC38" w:rsidR="00681D83" w:rsidRPr="008658B2" w:rsidRDefault="008658B2" w:rsidP="008658B2">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00681D83" w:rsidRPr="008658B2">
              <w:rPr>
                <w:rFonts w:ascii="Calibri" w:eastAsia="Times New Roman" w:hAnsi="Calibri" w:cs="Calibri"/>
                <w:color w:val="000000"/>
                <w:sz w:val="20"/>
                <w:szCs w:val="20"/>
              </w:rPr>
              <w:t>22.8</w:t>
            </w:r>
            <w:r>
              <w:rPr>
                <w:rFonts w:ascii="Calibri" w:eastAsia="Times New Roman" w:hAnsi="Calibri" w:cs="Calibri"/>
                <w:color w:val="000000"/>
                <w:sz w:val="20"/>
                <w:szCs w:val="20"/>
              </w:rPr>
              <w:t>0</w:t>
            </w:r>
          </w:p>
        </w:tc>
        <w:tc>
          <w:tcPr>
            <w:tcW w:w="2409" w:type="dxa"/>
            <w:hideMark/>
          </w:tcPr>
          <w:p w14:paraId="7E2D37D9"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APO-Esomeprazole </w:t>
            </w:r>
          </w:p>
          <w:p w14:paraId="39FDA5D3"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Apotex</w:t>
            </w:r>
            <w:proofErr w:type="spellEnd"/>
            <w:r w:rsidRPr="008658B2">
              <w:rPr>
                <w:rFonts w:ascii="Calibri" w:eastAsia="Times New Roman" w:hAnsi="Calibri" w:cs="Calibri"/>
                <w:color w:val="000000"/>
                <w:sz w:val="20"/>
                <w:szCs w:val="20"/>
              </w:rPr>
              <w:t xml:space="preserve"> </w:t>
            </w:r>
          </w:p>
          <w:p w14:paraId="63A4A66A"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GH </w:t>
            </w:r>
          </w:p>
          <w:p w14:paraId="36B4EB0A"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GxP</w:t>
            </w:r>
            <w:proofErr w:type="spellEnd"/>
            <w:r w:rsidRPr="008658B2">
              <w:rPr>
                <w:rFonts w:ascii="Calibri" w:eastAsia="Times New Roman" w:hAnsi="Calibri" w:cs="Calibri"/>
                <w:color w:val="000000"/>
                <w:sz w:val="20"/>
                <w:szCs w:val="20"/>
              </w:rPr>
              <w:t xml:space="preserve"> </w:t>
            </w:r>
          </w:p>
          <w:p w14:paraId="25DF823B"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Mylan </w:t>
            </w:r>
          </w:p>
          <w:p w14:paraId="5B7E5695"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RBX </w:t>
            </w:r>
          </w:p>
          <w:p w14:paraId="7243FE4E"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Sandoz </w:t>
            </w:r>
          </w:p>
          <w:p w14:paraId="7FAC2255"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SZ </w:t>
            </w:r>
          </w:p>
          <w:p w14:paraId="06E0CE73" w14:textId="77777777" w:rsidR="00334F40" w:rsidRPr="008658B2" w:rsidRDefault="00681D83" w:rsidP="00681D83">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Esopreze</w:t>
            </w:r>
            <w:proofErr w:type="spellEnd"/>
            <w:r w:rsidRPr="008658B2">
              <w:rPr>
                <w:rFonts w:ascii="Calibri" w:eastAsia="Times New Roman" w:hAnsi="Calibri" w:cs="Calibri"/>
                <w:color w:val="000000"/>
                <w:sz w:val="20"/>
                <w:szCs w:val="20"/>
              </w:rPr>
              <w:t xml:space="preserve"> </w:t>
            </w:r>
          </w:p>
          <w:p w14:paraId="5AE2E31D" w14:textId="77777777" w:rsidR="00334F40" w:rsidRPr="008658B2" w:rsidRDefault="00681D83" w:rsidP="00681D83">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Nexazole</w:t>
            </w:r>
            <w:proofErr w:type="spellEnd"/>
            <w:r w:rsidRPr="008658B2">
              <w:rPr>
                <w:rFonts w:ascii="Calibri" w:eastAsia="Times New Roman" w:hAnsi="Calibri" w:cs="Calibri"/>
                <w:color w:val="000000"/>
                <w:sz w:val="20"/>
                <w:szCs w:val="20"/>
              </w:rPr>
              <w:t xml:space="preserve"> </w:t>
            </w:r>
          </w:p>
          <w:p w14:paraId="42D69312" w14:textId="6104210E" w:rsidR="00334F40" w:rsidRPr="008658B2" w:rsidRDefault="00681D83" w:rsidP="00681D83">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Nexole</w:t>
            </w:r>
            <w:proofErr w:type="spellEnd"/>
            <w:r w:rsidRPr="008658B2">
              <w:rPr>
                <w:rFonts w:ascii="Calibri" w:eastAsia="Times New Roman" w:hAnsi="Calibri" w:cs="Calibri"/>
                <w:color w:val="000000"/>
                <w:sz w:val="20"/>
                <w:szCs w:val="20"/>
              </w:rPr>
              <w:t xml:space="preserve"> </w:t>
            </w:r>
          </w:p>
          <w:p w14:paraId="5E5C79B0" w14:textId="2057BD41" w:rsidR="00681D83"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NOUMED ESOMEPRAZOLE </w:t>
            </w:r>
          </w:p>
        </w:tc>
        <w:tc>
          <w:tcPr>
            <w:tcW w:w="2410" w:type="dxa"/>
            <w:noWrap/>
            <w:hideMark/>
          </w:tcPr>
          <w:p w14:paraId="1CB54170" w14:textId="7A562B21" w:rsidR="00681D83" w:rsidRPr="008658B2" w:rsidRDefault="006268DA"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6268DA" w:rsidRPr="008658B2" w14:paraId="041CB6AF" w14:textId="77777777" w:rsidTr="007065F6">
        <w:trPr>
          <w:trHeight w:val="204"/>
        </w:trPr>
        <w:tc>
          <w:tcPr>
            <w:tcW w:w="901" w:type="dxa"/>
            <w:noWrap/>
            <w:hideMark/>
          </w:tcPr>
          <w:p w14:paraId="2F9530E5" w14:textId="77777777" w:rsidR="00681D83"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10330Q</w:t>
            </w:r>
          </w:p>
        </w:tc>
        <w:tc>
          <w:tcPr>
            <w:tcW w:w="4481" w:type="dxa"/>
            <w:noWrap/>
            <w:hideMark/>
          </w:tcPr>
          <w:p w14:paraId="0981A021" w14:textId="77777777" w:rsidR="00681D83"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40 mg enteric capsule, 30</w:t>
            </w:r>
          </w:p>
        </w:tc>
        <w:tc>
          <w:tcPr>
            <w:tcW w:w="1276" w:type="dxa"/>
            <w:noWrap/>
            <w:hideMark/>
          </w:tcPr>
          <w:p w14:paraId="4CE8CAC9" w14:textId="77777777" w:rsidR="00681D83" w:rsidRPr="008658B2" w:rsidRDefault="00681D83" w:rsidP="008658B2">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19B84EB9" w14:textId="77777777" w:rsidR="00681D83" w:rsidRPr="008658B2" w:rsidRDefault="00681D83" w:rsidP="008658B2">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4EB0D08B" w14:textId="5AFE2D28" w:rsidR="00681D83" w:rsidRPr="008658B2" w:rsidRDefault="008658B2" w:rsidP="008658B2">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00681D83" w:rsidRPr="008658B2">
              <w:rPr>
                <w:rFonts w:ascii="Calibri" w:eastAsia="Times New Roman" w:hAnsi="Calibri" w:cs="Calibri"/>
                <w:color w:val="000000"/>
                <w:sz w:val="20"/>
                <w:szCs w:val="20"/>
              </w:rPr>
              <w:t>22.8</w:t>
            </w:r>
            <w:r>
              <w:rPr>
                <w:rFonts w:ascii="Calibri" w:eastAsia="Times New Roman" w:hAnsi="Calibri" w:cs="Calibri"/>
                <w:color w:val="000000"/>
                <w:sz w:val="20"/>
                <w:szCs w:val="20"/>
              </w:rPr>
              <w:t>0</w:t>
            </w:r>
          </w:p>
        </w:tc>
        <w:tc>
          <w:tcPr>
            <w:tcW w:w="2409" w:type="dxa"/>
            <w:noWrap/>
            <w:hideMark/>
          </w:tcPr>
          <w:p w14:paraId="703D4D51" w14:textId="5A00D989" w:rsidR="00681D83" w:rsidRPr="008658B2" w:rsidRDefault="00681D83" w:rsidP="00681D83">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Noxicid</w:t>
            </w:r>
            <w:proofErr w:type="spellEnd"/>
            <w:r w:rsidRPr="008658B2">
              <w:rPr>
                <w:rFonts w:ascii="Calibri" w:eastAsia="Times New Roman" w:hAnsi="Calibri" w:cs="Calibri"/>
                <w:color w:val="000000"/>
                <w:sz w:val="20"/>
                <w:szCs w:val="20"/>
              </w:rPr>
              <w:t xml:space="preserve"> Caps</w:t>
            </w:r>
          </w:p>
        </w:tc>
        <w:tc>
          <w:tcPr>
            <w:tcW w:w="2410" w:type="dxa"/>
            <w:noWrap/>
            <w:hideMark/>
          </w:tcPr>
          <w:p w14:paraId="7ACC210C" w14:textId="5B6D30A7" w:rsidR="00681D83" w:rsidRPr="008658B2" w:rsidRDefault="006268DA"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6268DA" w:rsidRPr="008658B2" w14:paraId="2AD1A781" w14:textId="77777777" w:rsidTr="007065F6">
        <w:trPr>
          <w:trHeight w:val="816"/>
        </w:trPr>
        <w:tc>
          <w:tcPr>
            <w:tcW w:w="901" w:type="dxa"/>
            <w:noWrap/>
            <w:hideMark/>
          </w:tcPr>
          <w:p w14:paraId="5C990BA6" w14:textId="77777777" w:rsidR="00681D83"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3401B</w:t>
            </w:r>
          </w:p>
        </w:tc>
        <w:tc>
          <w:tcPr>
            <w:tcW w:w="4481" w:type="dxa"/>
            <w:noWrap/>
            <w:hideMark/>
          </w:tcPr>
          <w:p w14:paraId="7660C25B" w14:textId="77777777" w:rsidR="00681D83"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40 mg enteric tablet, 30</w:t>
            </w:r>
          </w:p>
        </w:tc>
        <w:tc>
          <w:tcPr>
            <w:tcW w:w="1276" w:type="dxa"/>
            <w:noWrap/>
            <w:hideMark/>
          </w:tcPr>
          <w:p w14:paraId="790D2234" w14:textId="77777777" w:rsidR="00681D83" w:rsidRPr="008658B2" w:rsidRDefault="00681D83" w:rsidP="008658B2">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07E61C8E" w14:textId="77777777" w:rsidR="00681D83" w:rsidRPr="008658B2" w:rsidRDefault="00681D83" w:rsidP="008658B2">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21E22A36" w14:textId="6AFB8218" w:rsidR="00681D83" w:rsidRPr="008658B2" w:rsidRDefault="008658B2" w:rsidP="008658B2">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00681D83" w:rsidRPr="008658B2">
              <w:rPr>
                <w:rFonts w:ascii="Calibri" w:eastAsia="Times New Roman" w:hAnsi="Calibri" w:cs="Calibri"/>
                <w:color w:val="000000"/>
                <w:sz w:val="20"/>
                <w:szCs w:val="20"/>
              </w:rPr>
              <w:t>22.8</w:t>
            </w:r>
            <w:r>
              <w:rPr>
                <w:rFonts w:ascii="Calibri" w:eastAsia="Times New Roman" w:hAnsi="Calibri" w:cs="Calibri"/>
                <w:color w:val="000000"/>
                <w:sz w:val="20"/>
                <w:szCs w:val="20"/>
              </w:rPr>
              <w:t>0</w:t>
            </w:r>
          </w:p>
        </w:tc>
        <w:tc>
          <w:tcPr>
            <w:tcW w:w="2409" w:type="dxa"/>
            <w:hideMark/>
          </w:tcPr>
          <w:p w14:paraId="0F170D44"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APO-Esomeprazole </w:t>
            </w:r>
          </w:p>
          <w:p w14:paraId="02171086"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Apotex</w:t>
            </w:r>
            <w:proofErr w:type="spellEnd"/>
            <w:r w:rsidRPr="008658B2">
              <w:rPr>
                <w:rFonts w:ascii="Calibri" w:eastAsia="Times New Roman" w:hAnsi="Calibri" w:cs="Calibri"/>
                <w:color w:val="000000"/>
                <w:sz w:val="20"/>
                <w:szCs w:val="20"/>
              </w:rPr>
              <w:t xml:space="preserve"> </w:t>
            </w:r>
          </w:p>
          <w:p w14:paraId="4E26F412" w14:textId="2772C40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GH </w:t>
            </w:r>
          </w:p>
          <w:p w14:paraId="5BC44C66" w14:textId="2D86CCFD"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GxP</w:t>
            </w:r>
            <w:proofErr w:type="spellEnd"/>
            <w:r w:rsidRPr="008658B2">
              <w:rPr>
                <w:rFonts w:ascii="Calibri" w:eastAsia="Times New Roman" w:hAnsi="Calibri" w:cs="Calibri"/>
                <w:color w:val="000000"/>
                <w:sz w:val="20"/>
                <w:szCs w:val="20"/>
              </w:rPr>
              <w:t xml:space="preserve"> </w:t>
            </w:r>
          </w:p>
          <w:p w14:paraId="5DF35A6D"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Mylan </w:t>
            </w:r>
          </w:p>
          <w:p w14:paraId="7FC66684"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
          <w:p w14:paraId="463200AF"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Sandoz </w:t>
            </w:r>
          </w:p>
          <w:p w14:paraId="05648041" w14:textId="77777777" w:rsidR="00334F40"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SZ </w:t>
            </w:r>
          </w:p>
          <w:p w14:paraId="65356595" w14:textId="77777777" w:rsidR="00334F40" w:rsidRPr="008658B2" w:rsidRDefault="00681D83" w:rsidP="00681D83">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Esopreze</w:t>
            </w:r>
            <w:proofErr w:type="spellEnd"/>
            <w:r w:rsidRPr="008658B2">
              <w:rPr>
                <w:rFonts w:ascii="Calibri" w:eastAsia="Times New Roman" w:hAnsi="Calibri" w:cs="Calibri"/>
                <w:color w:val="000000"/>
                <w:sz w:val="20"/>
                <w:szCs w:val="20"/>
              </w:rPr>
              <w:t xml:space="preserve"> </w:t>
            </w:r>
          </w:p>
          <w:p w14:paraId="6A1B05D5" w14:textId="77777777" w:rsidR="00334F40" w:rsidRPr="008658B2" w:rsidRDefault="00681D83" w:rsidP="00681D83">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Nexazole</w:t>
            </w:r>
            <w:proofErr w:type="spellEnd"/>
            <w:r w:rsidRPr="008658B2">
              <w:rPr>
                <w:rFonts w:ascii="Calibri" w:eastAsia="Times New Roman" w:hAnsi="Calibri" w:cs="Calibri"/>
                <w:color w:val="000000"/>
                <w:sz w:val="20"/>
                <w:szCs w:val="20"/>
              </w:rPr>
              <w:t xml:space="preserve"> </w:t>
            </w:r>
          </w:p>
          <w:p w14:paraId="0E0482FC" w14:textId="77777777" w:rsidR="00334F40" w:rsidRPr="008658B2" w:rsidRDefault="00681D83" w:rsidP="00681D83">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Nexole</w:t>
            </w:r>
            <w:proofErr w:type="spellEnd"/>
            <w:r w:rsidRPr="008658B2">
              <w:rPr>
                <w:rFonts w:ascii="Calibri" w:eastAsia="Times New Roman" w:hAnsi="Calibri" w:cs="Calibri"/>
                <w:color w:val="000000"/>
                <w:sz w:val="20"/>
                <w:szCs w:val="20"/>
              </w:rPr>
              <w:t xml:space="preserve"> </w:t>
            </w:r>
          </w:p>
          <w:p w14:paraId="7C7A1D0D" w14:textId="06E06661" w:rsidR="00681D83"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NOUMED ESOMEPRAZOLE </w:t>
            </w:r>
          </w:p>
        </w:tc>
        <w:tc>
          <w:tcPr>
            <w:tcW w:w="2410" w:type="dxa"/>
            <w:hideMark/>
          </w:tcPr>
          <w:p w14:paraId="73B967D7" w14:textId="77777777" w:rsidR="00681D83" w:rsidRPr="008658B2" w:rsidRDefault="00681D83" w:rsidP="00681D83">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Pathological hypersecretory conditions including Zollinger-Ellison syndrome and idiopathic hypersecretion, Scleroderma oesophagus</w:t>
            </w:r>
          </w:p>
        </w:tc>
      </w:tr>
    </w:tbl>
    <w:p w14:paraId="202A4084" w14:textId="77777777" w:rsidR="007065F6" w:rsidRDefault="007065F6"/>
    <w:tbl>
      <w:tblPr>
        <w:tblStyle w:val="TableGrid"/>
        <w:tblW w:w="13183" w:type="dxa"/>
        <w:tblLook w:val="04A0" w:firstRow="1" w:lastRow="0" w:firstColumn="1" w:lastColumn="0" w:noHBand="0" w:noVBand="1"/>
      </w:tblPr>
      <w:tblGrid>
        <w:gridCol w:w="901"/>
        <w:gridCol w:w="4481"/>
        <w:gridCol w:w="1276"/>
        <w:gridCol w:w="713"/>
        <w:gridCol w:w="993"/>
        <w:gridCol w:w="2409"/>
        <w:gridCol w:w="2410"/>
      </w:tblGrid>
      <w:tr w:rsidR="007065F6" w:rsidRPr="008658B2" w14:paraId="10A296D1" w14:textId="77777777" w:rsidTr="007065F6">
        <w:trPr>
          <w:trHeight w:val="280"/>
        </w:trPr>
        <w:tc>
          <w:tcPr>
            <w:tcW w:w="901" w:type="dxa"/>
            <w:shd w:val="clear" w:color="auto" w:fill="BFBFBF" w:themeFill="background1" w:themeFillShade="BF"/>
            <w:noWrap/>
          </w:tcPr>
          <w:p w14:paraId="3223D459" w14:textId="3BC8DE31"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lastRenderedPageBreak/>
              <w:t>Item</w:t>
            </w:r>
          </w:p>
        </w:tc>
        <w:tc>
          <w:tcPr>
            <w:tcW w:w="4481" w:type="dxa"/>
            <w:shd w:val="clear" w:color="auto" w:fill="BFBFBF" w:themeFill="background1" w:themeFillShade="BF"/>
            <w:noWrap/>
          </w:tcPr>
          <w:p w14:paraId="23962F74" w14:textId="2719F9D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Name, form &amp; strength, pack size</w:t>
            </w:r>
          </w:p>
        </w:tc>
        <w:tc>
          <w:tcPr>
            <w:tcW w:w="1276" w:type="dxa"/>
            <w:shd w:val="clear" w:color="auto" w:fill="BFBFBF" w:themeFill="background1" w:themeFillShade="BF"/>
            <w:noWrap/>
          </w:tcPr>
          <w:p w14:paraId="53A735CE" w14:textId="2A927C02"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Max. quant.</w:t>
            </w:r>
          </w:p>
        </w:tc>
        <w:tc>
          <w:tcPr>
            <w:tcW w:w="713" w:type="dxa"/>
            <w:shd w:val="clear" w:color="auto" w:fill="BFBFBF" w:themeFill="background1" w:themeFillShade="BF"/>
            <w:noWrap/>
          </w:tcPr>
          <w:p w14:paraId="50C7F04F" w14:textId="50AC1677" w:rsidR="007065F6" w:rsidRPr="008658B2" w:rsidRDefault="007065F6" w:rsidP="007065F6">
            <w:pPr>
              <w:jc w:val="center"/>
              <w:rPr>
                <w:rFonts w:ascii="Calibri" w:eastAsia="Times New Roman" w:hAnsi="Calibri" w:cs="Calibri"/>
                <w:color w:val="000000"/>
                <w:sz w:val="20"/>
                <w:szCs w:val="20"/>
              </w:rPr>
            </w:pPr>
            <w:proofErr w:type="spellStart"/>
            <w:r w:rsidRPr="008658B2">
              <w:rPr>
                <w:rFonts w:ascii="Calibri" w:eastAsia="Times New Roman" w:hAnsi="Calibri" w:cs="Calibri"/>
                <w:b/>
                <w:bCs/>
                <w:color w:val="000000"/>
                <w:sz w:val="20"/>
                <w:szCs w:val="20"/>
              </w:rPr>
              <w:t>Rpts</w:t>
            </w:r>
            <w:proofErr w:type="spellEnd"/>
          </w:p>
        </w:tc>
        <w:tc>
          <w:tcPr>
            <w:tcW w:w="993" w:type="dxa"/>
            <w:shd w:val="clear" w:color="auto" w:fill="BFBFBF" w:themeFill="background1" w:themeFillShade="BF"/>
            <w:noWrap/>
          </w:tcPr>
          <w:p w14:paraId="215AE3B0" w14:textId="74E6C6D8" w:rsidR="007065F6"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DPMQ</w:t>
            </w:r>
          </w:p>
        </w:tc>
        <w:tc>
          <w:tcPr>
            <w:tcW w:w="2409" w:type="dxa"/>
            <w:shd w:val="clear" w:color="auto" w:fill="BFBFBF" w:themeFill="background1" w:themeFillShade="BF"/>
            <w:noWrap/>
          </w:tcPr>
          <w:p w14:paraId="36DD9A60" w14:textId="424C3272"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Brand name</w:t>
            </w:r>
          </w:p>
        </w:tc>
        <w:tc>
          <w:tcPr>
            <w:tcW w:w="2410" w:type="dxa"/>
            <w:shd w:val="clear" w:color="auto" w:fill="BFBFBF" w:themeFill="background1" w:themeFillShade="BF"/>
          </w:tcPr>
          <w:p w14:paraId="6E781AA1" w14:textId="15C5048C"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Indication</w:t>
            </w:r>
          </w:p>
        </w:tc>
      </w:tr>
      <w:tr w:rsidR="007065F6" w:rsidRPr="008658B2" w14:paraId="348612B6" w14:textId="77777777" w:rsidTr="007065F6">
        <w:trPr>
          <w:trHeight w:val="408"/>
        </w:trPr>
        <w:tc>
          <w:tcPr>
            <w:tcW w:w="901" w:type="dxa"/>
            <w:noWrap/>
            <w:hideMark/>
          </w:tcPr>
          <w:p w14:paraId="4813D834"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10331R</w:t>
            </w:r>
          </w:p>
        </w:tc>
        <w:tc>
          <w:tcPr>
            <w:tcW w:w="4481" w:type="dxa"/>
            <w:noWrap/>
            <w:hideMark/>
          </w:tcPr>
          <w:p w14:paraId="3C5A22A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40 mg enteric capsule, 30</w:t>
            </w:r>
          </w:p>
        </w:tc>
        <w:tc>
          <w:tcPr>
            <w:tcW w:w="1276" w:type="dxa"/>
            <w:noWrap/>
            <w:hideMark/>
          </w:tcPr>
          <w:p w14:paraId="68F01963"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5E0AD80F"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610FA345" w14:textId="0E5531DF"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22.8</w:t>
            </w:r>
            <w:r>
              <w:rPr>
                <w:rFonts w:ascii="Calibri" w:eastAsia="Times New Roman" w:hAnsi="Calibri" w:cs="Calibri"/>
                <w:color w:val="000000"/>
                <w:sz w:val="20"/>
                <w:szCs w:val="20"/>
              </w:rPr>
              <w:t>0</w:t>
            </w:r>
          </w:p>
        </w:tc>
        <w:tc>
          <w:tcPr>
            <w:tcW w:w="2409" w:type="dxa"/>
            <w:noWrap/>
            <w:hideMark/>
          </w:tcPr>
          <w:p w14:paraId="2FF77685" w14:textId="792C6195"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Noxicid</w:t>
            </w:r>
            <w:proofErr w:type="spellEnd"/>
            <w:r w:rsidRPr="008658B2">
              <w:rPr>
                <w:rFonts w:ascii="Calibri" w:eastAsia="Times New Roman" w:hAnsi="Calibri" w:cs="Calibri"/>
                <w:color w:val="000000"/>
                <w:sz w:val="20"/>
                <w:szCs w:val="20"/>
              </w:rPr>
              <w:t xml:space="preserve"> Caps</w:t>
            </w:r>
          </w:p>
        </w:tc>
        <w:tc>
          <w:tcPr>
            <w:tcW w:w="2410" w:type="dxa"/>
            <w:hideMark/>
          </w:tcPr>
          <w:p w14:paraId="438A87B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Pathological hypersecretory conditions including Zollinger-Ellison syndrome and idiopathic hypersecretion, Scleroderma oesophagus</w:t>
            </w:r>
          </w:p>
        </w:tc>
      </w:tr>
      <w:tr w:rsidR="007065F6" w:rsidRPr="008658B2" w14:paraId="34E436F4" w14:textId="77777777" w:rsidTr="007065F6">
        <w:trPr>
          <w:trHeight w:val="204"/>
        </w:trPr>
        <w:tc>
          <w:tcPr>
            <w:tcW w:w="901" w:type="dxa"/>
            <w:noWrap/>
            <w:hideMark/>
          </w:tcPr>
          <w:p w14:paraId="16889AAC" w14:textId="78A2EE75"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10343J </w:t>
            </w:r>
          </w:p>
        </w:tc>
        <w:tc>
          <w:tcPr>
            <w:tcW w:w="4481" w:type="dxa"/>
            <w:noWrap/>
            <w:hideMark/>
          </w:tcPr>
          <w:p w14:paraId="11A2881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20 mg enteric capsule, 30</w:t>
            </w:r>
          </w:p>
        </w:tc>
        <w:tc>
          <w:tcPr>
            <w:tcW w:w="1276" w:type="dxa"/>
            <w:noWrap/>
            <w:hideMark/>
          </w:tcPr>
          <w:p w14:paraId="234A7D8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7BBF0C05"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6B3D0371" w14:textId="7566EBB6"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18.39</w:t>
            </w:r>
          </w:p>
        </w:tc>
        <w:tc>
          <w:tcPr>
            <w:tcW w:w="2409" w:type="dxa"/>
            <w:noWrap/>
            <w:hideMark/>
          </w:tcPr>
          <w:p w14:paraId="1EB9E7FC" w14:textId="3CFF7B20"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Noxicid</w:t>
            </w:r>
            <w:proofErr w:type="spellEnd"/>
            <w:r w:rsidRPr="008658B2">
              <w:rPr>
                <w:rFonts w:ascii="Calibri" w:eastAsia="Times New Roman" w:hAnsi="Calibri" w:cs="Calibri"/>
                <w:color w:val="000000"/>
                <w:sz w:val="20"/>
                <w:szCs w:val="20"/>
              </w:rPr>
              <w:t xml:space="preserve"> Caps</w:t>
            </w:r>
          </w:p>
        </w:tc>
        <w:tc>
          <w:tcPr>
            <w:tcW w:w="2410" w:type="dxa"/>
            <w:noWrap/>
            <w:hideMark/>
          </w:tcPr>
          <w:p w14:paraId="5D05719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Scleroderma oesophagus</w:t>
            </w:r>
          </w:p>
        </w:tc>
      </w:tr>
      <w:tr w:rsidR="007065F6" w:rsidRPr="008658B2" w14:paraId="05E384E6" w14:textId="77777777" w:rsidTr="007065F6">
        <w:trPr>
          <w:trHeight w:val="612"/>
        </w:trPr>
        <w:tc>
          <w:tcPr>
            <w:tcW w:w="901" w:type="dxa"/>
            <w:noWrap/>
            <w:hideMark/>
          </w:tcPr>
          <w:p w14:paraId="321CFAD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8600P</w:t>
            </w:r>
          </w:p>
        </w:tc>
        <w:tc>
          <w:tcPr>
            <w:tcW w:w="4481" w:type="dxa"/>
            <w:noWrap/>
            <w:hideMark/>
          </w:tcPr>
          <w:p w14:paraId="1CCFFFE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20 mg enteric tablet, 30</w:t>
            </w:r>
          </w:p>
        </w:tc>
        <w:tc>
          <w:tcPr>
            <w:tcW w:w="1276" w:type="dxa"/>
            <w:noWrap/>
            <w:hideMark/>
          </w:tcPr>
          <w:p w14:paraId="7298BC58"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687E7919"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56F89B1B" w14:textId="086D8BB3"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18.39</w:t>
            </w:r>
          </w:p>
        </w:tc>
        <w:tc>
          <w:tcPr>
            <w:tcW w:w="2409" w:type="dxa"/>
            <w:hideMark/>
          </w:tcPr>
          <w:p w14:paraId="0EEA01C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APO-Esomeprazole </w:t>
            </w:r>
          </w:p>
          <w:p w14:paraId="19D5593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Apotex</w:t>
            </w:r>
            <w:proofErr w:type="spellEnd"/>
            <w:r w:rsidRPr="008658B2">
              <w:rPr>
                <w:rFonts w:ascii="Calibri" w:eastAsia="Times New Roman" w:hAnsi="Calibri" w:cs="Calibri"/>
                <w:color w:val="000000"/>
                <w:sz w:val="20"/>
                <w:szCs w:val="20"/>
              </w:rPr>
              <w:t xml:space="preserve"> </w:t>
            </w:r>
          </w:p>
          <w:p w14:paraId="08B1497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GH </w:t>
            </w:r>
          </w:p>
          <w:p w14:paraId="09A734CA"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GxP</w:t>
            </w:r>
            <w:proofErr w:type="spellEnd"/>
            <w:r w:rsidRPr="008658B2">
              <w:rPr>
                <w:rFonts w:ascii="Calibri" w:eastAsia="Times New Roman" w:hAnsi="Calibri" w:cs="Calibri"/>
                <w:color w:val="000000"/>
                <w:sz w:val="20"/>
                <w:szCs w:val="20"/>
              </w:rPr>
              <w:t xml:space="preserve"> </w:t>
            </w:r>
          </w:p>
          <w:p w14:paraId="2C530EF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Mylan </w:t>
            </w:r>
          </w:p>
          <w:p w14:paraId="00FE4EF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RBX </w:t>
            </w:r>
          </w:p>
          <w:p w14:paraId="2A90FF6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Sandoz</w:t>
            </w:r>
          </w:p>
          <w:p w14:paraId="2EA915F6" w14:textId="27BC5D8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SZ </w:t>
            </w:r>
          </w:p>
          <w:p w14:paraId="48516E8A"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Esopreze</w:t>
            </w:r>
            <w:proofErr w:type="spellEnd"/>
            <w:r w:rsidRPr="008658B2">
              <w:rPr>
                <w:rFonts w:ascii="Calibri" w:eastAsia="Times New Roman" w:hAnsi="Calibri" w:cs="Calibri"/>
                <w:color w:val="000000"/>
                <w:sz w:val="20"/>
                <w:szCs w:val="20"/>
              </w:rPr>
              <w:t xml:space="preserve"> </w:t>
            </w:r>
          </w:p>
          <w:p w14:paraId="15516098" w14:textId="6DF352D3"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Nexazole</w:t>
            </w:r>
            <w:proofErr w:type="spellEnd"/>
            <w:r w:rsidRPr="008658B2">
              <w:rPr>
                <w:rFonts w:ascii="Calibri" w:eastAsia="Times New Roman" w:hAnsi="Calibri" w:cs="Calibri"/>
                <w:color w:val="000000"/>
                <w:sz w:val="20"/>
                <w:szCs w:val="20"/>
              </w:rPr>
              <w:t xml:space="preserve"> </w:t>
            </w:r>
          </w:p>
          <w:p w14:paraId="630D0C2A"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Nexole</w:t>
            </w:r>
            <w:proofErr w:type="spellEnd"/>
            <w:r w:rsidRPr="008658B2">
              <w:rPr>
                <w:rFonts w:ascii="Calibri" w:eastAsia="Times New Roman" w:hAnsi="Calibri" w:cs="Calibri"/>
                <w:color w:val="000000"/>
                <w:sz w:val="20"/>
                <w:szCs w:val="20"/>
              </w:rPr>
              <w:t xml:space="preserve"> </w:t>
            </w:r>
          </w:p>
          <w:p w14:paraId="1A6351A6" w14:textId="59350BA8"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NOUMED ESOMEPRAZOLE</w:t>
            </w:r>
          </w:p>
        </w:tc>
        <w:tc>
          <w:tcPr>
            <w:tcW w:w="2410" w:type="dxa"/>
            <w:noWrap/>
            <w:hideMark/>
          </w:tcPr>
          <w:p w14:paraId="6F4003E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Scleroderma oesophagus</w:t>
            </w:r>
          </w:p>
        </w:tc>
      </w:tr>
      <w:tr w:rsidR="007065F6" w:rsidRPr="008658B2" w14:paraId="097D194E" w14:textId="77777777" w:rsidTr="007065F6">
        <w:trPr>
          <w:trHeight w:val="204"/>
        </w:trPr>
        <w:tc>
          <w:tcPr>
            <w:tcW w:w="901" w:type="dxa"/>
            <w:noWrap/>
            <w:hideMark/>
          </w:tcPr>
          <w:p w14:paraId="046E315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11687D</w:t>
            </w:r>
          </w:p>
        </w:tc>
        <w:tc>
          <w:tcPr>
            <w:tcW w:w="4481" w:type="dxa"/>
            <w:noWrap/>
            <w:hideMark/>
          </w:tcPr>
          <w:p w14:paraId="1266A80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20 mg enteric capsule, 30</w:t>
            </w:r>
          </w:p>
        </w:tc>
        <w:tc>
          <w:tcPr>
            <w:tcW w:w="1276" w:type="dxa"/>
            <w:noWrap/>
            <w:hideMark/>
          </w:tcPr>
          <w:p w14:paraId="0748BF7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0CE6883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03052245" w14:textId="4A62CABF"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18.39</w:t>
            </w:r>
          </w:p>
        </w:tc>
        <w:tc>
          <w:tcPr>
            <w:tcW w:w="2409" w:type="dxa"/>
            <w:noWrap/>
            <w:hideMark/>
          </w:tcPr>
          <w:p w14:paraId="77005494" w14:textId="6603E6E6"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Noxicid</w:t>
            </w:r>
            <w:proofErr w:type="spellEnd"/>
            <w:r w:rsidRPr="008658B2">
              <w:rPr>
                <w:rFonts w:ascii="Calibri" w:eastAsia="Times New Roman" w:hAnsi="Calibri" w:cs="Calibri"/>
                <w:color w:val="000000"/>
                <w:sz w:val="20"/>
                <w:szCs w:val="20"/>
              </w:rPr>
              <w:t xml:space="preserve"> Caps </w:t>
            </w:r>
          </w:p>
        </w:tc>
        <w:tc>
          <w:tcPr>
            <w:tcW w:w="2410" w:type="dxa"/>
            <w:noWrap/>
            <w:hideMark/>
          </w:tcPr>
          <w:p w14:paraId="62B9B5B7" w14:textId="4D3072AE"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7065F6" w:rsidRPr="008658B2" w14:paraId="3472FE79" w14:textId="77777777" w:rsidTr="007065F6">
        <w:trPr>
          <w:trHeight w:val="612"/>
        </w:trPr>
        <w:tc>
          <w:tcPr>
            <w:tcW w:w="901" w:type="dxa"/>
            <w:noWrap/>
            <w:hideMark/>
          </w:tcPr>
          <w:p w14:paraId="1F40876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11692J</w:t>
            </w:r>
          </w:p>
        </w:tc>
        <w:tc>
          <w:tcPr>
            <w:tcW w:w="4481" w:type="dxa"/>
            <w:noWrap/>
            <w:hideMark/>
          </w:tcPr>
          <w:p w14:paraId="09981C0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20 mg enteric tablet, 30</w:t>
            </w:r>
          </w:p>
        </w:tc>
        <w:tc>
          <w:tcPr>
            <w:tcW w:w="1276" w:type="dxa"/>
            <w:noWrap/>
            <w:hideMark/>
          </w:tcPr>
          <w:p w14:paraId="2B77A0DE"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27632F34"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2316AD77" w14:textId="4B08DCA6"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18.39</w:t>
            </w:r>
          </w:p>
        </w:tc>
        <w:tc>
          <w:tcPr>
            <w:tcW w:w="2409" w:type="dxa"/>
            <w:hideMark/>
          </w:tcPr>
          <w:p w14:paraId="1CC6121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APO-Esomeprazole</w:t>
            </w:r>
          </w:p>
          <w:p w14:paraId="18A91CC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Apotex</w:t>
            </w:r>
            <w:proofErr w:type="spellEnd"/>
          </w:p>
          <w:p w14:paraId="1127AD7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GH </w:t>
            </w:r>
          </w:p>
          <w:p w14:paraId="3318D0C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GxP</w:t>
            </w:r>
            <w:proofErr w:type="spellEnd"/>
            <w:r w:rsidRPr="008658B2">
              <w:rPr>
                <w:rFonts w:ascii="Calibri" w:eastAsia="Times New Roman" w:hAnsi="Calibri" w:cs="Calibri"/>
                <w:color w:val="000000"/>
                <w:sz w:val="20"/>
                <w:szCs w:val="20"/>
              </w:rPr>
              <w:t xml:space="preserve"> </w:t>
            </w:r>
          </w:p>
          <w:p w14:paraId="31E7CC1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Mylan </w:t>
            </w:r>
          </w:p>
          <w:p w14:paraId="7FB0C95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RBX </w:t>
            </w:r>
          </w:p>
          <w:p w14:paraId="76F1FE7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Sandoz </w:t>
            </w:r>
          </w:p>
          <w:p w14:paraId="368757B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SZ</w:t>
            </w:r>
          </w:p>
          <w:p w14:paraId="7309061D" w14:textId="3C3C8E4E"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Esopreze</w:t>
            </w:r>
            <w:proofErr w:type="spellEnd"/>
            <w:r w:rsidRPr="008658B2">
              <w:rPr>
                <w:rFonts w:ascii="Calibri" w:eastAsia="Times New Roman" w:hAnsi="Calibri" w:cs="Calibri"/>
                <w:color w:val="000000"/>
                <w:sz w:val="20"/>
                <w:szCs w:val="20"/>
              </w:rPr>
              <w:t xml:space="preserve"> </w:t>
            </w:r>
          </w:p>
          <w:p w14:paraId="3EA8F483"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Nexazole</w:t>
            </w:r>
            <w:proofErr w:type="spellEnd"/>
          </w:p>
          <w:p w14:paraId="383C18B7"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Nexole</w:t>
            </w:r>
            <w:proofErr w:type="spellEnd"/>
          </w:p>
          <w:p w14:paraId="38098453" w14:textId="748CE404"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NOUMED ESOMEPRAZOLE</w:t>
            </w:r>
          </w:p>
        </w:tc>
        <w:tc>
          <w:tcPr>
            <w:tcW w:w="2410" w:type="dxa"/>
            <w:noWrap/>
            <w:hideMark/>
          </w:tcPr>
          <w:p w14:paraId="602632AD" w14:textId="2F771E29"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7065F6" w:rsidRPr="008658B2" w14:paraId="655DCDE9" w14:textId="77777777" w:rsidTr="007065F6">
        <w:trPr>
          <w:trHeight w:val="204"/>
        </w:trPr>
        <w:tc>
          <w:tcPr>
            <w:tcW w:w="901" w:type="dxa"/>
            <w:noWrap/>
            <w:hideMark/>
          </w:tcPr>
          <w:p w14:paraId="3A9949D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10295W</w:t>
            </w:r>
          </w:p>
        </w:tc>
        <w:tc>
          <w:tcPr>
            <w:tcW w:w="4481" w:type="dxa"/>
            <w:noWrap/>
            <w:hideMark/>
          </w:tcPr>
          <w:p w14:paraId="25B192F2"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20 mg enteric capsule, 30</w:t>
            </w:r>
          </w:p>
        </w:tc>
        <w:tc>
          <w:tcPr>
            <w:tcW w:w="1276" w:type="dxa"/>
            <w:noWrap/>
            <w:hideMark/>
          </w:tcPr>
          <w:p w14:paraId="285F1459"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629C6A47"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25A61EBB" w14:textId="2E05AF49"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18.39</w:t>
            </w:r>
          </w:p>
        </w:tc>
        <w:tc>
          <w:tcPr>
            <w:tcW w:w="2409" w:type="dxa"/>
            <w:noWrap/>
            <w:hideMark/>
          </w:tcPr>
          <w:p w14:paraId="70F5A5DA"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Noxicid</w:t>
            </w:r>
            <w:proofErr w:type="spellEnd"/>
            <w:r w:rsidRPr="008658B2">
              <w:rPr>
                <w:rFonts w:ascii="Calibri" w:eastAsia="Times New Roman" w:hAnsi="Calibri" w:cs="Calibri"/>
                <w:color w:val="000000"/>
                <w:sz w:val="20"/>
                <w:szCs w:val="20"/>
              </w:rPr>
              <w:t xml:space="preserve"> Caps</w:t>
            </w:r>
          </w:p>
        </w:tc>
        <w:tc>
          <w:tcPr>
            <w:tcW w:w="2410" w:type="dxa"/>
            <w:noWrap/>
            <w:hideMark/>
          </w:tcPr>
          <w:p w14:paraId="1AE885B2" w14:textId="56E09AF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Peptic ulcer, GORD</w:t>
            </w:r>
          </w:p>
        </w:tc>
      </w:tr>
      <w:tr w:rsidR="007065F6" w:rsidRPr="008658B2" w14:paraId="0B768CF9" w14:textId="77777777" w:rsidTr="007065F6">
        <w:trPr>
          <w:trHeight w:val="73"/>
        </w:trPr>
        <w:tc>
          <w:tcPr>
            <w:tcW w:w="901" w:type="dxa"/>
            <w:shd w:val="clear" w:color="auto" w:fill="BFBFBF" w:themeFill="background1" w:themeFillShade="BF"/>
            <w:noWrap/>
          </w:tcPr>
          <w:p w14:paraId="6B4A7B22" w14:textId="706530A6"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lastRenderedPageBreak/>
              <w:t>Item</w:t>
            </w:r>
          </w:p>
        </w:tc>
        <w:tc>
          <w:tcPr>
            <w:tcW w:w="4481" w:type="dxa"/>
            <w:shd w:val="clear" w:color="auto" w:fill="BFBFBF" w:themeFill="background1" w:themeFillShade="BF"/>
            <w:noWrap/>
          </w:tcPr>
          <w:p w14:paraId="2362C529" w14:textId="75084112"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Name, form &amp; strength, pack size</w:t>
            </w:r>
          </w:p>
        </w:tc>
        <w:tc>
          <w:tcPr>
            <w:tcW w:w="1276" w:type="dxa"/>
            <w:shd w:val="clear" w:color="auto" w:fill="BFBFBF" w:themeFill="background1" w:themeFillShade="BF"/>
            <w:noWrap/>
          </w:tcPr>
          <w:p w14:paraId="1F326879" w14:textId="58B5379D"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Max. quant.</w:t>
            </w:r>
          </w:p>
        </w:tc>
        <w:tc>
          <w:tcPr>
            <w:tcW w:w="713" w:type="dxa"/>
            <w:shd w:val="clear" w:color="auto" w:fill="BFBFBF" w:themeFill="background1" w:themeFillShade="BF"/>
            <w:noWrap/>
          </w:tcPr>
          <w:p w14:paraId="6BDEB4BC" w14:textId="3B23676A" w:rsidR="007065F6" w:rsidRPr="008658B2" w:rsidRDefault="007065F6" w:rsidP="007065F6">
            <w:pPr>
              <w:jc w:val="center"/>
              <w:rPr>
                <w:rFonts w:ascii="Calibri" w:eastAsia="Times New Roman" w:hAnsi="Calibri" w:cs="Calibri"/>
                <w:color w:val="000000"/>
                <w:sz w:val="20"/>
                <w:szCs w:val="20"/>
              </w:rPr>
            </w:pPr>
            <w:proofErr w:type="spellStart"/>
            <w:r w:rsidRPr="008658B2">
              <w:rPr>
                <w:rFonts w:ascii="Calibri" w:eastAsia="Times New Roman" w:hAnsi="Calibri" w:cs="Calibri"/>
                <w:b/>
                <w:bCs/>
                <w:color w:val="000000"/>
                <w:sz w:val="20"/>
                <w:szCs w:val="20"/>
              </w:rPr>
              <w:t>Rpts</w:t>
            </w:r>
            <w:proofErr w:type="spellEnd"/>
          </w:p>
        </w:tc>
        <w:tc>
          <w:tcPr>
            <w:tcW w:w="993" w:type="dxa"/>
            <w:shd w:val="clear" w:color="auto" w:fill="BFBFBF" w:themeFill="background1" w:themeFillShade="BF"/>
            <w:noWrap/>
          </w:tcPr>
          <w:p w14:paraId="59C874C6" w14:textId="58431E21" w:rsidR="007065F6"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DPMQ</w:t>
            </w:r>
          </w:p>
        </w:tc>
        <w:tc>
          <w:tcPr>
            <w:tcW w:w="2409" w:type="dxa"/>
            <w:shd w:val="clear" w:color="auto" w:fill="BFBFBF" w:themeFill="background1" w:themeFillShade="BF"/>
          </w:tcPr>
          <w:p w14:paraId="7A34C018" w14:textId="0D19D678"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Brand name</w:t>
            </w:r>
          </w:p>
        </w:tc>
        <w:tc>
          <w:tcPr>
            <w:tcW w:w="2410" w:type="dxa"/>
            <w:shd w:val="clear" w:color="auto" w:fill="BFBFBF" w:themeFill="background1" w:themeFillShade="BF"/>
            <w:noWrap/>
          </w:tcPr>
          <w:p w14:paraId="54BA55B3" w14:textId="532D4633"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Indication</w:t>
            </w:r>
          </w:p>
        </w:tc>
      </w:tr>
      <w:tr w:rsidR="007065F6" w:rsidRPr="008658B2" w14:paraId="384A3E6F" w14:textId="77777777" w:rsidTr="007065F6">
        <w:trPr>
          <w:trHeight w:val="612"/>
        </w:trPr>
        <w:tc>
          <w:tcPr>
            <w:tcW w:w="901" w:type="dxa"/>
            <w:noWrap/>
            <w:hideMark/>
          </w:tcPr>
          <w:p w14:paraId="5AB1521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8886Q</w:t>
            </w:r>
          </w:p>
        </w:tc>
        <w:tc>
          <w:tcPr>
            <w:tcW w:w="4481" w:type="dxa"/>
            <w:noWrap/>
            <w:hideMark/>
          </w:tcPr>
          <w:p w14:paraId="5FA70C2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20 mg enteric tablet, 30</w:t>
            </w:r>
          </w:p>
        </w:tc>
        <w:tc>
          <w:tcPr>
            <w:tcW w:w="1276" w:type="dxa"/>
            <w:noWrap/>
            <w:hideMark/>
          </w:tcPr>
          <w:p w14:paraId="268A1F2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1BDA76C9"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270BBF68" w14:textId="2B225B56"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18.39</w:t>
            </w:r>
          </w:p>
        </w:tc>
        <w:tc>
          <w:tcPr>
            <w:tcW w:w="2409" w:type="dxa"/>
            <w:hideMark/>
          </w:tcPr>
          <w:p w14:paraId="23F73FE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APO-Esomeprazole</w:t>
            </w:r>
          </w:p>
          <w:p w14:paraId="1AE921B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Apotex</w:t>
            </w:r>
            <w:proofErr w:type="spellEnd"/>
            <w:r w:rsidRPr="008658B2">
              <w:rPr>
                <w:rFonts w:ascii="Calibri" w:eastAsia="Times New Roman" w:hAnsi="Calibri" w:cs="Calibri"/>
                <w:color w:val="000000"/>
                <w:sz w:val="20"/>
                <w:szCs w:val="20"/>
              </w:rPr>
              <w:t xml:space="preserve"> </w:t>
            </w:r>
          </w:p>
          <w:p w14:paraId="4F2E5AC2"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GH </w:t>
            </w:r>
          </w:p>
          <w:p w14:paraId="3F1B54C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GxP</w:t>
            </w:r>
            <w:proofErr w:type="spellEnd"/>
            <w:r w:rsidRPr="008658B2">
              <w:rPr>
                <w:rFonts w:ascii="Calibri" w:eastAsia="Times New Roman" w:hAnsi="Calibri" w:cs="Calibri"/>
                <w:color w:val="000000"/>
                <w:sz w:val="20"/>
                <w:szCs w:val="20"/>
              </w:rPr>
              <w:t xml:space="preserve"> </w:t>
            </w:r>
          </w:p>
          <w:p w14:paraId="32DC270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Mylan</w:t>
            </w:r>
          </w:p>
          <w:p w14:paraId="5CF828E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RBX </w:t>
            </w:r>
          </w:p>
          <w:p w14:paraId="358D5AF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Sandoz </w:t>
            </w:r>
          </w:p>
          <w:p w14:paraId="58B7437A"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SZ </w:t>
            </w:r>
          </w:p>
          <w:p w14:paraId="12228C6D"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Esopreze</w:t>
            </w:r>
            <w:proofErr w:type="spellEnd"/>
            <w:r w:rsidRPr="008658B2">
              <w:rPr>
                <w:rFonts w:ascii="Calibri" w:eastAsia="Times New Roman" w:hAnsi="Calibri" w:cs="Calibri"/>
                <w:color w:val="000000"/>
                <w:sz w:val="20"/>
                <w:szCs w:val="20"/>
              </w:rPr>
              <w:t xml:space="preserve"> </w:t>
            </w:r>
          </w:p>
          <w:p w14:paraId="07F9B265"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Nexazole</w:t>
            </w:r>
            <w:proofErr w:type="spellEnd"/>
            <w:r w:rsidRPr="008658B2">
              <w:rPr>
                <w:rFonts w:ascii="Calibri" w:eastAsia="Times New Roman" w:hAnsi="Calibri" w:cs="Calibri"/>
                <w:color w:val="000000"/>
                <w:sz w:val="20"/>
                <w:szCs w:val="20"/>
              </w:rPr>
              <w:t xml:space="preserve"> </w:t>
            </w:r>
          </w:p>
          <w:p w14:paraId="5AF5DC20"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Nexole</w:t>
            </w:r>
            <w:proofErr w:type="spellEnd"/>
            <w:r w:rsidRPr="008658B2">
              <w:rPr>
                <w:rFonts w:ascii="Calibri" w:eastAsia="Times New Roman" w:hAnsi="Calibri" w:cs="Calibri"/>
                <w:color w:val="000000"/>
                <w:sz w:val="20"/>
                <w:szCs w:val="20"/>
              </w:rPr>
              <w:t xml:space="preserve"> </w:t>
            </w:r>
          </w:p>
          <w:p w14:paraId="08BAD014" w14:textId="01D4C77E"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NOUMED ESOMEPRAZOLE</w:t>
            </w:r>
          </w:p>
        </w:tc>
        <w:tc>
          <w:tcPr>
            <w:tcW w:w="2410" w:type="dxa"/>
            <w:noWrap/>
            <w:hideMark/>
          </w:tcPr>
          <w:p w14:paraId="01CD33D6" w14:textId="515542FF"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Peptic ulcer, GORD</w:t>
            </w:r>
          </w:p>
        </w:tc>
      </w:tr>
      <w:tr w:rsidR="007065F6" w:rsidRPr="008658B2" w14:paraId="63A93842" w14:textId="77777777" w:rsidTr="007065F6">
        <w:trPr>
          <w:trHeight w:val="204"/>
        </w:trPr>
        <w:tc>
          <w:tcPr>
            <w:tcW w:w="901" w:type="dxa"/>
            <w:noWrap/>
            <w:hideMark/>
          </w:tcPr>
          <w:p w14:paraId="1349E9D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12275C</w:t>
            </w:r>
          </w:p>
        </w:tc>
        <w:tc>
          <w:tcPr>
            <w:tcW w:w="4481" w:type="dxa"/>
            <w:noWrap/>
            <w:hideMark/>
          </w:tcPr>
          <w:p w14:paraId="159BB7F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20 mg enteric capsule, 30</w:t>
            </w:r>
          </w:p>
        </w:tc>
        <w:tc>
          <w:tcPr>
            <w:tcW w:w="1276" w:type="dxa"/>
            <w:noWrap/>
            <w:hideMark/>
          </w:tcPr>
          <w:p w14:paraId="11ED4BAF"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577D40F4"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7B31BC4F" w14:textId="64F39B0F"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24.7</w:t>
            </w:r>
            <w:r>
              <w:rPr>
                <w:rFonts w:ascii="Calibri" w:eastAsia="Times New Roman" w:hAnsi="Calibri" w:cs="Calibri"/>
                <w:color w:val="000000"/>
                <w:sz w:val="20"/>
                <w:szCs w:val="20"/>
              </w:rPr>
              <w:t>0</w:t>
            </w:r>
          </w:p>
        </w:tc>
        <w:tc>
          <w:tcPr>
            <w:tcW w:w="2409" w:type="dxa"/>
            <w:noWrap/>
            <w:hideMark/>
          </w:tcPr>
          <w:p w14:paraId="3E122394"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Noxicid</w:t>
            </w:r>
            <w:proofErr w:type="spellEnd"/>
            <w:r w:rsidRPr="008658B2">
              <w:rPr>
                <w:rFonts w:ascii="Calibri" w:eastAsia="Times New Roman" w:hAnsi="Calibri" w:cs="Calibri"/>
                <w:color w:val="000000"/>
                <w:sz w:val="20"/>
                <w:szCs w:val="20"/>
              </w:rPr>
              <w:t xml:space="preserve"> Caps</w:t>
            </w:r>
          </w:p>
        </w:tc>
        <w:tc>
          <w:tcPr>
            <w:tcW w:w="2410" w:type="dxa"/>
            <w:noWrap/>
            <w:hideMark/>
          </w:tcPr>
          <w:p w14:paraId="58EBA86D" w14:textId="351B436C"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r w:rsidR="007065F6" w:rsidRPr="008658B2" w14:paraId="479D79EF" w14:textId="77777777" w:rsidTr="007065F6">
        <w:trPr>
          <w:trHeight w:val="612"/>
        </w:trPr>
        <w:tc>
          <w:tcPr>
            <w:tcW w:w="901" w:type="dxa"/>
            <w:noWrap/>
            <w:hideMark/>
          </w:tcPr>
          <w:p w14:paraId="6DE033EF"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12287Q</w:t>
            </w:r>
          </w:p>
        </w:tc>
        <w:tc>
          <w:tcPr>
            <w:tcW w:w="4481" w:type="dxa"/>
            <w:noWrap/>
            <w:hideMark/>
          </w:tcPr>
          <w:p w14:paraId="4D35509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20 mg enteric tablet, 30</w:t>
            </w:r>
          </w:p>
        </w:tc>
        <w:tc>
          <w:tcPr>
            <w:tcW w:w="1276" w:type="dxa"/>
            <w:noWrap/>
            <w:hideMark/>
          </w:tcPr>
          <w:p w14:paraId="11624305"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01B1E233"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203F67AA" w14:textId="717BD3D7"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24.7</w:t>
            </w:r>
            <w:r>
              <w:rPr>
                <w:rFonts w:ascii="Calibri" w:eastAsia="Times New Roman" w:hAnsi="Calibri" w:cs="Calibri"/>
                <w:color w:val="000000"/>
                <w:sz w:val="20"/>
                <w:szCs w:val="20"/>
              </w:rPr>
              <w:t>0</w:t>
            </w:r>
          </w:p>
        </w:tc>
        <w:tc>
          <w:tcPr>
            <w:tcW w:w="2409" w:type="dxa"/>
            <w:hideMark/>
          </w:tcPr>
          <w:p w14:paraId="2C0FDD3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APO-Esomeprazole </w:t>
            </w:r>
          </w:p>
          <w:p w14:paraId="0020FA2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Apotex</w:t>
            </w:r>
            <w:proofErr w:type="spellEnd"/>
            <w:r w:rsidRPr="008658B2">
              <w:rPr>
                <w:rFonts w:ascii="Calibri" w:eastAsia="Times New Roman" w:hAnsi="Calibri" w:cs="Calibri"/>
                <w:color w:val="000000"/>
                <w:sz w:val="20"/>
                <w:szCs w:val="20"/>
              </w:rPr>
              <w:t xml:space="preserve"> </w:t>
            </w:r>
          </w:p>
          <w:p w14:paraId="1A1FBD8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GH </w:t>
            </w:r>
          </w:p>
          <w:p w14:paraId="2E2D0A9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GxP</w:t>
            </w:r>
            <w:proofErr w:type="spellEnd"/>
            <w:r w:rsidRPr="008658B2">
              <w:rPr>
                <w:rFonts w:ascii="Calibri" w:eastAsia="Times New Roman" w:hAnsi="Calibri" w:cs="Calibri"/>
                <w:color w:val="000000"/>
                <w:sz w:val="20"/>
                <w:szCs w:val="20"/>
              </w:rPr>
              <w:t xml:space="preserve"> </w:t>
            </w:r>
          </w:p>
          <w:p w14:paraId="59AAB90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Mylan </w:t>
            </w:r>
          </w:p>
          <w:p w14:paraId="061CD98F"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RBX </w:t>
            </w:r>
          </w:p>
          <w:p w14:paraId="6CBF82A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Sandoz </w:t>
            </w:r>
          </w:p>
          <w:p w14:paraId="2B334E4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SZ </w:t>
            </w:r>
          </w:p>
          <w:p w14:paraId="6C607904"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Esopreze</w:t>
            </w:r>
            <w:proofErr w:type="spellEnd"/>
            <w:r w:rsidRPr="008658B2">
              <w:rPr>
                <w:rFonts w:ascii="Calibri" w:eastAsia="Times New Roman" w:hAnsi="Calibri" w:cs="Calibri"/>
                <w:color w:val="000000"/>
                <w:sz w:val="20"/>
                <w:szCs w:val="20"/>
              </w:rPr>
              <w:t xml:space="preserve"> </w:t>
            </w:r>
          </w:p>
          <w:p w14:paraId="3E28E8BD"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Nexazole</w:t>
            </w:r>
            <w:proofErr w:type="spellEnd"/>
            <w:r w:rsidRPr="008658B2">
              <w:rPr>
                <w:rFonts w:ascii="Calibri" w:eastAsia="Times New Roman" w:hAnsi="Calibri" w:cs="Calibri"/>
                <w:color w:val="000000"/>
                <w:sz w:val="20"/>
                <w:szCs w:val="20"/>
              </w:rPr>
              <w:t xml:space="preserve"> </w:t>
            </w:r>
          </w:p>
          <w:p w14:paraId="4BDBA9FF"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Nexole</w:t>
            </w:r>
            <w:proofErr w:type="spellEnd"/>
            <w:r w:rsidRPr="008658B2">
              <w:rPr>
                <w:rFonts w:ascii="Calibri" w:eastAsia="Times New Roman" w:hAnsi="Calibri" w:cs="Calibri"/>
                <w:color w:val="000000"/>
                <w:sz w:val="20"/>
                <w:szCs w:val="20"/>
              </w:rPr>
              <w:t xml:space="preserve"> </w:t>
            </w:r>
          </w:p>
          <w:p w14:paraId="3B78B3E3" w14:textId="2D95188D"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NOUMED ESOMEPRAZOLE</w:t>
            </w:r>
          </w:p>
        </w:tc>
        <w:tc>
          <w:tcPr>
            <w:tcW w:w="2410" w:type="dxa"/>
            <w:noWrap/>
            <w:hideMark/>
          </w:tcPr>
          <w:p w14:paraId="2099CEC1" w14:textId="06B3839F"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bl>
    <w:p w14:paraId="36695A20" w14:textId="02B3505A" w:rsidR="007065F6" w:rsidRDefault="007065F6"/>
    <w:p w14:paraId="341E2E30" w14:textId="04DEC8B3" w:rsidR="007065F6" w:rsidRDefault="007065F6"/>
    <w:p w14:paraId="71C63CA9" w14:textId="5D122417" w:rsidR="007065F6" w:rsidRDefault="007065F6"/>
    <w:p w14:paraId="1BFF7A92" w14:textId="77777777" w:rsidR="007065F6" w:rsidRDefault="007065F6"/>
    <w:tbl>
      <w:tblPr>
        <w:tblStyle w:val="TableGrid"/>
        <w:tblW w:w="13183" w:type="dxa"/>
        <w:tblLook w:val="04A0" w:firstRow="1" w:lastRow="0" w:firstColumn="1" w:lastColumn="0" w:noHBand="0" w:noVBand="1"/>
      </w:tblPr>
      <w:tblGrid>
        <w:gridCol w:w="901"/>
        <w:gridCol w:w="4481"/>
        <w:gridCol w:w="1276"/>
        <w:gridCol w:w="713"/>
        <w:gridCol w:w="993"/>
        <w:gridCol w:w="2409"/>
        <w:gridCol w:w="2410"/>
      </w:tblGrid>
      <w:tr w:rsidR="007065F6" w:rsidRPr="008658B2" w14:paraId="156C0A00" w14:textId="77777777" w:rsidTr="007065F6">
        <w:trPr>
          <w:trHeight w:val="138"/>
        </w:trPr>
        <w:tc>
          <w:tcPr>
            <w:tcW w:w="901" w:type="dxa"/>
            <w:shd w:val="clear" w:color="auto" w:fill="BFBFBF" w:themeFill="background1" w:themeFillShade="BF"/>
            <w:noWrap/>
          </w:tcPr>
          <w:p w14:paraId="01F14CA8" w14:textId="6FE4B516"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lastRenderedPageBreak/>
              <w:t>Item</w:t>
            </w:r>
          </w:p>
        </w:tc>
        <w:tc>
          <w:tcPr>
            <w:tcW w:w="4481" w:type="dxa"/>
            <w:shd w:val="clear" w:color="auto" w:fill="BFBFBF" w:themeFill="background1" w:themeFillShade="BF"/>
            <w:noWrap/>
          </w:tcPr>
          <w:p w14:paraId="21166E33" w14:textId="3403F585"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Name, form &amp; strength, pack size</w:t>
            </w:r>
          </w:p>
        </w:tc>
        <w:tc>
          <w:tcPr>
            <w:tcW w:w="1276" w:type="dxa"/>
            <w:shd w:val="clear" w:color="auto" w:fill="BFBFBF" w:themeFill="background1" w:themeFillShade="BF"/>
            <w:noWrap/>
          </w:tcPr>
          <w:p w14:paraId="748E5199" w14:textId="16EEB1C8"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Max. quant.</w:t>
            </w:r>
          </w:p>
        </w:tc>
        <w:tc>
          <w:tcPr>
            <w:tcW w:w="713" w:type="dxa"/>
            <w:shd w:val="clear" w:color="auto" w:fill="BFBFBF" w:themeFill="background1" w:themeFillShade="BF"/>
            <w:noWrap/>
          </w:tcPr>
          <w:p w14:paraId="12DD5ED5" w14:textId="5E26FD8D" w:rsidR="007065F6" w:rsidRPr="008658B2" w:rsidRDefault="007065F6" w:rsidP="007065F6">
            <w:pPr>
              <w:jc w:val="center"/>
              <w:rPr>
                <w:rFonts w:ascii="Calibri" w:eastAsia="Times New Roman" w:hAnsi="Calibri" w:cs="Calibri"/>
                <w:color w:val="000000"/>
                <w:sz w:val="20"/>
                <w:szCs w:val="20"/>
              </w:rPr>
            </w:pPr>
            <w:proofErr w:type="spellStart"/>
            <w:r w:rsidRPr="008658B2">
              <w:rPr>
                <w:rFonts w:ascii="Calibri" w:eastAsia="Times New Roman" w:hAnsi="Calibri" w:cs="Calibri"/>
                <w:b/>
                <w:bCs/>
                <w:color w:val="000000"/>
                <w:sz w:val="20"/>
                <w:szCs w:val="20"/>
              </w:rPr>
              <w:t>Rpts</w:t>
            </w:r>
            <w:proofErr w:type="spellEnd"/>
          </w:p>
        </w:tc>
        <w:tc>
          <w:tcPr>
            <w:tcW w:w="993" w:type="dxa"/>
            <w:shd w:val="clear" w:color="auto" w:fill="BFBFBF" w:themeFill="background1" w:themeFillShade="BF"/>
            <w:noWrap/>
          </w:tcPr>
          <w:p w14:paraId="518BDBC8" w14:textId="18D9F765" w:rsidR="007065F6"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DPMQ</w:t>
            </w:r>
          </w:p>
        </w:tc>
        <w:tc>
          <w:tcPr>
            <w:tcW w:w="2409" w:type="dxa"/>
            <w:shd w:val="clear" w:color="auto" w:fill="BFBFBF" w:themeFill="background1" w:themeFillShade="BF"/>
          </w:tcPr>
          <w:p w14:paraId="7D7B6FA7" w14:textId="3737E32C"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Brand name</w:t>
            </w:r>
          </w:p>
        </w:tc>
        <w:tc>
          <w:tcPr>
            <w:tcW w:w="2410" w:type="dxa"/>
            <w:shd w:val="clear" w:color="auto" w:fill="BFBFBF" w:themeFill="background1" w:themeFillShade="BF"/>
            <w:noWrap/>
          </w:tcPr>
          <w:p w14:paraId="03775E5F" w14:textId="512F253A"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Indication</w:t>
            </w:r>
          </w:p>
        </w:tc>
      </w:tr>
      <w:tr w:rsidR="007065F6" w:rsidRPr="008658B2" w14:paraId="55279B24" w14:textId="77777777" w:rsidTr="007065F6">
        <w:trPr>
          <w:trHeight w:val="612"/>
        </w:trPr>
        <w:tc>
          <w:tcPr>
            <w:tcW w:w="901" w:type="dxa"/>
            <w:noWrap/>
            <w:hideMark/>
          </w:tcPr>
          <w:p w14:paraId="7F5BAC0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12283L</w:t>
            </w:r>
          </w:p>
        </w:tc>
        <w:tc>
          <w:tcPr>
            <w:tcW w:w="4481" w:type="dxa"/>
            <w:noWrap/>
            <w:hideMark/>
          </w:tcPr>
          <w:p w14:paraId="7AE3591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40 mg enteric tablet, 30</w:t>
            </w:r>
          </w:p>
        </w:tc>
        <w:tc>
          <w:tcPr>
            <w:tcW w:w="1276" w:type="dxa"/>
            <w:noWrap/>
            <w:hideMark/>
          </w:tcPr>
          <w:p w14:paraId="7EDDAB62"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1904BB53"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65932835" w14:textId="367AE4B4"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33.52</w:t>
            </w:r>
          </w:p>
        </w:tc>
        <w:tc>
          <w:tcPr>
            <w:tcW w:w="2409" w:type="dxa"/>
            <w:hideMark/>
          </w:tcPr>
          <w:p w14:paraId="7BCADB22"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APO-Esomeprazole</w:t>
            </w:r>
          </w:p>
          <w:p w14:paraId="2EF343F3"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Apotex</w:t>
            </w:r>
            <w:proofErr w:type="spellEnd"/>
            <w:r w:rsidRPr="008658B2">
              <w:rPr>
                <w:rFonts w:ascii="Calibri" w:eastAsia="Times New Roman" w:hAnsi="Calibri" w:cs="Calibri"/>
                <w:color w:val="000000"/>
                <w:sz w:val="20"/>
                <w:szCs w:val="20"/>
              </w:rPr>
              <w:t xml:space="preserve"> </w:t>
            </w:r>
          </w:p>
          <w:p w14:paraId="6248090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GH </w:t>
            </w:r>
          </w:p>
          <w:p w14:paraId="7D8E0C0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w:t>
            </w:r>
            <w:proofErr w:type="spellStart"/>
            <w:r w:rsidRPr="008658B2">
              <w:rPr>
                <w:rFonts w:ascii="Calibri" w:eastAsia="Times New Roman" w:hAnsi="Calibri" w:cs="Calibri"/>
                <w:color w:val="000000"/>
                <w:sz w:val="20"/>
                <w:szCs w:val="20"/>
              </w:rPr>
              <w:t>GxP</w:t>
            </w:r>
            <w:proofErr w:type="spellEnd"/>
            <w:r w:rsidRPr="008658B2">
              <w:rPr>
                <w:rFonts w:ascii="Calibri" w:eastAsia="Times New Roman" w:hAnsi="Calibri" w:cs="Calibri"/>
                <w:color w:val="000000"/>
                <w:sz w:val="20"/>
                <w:szCs w:val="20"/>
              </w:rPr>
              <w:t xml:space="preserve"> </w:t>
            </w:r>
          </w:p>
          <w:p w14:paraId="1E1C933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Mylan </w:t>
            </w:r>
          </w:p>
          <w:p w14:paraId="281C4AA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RBX </w:t>
            </w:r>
          </w:p>
          <w:p w14:paraId="0CD3BD74"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Sandoz </w:t>
            </w:r>
          </w:p>
          <w:p w14:paraId="3E6DABD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SZ </w:t>
            </w:r>
          </w:p>
          <w:p w14:paraId="19ECDAC4"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Esopreze</w:t>
            </w:r>
            <w:proofErr w:type="spellEnd"/>
            <w:r w:rsidRPr="008658B2">
              <w:rPr>
                <w:rFonts w:ascii="Calibri" w:eastAsia="Times New Roman" w:hAnsi="Calibri" w:cs="Calibri"/>
                <w:color w:val="000000"/>
                <w:sz w:val="20"/>
                <w:szCs w:val="20"/>
              </w:rPr>
              <w:t xml:space="preserve"> </w:t>
            </w:r>
          </w:p>
          <w:p w14:paraId="585687E7"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Nexazole</w:t>
            </w:r>
            <w:proofErr w:type="spellEnd"/>
            <w:r w:rsidRPr="008658B2">
              <w:rPr>
                <w:rFonts w:ascii="Calibri" w:eastAsia="Times New Roman" w:hAnsi="Calibri" w:cs="Calibri"/>
                <w:color w:val="000000"/>
                <w:sz w:val="20"/>
                <w:szCs w:val="20"/>
              </w:rPr>
              <w:t xml:space="preserve"> </w:t>
            </w:r>
          </w:p>
          <w:p w14:paraId="123171C3"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Nexole</w:t>
            </w:r>
            <w:proofErr w:type="spellEnd"/>
            <w:r w:rsidRPr="008658B2">
              <w:rPr>
                <w:rFonts w:ascii="Calibri" w:eastAsia="Times New Roman" w:hAnsi="Calibri" w:cs="Calibri"/>
                <w:color w:val="000000"/>
                <w:sz w:val="20"/>
                <w:szCs w:val="20"/>
              </w:rPr>
              <w:t xml:space="preserve"> </w:t>
            </w:r>
          </w:p>
          <w:p w14:paraId="597A56EA" w14:textId="16F6B95A"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NOUMED ESOMEPRAZOLE</w:t>
            </w:r>
          </w:p>
        </w:tc>
        <w:tc>
          <w:tcPr>
            <w:tcW w:w="2410" w:type="dxa"/>
            <w:noWrap/>
            <w:hideMark/>
          </w:tcPr>
          <w:p w14:paraId="45652ACC" w14:textId="485D821C"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r w:rsidR="007065F6" w:rsidRPr="008658B2" w14:paraId="0AF668CF" w14:textId="77777777" w:rsidTr="007065F6">
        <w:trPr>
          <w:trHeight w:val="204"/>
        </w:trPr>
        <w:tc>
          <w:tcPr>
            <w:tcW w:w="901" w:type="dxa"/>
            <w:noWrap/>
            <w:hideMark/>
          </w:tcPr>
          <w:p w14:paraId="6B77956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12290W</w:t>
            </w:r>
          </w:p>
        </w:tc>
        <w:tc>
          <w:tcPr>
            <w:tcW w:w="4481" w:type="dxa"/>
            <w:noWrap/>
            <w:hideMark/>
          </w:tcPr>
          <w:p w14:paraId="65ABB51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40 mg enteric capsule, 30</w:t>
            </w:r>
          </w:p>
        </w:tc>
        <w:tc>
          <w:tcPr>
            <w:tcW w:w="1276" w:type="dxa"/>
            <w:noWrap/>
            <w:hideMark/>
          </w:tcPr>
          <w:p w14:paraId="074FD69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1CE8AD3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2549AD3C" w14:textId="23A4A223"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33.52</w:t>
            </w:r>
          </w:p>
        </w:tc>
        <w:tc>
          <w:tcPr>
            <w:tcW w:w="2409" w:type="dxa"/>
            <w:noWrap/>
            <w:hideMark/>
          </w:tcPr>
          <w:p w14:paraId="1687AE9E" w14:textId="35B75EA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Noxicid</w:t>
            </w:r>
            <w:proofErr w:type="spellEnd"/>
            <w:r w:rsidRPr="008658B2">
              <w:rPr>
                <w:rFonts w:ascii="Calibri" w:eastAsia="Times New Roman" w:hAnsi="Calibri" w:cs="Calibri"/>
                <w:color w:val="000000"/>
                <w:sz w:val="20"/>
                <w:szCs w:val="20"/>
              </w:rPr>
              <w:t xml:space="preserve"> Caps</w:t>
            </w:r>
          </w:p>
        </w:tc>
        <w:tc>
          <w:tcPr>
            <w:tcW w:w="2410" w:type="dxa"/>
            <w:noWrap/>
            <w:hideMark/>
          </w:tcPr>
          <w:p w14:paraId="6E429260" w14:textId="50DBCDB8"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r w:rsidR="007065F6" w:rsidRPr="008658B2" w14:paraId="40726D5F" w14:textId="77777777" w:rsidTr="007065F6">
        <w:trPr>
          <w:trHeight w:val="816"/>
        </w:trPr>
        <w:tc>
          <w:tcPr>
            <w:tcW w:w="901" w:type="dxa"/>
            <w:noWrap/>
            <w:hideMark/>
          </w:tcPr>
          <w:p w14:paraId="2A1F917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8198L</w:t>
            </w:r>
          </w:p>
        </w:tc>
        <w:tc>
          <w:tcPr>
            <w:tcW w:w="4481" w:type="dxa"/>
            <w:noWrap/>
            <w:hideMark/>
          </w:tcPr>
          <w:p w14:paraId="181C218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15 mg enteric capsule, 30</w:t>
            </w:r>
          </w:p>
        </w:tc>
        <w:tc>
          <w:tcPr>
            <w:tcW w:w="1276" w:type="dxa"/>
            <w:noWrap/>
            <w:hideMark/>
          </w:tcPr>
          <w:p w14:paraId="0A3FF538"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52AF146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21AE6998" w14:textId="7DECDCE5"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15.62</w:t>
            </w:r>
          </w:p>
        </w:tc>
        <w:tc>
          <w:tcPr>
            <w:tcW w:w="2409" w:type="dxa"/>
            <w:noWrap/>
            <w:hideMark/>
          </w:tcPr>
          <w:p w14:paraId="3B15AC35"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Zopral</w:t>
            </w:r>
            <w:proofErr w:type="spellEnd"/>
          </w:p>
        </w:tc>
        <w:tc>
          <w:tcPr>
            <w:tcW w:w="2410" w:type="dxa"/>
            <w:hideMark/>
          </w:tcPr>
          <w:p w14:paraId="497C4BBD" w14:textId="65DF8A03"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Scleroderma oesophagus</w:t>
            </w:r>
          </w:p>
        </w:tc>
      </w:tr>
      <w:tr w:rsidR="007065F6" w:rsidRPr="008658B2" w14:paraId="37678854" w14:textId="77777777" w:rsidTr="007065F6">
        <w:trPr>
          <w:trHeight w:val="816"/>
        </w:trPr>
        <w:tc>
          <w:tcPr>
            <w:tcW w:w="901" w:type="dxa"/>
            <w:noWrap/>
            <w:hideMark/>
          </w:tcPr>
          <w:p w14:paraId="00DABBF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9331D</w:t>
            </w:r>
          </w:p>
        </w:tc>
        <w:tc>
          <w:tcPr>
            <w:tcW w:w="4481" w:type="dxa"/>
            <w:noWrap/>
            <w:hideMark/>
          </w:tcPr>
          <w:p w14:paraId="6268CBA3"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15 mg orally disintegrating tablet, 28</w:t>
            </w:r>
          </w:p>
        </w:tc>
        <w:tc>
          <w:tcPr>
            <w:tcW w:w="1276" w:type="dxa"/>
            <w:noWrap/>
            <w:hideMark/>
          </w:tcPr>
          <w:p w14:paraId="69592A2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1CB3A5E4"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32EFCF61" w14:textId="02E348A3"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15.41</w:t>
            </w:r>
          </w:p>
        </w:tc>
        <w:tc>
          <w:tcPr>
            <w:tcW w:w="2409" w:type="dxa"/>
            <w:hideMark/>
          </w:tcPr>
          <w:p w14:paraId="607035B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APO-Lansoprazole ODT</w:t>
            </w:r>
          </w:p>
          <w:p w14:paraId="38CBB290" w14:textId="589B005C"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Lansoprazole ODT GH </w:t>
            </w:r>
          </w:p>
          <w:p w14:paraId="34F394E1" w14:textId="4D69B073"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Zopral</w:t>
            </w:r>
            <w:proofErr w:type="spellEnd"/>
            <w:r w:rsidRPr="008658B2">
              <w:rPr>
                <w:rFonts w:ascii="Calibri" w:eastAsia="Times New Roman" w:hAnsi="Calibri" w:cs="Calibri"/>
                <w:color w:val="000000"/>
                <w:sz w:val="20"/>
                <w:szCs w:val="20"/>
              </w:rPr>
              <w:t xml:space="preserve"> ODT </w:t>
            </w:r>
          </w:p>
        </w:tc>
        <w:tc>
          <w:tcPr>
            <w:tcW w:w="2410" w:type="dxa"/>
            <w:hideMark/>
          </w:tcPr>
          <w:p w14:paraId="7FA35101" w14:textId="4EE02592"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Scleroderma oesophagus</w:t>
            </w:r>
          </w:p>
        </w:tc>
      </w:tr>
      <w:tr w:rsidR="007065F6" w:rsidRPr="008658B2" w14:paraId="7A043B9F" w14:textId="77777777" w:rsidTr="007065F6">
        <w:trPr>
          <w:trHeight w:val="204"/>
        </w:trPr>
        <w:tc>
          <w:tcPr>
            <w:tcW w:w="901" w:type="dxa"/>
            <w:noWrap/>
            <w:hideMark/>
          </w:tcPr>
          <w:p w14:paraId="19E5C6D3"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9478W</w:t>
            </w:r>
          </w:p>
        </w:tc>
        <w:tc>
          <w:tcPr>
            <w:tcW w:w="4481" w:type="dxa"/>
            <w:noWrap/>
            <w:hideMark/>
          </w:tcPr>
          <w:p w14:paraId="1F094AFF"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30 mg orally disintegrating tablet, 28</w:t>
            </w:r>
          </w:p>
        </w:tc>
        <w:tc>
          <w:tcPr>
            <w:tcW w:w="1276" w:type="dxa"/>
            <w:noWrap/>
            <w:hideMark/>
          </w:tcPr>
          <w:p w14:paraId="428ED0E8"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7BF13DED"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70E1B1A5" w14:textId="64664A0A"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17.71</w:t>
            </w:r>
          </w:p>
        </w:tc>
        <w:tc>
          <w:tcPr>
            <w:tcW w:w="2409" w:type="dxa"/>
            <w:hideMark/>
          </w:tcPr>
          <w:p w14:paraId="55C7888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APO-Lansoprazole ODT</w:t>
            </w:r>
          </w:p>
          <w:p w14:paraId="5CE8691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Lansoprazole ODT GH </w:t>
            </w:r>
          </w:p>
          <w:p w14:paraId="1D68ED39" w14:textId="5B15605D"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Zopral</w:t>
            </w:r>
            <w:proofErr w:type="spellEnd"/>
            <w:r w:rsidRPr="008658B2">
              <w:rPr>
                <w:rFonts w:ascii="Calibri" w:eastAsia="Times New Roman" w:hAnsi="Calibri" w:cs="Calibri"/>
                <w:color w:val="000000"/>
                <w:sz w:val="20"/>
                <w:szCs w:val="20"/>
              </w:rPr>
              <w:t xml:space="preserve"> ODT </w:t>
            </w:r>
          </w:p>
        </w:tc>
        <w:tc>
          <w:tcPr>
            <w:tcW w:w="2410" w:type="dxa"/>
            <w:noWrap/>
            <w:hideMark/>
          </w:tcPr>
          <w:p w14:paraId="5D6154EF"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Scleroderma oesophagus</w:t>
            </w:r>
          </w:p>
        </w:tc>
      </w:tr>
      <w:tr w:rsidR="007065F6" w:rsidRPr="008658B2" w14:paraId="73019884" w14:textId="77777777" w:rsidTr="007065F6">
        <w:trPr>
          <w:trHeight w:val="204"/>
        </w:trPr>
        <w:tc>
          <w:tcPr>
            <w:tcW w:w="901" w:type="dxa"/>
            <w:noWrap/>
            <w:hideMark/>
          </w:tcPr>
          <w:p w14:paraId="0F704B0F"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2241Y</w:t>
            </w:r>
          </w:p>
        </w:tc>
        <w:tc>
          <w:tcPr>
            <w:tcW w:w="4481" w:type="dxa"/>
            <w:noWrap/>
            <w:hideMark/>
          </w:tcPr>
          <w:p w14:paraId="61FC4182"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30 mg enteric capsule, 28</w:t>
            </w:r>
          </w:p>
        </w:tc>
        <w:tc>
          <w:tcPr>
            <w:tcW w:w="1276" w:type="dxa"/>
            <w:noWrap/>
            <w:hideMark/>
          </w:tcPr>
          <w:p w14:paraId="256A07DF"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6FBCC23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37738768" w14:textId="43333DA6"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17.71</w:t>
            </w:r>
          </w:p>
        </w:tc>
        <w:tc>
          <w:tcPr>
            <w:tcW w:w="2409" w:type="dxa"/>
            <w:hideMark/>
          </w:tcPr>
          <w:p w14:paraId="4A4D385A"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APO-Lansoprazole </w:t>
            </w:r>
          </w:p>
          <w:p w14:paraId="2800070E"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Lanzopran</w:t>
            </w:r>
            <w:proofErr w:type="spellEnd"/>
            <w:r w:rsidRPr="008658B2">
              <w:rPr>
                <w:rFonts w:ascii="Calibri" w:eastAsia="Times New Roman" w:hAnsi="Calibri" w:cs="Calibri"/>
                <w:color w:val="000000"/>
                <w:sz w:val="20"/>
                <w:szCs w:val="20"/>
              </w:rPr>
              <w:t xml:space="preserve"> </w:t>
            </w:r>
          </w:p>
          <w:p w14:paraId="402D69D3"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NOUMED LANSOPRAZOLE</w:t>
            </w:r>
          </w:p>
          <w:p w14:paraId="661E68EF" w14:textId="4A5F2C25"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Zopral</w:t>
            </w:r>
            <w:proofErr w:type="spellEnd"/>
          </w:p>
        </w:tc>
        <w:tc>
          <w:tcPr>
            <w:tcW w:w="2410" w:type="dxa"/>
            <w:noWrap/>
            <w:hideMark/>
          </w:tcPr>
          <w:p w14:paraId="37AC95F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Scleroderma oesophagus</w:t>
            </w:r>
          </w:p>
        </w:tc>
      </w:tr>
      <w:tr w:rsidR="007065F6" w:rsidRPr="008658B2" w14:paraId="019A759B" w14:textId="77777777" w:rsidTr="007065F6">
        <w:trPr>
          <w:trHeight w:val="204"/>
        </w:trPr>
        <w:tc>
          <w:tcPr>
            <w:tcW w:w="901" w:type="dxa"/>
            <w:noWrap/>
            <w:hideMark/>
          </w:tcPr>
          <w:p w14:paraId="1F44E8D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11697P</w:t>
            </w:r>
          </w:p>
        </w:tc>
        <w:tc>
          <w:tcPr>
            <w:tcW w:w="4481" w:type="dxa"/>
            <w:noWrap/>
            <w:hideMark/>
          </w:tcPr>
          <w:p w14:paraId="31A5D86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30 mg orally disintegrating tablet, 28</w:t>
            </w:r>
          </w:p>
        </w:tc>
        <w:tc>
          <w:tcPr>
            <w:tcW w:w="1276" w:type="dxa"/>
            <w:noWrap/>
            <w:hideMark/>
          </w:tcPr>
          <w:p w14:paraId="426C9049"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59E80D52"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3653E399" w14:textId="1FD0D5E2"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17.71</w:t>
            </w:r>
          </w:p>
        </w:tc>
        <w:tc>
          <w:tcPr>
            <w:tcW w:w="2409" w:type="dxa"/>
            <w:hideMark/>
          </w:tcPr>
          <w:p w14:paraId="1A02A30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APO-Lansoprazole ODT </w:t>
            </w:r>
          </w:p>
          <w:p w14:paraId="6818C79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ODT GH</w:t>
            </w:r>
          </w:p>
          <w:p w14:paraId="4B4F3222" w14:textId="5589C989"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Zopral</w:t>
            </w:r>
            <w:proofErr w:type="spellEnd"/>
            <w:r w:rsidRPr="008658B2">
              <w:rPr>
                <w:rFonts w:ascii="Calibri" w:eastAsia="Times New Roman" w:hAnsi="Calibri" w:cs="Calibri"/>
                <w:color w:val="000000"/>
                <w:sz w:val="20"/>
                <w:szCs w:val="20"/>
              </w:rPr>
              <w:t xml:space="preserve"> ODT</w:t>
            </w:r>
          </w:p>
        </w:tc>
        <w:tc>
          <w:tcPr>
            <w:tcW w:w="2410" w:type="dxa"/>
            <w:noWrap/>
            <w:hideMark/>
          </w:tcPr>
          <w:p w14:paraId="38431C1E" w14:textId="28011D7A"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7065F6" w:rsidRPr="008658B2" w14:paraId="05A01696" w14:textId="77777777" w:rsidTr="007065F6">
        <w:trPr>
          <w:trHeight w:val="612"/>
        </w:trPr>
        <w:tc>
          <w:tcPr>
            <w:tcW w:w="901" w:type="dxa"/>
            <w:noWrap/>
            <w:hideMark/>
          </w:tcPr>
          <w:p w14:paraId="1D9E727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11669E</w:t>
            </w:r>
          </w:p>
        </w:tc>
        <w:tc>
          <w:tcPr>
            <w:tcW w:w="4481" w:type="dxa"/>
            <w:noWrap/>
            <w:hideMark/>
          </w:tcPr>
          <w:p w14:paraId="6299C05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30 mg enteric capsule, 28</w:t>
            </w:r>
          </w:p>
        </w:tc>
        <w:tc>
          <w:tcPr>
            <w:tcW w:w="1276" w:type="dxa"/>
            <w:noWrap/>
            <w:hideMark/>
          </w:tcPr>
          <w:p w14:paraId="3F753DD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0FD20393"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06DFE729" w14:textId="29AA0B01"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17.71</w:t>
            </w:r>
          </w:p>
        </w:tc>
        <w:tc>
          <w:tcPr>
            <w:tcW w:w="2409" w:type="dxa"/>
            <w:hideMark/>
          </w:tcPr>
          <w:p w14:paraId="634C777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APO-Lansoprazole</w:t>
            </w:r>
          </w:p>
          <w:p w14:paraId="4F082804"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Lanzopran</w:t>
            </w:r>
            <w:proofErr w:type="spellEnd"/>
          </w:p>
          <w:p w14:paraId="56B3D1AE" w14:textId="49F47773"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lastRenderedPageBreak/>
              <w:t xml:space="preserve">NOUMED LANSOPRAZOLE </w:t>
            </w:r>
            <w:r w:rsidRPr="008658B2">
              <w:rPr>
                <w:rFonts w:ascii="Calibri" w:eastAsia="Times New Roman" w:hAnsi="Calibri" w:cs="Calibri"/>
                <w:color w:val="000000"/>
                <w:sz w:val="20"/>
                <w:szCs w:val="20"/>
              </w:rPr>
              <w:br/>
            </w:r>
            <w:proofErr w:type="spellStart"/>
            <w:r w:rsidRPr="008658B2">
              <w:rPr>
                <w:rFonts w:ascii="Calibri" w:eastAsia="Times New Roman" w:hAnsi="Calibri" w:cs="Calibri"/>
                <w:color w:val="000000"/>
                <w:sz w:val="20"/>
                <w:szCs w:val="20"/>
              </w:rPr>
              <w:t>Zopral</w:t>
            </w:r>
            <w:proofErr w:type="spellEnd"/>
            <w:r w:rsidRPr="008658B2">
              <w:rPr>
                <w:rFonts w:ascii="Calibri" w:eastAsia="Times New Roman" w:hAnsi="Calibri" w:cs="Calibri"/>
                <w:color w:val="000000"/>
                <w:sz w:val="20"/>
                <w:szCs w:val="20"/>
              </w:rPr>
              <w:t xml:space="preserve"> </w:t>
            </w:r>
          </w:p>
        </w:tc>
        <w:tc>
          <w:tcPr>
            <w:tcW w:w="2410" w:type="dxa"/>
            <w:noWrap/>
            <w:hideMark/>
          </w:tcPr>
          <w:p w14:paraId="4B7FEC7B" w14:textId="71022939"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lastRenderedPageBreak/>
              <w:t>GORD</w:t>
            </w:r>
          </w:p>
        </w:tc>
      </w:tr>
      <w:tr w:rsidR="007065F6" w:rsidRPr="008658B2" w14:paraId="3AFDECD6" w14:textId="77777777" w:rsidTr="007065F6">
        <w:trPr>
          <w:trHeight w:val="204"/>
        </w:trPr>
        <w:tc>
          <w:tcPr>
            <w:tcW w:w="901" w:type="dxa"/>
            <w:shd w:val="clear" w:color="auto" w:fill="BFBFBF" w:themeFill="background1" w:themeFillShade="BF"/>
            <w:noWrap/>
          </w:tcPr>
          <w:p w14:paraId="03B804C3" w14:textId="48B1E8C1"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Item</w:t>
            </w:r>
          </w:p>
        </w:tc>
        <w:tc>
          <w:tcPr>
            <w:tcW w:w="4481" w:type="dxa"/>
            <w:shd w:val="clear" w:color="auto" w:fill="BFBFBF" w:themeFill="background1" w:themeFillShade="BF"/>
            <w:noWrap/>
          </w:tcPr>
          <w:p w14:paraId="459B4F15" w14:textId="6C3B13A5"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Name, form &amp; strength, pack size</w:t>
            </w:r>
          </w:p>
        </w:tc>
        <w:tc>
          <w:tcPr>
            <w:tcW w:w="1276" w:type="dxa"/>
            <w:shd w:val="clear" w:color="auto" w:fill="BFBFBF" w:themeFill="background1" w:themeFillShade="BF"/>
            <w:noWrap/>
          </w:tcPr>
          <w:p w14:paraId="7235B2D7" w14:textId="316D917C"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Max. quant.</w:t>
            </w:r>
          </w:p>
        </w:tc>
        <w:tc>
          <w:tcPr>
            <w:tcW w:w="713" w:type="dxa"/>
            <w:shd w:val="clear" w:color="auto" w:fill="BFBFBF" w:themeFill="background1" w:themeFillShade="BF"/>
            <w:noWrap/>
          </w:tcPr>
          <w:p w14:paraId="111AD69F" w14:textId="5373154B" w:rsidR="007065F6" w:rsidRPr="008658B2" w:rsidRDefault="007065F6" w:rsidP="007065F6">
            <w:pPr>
              <w:jc w:val="center"/>
              <w:rPr>
                <w:rFonts w:ascii="Calibri" w:eastAsia="Times New Roman" w:hAnsi="Calibri" w:cs="Calibri"/>
                <w:color w:val="000000"/>
                <w:sz w:val="20"/>
                <w:szCs w:val="20"/>
              </w:rPr>
            </w:pPr>
            <w:proofErr w:type="spellStart"/>
            <w:r w:rsidRPr="008658B2">
              <w:rPr>
                <w:rFonts w:ascii="Calibri" w:eastAsia="Times New Roman" w:hAnsi="Calibri" w:cs="Calibri"/>
                <w:b/>
                <w:bCs/>
                <w:color w:val="000000"/>
                <w:sz w:val="20"/>
                <w:szCs w:val="20"/>
              </w:rPr>
              <w:t>Rpts</w:t>
            </w:r>
            <w:proofErr w:type="spellEnd"/>
          </w:p>
        </w:tc>
        <w:tc>
          <w:tcPr>
            <w:tcW w:w="993" w:type="dxa"/>
            <w:shd w:val="clear" w:color="auto" w:fill="BFBFBF" w:themeFill="background1" w:themeFillShade="BF"/>
            <w:noWrap/>
          </w:tcPr>
          <w:p w14:paraId="4DA8569F" w14:textId="0104B086" w:rsidR="007065F6"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DPMQ</w:t>
            </w:r>
          </w:p>
        </w:tc>
        <w:tc>
          <w:tcPr>
            <w:tcW w:w="2409" w:type="dxa"/>
            <w:shd w:val="clear" w:color="auto" w:fill="BFBFBF" w:themeFill="background1" w:themeFillShade="BF"/>
          </w:tcPr>
          <w:p w14:paraId="4E0FE8D4" w14:textId="2BF4A2BA"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 xml:space="preserve">Brand name </w:t>
            </w:r>
          </w:p>
        </w:tc>
        <w:tc>
          <w:tcPr>
            <w:tcW w:w="2410" w:type="dxa"/>
            <w:shd w:val="clear" w:color="auto" w:fill="BFBFBF" w:themeFill="background1" w:themeFillShade="BF"/>
          </w:tcPr>
          <w:p w14:paraId="5363E967" w14:textId="63138D31"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Indication</w:t>
            </w:r>
          </w:p>
        </w:tc>
      </w:tr>
      <w:tr w:rsidR="007065F6" w:rsidRPr="008658B2" w14:paraId="378901FA" w14:textId="77777777" w:rsidTr="007065F6">
        <w:trPr>
          <w:trHeight w:val="204"/>
        </w:trPr>
        <w:tc>
          <w:tcPr>
            <w:tcW w:w="901" w:type="dxa"/>
            <w:noWrap/>
            <w:hideMark/>
          </w:tcPr>
          <w:p w14:paraId="698F1B2F"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9477T</w:t>
            </w:r>
          </w:p>
        </w:tc>
        <w:tc>
          <w:tcPr>
            <w:tcW w:w="4481" w:type="dxa"/>
            <w:noWrap/>
            <w:hideMark/>
          </w:tcPr>
          <w:p w14:paraId="3212B7B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30 mg orally disintegrating tablet, 28</w:t>
            </w:r>
          </w:p>
        </w:tc>
        <w:tc>
          <w:tcPr>
            <w:tcW w:w="1276" w:type="dxa"/>
            <w:noWrap/>
            <w:hideMark/>
          </w:tcPr>
          <w:p w14:paraId="131F831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3AF4AA0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572B8983" w14:textId="7B74FF46"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17.71</w:t>
            </w:r>
          </w:p>
        </w:tc>
        <w:tc>
          <w:tcPr>
            <w:tcW w:w="2409" w:type="dxa"/>
            <w:hideMark/>
          </w:tcPr>
          <w:p w14:paraId="1CA0D55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PO-Lansoprazole ODT </w:t>
            </w:r>
          </w:p>
          <w:p w14:paraId="33A9C3F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Lansoprazole ODT GH </w:t>
            </w:r>
          </w:p>
          <w:p w14:paraId="3C473E8E" w14:textId="6336E8DC"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Zopral</w:t>
            </w:r>
            <w:proofErr w:type="spellEnd"/>
            <w:r w:rsidRPr="008658B2">
              <w:rPr>
                <w:rFonts w:ascii="Calibri" w:eastAsia="Times New Roman" w:hAnsi="Calibri" w:cs="Calibri"/>
                <w:color w:val="000000"/>
                <w:sz w:val="20"/>
                <w:szCs w:val="20"/>
              </w:rPr>
              <w:t xml:space="preserve"> ODT</w:t>
            </w:r>
          </w:p>
        </w:tc>
        <w:tc>
          <w:tcPr>
            <w:tcW w:w="2410" w:type="dxa"/>
            <w:hideMark/>
          </w:tcPr>
          <w:p w14:paraId="1437B0DE" w14:textId="0A87FCA9"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7065F6" w:rsidRPr="008658B2" w14:paraId="4DF2482B" w14:textId="77777777" w:rsidTr="007065F6">
        <w:trPr>
          <w:trHeight w:val="204"/>
        </w:trPr>
        <w:tc>
          <w:tcPr>
            <w:tcW w:w="901" w:type="dxa"/>
            <w:noWrap/>
            <w:hideMark/>
          </w:tcPr>
          <w:p w14:paraId="1E1D98AF"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2240X</w:t>
            </w:r>
          </w:p>
        </w:tc>
        <w:tc>
          <w:tcPr>
            <w:tcW w:w="4481" w:type="dxa"/>
            <w:noWrap/>
            <w:hideMark/>
          </w:tcPr>
          <w:p w14:paraId="7077224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30 mg enteric capsule, 28</w:t>
            </w:r>
          </w:p>
        </w:tc>
        <w:tc>
          <w:tcPr>
            <w:tcW w:w="1276" w:type="dxa"/>
            <w:noWrap/>
            <w:hideMark/>
          </w:tcPr>
          <w:p w14:paraId="256ADA2E"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0F40EF34"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49256539" w14:textId="52721F6F"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17.71</w:t>
            </w:r>
          </w:p>
        </w:tc>
        <w:tc>
          <w:tcPr>
            <w:tcW w:w="2409" w:type="dxa"/>
            <w:hideMark/>
          </w:tcPr>
          <w:p w14:paraId="0A48F84A"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APO-Lansoprazole</w:t>
            </w:r>
          </w:p>
          <w:p w14:paraId="784AF0CE"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Lanzopran</w:t>
            </w:r>
            <w:proofErr w:type="spellEnd"/>
            <w:r w:rsidRPr="008658B2">
              <w:rPr>
                <w:rFonts w:ascii="Calibri" w:eastAsia="Times New Roman" w:hAnsi="Calibri" w:cs="Calibri"/>
                <w:color w:val="000000"/>
                <w:sz w:val="20"/>
                <w:szCs w:val="20"/>
              </w:rPr>
              <w:t xml:space="preserve"> </w:t>
            </w:r>
          </w:p>
          <w:p w14:paraId="3AA9128D" w14:textId="77167CDE"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NOUMED LANSOPRAZOLE</w:t>
            </w:r>
          </w:p>
        </w:tc>
        <w:tc>
          <w:tcPr>
            <w:tcW w:w="2410" w:type="dxa"/>
            <w:hideMark/>
          </w:tcPr>
          <w:p w14:paraId="033972B5" w14:textId="496015F2"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7065F6" w:rsidRPr="008658B2" w14:paraId="446D8C6E" w14:textId="77777777" w:rsidTr="007065F6">
        <w:trPr>
          <w:trHeight w:val="204"/>
        </w:trPr>
        <w:tc>
          <w:tcPr>
            <w:tcW w:w="901" w:type="dxa"/>
            <w:noWrap/>
            <w:hideMark/>
          </w:tcPr>
          <w:p w14:paraId="62C77F3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12276D</w:t>
            </w:r>
          </w:p>
        </w:tc>
        <w:tc>
          <w:tcPr>
            <w:tcW w:w="4481" w:type="dxa"/>
            <w:noWrap/>
            <w:hideMark/>
          </w:tcPr>
          <w:p w14:paraId="1A68AA3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30 mg orally disintegrating tablet, 28</w:t>
            </w:r>
          </w:p>
        </w:tc>
        <w:tc>
          <w:tcPr>
            <w:tcW w:w="1276" w:type="dxa"/>
            <w:noWrap/>
            <w:hideMark/>
          </w:tcPr>
          <w:p w14:paraId="3C57BBA7"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0CC6D92D"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43864F37" w14:textId="7F2CBAAA"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23.34</w:t>
            </w:r>
          </w:p>
        </w:tc>
        <w:tc>
          <w:tcPr>
            <w:tcW w:w="2409" w:type="dxa"/>
            <w:hideMark/>
          </w:tcPr>
          <w:p w14:paraId="01FB3DC4"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APO-Lansoprazole ODT</w:t>
            </w:r>
          </w:p>
          <w:p w14:paraId="6E62AB7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Lansoprazole ODT GH </w:t>
            </w:r>
          </w:p>
          <w:p w14:paraId="1299CFD8" w14:textId="5A15614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Zopral</w:t>
            </w:r>
            <w:proofErr w:type="spellEnd"/>
            <w:r w:rsidRPr="008658B2">
              <w:rPr>
                <w:rFonts w:ascii="Calibri" w:eastAsia="Times New Roman" w:hAnsi="Calibri" w:cs="Calibri"/>
                <w:color w:val="000000"/>
                <w:sz w:val="20"/>
                <w:szCs w:val="20"/>
              </w:rPr>
              <w:t xml:space="preserve"> ODT</w:t>
            </w:r>
          </w:p>
        </w:tc>
        <w:tc>
          <w:tcPr>
            <w:tcW w:w="2410" w:type="dxa"/>
            <w:hideMark/>
          </w:tcPr>
          <w:p w14:paraId="31C7434C" w14:textId="7B525A0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r w:rsidR="007065F6" w:rsidRPr="008658B2" w14:paraId="465D1C61" w14:textId="77777777" w:rsidTr="007065F6">
        <w:trPr>
          <w:trHeight w:val="204"/>
        </w:trPr>
        <w:tc>
          <w:tcPr>
            <w:tcW w:w="901" w:type="dxa"/>
            <w:noWrap/>
            <w:hideMark/>
          </w:tcPr>
          <w:p w14:paraId="39B13F4A"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12284M</w:t>
            </w:r>
          </w:p>
        </w:tc>
        <w:tc>
          <w:tcPr>
            <w:tcW w:w="4481" w:type="dxa"/>
            <w:noWrap/>
            <w:hideMark/>
          </w:tcPr>
          <w:p w14:paraId="5FD5BFD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lansoprazole 30 mg enteric capsule, 28</w:t>
            </w:r>
          </w:p>
        </w:tc>
        <w:tc>
          <w:tcPr>
            <w:tcW w:w="1276" w:type="dxa"/>
            <w:noWrap/>
            <w:hideMark/>
          </w:tcPr>
          <w:p w14:paraId="262E7427"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5F2AC11A"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063EE07C" w14:textId="720207B0"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23.34</w:t>
            </w:r>
          </w:p>
        </w:tc>
        <w:tc>
          <w:tcPr>
            <w:tcW w:w="2409" w:type="dxa"/>
            <w:hideMark/>
          </w:tcPr>
          <w:p w14:paraId="7170A91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APO-Lansoprazole </w:t>
            </w:r>
          </w:p>
          <w:p w14:paraId="2E18D86E"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Lanzopran</w:t>
            </w:r>
            <w:proofErr w:type="spellEnd"/>
            <w:r w:rsidRPr="008658B2">
              <w:rPr>
                <w:rFonts w:ascii="Calibri" w:eastAsia="Times New Roman" w:hAnsi="Calibri" w:cs="Calibri"/>
                <w:color w:val="000000"/>
                <w:sz w:val="20"/>
                <w:szCs w:val="20"/>
              </w:rPr>
              <w:t xml:space="preserve"> </w:t>
            </w:r>
          </w:p>
          <w:p w14:paraId="3536A6F3" w14:textId="0A33B3E1"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NOUMED LANSOPRAZOLE </w:t>
            </w:r>
          </w:p>
        </w:tc>
        <w:tc>
          <w:tcPr>
            <w:tcW w:w="2410" w:type="dxa"/>
            <w:hideMark/>
          </w:tcPr>
          <w:p w14:paraId="0CAF9112" w14:textId="4812DA92"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r w:rsidR="007065F6" w:rsidRPr="008658B2" w14:paraId="452BEB7C" w14:textId="77777777" w:rsidTr="007065F6">
        <w:trPr>
          <w:trHeight w:val="280"/>
        </w:trPr>
        <w:tc>
          <w:tcPr>
            <w:tcW w:w="901" w:type="dxa"/>
            <w:noWrap/>
            <w:hideMark/>
          </w:tcPr>
          <w:p w14:paraId="7D16A1F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8332M</w:t>
            </w:r>
          </w:p>
        </w:tc>
        <w:tc>
          <w:tcPr>
            <w:tcW w:w="4481" w:type="dxa"/>
            <w:noWrap/>
            <w:hideMark/>
          </w:tcPr>
          <w:p w14:paraId="6850235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10 mg enteric tablet, 30</w:t>
            </w:r>
          </w:p>
        </w:tc>
        <w:tc>
          <w:tcPr>
            <w:tcW w:w="1276" w:type="dxa"/>
            <w:noWrap/>
            <w:hideMark/>
          </w:tcPr>
          <w:p w14:paraId="6568E42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040659D5"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02B0FECC" w14:textId="52EDD58F"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15.86</w:t>
            </w:r>
          </w:p>
        </w:tc>
        <w:tc>
          <w:tcPr>
            <w:tcW w:w="2409" w:type="dxa"/>
            <w:noWrap/>
            <w:hideMark/>
          </w:tcPr>
          <w:p w14:paraId="5B2B9759" w14:textId="5CDA040D"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Losec</w:t>
            </w:r>
            <w:proofErr w:type="spellEnd"/>
            <w:r w:rsidRPr="008658B2">
              <w:rPr>
                <w:rFonts w:ascii="Calibri" w:eastAsia="Times New Roman" w:hAnsi="Calibri" w:cs="Calibri"/>
                <w:color w:val="000000"/>
                <w:sz w:val="20"/>
                <w:szCs w:val="20"/>
              </w:rPr>
              <w:t xml:space="preserve"> Tablets</w:t>
            </w:r>
          </w:p>
        </w:tc>
        <w:tc>
          <w:tcPr>
            <w:tcW w:w="2410" w:type="dxa"/>
            <w:hideMark/>
          </w:tcPr>
          <w:p w14:paraId="325A16DD" w14:textId="2C7FE858"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Scleroderma oesophagus</w:t>
            </w: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br/>
              <w:t>Zollinger-Ellison syndrome</w:t>
            </w:r>
          </w:p>
        </w:tc>
      </w:tr>
      <w:tr w:rsidR="007065F6" w:rsidRPr="008658B2" w14:paraId="73F6F720" w14:textId="77777777" w:rsidTr="007065F6">
        <w:trPr>
          <w:trHeight w:val="312"/>
        </w:trPr>
        <w:tc>
          <w:tcPr>
            <w:tcW w:w="901" w:type="dxa"/>
            <w:noWrap/>
            <w:hideMark/>
          </w:tcPr>
          <w:p w14:paraId="40F5CDA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8333N</w:t>
            </w:r>
          </w:p>
        </w:tc>
        <w:tc>
          <w:tcPr>
            <w:tcW w:w="4481" w:type="dxa"/>
            <w:noWrap/>
            <w:hideMark/>
          </w:tcPr>
          <w:p w14:paraId="30DFAF8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tablet, 30</w:t>
            </w:r>
          </w:p>
        </w:tc>
        <w:tc>
          <w:tcPr>
            <w:tcW w:w="1276" w:type="dxa"/>
            <w:noWrap/>
            <w:hideMark/>
          </w:tcPr>
          <w:p w14:paraId="105D8D6F"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7007A86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70D533EA" w14:textId="0926BB13"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16.51</w:t>
            </w:r>
          </w:p>
        </w:tc>
        <w:tc>
          <w:tcPr>
            <w:tcW w:w="2409" w:type="dxa"/>
            <w:hideMark/>
          </w:tcPr>
          <w:p w14:paraId="4860D73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APO-Omeprazole </w:t>
            </w:r>
          </w:p>
          <w:p w14:paraId="5867CE58"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Maxor</w:t>
            </w:r>
            <w:proofErr w:type="spellEnd"/>
            <w:r w:rsidRPr="008658B2">
              <w:rPr>
                <w:rFonts w:ascii="Calibri" w:eastAsia="Times New Roman" w:hAnsi="Calibri" w:cs="Calibri"/>
                <w:color w:val="000000"/>
                <w:sz w:val="20"/>
                <w:szCs w:val="20"/>
              </w:rPr>
              <w:t xml:space="preserve"> EC Tabs </w:t>
            </w:r>
          </w:p>
          <w:p w14:paraId="3E357B70" w14:textId="2163F131"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Omeprazole </w:t>
            </w:r>
            <w:proofErr w:type="spellStart"/>
            <w:r w:rsidRPr="008658B2">
              <w:rPr>
                <w:rFonts w:ascii="Calibri" w:eastAsia="Times New Roman" w:hAnsi="Calibri" w:cs="Calibri"/>
                <w:color w:val="000000"/>
                <w:sz w:val="20"/>
                <w:szCs w:val="20"/>
              </w:rPr>
              <w:t>generichealth</w:t>
            </w:r>
            <w:proofErr w:type="spellEnd"/>
            <w:r w:rsidRPr="008658B2">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br/>
            </w:r>
            <w:proofErr w:type="spellStart"/>
            <w:r w:rsidRPr="008658B2">
              <w:rPr>
                <w:rFonts w:ascii="Calibri" w:eastAsia="Times New Roman" w:hAnsi="Calibri" w:cs="Calibri"/>
                <w:color w:val="000000"/>
                <w:sz w:val="20"/>
                <w:szCs w:val="20"/>
              </w:rPr>
              <w:t>Ozmep</w:t>
            </w:r>
            <w:proofErr w:type="spellEnd"/>
          </w:p>
        </w:tc>
        <w:tc>
          <w:tcPr>
            <w:tcW w:w="2410" w:type="dxa"/>
            <w:hideMark/>
          </w:tcPr>
          <w:p w14:paraId="24CD5307" w14:textId="5A6DDBAA"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Scleroderma oesophagus</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Zollinger-Ellison syndrome</w:t>
            </w:r>
          </w:p>
        </w:tc>
      </w:tr>
      <w:tr w:rsidR="007065F6" w:rsidRPr="008658B2" w14:paraId="68A1D909" w14:textId="77777777" w:rsidTr="007065F6">
        <w:trPr>
          <w:trHeight w:val="215"/>
        </w:trPr>
        <w:tc>
          <w:tcPr>
            <w:tcW w:w="901" w:type="dxa"/>
            <w:noWrap/>
            <w:hideMark/>
          </w:tcPr>
          <w:p w14:paraId="647380A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9110L</w:t>
            </w:r>
          </w:p>
        </w:tc>
        <w:tc>
          <w:tcPr>
            <w:tcW w:w="4481" w:type="dxa"/>
            <w:noWrap/>
            <w:hideMark/>
          </w:tcPr>
          <w:p w14:paraId="3E1C8F5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tablet, 30</w:t>
            </w:r>
          </w:p>
        </w:tc>
        <w:tc>
          <w:tcPr>
            <w:tcW w:w="1276" w:type="dxa"/>
            <w:noWrap/>
            <w:hideMark/>
          </w:tcPr>
          <w:p w14:paraId="68B4E229"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7E553700"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262C01B9" w14:textId="2DE37F80"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16.51</w:t>
            </w:r>
          </w:p>
        </w:tc>
        <w:tc>
          <w:tcPr>
            <w:tcW w:w="2409" w:type="dxa"/>
            <w:hideMark/>
          </w:tcPr>
          <w:p w14:paraId="3CD2BD92"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Acimax</w:t>
            </w:r>
            <w:proofErr w:type="spellEnd"/>
            <w:r w:rsidRPr="008658B2">
              <w:rPr>
                <w:rFonts w:ascii="Calibri" w:eastAsia="Times New Roman" w:hAnsi="Calibri" w:cs="Calibri"/>
                <w:color w:val="000000"/>
                <w:sz w:val="20"/>
                <w:szCs w:val="20"/>
              </w:rPr>
              <w:t xml:space="preserve"> Tablets</w:t>
            </w:r>
          </w:p>
          <w:p w14:paraId="42791F1F" w14:textId="3BABD189"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Omepral</w:t>
            </w:r>
            <w:proofErr w:type="spellEnd"/>
            <w:r w:rsidRPr="008658B2">
              <w:rPr>
                <w:rFonts w:ascii="Calibri" w:eastAsia="Times New Roman" w:hAnsi="Calibri" w:cs="Calibri"/>
                <w:color w:val="000000"/>
                <w:sz w:val="20"/>
                <w:szCs w:val="20"/>
              </w:rPr>
              <w:t xml:space="preserve"> </w:t>
            </w:r>
          </w:p>
          <w:p w14:paraId="014AE077" w14:textId="3350EBF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Sandoz</w:t>
            </w:r>
          </w:p>
        </w:tc>
        <w:tc>
          <w:tcPr>
            <w:tcW w:w="2410" w:type="dxa"/>
            <w:hideMark/>
          </w:tcPr>
          <w:p w14:paraId="3091E8EF" w14:textId="468C9223"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Scleroderma oesophagus</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Zollinger-Ellison syndrome</w:t>
            </w:r>
          </w:p>
        </w:tc>
      </w:tr>
      <w:tr w:rsidR="007065F6" w:rsidRPr="008658B2" w14:paraId="3A450C24" w14:textId="77777777" w:rsidTr="007065F6">
        <w:trPr>
          <w:trHeight w:val="1224"/>
        </w:trPr>
        <w:tc>
          <w:tcPr>
            <w:tcW w:w="901" w:type="dxa"/>
            <w:noWrap/>
            <w:hideMark/>
          </w:tcPr>
          <w:p w14:paraId="24102D2A"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1327W</w:t>
            </w:r>
          </w:p>
        </w:tc>
        <w:tc>
          <w:tcPr>
            <w:tcW w:w="4481" w:type="dxa"/>
            <w:noWrap/>
            <w:hideMark/>
          </w:tcPr>
          <w:p w14:paraId="1BA15BD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capsule, 30</w:t>
            </w:r>
          </w:p>
        </w:tc>
        <w:tc>
          <w:tcPr>
            <w:tcW w:w="1276" w:type="dxa"/>
            <w:noWrap/>
            <w:hideMark/>
          </w:tcPr>
          <w:p w14:paraId="184DB1D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77ACFB77"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42380D6D" w14:textId="0B9F22CD"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16.51</w:t>
            </w:r>
          </w:p>
        </w:tc>
        <w:tc>
          <w:tcPr>
            <w:tcW w:w="2409" w:type="dxa"/>
            <w:hideMark/>
          </w:tcPr>
          <w:p w14:paraId="0E0C5AC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APO-Omeprazole</w:t>
            </w:r>
          </w:p>
          <w:p w14:paraId="3A415131"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Maxor</w:t>
            </w:r>
            <w:proofErr w:type="spellEnd"/>
          </w:p>
          <w:p w14:paraId="6E1E3494" w14:textId="51F79751"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Omeprazole Sandoz </w:t>
            </w:r>
          </w:p>
          <w:p w14:paraId="77277F18"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Pemzo</w:t>
            </w:r>
            <w:proofErr w:type="spellEnd"/>
            <w:r w:rsidRPr="008658B2">
              <w:rPr>
                <w:rFonts w:ascii="Calibri" w:eastAsia="Times New Roman" w:hAnsi="Calibri" w:cs="Calibri"/>
                <w:color w:val="000000"/>
                <w:sz w:val="20"/>
                <w:szCs w:val="20"/>
              </w:rPr>
              <w:t xml:space="preserve"> </w:t>
            </w:r>
          </w:p>
          <w:p w14:paraId="7B67D88C" w14:textId="07EA3AB2"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Pharmacor</w:t>
            </w:r>
            <w:proofErr w:type="spellEnd"/>
            <w:r w:rsidRPr="008658B2">
              <w:rPr>
                <w:rFonts w:ascii="Calibri" w:eastAsia="Times New Roman" w:hAnsi="Calibri" w:cs="Calibri"/>
                <w:color w:val="000000"/>
                <w:sz w:val="20"/>
                <w:szCs w:val="20"/>
              </w:rPr>
              <w:t xml:space="preserve"> Omeprazole 20 </w:t>
            </w:r>
            <w:r w:rsidRPr="008658B2">
              <w:rPr>
                <w:rFonts w:ascii="Calibri" w:eastAsia="Times New Roman" w:hAnsi="Calibri" w:cs="Calibri"/>
                <w:color w:val="000000"/>
                <w:sz w:val="20"/>
                <w:szCs w:val="20"/>
              </w:rPr>
              <w:br/>
            </w:r>
            <w:proofErr w:type="spellStart"/>
            <w:r w:rsidRPr="008658B2">
              <w:rPr>
                <w:rFonts w:ascii="Calibri" w:eastAsia="Times New Roman" w:hAnsi="Calibri" w:cs="Calibri"/>
                <w:color w:val="000000"/>
                <w:sz w:val="20"/>
                <w:szCs w:val="20"/>
              </w:rPr>
              <w:t>Probitor</w:t>
            </w:r>
            <w:proofErr w:type="spellEnd"/>
            <w:r w:rsidRPr="008658B2">
              <w:rPr>
                <w:rFonts w:ascii="Calibri" w:eastAsia="Times New Roman" w:hAnsi="Calibri" w:cs="Calibri"/>
                <w:color w:val="000000"/>
                <w:sz w:val="20"/>
                <w:szCs w:val="20"/>
              </w:rPr>
              <w:t xml:space="preserve"> </w:t>
            </w:r>
          </w:p>
        </w:tc>
        <w:tc>
          <w:tcPr>
            <w:tcW w:w="2410" w:type="dxa"/>
            <w:hideMark/>
          </w:tcPr>
          <w:p w14:paraId="59EB7DC6" w14:textId="55F15A6D"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Scleroderma oesophagus</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Zollinger-Ellison syndrome</w:t>
            </w:r>
          </w:p>
        </w:tc>
      </w:tr>
      <w:tr w:rsidR="007065F6" w:rsidRPr="008658B2" w14:paraId="68980711" w14:textId="77777777" w:rsidTr="007065F6">
        <w:trPr>
          <w:trHeight w:val="204"/>
        </w:trPr>
        <w:tc>
          <w:tcPr>
            <w:tcW w:w="901" w:type="dxa"/>
            <w:noWrap/>
            <w:hideMark/>
          </w:tcPr>
          <w:p w14:paraId="05EF9A8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11677N</w:t>
            </w:r>
          </w:p>
        </w:tc>
        <w:tc>
          <w:tcPr>
            <w:tcW w:w="4481" w:type="dxa"/>
            <w:noWrap/>
            <w:hideMark/>
          </w:tcPr>
          <w:p w14:paraId="54089BB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tablet, 30</w:t>
            </w:r>
          </w:p>
        </w:tc>
        <w:tc>
          <w:tcPr>
            <w:tcW w:w="1276" w:type="dxa"/>
            <w:noWrap/>
            <w:hideMark/>
          </w:tcPr>
          <w:p w14:paraId="69499CEE"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4816492D"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1A0220B6" w14:textId="7306C905"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16.51</w:t>
            </w:r>
          </w:p>
        </w:tc>
        <w:tc>
          <w:tcPr>
            <w:tcW w:w="2409" w:type="dxa"/>
            <w:noWrap/>
            <w:hideMark/>
          </w:tcPr>
          <w:p w14:paraId="3E7F1D09"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Acimax</w:t>
            </w:r>
            <w:proofErr w:type="spellEnd"/>
            <w:r w:rsidRPr="008658B2">
              <w:rPr>
                <w:rFonts w:ascii="Calibri" w:eastAsia="Times New Roman" w:hAnsi="Calibri" w:cs="Calibri"/>
                <w:color w:val="000000"/>
                <w:sz w:val="20"/>
                <w:szCs w:val="20"/>
              </w:rPr>
              <w:t xml:space="preserve"> Tablets</w:t>
            </w:r>
          </w:p>
          <w:p w14:paraId="5219B8B8"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Omepral</w:t>
            </w:r>
            <w:proofErr w:type="spellEnd"/>
          </w:p>
          <w:p w14:paraId="5EADA608" w14:textId="4CD04573"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lastRenderedPageBreak/>
              <w:t>Omeprazole Sandoz</w:t>
            </w:r>
          </w:p>
        </w:tc>
        <w:tc>
          <w:tcPr>
            <w:tcW w:w="2410" w:type="dxa"/>
            <w:noWrap/>
            <w:hideMark/>
          </w:tcPr>
          <w:p w14:paraId="46C7586C" w14:textId="7C9704C0"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lastRenderedPageBreak/>
              <w:t>GORD</w:t>
            </w:r>
          </w:p>
        </w:tc>
      </w:tr>
    </w:tbl>
    <w:p w14:paraId="001C6B0E" w14:textId="77777777" w:rsidR="007065F6" w:rsidRDefault="007065F6"/>
    <w:tbl>
      <w:tblPr>
        <w:tblStyle w:val="TableGrid"/>
        <w:tblW w:w="13183" w:type="dxa"/>
        <w:tblLook w:val="04A0" w:firstRow="1" w:lastRow="0" w:firstColumn="1" w:lastColumn="0" w:noHBand="0" w:noVBand="1"/>
      </w:tblPr>
      <w:tblGrid>
        <w:gridCol w:w="901"/>
        <w:gridCol w:w="4481"/>
        <w:gridCol w:w="1276"/>
        <w:gridCol w:w="713"/>
        <w:gridCol w:w="993"/>
        <w:gridCol w:w="2409"/>
        <w:gridCol w:w="2410"/>
      </w:tblGrid>
      <w:tr w:rsidR="007065F6" w:rsidRPr="008658B2" w14:paraId="358F3CFC" w14:textId="77777777" w:rsidTr="007065F6">
        <w:trPr>
          <w:trHeight w:val="204"/>
        </w:trPr>
        <w:tc>
          <w:tcPr>
            <w:tcW w:w="901" w:type="dxa"/>
            <w:shd w:val="clear" w:color="auto" w:fill="BFBFBF" w:themeFill="background1" w:themeFillShade="BF"/>
            <w:noWrap/>
          </w:tcPr>
          <w:p w14:paraId="212129F4" w14:textId="48F0CC0F"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Item</w:t>
            </w:r>
          </w:p>
        </w:tc>
        <w:tc>
          <w:tcPr>
            <w:tcW w:w="4481" w:type="dxa"/>
            <w:shd w:val="clear" w:color="auto" w:fill="BFBFBF" w:themeFill="background1" w:themeFillShade="BF"/>
            <w:noWrap/>
          </w:tcPr>
          <w:p w14:paraId="10533BED" w14:textId="58D12541"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Name, form &amp; strength, pack size</w:t>
            </w:r>
          </w:p>
        </w:tc>
        <w:tc>
          <w:tcPr>
            <w:tcW w:w="1276" w:type="dxa"/>
            <w:shd w:val="clear" w:color="auto" w:fill="BFBFBF" w:themeFill="background1" w:themeFillShade="BF"/>
            <w:noWrap/>
          </w:tcPr>
          <w:p w14:paraId="642EB51C" w14:textId="6A8F053A"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Max. quant.</w:t>
            </w:r>
          </w:p>
        </w:tc>
        <w:tc>
          <w:tcPr>
            <w:tcW w:w="713" w:type="dxa"/>
            <w:shd w:val="clear" w:color="auto" w:fill="BFBFBF" w:themeFill="background1" w:themeFillShade="BF"/>
            <w:noWrap/>
          </w:tcPr>
          <w:p w14:paraId="6EE6CDFC" w14:textId="0BC88161" w:rsidR="007065F6" w:rsidRPr="008658B2" w:rsidRDefault="007065F6" w:rsidP="007065F6">
            <w:pPr>
              <w:jc w:val="center"/>
              <w:rPr>
                <w:rFonts w:ascii="Calibri" w:eastAsia="Times New Roman" w:hAnsi="Calibri" w:cs="Calibri"/>
                <w:color w:val="000000"/>
                <w:sz w:val="20"/>
                <w:szCs w:val="20"/>
              </w:rPr>
            </w:pPr>
            <w:proofErr w:type="spellStart"/>
            <w:r w:rsidRPr="008658B2">
              <w:rPr>
                <w:rFonts w:ascii="Calibri" w:eastAsia="Times New Roman" w:hAnsi="Calibri" w:cs="Calibri"/>
                <w:b/>
                <w:bCs/>
                <w:color w:val="000000"/>
                <w:sz w:val="20"/>
                <w:szCs w:val="20"/>
              </w:rPr>
              <w:t>Rpts</w:t>
            </w:r>
            <w:proofErr w:type="spellEnd"/>
          </w:p>
        </w:tc>
        <w:tc>
          <w:tcPr>
            <w:tcW w:w="993" w:type="dxa"/>
            <w:shd w:val="clear" w:color="auto" w:fill="BFBFBF" w:themeFill="background1" w:themeFillShade="BF"/>
            <w:noWrap/>
          </w:tcPr>
          <w:p w14:paraId="27791C15" w14:textId="26180AA8" w:rsidR="007065F6"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DPMQ</w:t>
            </w:r>
          </w:p>
        </w:tc>
        <w:tc>
          <w:tcPr>
            <w:tcW w:w="2409" w:type="dxa"/>
            <w:shd w:val="clear" w:color="auto" w:fill="BFBFBF" w:themeFill="background1" w:themeFillShade="BF"/>
            <w:noWrap/>
          </w:tcPr>
          <w:p w14:paraId="6C371BE1" w14:textId="17A6BB6C"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Brand name</w:t>
            </w:r>
          </w:p>
        </w:tc>
        <w:tc>
          <w:tcPr>
            <w:tcW w:w="2410" w:type="dxa"/>
            <w:shd w:val="clear" w:color="auto" w:fill="BFBFBF" w:themeFill="background1" w:themeFillShade="BF"/>
            <w:noWrap/>
          </w:tcPr>
          <w:p w14:paraId="1935872B" w14:textId="36FCB489"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Indication</w:t>
            </w:r>
          </w:p>
        </w:tc>
      </w:tr>
      <w:tr w:rsidR="007065F6" w:rsidRPr="008658B2" w14:paraId="437AA4E7" w14:textId="77777777" w:rsidTr="007065F6">
        <w:trPr>
          <w:trHeight w:val="204"/>
        </w:trPr>
        <w:tc>
          <w:tcPr>
            <w:tcW w:w="901" w:type="dxa"/>
            <w:noWrap/>
            <w:hideMark/>
          </w:tcPr>
          <w:p w14:paraId="2B53FD3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11683X</w:t>
            </w:r>
          </w:p>
        </w:tc>
        <w:tc>
          <w:tcPr>
            <w:tcW w:w="4481" w:type="dxa"/>
            <w:noWrap/>
            <w:hideMark/>
          </w:tcPr>
          <w:p w14:paraId="5026830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tablet, 30</w:t>
            </w:r>
          </w:p>
        </w:tc>
        <w:tc>
          <w:tcPr>
            <w:tcW w:w="1276" w:type="dxa"/>
            <w:noWrap/>
            <w:hideMark/>
          </w:tcPr>
          <w:p w14:paraId="707E2931"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32FF21B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00BDD030" w14:textId="665AA7A5"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16.51</w:t>
            </w:r>
          </w:p>
        </w:tc>
        <w:tc>
          <w:tcPr>
            <w:tcW w:w="2409" w:type="dxa"/>
            <w:noWrap/>
            <w:hideMark/>
          </w:tcPr>
          <w:p w14:paraId="317C738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APO-Omeprazole</w:t>
            </w:r>
          </w:p>
          <w:p w14:paraId="01C76CA8" w14:textId="3FB2EC72"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Maxor</w:t>
            </w:r>
            <w:proofErr w:type="spellEnd"/>
            <w:r w:rsidRPr="008658B2">
              <w:rPr>
                <w:rFonts w:ascii="Calibri" w:eastAsia="Times New Roman" w:hAnsi="Calibri" w:cs="Calibri"/>
                <w:color w:val="000000"/>
                <w:sz w:val="20"/>
                <w:szCs w:val="20"/>
              </w:rPr>
              <w:t xml:space="preserve"> EC Tabs </w:t>
            </w:r>
          </w:p>
          <w:p w14:paraId="0CE87F55" w14:textId="6BBB4BFB"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Omeprazole </w:t>
            </w:r>
            <w:proofErr w:type="spellStart"/>
            <w:r w:rsidRPr="008658B2">
              <w:rPr>
                <w:rFonts w:ascii="Calibri" w:eastAsia="Times New Roman" w:hAnsi="Calibri" w:cs="Calibri"/>
                <w:color w:val="000000"/>
                <w:sz w:val="20"/>
                <w:szCs w:val="20"/>
              </w:rPr>
              <w:t>generichealth</w:t>
            </w:r>
            <w:proofErr w:type="spellEnd"/>
            <w:r w:rsidRPr="008658B2">
              <w:rPr>
                <w:rFonts w:ascii="Calibri" w:eastAsia="Times New Roman" w:hAnsi="Calibri" w:cs="Calibri"/>
                <w:color w:val="000000"/>
                <w:sz w:val="20"/>
                <w:szCs w:val="20"/>
              </w:rPr>
              <w:t xml:space="preserve"> </w:t>
            </w:r>
          </w:p>
        </w:tc>
        <w:tc>
          <w:tcPr>
            <w:tcW w:w="2410" w:type="dxa"/>
            <w:noWrap/>
            <w:hideMark/>
          </w:tcPr>
          <w:p w14:paraId="4E6994B4" w14:textId="7964347C"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7065F6" w:rsidRPr="008658B2" w14:paraId="7EF2A42B" w14:textId="77777777" w:rsidTr="007065F6">
        <w:trPr>
          <w:trHeight w:val="204"/>
        </w:trPr>
        <w:tc>
          <w:tcPr>
            <w:tcW w:w="901" w:type="dxa"/>
            <w:noWrap/>
            <w:hideMark/>
          </w:tcPr>
          <w:p w14:paraId="53151C77"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11682W</w:t>
            </w:r>
          </w:p>
        </w:tc>
        <w:tc>
          <w:tcPr>
            <w:tcW w:w="4481" w:type="dxa"/>
            <w:noWrap/>
            <w:hideMark/>
          </w:tcPr>
          <w:p w14:paraId="6BF1E64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capsule, 30</w:t>
            </w:r>
          </w:p>
        </w:tc>
        <w:tc>
          <w:tcPr>
            <w:tcW w:w="1276" w:type="dxa"/>
            <w:noWrap/>
            <w:hideMark/>
          </w:tcPr>
          <w:p w14:paraId="3A1D3FD0"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0F25E39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3B99915E" w14:textId="3EDE5542"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16.51</w:t>
            </w:r>
          </w:p>
        </w:tc>
        <w:tc>
          <w:tcPr>
            <w:tcW w:w="2409" w:type="dxa"/>
            <w:noWrap/>
            <w:hideMark/>
          </w:tcPr>
          <w:p w14:paraId="613BC4D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APO-Omeprazole</w:t>
            </w:r>
          </w:p>
          <w:p w14:paraId="158C4DB9"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Maxor</w:t>
            </w:r>
            <w:proofErr w:type="spellEnd"/>
            <w:r w:rsidRPr="008658B2">
              <w:rPr>
                <w:rFonts w:ascii="Calibri" w:eastAsia="Times New Roman" w:hAnsi="Calibri" w:cs="Calibri"/>
                <w:color w:val="000000"/>
                <w:sz w:val="20"/>
                <w:szCs w:val="20"/>
              </w:rPr>
              <w:t xml:space="preserve"> </w:t>
            </w:r>
          </w:p>
          <w:p w14:paraId="353F744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Omeprazole Sandoz </w:t>
            </w:r>
          </w:p>
          <w:p w14:paraId="3CB1AE70"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Pemzo</w:t>
            </w:r>
            <w:proofErr w:type="spellEnd"/>
            <w:r w:rsidRPr="008658B2">
              <w:rPr>
                <w:rFonts w:ascii="Calibri" w:eastAsia="Times New Roman" w:hAnsi="Calibri" w:cs="Calibri"/>
                <w:color w:val="000000"/>
                <w:sz w:val="20"/>
                <w:szCs w:val="20"/>
              </w:rPr>
              <w:t xml:space="preserve"> </w:t>
            </w:r>
          </w:p>
          <w:p w14:paraId="0D6A97BF" w14:textId="6FFF7B8F"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Pharmacor</w:t>
            </w:r>
            <w:proofErr w:type="spellEnd"/>
            <w:r w:rsidRPr="008658B2">
              <w:rPr>
                <w:rFonts w:ascii="Calibri" w:eastAsia="Times New Roman" w:hAnsi="Calibri" w:cs="Calibri"/>
                <w:color w:val="000000"/>
                <w:sz w:val="20"/>
                <w:szCs w:val="20"/>
              </w:rPr>
              <w:t xml:space="preserve"> Omeprazole</w:t>
            </w:r>
          </w:p>
        </w:tc>
        <w:tc>
          <w:tcPr>
            <w:tcW w:w="2410" w:type="dxa"/>
            <w:noWrap/>
            <w:hideMark/>
          </w:tcPr>
          <w:p w14:paraId="4D4C30A2" w14:textId="3B0F05F6"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7065F6" w:rsidRPr="008658B2" w14:paraId="49878201" w14:textId="77777777" w:rsidTr="007065F6">
        <w:trPr>
          <w:trHeight w:val="408"/>
        </w:trPr>
        <w:tc>
          <w:tcPr>
            <w:tcW w:w="901" w:type="dxa"/>
            <w:noWrap/>
            <w:hideMark/>
          </w:tcPr>
          <w:p w14:paraId="3D910659"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8331L</w:t>
            </w:r>
          </w:p>
        </w:tc>
        <w:tc>
          <w:tcPr>
            <w:tcW w:w="4481" w:type="dxa"/>
            <w:noWrap/>
            <w:hideMark/>
          </w:tcPr>
          <w:p w14:paraId="7FAD609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tablet, 30</w:t>
            </w:r>
          </w:p>
        </w:tc>
        <w:tc>
          <w:tcPr>
            <w:tcW w:w="1276" w:type="dxa"/>
            <w:noWrap/>
            <w:hideMark/>
          </w:tcPr>
          <w:p w14:paraId="395E8B85"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7B1B3612"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5DF638B0" w14:textId="7279A987"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16.51</w:t>
            </w:r>
          </w:p>
        </w:tc>
        <w:tc>
          <w:tcPr>
            <w:tcW w:w="2409" w:type="dxa"/>
            <w:hideMark/>
          </w:tcPr>
          <w:p w14:paraId="7BD37EC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APO-Omeprazole</w:t>
            </w:r>
          </w:p>
          <w:p w14:paraId="066D6241"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Maxor</w:t>
            </w:r>
            <w:proofErr w:type="spellEnd"/>
            <w:r w:rsidRPr="008658B2">
              <w:rPr>
                <w:rFonts w:ascii="Calibri" w:eastAsia="Times New Roman" w:hAnsi="Calibri" w:cs="Calibri"/>
                <w:color w:val="000000"/>
                <w:sz w:val="20"/>
                <w:szCs w:val="20"/>
              </w:rPr>
              <w:t xml:space="preserve"> EC Tabs</w:t>
            </w:r>
          </w:p>
          <w:p w14:paraId="49E9A45C" w14:textId="5B527C0A"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Omeprazole </w:t>
            </w:r>
            <w:proofErr w:type="spellStart"/>
            <w:r w:rsidRPr="008658B2">
              <w:rPr>
                <w:rFonts w:ascii="Calibri" w:eastAsia="Times New Roman" w:hAnsi="Calibri" w:cs="Calibri"/>
                <w:color w:val="000000"/>
                <w:sz w:val="20"/>
                <w:szCs w:val="20"/>
              </w:rPr>
              <w:t>generichealth</w:t>
            </w:r>
            <w:proofErr w:type="spellEnd"/>
            <w:r w:rsidRPr="008658B2">
              <w:rPr>
                <w:rFonts w:ascii="Calibri" w:eastAsia="Times New Roman" w:hAnsi="Calibri" w:cs="Calibri"/>
                <w:color w:val="000000"/>
                <w:sz w:val="20"/>
                <w:szCs w:val="20"/>
              </w:rPr>
              <w:t xml:space="preserve"> </w:t>
            </w:r>
          </w:p>
        </w:tc>
        <w:tc>
          <w:tcPr>
            <w:tcW w:w="2410" w:type="dxa"/>
            <w:hideMark/>
          </w:tcPr>
          <w:p w14:paraId="235330E5" w14:textId="0D3D5144"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Peptic ulcer, GORD</w:t>
            </w:r>
          </w:p>
        </w:tc>
      </w:tr>
      <w:tr w:rsidR="007065F6" w:rsidRPr="008658B2" w14:paraId="741C76E2" w14:textId="77777777" w:rsidTr="007065F6">
        <w:trPr>
          <w:trHeight w:val="204"/>
        </w:trPr>
        <w:tc>
          <w:tcPr>
            <w:tcW w:w="901" w:type="dxa"/>
            <w:noWrap/>
            <w:hideMark/>
          </w:tcPr>
          <w:p w14:paraId="6E933EC5"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9109K</w:t>
            </w:r>
          </w:p>
        </w:tc>
        <w:tc>
          <w:tcPr>
            <w:tcW w:w="4481" w:type="dxa"/>
            <w:noWrap/>
            <w:hideMark/>
          </w:tcPr>
          <w:p w14:paraId="21DC06A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tablet, 30</w:t>
            </w:r>
          </w:p>
        </w:tc>
        <w:tc>
          <w:tcPr>
            <w:tcW w:w="1276" w:type="dxa"/>
            <w:noWrap/>
            <w:hideMark/>
          </w:tcPr>
          <w:p w14:paraId="10F8DF1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3693FAD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660B7A8C" w14:textId="4069971B"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16.51</w:t>
            </w:r>
          </w:p>
        </w:tc>
        <w:tc>
          <w:tcPr>
            <w:tcW w:w="2409" w:type="dxa"/>
            <w:noWrap/>
            <w:hideMark/>
          </w:tcPr>
          <w:p w14:paraId="2E80463F"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Acimax</w:t>
            </w:r>
            <w:proofErr w:type="spellEnd"/>
            <w:r w:rsidRPr="008658B2">
              <w:rPr>
                <w:rFonts w:ascii="Calibri" w:eastAsia="Times New Roman" w:hAnsi="Calibri" w:cs="Calibri"/>
                <w:color w:val="000000"/>
                <w:sz w:val="20"/>
                <w:szCs w:val="20"/>
              </w:rPr>
              <w:t xml:space="preserve"> Tablets </w:t>
            </w:r>
          </w:p>
          <w:p w14:paraId="2654FA6C" w14:textId="78D70A45"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Omepral</w:t>
            </w:r>
            <w:proofErr w:type="spellEnd"/>
            <w:r w:rsidRPr="008658B2">
              <w:rPr>
                <w:rFonts w:ascii="Calibri" w:eastAsia="Times New Roman" w:hAnsi="Calibri" w:cs="Calibri"/>
                <w:color w:val="000000"/>
                <w:sz w:val="20"/>
                <w:szCs w:val="20"/>
              </w:rPr>
              <w:t xml:space="preserve"> </w:t>
            </w:r>
          </w:p>
          <w:p w14:paraId="616948A4" w14:textId="27D06051"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Omeprazole Sandoz </w:t>
            </w:r>
          </w:p>
        </w:tc>
        <w:tc>
          <w:tcPr>
            <w:tcW w:w="2410" w:type="dxa"/>
            <w:hideMark/>
          </w:tcPr>
          <w:p w14:paraId="1F14981E" w14:textId="72A0F2B2"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Peptic ulcer, GORD</w:t>
            </w:r>
          </w:p>
        </w:tc>
      </w:tr>
      <w:tr w:rsidR="007065F6" w:rsidRPr="008658B2" w14:paraId="5B9B998C" w14:textId="77777777" w:rsidTr="007065F6">
        <w:trPr>
          <w:trHeight w:val="204"/>
        </w:trPr>
        <w:tc>
          <w:tcPr>
            <w:tcW w:w="901" w:type="dxa"/>
            <w:noWrap/>
            <w:hideMark/>
          </w:tcPr>
          <w:p w14:paraId="0309C0F4"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1326T</w:t>
            </w:r>
          </w:p>
        </w:tc>
        <w:tc>
          <w:tcPr>
            <w:tcW w:w="4481" w:type="dxa"/>
            <w:noWrap/>
            <w:hideMark/>
          </w:tcPr>
          <w:p w14:paraId="283C061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capsule, 30</w:t>
            </w:r>
          </w:p>
        </w:tc>
        <w:tc>
          <w:tcPr>
            <w:tcW w:w="1276" w:type="dxa"/>
            <w:noWrap/>
            <w:hideMark/>
          </w:tcPr>
          <w:p w14:paraId="21C1813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1786C697"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287D5DC2" w14:textId="2DD6B26A"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16.51</w:t>
            </w:r>
          </w:p>
        </w:tc>
        <w:tc>
          <w:tcPr>
            <w:tcW w:w="2409" w:type="dxa"/>
            <w:noWrap/>
            <w:hideMark/>
          </w:tcPr>
          <w:p w14:paraId="716E0544"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APO-Omeprazole</w:t>
            </w:r>
          </w:p>
          <w:p w14:paraId="0BB18C65" w14:textId="41E50F7E"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Maxor</w:t>
            </w:r>
            <w:proofErr w:type="spellEnd"/>
          </w:p>
          <w:p w14:paraId="732B6D6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Sandoz</w:t>
            </w:r>
          </w:p>
          <w:p w14:paraId="5E05A113"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Pemzo</w:t>
            </w:r>
            <w:proofErr w:type="spellEnd"/>
          </w:p>
          <w:p w14:paraId="6C829937" w14:textId="33E55ABE"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Pharmacor</w:t>
            </w:r>
            <w:proofErr w:type="spellEnd"/>
            <w:r w:rsidRPr="008658B2">
              <w:rPr>
                <w:rFonts w:ascii="Calibri" w:eastAsia="Times New Roman" w:hAnsi="Calibri" w:cs="Calibri"/>
                <w:color w:val="000000"/>
                <w:sz w:val="20"/>
                <w:szCs w:val="20"/>
              </w:rPr>
              <w:t xml:space="preserve"> Omeprazole 20</w:t>
            </w:r>
          </w:p>
        </w:tc>
        <w:tc>
          <w:tcPr>
            <w:tcW w:w="2410" w:type="dxa"/>
            <w:hideMark/>
          </w:tcPr>
          <w:p w14:paraId="693CC698" w14:textId="3DE82BCE"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Peptic ulcer, GORD</w:t>
            </w:r>
          </w:p>
        </w:tc>
      </w:tr>
      <w:tr w:rsidR="007065F6" w:rsidRPr="008658B2" w14:paraId="7AA30AB2" w14:textId="77777777" w:rsidTr="007065F6">
        <w:trPr>
          <w:trHeight w:val="204"/>
        </w:trPr>
        <w:tc>
          <w:tcPr>
            <w:tcW w:w="901" w:type="dxa"/>
            <w:noWrap/>
            <w:hideMark/>
          </w:tcPr>
          <w:p w14:paraId="7B5E7203"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12270T</w:t>
            </w:r>
          </w:p>
        </w:tc>
        <w:tc>
          <w:tcPr>
            <w:tcW w:w="4481" w:type="dxa"/>
            <w:noWrap/>
            <w:hideMark/>
          </w:tcPr>
          <w:p w14:paraId="7148DB5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tablet, 30</w:t>
            </w:r>
          </w:p>
        </w:tc>
        <w:tc>
          <w:tcPr>
            <w:tcW w:w="1276" w:type="dxa"/>
            <w:noWrap/>
            <w:hideMark/>
          </w:tcPr>
          <w:p w14:paraId="13139B5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723BCA8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7AD64A8D" w14:textId="20874A8D"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20.94</w:t>
            </w:r>
          </w:p>
        </w:tc>
        <w:tc>
          <w:tcPr>
            <w:tcW w:w="2409" w:type="dxa"/>
            <w:noWrap/>
            <w:hideMark/>
          </w:tcPr>
          <w:p w14:paraId="08F98433"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Acimax</w:t>
            </w:r>
            <w:proofErr w:type="spellEnd"/>
            <w:r w:rsidRPr="008658B2">
              <w:rPr>
                <w:rFonts w:ascii="Calibri" w:eastAsia="Times New Roman" w:hAnsi="Calibri" w:cs="Calibri"/>
                <w:color w:val="000000"/>
                <w:sz w:val="20"/>
                <w:szCs w:val="20"/>
              </w:rPr>
              <w:t xml:space="preserve"> Tablets</w:t>
            </w:r>
          </w:p>
          <w:p w14:paraId="648C6C3A"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Omepral</w:t>
            </w:r>
            <w:proofErr w:type="spellEnd"/>
            <w:r w:rsidRPr="008658B2">
              <w:rPr>
                <w:rFonts w:ascii="Calibri" w:eastAsia="Times New Roman" w:hAnsi="Calibri" w:cs="Calibri"/>
                <w:color w:val="000000"/>
                <w:sz w:val="20"/>
                <w:szCs w:val="20"/>
              </w:rPr>
              <w:t xml:space="preserve"> </w:t>
            </w:r>
          </w:p>
          <w:p w14:paraId="09F7006E" w14:textId="5807B85B"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Sandoz</w:t>
            </w:r>
          </w:p>
        </w:tc>
        <w:tc>
          <w:tcPr>
            <w:tcW w:w="2410" w:type="dxa"/>
            <w:noWrap/>
            <w:hideMark/>
          </w:tcPr>
          <w:p w14:paraId="63D84384" w14:textId="10446F4E"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r w:rsidR="007065F6" w:rsidRPr="008658B2" w14:paraId="3A63A1B6" w14:textId="77777777" w:rsidTr="007065F6">
        <w:trPr>
          <w:trHeight w:val="204"/>
        </w:trPr>
        <w:tc>
          <w:tcPr>
            <w:tcW w:w="901" w:type="dxa"/>
            <w:noWrap/>
            <w:hideMark/>
          </w:tcPr>
          <w:p w14:paraId="5BDE5682"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12272X</w:t>
            </w:r>
          </w:p>
        </w:tc>
        <w:tc>
          <w:tcPr>
            <w:tcW w:w="4481" w:type="dxa"/>
            <w:noWrap/>
            <w:hideMark/>
          </w:tcPr>
          <w:p w14:paraId="7BA99F33"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tablet, 30</w:t>
            </w:r>
          </w:p>
        </w:tc>
        <w:tc>
          <w:tcPr>
            <w:tcW w:w="1276" w:type="dxa"/>
            <w:noWrap/>
            <w:hideMark/>
          </w:tcPr>
          <w:p w14:paraId="354D6FE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76CA9482"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54B023C8" w14:textId="0143C5FD"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20.94</w:t>
            </w:r>
          </w:p>
        </w:tc>
        <w:tc>
          <w:tcPr>
            <w:tcW w:w="2409" w:type="dxa"/>
            <w:hideMark/>
          </w:tcPr>
          <w:p w14:paraId="00063A1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APO-Omeprazole </w:t>
            </w:r>
          </w:p>
          <w:p w14:paraId="3EC98EDD"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Maxor</w:t>
            </w:r>
            <w:proofErr w:type="spellEnd"/>
            <w:r w:rsidRPr="008658B2">
              <w:rPr>
                <w:rFonts w:ascii="Calibri" w:eastAsia="Times New Roman" w:hAnsi="Calibri" w:cs="Calibri"/>
                <w:color w:val="000000"/>
                <w:sz w:val="20"/>
                <w:szCs w:val="20"/>
              </w:rPr>
              <w:t xml:space="preserve"> EC Tabs </w:t>
            </w:r>
          </w:p>
          <w:p w14:paraId="04598082" w14:textId="2BA93EF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Omeprazole </w:t>
            </w:r>
            <w:proofErr w:type="spellStart"/>
            <w:r w:rsidRPr="008658B2">
              <w:rPr>
                <w:rFonts w:ascii="Calibri" w:eastAsia="Times New Roman" w:hAnsi="Calibri" w:cs="Calibri"/>
                <w:color w:val="000000"/>
                <w:sz w:val="20"/>
                <w:szCs w:val="20"/>
              </w:rPr>
              <w:t>generichealth</w:t>
            </w:r>
            <w:proofErr w:type="spellEnd"/>
            <w:r w:rsidRPr="008658B2">
              <w:rPr>
                <w:rFonts w:ascii="Calibri" w:eastAsia="Times New Roman" w:hAnsi="Calibri" w:cs="Calibri"/>
                <w:color w:val="000000"/>
                <w:sz w:val="20"/>
                <w:szCs w:val="20"/>
              </w:rPr>
              <w:t xml:space="preserve"> </w:t>
            </w:r>
          </w:p>
        </w:tc>
        <w:tc>
          <w:tcPr>
            <w:tcW w:w="2410" w:type="dxa"/>
            <w:hideMark/>
          </w:tcPr>
          <w:p w14:paraId="78A3AE53" w14:textId="314ADA00"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r w:rsidR="007065F6" w:rsidRPr="008658B2" w14:paraId="00E7087C" w14:textId="77777777" w:rsidTr="007065F6">
        <w:trPr>
          <w:trHeight w:val="408"/>
        </w:trPr>
        <w:tc>
          <w:tcPr>
            <w:tcW w:w="901" w:type="dxa"/>
            <w:noWrap/>
            <w:hideMark/>
          </w:tcPr>
          <w:p w14:paraId="1B3F8AD3"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12281J</w:t>
            </w:r>
          </w:p>
        </w:tc>
        <w:tc>
          <w:tcPr>
            <w:tcW w:w="4481" w:type="dxa"/>
            <w:noWrap/>
            <w:hideMark/>
          </w:tcPr>
          <w:p w14:paraId="6FBD93F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omeprazole 20 mg enteric capsule, 30</w:t>
            </w:r>
          </w:p>
        </w:tc>
        <w:tc>
          <w:tcPr>
            <w:tcW w:w="1276" w:type="dxa"/>
            <w:noWrap/>
            <w:hideMark/>
          </w:tcPr>
          <w:p w14:paraId="56E290B2"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4CD5E364"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44814E4B" w14:textId="200F2852"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20.94</w:t>
            </w:r>
          </w:p>
        </w:tc>
        <w:tc>
          <w:tcPr>
            <w:tcW w:w="2409" w:type="dxa"/>
            <w:hideMark/>
          </w:tcPr>
          <w:p w14:paraId="42319AB3" w14:textId="04088A5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APO-Omeprazole </w:t>
            </w:r>
          </w:p>
          <w:p w14:paraId="65E2D0D5"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Maxor</w:t>
            </w:r>
            <w:proofErr w:type="spellEnd"/>
            <w:r w:rsidRPr="008658B2">
              <w:rPr>
                <w:rFonts w:ascii="Calibri" w:eastAsia="Times New Roman" w:hAnsi="Calibri" w:cs="Calibri"/>
                <w:color w:val="000000"/>
                <w:sz w:val="20"/>
                <w:szCs w:val="20"/>
              </w:rPr>
              <w:t xml:space="preserve"> </w:t>
            </w:r>
          </w:p>
          <w:p w14:paraId="4A8E59A4"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Omeprazole Sandoz </w:t>
            </w:r>
          </w:p>
          <w:p w14:paraId="0B6E6E72"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Pemzo</w:t>
            </w:r>
            <w:proofErr w:type="spellEnd"/>
            <w:r w:rsidRPr="008658B2">
              <w:rPr>
                <w:rFonts w:ascii="Calibri" w:eastAsia="Times New Roman" w:hAnsi="Calibri" w:cs="Calibri"/>
                <w:color w:val="000000"/>
                <w:sz w:val="20"/>
                <w:szCs w:val="20"/>
              </w:rPr>
              <w:t xml:space="preserve"> </w:t>
            </w:r>
          </w:p>
          <w:p w14:paraId="2FA55A5B" w14:textId="72CEEBAE"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Pharmacor</w:t>
            </w:r>
            <w:proofErr w:type="spellEnd"/>
            <w:r w:rsidRPr="008658B2">
              <w:rPr>
                <w:rFonts w:ascii="Calibri" w:eastAsia="Times New Roman" w:hAnsi="Calibri" w:cs="Calibri"/>
                <w:color w:val="000000"/>
                <w:sz w:val="20"/>
                <w:szCs w:val="20"/>
              </w:rPr>
              <w:t xml:space="preserve"> Omeprazole 20 </w:t>
            </w:r>
          </w:p>
        </w:tc>
        <w:tc>
          <w:tcPr>
            <w:tcW w:w="2410" w:type="dxa"/>
            <w:hideMark/>
          </w:tcPr>
          <w:p w14:paraId="758816FE" w14:textId="7035D1C5"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bl>
    <w:p w14:paraId="7270D4EE" w14:textId="55CFD6E7" w:rsidR="007065F6" w:rsidRDefault="007065F6"/>
    <w:p w14:paraId="217439E1" w14:textId="77777777" w:rsidR="007065F6" w:rsidRDefault="007065F6"/>
    <w:tbl>
      <w:tblPr>
        <w:tblStyle w:val="TableGrid"/>
        <w:tblW w:w="13183" w:type="dxa"/>
        <w:tblLook w:val="04A0" w:firstRow="1" w:lastRow="0" w:firstColumn="1" w:lastColumn="0" w:noHBand="0" w:noVBand="1"/>
      </w:tblPr>
      <w:tblGrid>
        <w:gridCol w:w="901"/>
        <w:gridCol w:w="4481"/>
        <w:gridCol w:w="1276"/>
        <w:gridCol w:w="713"/>
        <w:gridCol w:w="993"/>
        <w:gridCol w:w="2409"/>
        <w:gridCol w:w="2410"/>
      </w:tblGrid>
      <w:tr w:rsidR="007065F6" w:rsidRPr="008658B2" w14:paraId="6FF8AF5F" w14:textId="77777777" w:rsidTr="007065F6">
        <w:trPr>
          <w:trHeight w:val="64"/>
        </w:trPr>
        <w:tc>
          <w:tcPr>
            <w:tcW w:w="901" w:type="dxa"/>
            <w:shd w:val="clear" w:color="auto" w:fill="BFBFBF" w:themeFill="background1" w:themeFillShade="BF"/>
            <w:noWrap/>
          </w:tcPr>
          <w:p w14:paraId="654BD440" w14:textId="529B2800"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Item</w:t>
            </w:r>
          </w:p>
        </w:tc>
        <w:tc>
          <w:tcPr>
            <w:tcW w:w="4481" w:type="dxa"/>
            <w:shd w:val="clear" w:color="auto" w:fill="BFBFBF" w:themeFill="background1" w:themeFillShade="BF"/>
            <w:noWrap/>
          </w:tcPr>
          <w:p w14:paraId="291A9011" w14:textId="255A6EBB"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Name, form &amp; strength, pack size</w:t>
            </w:r>
          </w:p>
        </w:tc>
        <w:tc>
          <w:tcPr>
            <w:tcW w:w="1276" w:type="dxa"/>
            <w:shd w:val="clear" w:color="auto" w:fill="BFBFBF" w:themeFill="background1" w:themeFillShade="BF"/>
            <w:noWrap/>
          </w:tcPr>
          <w:p w14:paraId="7B159677" w14:textId="1956B089"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Max. quant.</w:t>
            </w:r>
          </w:p>
        </w:tc>
        <w:tc>
          <w:tcPr>
            <w:tcW w:w="713" w:type="dxa"/>
            <w:shd w:val="clear" w:color="auto" w:fill="BFBFBF" w:themeFill="background1" w:themeFillShade="BF"/>
            <w:noWrap/>
          </w:tcPr>
          <w:p w14:paraId="063A5F93" w14:textId="2DBF3EE1" w:rsidR="007065F6" w:rsidRPr="008658B2" w:rsidRDefault="007065F6" w:rsidP="007065F6">
            <w:pPr>
              <w:jc w:val="center"/>
              <w:rPr>
                <w:rFonts w:ascii="Calibri" w:eastAsia="Times New Roman" w:hAnsi="Calibri" w:cs="Calibri"/>
                <w:color w:val="000000"/>
                <w:sz w:val="20"/>
                <w:szCs w:val="20"/>
              </w:rPr>
            </w:pPr>
            <w:proofErr w:type="spellStart"/>
            <w:r w:rsidRPr="008658B2">
              <w:rPr>
                <w:rFonts w:ascii="Calibri" w:eastAsia="Times New Roman" w:hAnsi="Calibri" w:cs="Calibri"/>
                <w:b/>
                <w:bCs/>
                <w:color w:val="000000"/>
                <w:sz w:val="20"/>
                <w:szCs w:val="20"/>
              </w:rPr>
              <w:t>Rpts</w:t>
            </w:r>
            <w:proofErr w:type="spellEnd"/>
          </w:p>
        </w:tc>
        <w:tc>
          <w:tcPr>
            <w:tcW w:w="993" w:type="dxa"/>
            <w:shd w:val="clear" w:color="auto" w:fill="BFBFBF" w:themeFill="background1" w:themeFillShade="BF"/>
            <w:noWrap/>
          </w:tcPr>
          <w:p w14:paraId="08714620" w14:textId="1CDBFFAD" w:rsidR="007065F6"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DPMQ</w:t>
            </w:r>
          </w:p>
        </w:tc>
        <w:tc>
          <w:tcPr>
            <w:tcW w:w="2409" w:type="dxa"/>
            <w:shd w:val="clear" w:color="auto" w:fill="BFBFBF" w:themeFill="background1" w:themeFillShade="BF"/>
          </w:tcPr>
          <w:p w14:paraId="7C9BE42E" w14:textId="02DD3E0A"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Brand name</w:t>
            </w:r>
          </w:p>
        </w:tc>
        <w:tc>
          <w:tcPr>
            <w:tcW w:w="2410" w:type="dxa"/>
            <w:shd w:val="clear" w:color="auto" w:fill="BFBFBF" w:themeFill="background1" w:themeFillShade="BF"/>
          </w:tcPr>
          <w:p w14:paraId="038DBF83" w14:textId="0DB960F5"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Indication</w:t>
            </w:r>
          </w:p>
        </w:tc>
      </w:tr>
      <w:tr w:rsidR="007065F6" w:rsidRPr="008658B2" w14:paraId="386E04A2" w14:textId="77777777" w:rsidTr="007065F6">
        <w:trPr>
          <w:trHeight w:val="1224"/>
        </w:trPr>
        <w:tc>
          <w:tcPr>
            <w:tcW w:w="901" w:type="dxa"/>
            <w:noWrap/>
            <w:hideMark/>
          </w:tcPr>
          <w:p w14:paraId="3A3D3A6A"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8399C</w:t>
            </w:r>
          </w:p>
        </w:tc>
        <w:tc>
          <w:tcPr>
            <w:tcW w:w="4481" w:type="dxa"/>
            <w:noWrap/>
            <w:hideMark/>
          </w:tcPr>
          <w:p w14:paraId="59F6C54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pantoprazole 20 mg enteric tablet, 30</w:t>
            </w:r>
          </w:p>
        </w:tc>
        <w:tc>
          <w:tcPr>
            <w:tcW w:w="1276" w:type="dxa"/>
            <w:noWrap/>
            <w:hideMark/>
          </w:tcPr>
          <w:p w14:paraId="6AFB391D"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42CB0532"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01932C27" w14:textId="008A881E"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13.65</w:t>
            </w:r>
          </w:p>
        </w:tc>
        <w:tc>
          <w:tcPr>
            <w:tcW w:w="2409" w:type="dxa"/>
            <w:hideMark/>
          </w:tcPr>
          <w:p w14:paraId="4966E762"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APO-Pantoprazole </w:t>
            </w:r>
          </w:p>
          <w:p w14:paraId="0FEA433F" w14:textId="2B08CEC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NOUMED PANTOPRAZOLE </w:t>
            </w:r>
            <w:r w:rsidRPr="008658B2">
              <w:rPr>
                <w:rFonts w:ascii="Calibri" w:eastAsia="Times New Roman" w:hAnsi="Calibri" w:cs="Calibri"/>
                <w:color w:val="000000"/>
                <w:sz w:val="20"/>
                <w:szCs w:val="20"/>
              </w:rPr>
              <w:br/>
            </w:r>
            <w:proofErr w:type="spellStart"/>
            <w:r w:rsidRPr="008658B2">
              <w:rPr>
                <w:rFonts w:ascii="Calibri" w:eastAsia="Times New Roman" w:hAnsi="Calibri" w:cs="Calibri"/>
                <w:color w:val="000000"/>
                <w:sz w:val="20"/>
                <w:szCs w:val="20"/>
              </w:rPr>
              <w:t>Ozpan</w:t>
            </w:r>
            <w:proofErr w:type="spellEnd"/>
            <w:r w:rsidRPr="008658B2">
              <w:rPr>
                <w:rFonts w:ascii="Calibri" w:eastAsia="Times New Roman" w:hAnsi="Calibri" w:cs="Calibri"/>
                <w:color w:val="000000"/>
                <w:sz w:val="20"/>
                <w:szCs w:val="20"/>
              </w:rPr>
              <w:t xml:space="preserve"> </w:t>
            </w:r>
          </w:p>
          <w:p w14:paraId="3D68606C"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Panthron</w:t>
            </w:r>
            <w:proofErr w:type="spellEnd"/>
            <w:r w:rsidRPr="008658B2">
              <w:rPr>
                <w:rFonts w:ascii="Calibri" w:eastAsia="Times New Roman" w:hAnsi="Calibri" w:cs="Calibri"/>
                <w:color w:val="000000"/>
                <w:sz w:val="20"/>
                <w:szCs w:val="20"/>
              </w:rPr>
              <w:t xml:space="preserve"> </w:t>
            </w:r>
          </w:p>
          <w:p w14:paraId="4121C70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APOTEX </w:t>
            </w:r>
          </w:p>
          <w:p w14:paraId="127C4680" w14:textId="0BD6B013"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w:t>
            </w:r>
            <w:proofErr w:type="spellStart"/>
            <w:r w:rsidRPr="008658B2">
              <w:rPr>
                <w:rFonts w:ascii="Calibri" w:eastAsia="Times New Roman" w:hAnsi="Calibri" w:cs="Calibri"/>
                <w:color w:val="000000"/>
                <w:sz w:val="20"/>
                <w:szCs w:val="20"/>
              </w:rPr>
              <w:t>generichealth</w:t>
            </w:r>
            <w:proofErr w:type="spellEnd"/>
            <w:r w:rsidRPr="008658B2">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br/>
              <w:t xml:space="preserve">Pantoprazole Sandoz </w:t>
            </w:r>
          </w:p>
          <w:p w14:paraId="41484047"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Salpraz</w:t>
            </w:r>
            <w:proofErr w:type="spellEnd"/>
            <w:r w:rsidRPr="008658B2">
              <w:rPr>
                <w:rFonts w:ascii="Calibri" w:eastAsia="Times New Roman" w:hAnsi="Calibri" w:cs="Calibri"/>
                <w:color w:val="000000"/>
                <w:sz w:val="20"/>
                <w:szCs w:val="20"/>
              </w:rPr>
              <w:t xml:space="preserve"> </w:t>
            </w:r>
          </w:p>
          <w:p w14:paraId="144DA876" w14:textId="52EBF5F9"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Somac</w:t>
            </w:r>
          </w:p>
          <w:p w14:paraId="0611979B" w14:textId="024473F0"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Sozol</w:t>
            </w:r>
            <w:proofErr w:type="spellEnd"/>
          </w:p>
        </w:tc>
        <w:tc>
          <w:tcPr>
            <w:tcW w:w="2410" w:type="dxa"/>
            <w:hideMark/>
          </w:tcPr>
          <w:p w14:paraId="6BF1DB11" w14:textId="20817521"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Scleroderma oesophagus</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Zollinger-Ellison syndrome</w:t>
            </w:r>
          </w:p>
        </w:tc>
      </w:tr>
      <w:tr w:rsidR="007065F6" w:rsidRPr="008658B2" w14:paraId="2956D9A6" w14:textId="77777777" w:rsidTr="007065F6">
        <w:trPr>
          <w:trHeight w:val="101"/>
        </w:trPr>
        <w:tc>
          <w:tcPr>
            <w:tcW w:w="901" w:type="dxa"/>
            <w:noWrap/>
            <w:hideMark/>
          </w:tcPr>
          <w:p w14:paraId="6FB49330"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9424B</w:t>
            </w:r>
          </w:p>
        </w:tc>
        <w:tc>
          <w:tcPr>
            <w:tcW w:w="4481" w:type="dxa"/>
            <w:noWrap/>
            <w:hideMark/>
          </w:tcPr>
          <w:p w14:paraId="7D7F9E8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pantoprazole 40 mg enteric coated granules, 30 sachets</w:t>
            </w:r>
          </w:p>
        </w:tc>
        <w:tc>
          <w:tcPr>
            <w:tcW w:w="1276" w:type="dxa"/>
            <w:noWrap/>
            <w:hideMark/>
          </w:tcPr>
          <w:p w14:paraId="23F2B32F"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30D0E6D2"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5933CA79" w14:textId="407BCCCB"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33.2</w:t>
            </w:r>
            <w:r>
              <w:rPr>
                <w:rFonts w:ascii="Calibri" w:eastAsia="Times New Roman" w:hAnsi="Calibri" w:cs="Calibri"/>
                <w:color w:val="000000"/>
                <w:sz w:val="20"/>
                <w:szCs w:val="20"/>
              </w:rPr>
              <w:t>0</w:t>
            </w:r>
          </w:p>
        </w:tc>
        <w:tc>
          <w:tcPr>
            <w:tcW w:w="2409" w:type="dxa"/>
            <w:noWrap/>
            <w:hideMark/>
          </w:tcPr>
          <w:p w14:paraId="32EB6909" w14:textId="5C3B2DEA"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Somac</w:t>
            </w:r>
          </w:p>
        </w:tc>
        <w:tc>
          <w:tcPr>
            <w:tcW w:w="2410" w:type="dxa"/>
            <w:hideMark/>
          </w:tcPr>
          <w:p w14:paraId="0C295963" w14:textId="0211EA86"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Scleroderma oesophagus</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Zollinger-Ellison syndrome</w:t>
            </w:r>
          </w:p>
        </w:tc>
      </w:tr>
      <w:tr w:rsidR="007065F6" w:rsidRPr="008658B2" w14:paraId="266B8E6E" w14:textId="77777777" w:rsidTr="007065F6">
        <w:trPr>
          <w:trHeight w:val="564"/>
        </w:trPr>
        <w:tc>
          <w:tcPr>
            <w:tcW w:w="901" w:type="dxa"/>
            <w:noWrap/>
            <w:hideMark/>
          </w:tcPr>
          <w:p w14:paraId="03E86F01"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8008L</w:t>
            </w:r>
          </w:p>
        </w:tc>
        <w:tc>
          <w:tcPr>
            <w:tcW w:w="4481" w:type="dxa"/>
            <w:noWrap/>
            <w:hideMark/>
          </w:tcPr>
          <w:p w14:paraId="06F7279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pantoprazole 40 mg enteric tablet, 30</w:t>
            </w:r>
          </w:p>
        </w:tc>
        <w:tc>
          <w:tcPr>
            <w:tcW w:w="1276" w:type="dxa"/>
            <w:noWrap/>
            <w:hideMark/>
          </w:tcPr>
          <w:p w14:paraId="52B6CED4"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4A29885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3660259B" w14:textId="28E35743"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14.66</w:t>
            </w:r>
          </w:p>
        </w:tc>
        <w:tc>
          <w:tcPr>
            <w:tcW w:w="2409" w:type="dxa"/>
            <w:hideMark/>
          </w:tcPr>
          <w:p w14:paraId="6896501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APO-Pantoprazole </w:t>
            </w:r>
          </w:p>
          <w:p w14:paraId="63AE1BD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I-Pantoprazole </w:t>
            </w:r>
          </w:p>
          <w:p w14:paraId="707F77D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NOUMED PANTOPRAZOLE </w:t>
            </w:r>
          </w:p>
          <w:p w14:paraId="7CDC4AFB"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Ozpan</w:t>
            </w:r>
            <w:proofErr w:type="spellEnd"/>
          </w:p>
          <w:p w14:paraId="1C3EAC9A"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Panthron</w:t>
            </w:r>
            <w:proofErr w:type="spellEnd"/>
            <w:r w:rsidRPr="008658B2">
              <w:rPr>
                <w:rFonts w:ascii="Calibri" w:eastAsia="Times New Roman" w:hAnsi="Calibri" w:cs="Calibri"/>
                <w:color w:val="000000"/>
                <w:sz w:val="20"/>
                <w:szCs w:val="20"/>
              </w:rPr>
              <w:t xml:space="preserve"> </w:t>
            </w:r>
          </w:p>
          <w:p w14:paraId="751088E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AN </w:t>
            </w:r>
          </w:p>
          <w:p w14:paraId="5315266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APOTEX </w:t>
            </w:r>
          </w:p>
          <w:p w14:paraId="25B0D72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w:t>
            </w:r>
            <w:proofErr w:type="spellStart"/>
            <w:r w:rsidRPr="008658B2">
              <w:rPr>
                <w:rFonts w:ascii="Calibri" w:eastAsia="Times New Roman" w:hAnsi="Calibri" w:cs="Calibri"/>
                <w:color w:val="000000"/>
                <w:sz w:val="20"/>
                <w:szCs w:val="20"/>
              </w:rPr>
              <w:t>generichealth</w:t>
            </w:r>
            <w:proofErr w:type="spellEnd"/>
          </w:p>
          <w:p w14:paraId="068AF79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Sandoz </w:t>
            </w:r>
          </w:p>
          <w:p w14:paraId="218F8766" w14:textId="55D5CF9F"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Salpraz</w:t>
            </w:r>
            <w:proofErr w:type="spellEnd"/>
            <w:r w:rsidRPr="008658B2">
              <w:rPr>
                <w:rFonts w:ascii="Calibri" w:eastAsia="Times New Roman" w:hAnsi="Calibri" w:cs="Calibri"/>
                <w:color w:val="000000"/>
                <w:sz w:val="20"/>
                <w:szCs w:val="20"/>
              </w:rPr>
              <w:t xml:space="preserve"> </w:t>
            </w:r>
          </w:p>
        </w:tc>
        <w:tc>
          <w:tcPr>
            <w:tcW w:w="2410" w:type="dxa"/>
            <w:hideMark/>
          </w:tcPr>
          <w:p w14:paraId="1A4A1099" w14:textId="609AE9AD"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Scleroderma oesophagus</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Zollinger-Ellison syndrome</w:t>
            </w:r>
          </w:p>
        </w:tc>
      </w:tr>
      <w:tr w:rsidR="007065F6" w:rsidRPr="008658B2" w14:paraId="1E0B21B4" w14:textId="77777777" w:rsidTr="007065F6">
        <w:trPr>
          <w:trHeight w:val="204"/>
        </w:trPr>
        <w:tc>
          <w:tcPr>
            <w:tcW w:w="901" w:type="dxa"/>
            <w:noWrap/>
            <w:hideMark/>
          </w:tcPr>
          <w:p w14:paraId="0743EB6E"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11678P</w:t>
            </w:r>
          </w:p>
        </w:tc>
        <w:tc>
          <w:tcPr>
            <w:tcW w:w="4481" w:type="dxa"/>
            <w:noWrap/>
            <w:hideMark/>
          </w:tcPr>
          <w:p w14:paraId="53AB89CA"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pantoprazole 40 mg enteric coated granules, 30 sachets</w:t>
            </w:r>
          </w:p>
        </w:tc>
        <w:tc>
          <w:tcPr>
            <w:tcW w:w="1276" w:type="dxa"/>
            <w:noWrap/>
            <w:hideMark/>
          </w:tcPr>
          <w:p w14:paraId="76D1F860"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70326D9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59A3174A" w14:textId="7F3F5E57"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33.2</w:t>
            </w:r>
            <w:r>
              <w:rPr>
                <w:rFonts w:ascii="Calibri" w:eastAsia="Times New Roman" w:hAnsi="Calibri" w:cs="Calibri"/>
                <w:color w:val="000000"/>
                <w:sz w:val="20"/>
                <w:szCs w:val="20"/>
              </w:rPr>
              <w:t>0</w:t>
            </w:r>
          </w:p>
        </w:tc>
        <w:tc>
          <w:tcPr>
            <w:tcW w:w="2409" w:type="dxa"/>
            <w:noWrap/>
            <w:hideMark/>
          </w:tcPr>
          <w:p w14:paraId="60C15F34" w14:textId="1C0C977C"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Somac</w:t>
            </w:r>
          </w:p>
        </w:tc>
        <w:tc>
          <w:tcPr>
            <w:tcW w:w="2410" w:type="dxa"/>
            <w:noWrap/>
            <w:hideMark/>
          </w:tcPr>
          <w:p w14:paraId="756E2840" w14:textId="3C2BF5B5"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bl>
    <w:p w14:paraId="7CA1BC2D" w14:textId="63BD138B" w:rsidR="007065F6" w:rsidRDefault="007065F6"/>
    <w:p w14:paraId="118A2D1F" w14:textId="38B9942A" w:rsidR="007065F6" w:rsidRDefault="007065F6"/>
    <w:p w14:paraId="4275EFC4" w14:textId="417C0A3E" w:rsidR="007065F6" w:rsidRDefault="007065F6"/>
    <w:p w14:paraId="4EA1D6C5" w14:textId="77777777" w:rsidR="007065F6" w:rsidRDefault="007065F6"/>
    <w:tbl>
      <w:tblPr>
        <w:tblStyle w:val="TableGrid"/>
        <w:tblW w:w="13183" w:type="dxa"/>
        <w:tblLook w:val="04A0" w:firstRow="1" w:lastRow="0" w:firstColumn="1" w:lastColumn="0" w:noHBand="0" w:noVBand="1"/>
      </w:tblPr>
      <w:tblGrid>
        <w:gridCol w:w="901"/>
        <w:gridCol w:w="4481"/>
        <w:gridCol w:w="1276"/>
        <w:gridCol w:w="713"/>
        <w:gridCol w:w="993"/>
        <w:gridCol w:w="2409"/>
        <w:gridCol w:w="2410"/>
      </w:tblGrid>
      <w:tr w:rsidR="007065F6" w:rsidRPr="008658B2" w14:paraId="68398D4F" w14:textId="77777777" w:rsidTr="007065F6">
        <w:trPr>
          <w:trHeight w:val="266"/>
        </w:trPr>
        <w:tc>
          <w:tcPr>
            <w:tcW w:w="901" w:type="dxa"/>
            <w:shd w:val="clear" w:color="auto" w:fill="BFBFBF" w:themeFill="background1" w:themeFillShade="BF"/>
            <w:noWrap/>
          </w:tcPr>
          <w:p w14:paraId="77CD1EAA" w14:textId="416700DC"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Item</w:t>
            </w:r>
          </w:p>
        </w:tc>
        <w:tc>
          <w:tcPr>
            <w:tcW w:w="4481" w:type="dxa"/>
            <w:shd w:val="clear" w:color="auto" w:fill="BFBFBF" w:themeFill="background1" w:themeFillShade="BF"/>
            <w:noWrap/>
          </w:tcPr>
          <w:p w14:paraId="131E66A2" w14:textId="2798BFB4"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Name, form &amp; strength, pack size</w:t>
            </w:r>
          </w:p>
        </w:tc>
        <w:tc>
          <w:tcPr>
            <w:tcW w:w="1276" w:type="dxa"/>
            <w:shd w:val="clear" w:color="auto" w:fill="BFBFBF" w:themeFill="background1" w:themeFillShade="BF"/>
            <w:noWrap/>
          </w:tcPr>
          <w:p w14:paraId="10540688" w14:textId="29FF36AE"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Max. quant.</w:t>
            </w:r>
          </w:p>
        </w:tc>
        <w:tc>
          <w:tcPr>
            <w:tcW w:w="713" w:type="dxa"/>
            <w:shd w:val="clear" w:color="auto" w:fill="BFBFBF" w:themeFill="background1" w:themeFillShade="BF"/>
            <w:noWrap/>
          </w:tcPr>
          <w:p w14:paraId="028B534C" w14:textId="3EE18654" w:rsidR="007065F6" w:rsidRPr="008658B2" w:rsidRDefault="007065F6" w:rsidP="007065F6">
            <w:pPr>
              <w:jc w:val="center"/>
              <w:rPr>
                <w:rFonts w:ascii="Calibri" w:eastAsia="Times New Roman" w:hAnsi="Calibri" w:cs="Calibri"/>
                <w:color w:val="000000"/>
                <w:sz w:val="20"/>
                <w:szCs w:val="20"/>
              </w:rPr>
            </w:pPr>
            <w:proofErr w:type="spellStart"/>
            <w:r w:rsidRPr="008658B2">
              <w:rPr>
                <w:rFonts w:ascii="Calibri" w:eastAsia="Times New Roman" w:hAnsi="Calibri" w:cs="Calibri"/>
                <w:b/>
                <w:bCs/>
                <w:color w:val="000000"/>
                <w:sz w:val="20"/>
                <w:szCs w:val="20"/>
              </w:rPr>
              <w:t>Rpts</w:t>
            </w:r>
            <w:proofErr w:type="spellEnd"/>
          </w:p>
        </w:tc>
        <w:tc>
          <w:tcPr>
            <w:tcW w:w="993" w:type="dxa"/>
            <w:shd w:val="clear" w:color="auto" w:fill="BFBFBF" w:themeFill="background1" w:themeFillShade="BF"/>
            <w:noWrap/>
          </w:tcPr>
          <w:p w14:paraId="36072D74" w14:textId="6CEB2B8A" w:rsidR="007065F6"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DPMQ</w:t>
            </w:r>
          </w:p>
        </w:tc>
        <w:tc>
          <w:tcPr>
            <w:tcW w:w="2409" w:type="dxa"/>
            <w:shd w:val="clear" w:color="auto" w:fill="BFBFBF" w:themeFill="background1" w:themeFillShade="BF"/>
          </w:tcPr>
          <w:p w14:paraId="4C678060" w14:textId="31B93323"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Brand name</w:t>
            </w:r>
          </w:p>
        </w:tc>
        <w:tc>
          <w:tcPr>
            <w:tcW w:w="2410" w:type="dxa"/>
            <w:shd w:val="clear" w:color="auto" w:fill="BFBFBF" w:themeFill="background1" w:themeFillShade="BF"/>
            <w:noWrap/>
          </w:tcPr>
          <w:p w14:paraId="39B4CD6C" w14:textId="2D265E3B"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Indication</w:t>
            </w:r>
          </w:p>
        </w:tc>
      </w:tr>
      <w:tr w:rsidR="007065F6" w:rsidRPr="008658B2" w14:paraId="45207120" w14:textId="77777777" w:rsidTr="007065F6">
        <w:trPr>
          <w:trHeight w:val="1020"/>
        </w:trPr>
        <w:tc>
          <w:tcPr>
            <w:tcW w:w="901" w:type="dxa"/>
            <w:noWrap/>
            <w:hideMark/>
          </w:tcPr>
          <w:p w14:paraId="2C18B302"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11681T</w:t>
            </w:r>
          </w:p>
        </w:tc>
        <w:tc>
          <w:tcPr>
            <w:tcW w:w="4481" w:type="dxa"/>
            <w:noWrap/>
            <w:hideMark/>
          </w:tcPr>
          <w:p w14:paraId="4A982B8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pantoprazole 40 mg enteric tablet, 30</w:t>
            </w:r>
          </w:p>
        </w:tc>
        <w:tc>
          <w:tcPr>
            <w:tcW w:w="1276" w:type="dxa"/>
            <w:noWrap/>
            <w:hideMark/>
          </w:tcPr>
          <w:p w14:paraId="4ACB48D7"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73B635A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3035F1F5" w14:textId="2F64C282"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14.66</w:t>
            </w:r>
          </w:p>
        </w:tc>
        <w:tc>
          <w:tcPr>
            <w:tcW w:w="2409" w:type="dxa"/>
            <w:hideMark/>
          </w:tcPr>
          <w:p w14:paraId="66D9383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APO-Pantoprazole</w:t>
            </w:r>
          </w:p>
          <w:p w14:paraId="55F09A9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I-Pantoprazole</w:t>
            </w:r>
          </w:p>
          <w:p w14:paraId="5158E3DE"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NOUMED PANTOPRAZOLE </w:t>
            </w:r>
            <w:r w:rsidRPr="008658B2">
              <w:rPr>
                <w:rFonts w:ascii="Calibri" w:eastAsia="Times New Roman" w:hAnsi="Calibri" w:cs="Calibri"/>
                <w:color w:val="000000"/>
                <w:sz w:val="20"/>
                <w:szCs w:val="20"/>
              </w:rPr>
              <w:br/>
            </w:r>
            <w:proofErr w:type="spellStart"/>
            <w:r w:rsidRPr="008658B2">
              <w:rPr>
                <w:rFonts w:ascii="Calibri" w:eastAsia="Times New Roman" w:hAnsi="Calibri" w:cs="Calibri"/>
                <w:color w:val="000000"/>
                <w:sz w:val="20"/>
                <w:szCs w:val="20"/>
              </w:rPr>
              <w:t>Ozpan</w:t>
            </w:r>
            <w:proofErr w:type="spellEnd"/>
            <w:r w:rsidRPr="008658B2">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br/>
            </w:r>
            <w:proofErr w:type="spellStart"/>
            <w:r w:rsidRPr="008658B2">
              <w:rPr>
                <w:rFonts w:ascii="Calibri" w:eastAsia="Times New Roman" w:hAnsi="Calibri" w:cs="Calibri"/>
                <w:color w:val="000000"/>
                <w:sz w:val="20"/>
                <w:szCs w:val="20"/>
              </w:rPr>
              <w:t>Panthron</w:t>
            </w:r>
            <w:proofErr w:type="spellEnd"/>
            <w:r w:rsidRPr="008658B2">
              <w:rPr>
                <w:rFonts w:ascii="Calibri" w:eastAsia="Times New Roman" w:hAnsi="Calibri" w:cs="Calibri"/>
                <w:color w:val="000000"/>
                <w:sz w:val="20"/>
                <w:szCs w:val="20"/>
              </w:rPr>
              <w:t xml:space="preserve"> </w:t>
            </w:r>
          </w:p>
          <w:p w14:paraId="4603DDC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Pantoprazole</w:t>
            </w:r>
          </w:p>
          <w:p w14:paraId="1088AF33"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APOTEX </w:t>
            </w:r>
          </w:p>
          <w:p w14:paraId="0EA61BE4"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w:t>
            </w:r>
            <w:proofErr w:type="spellStart"/>
            <w:r w:rsidRPr="008658B2">
              <w:rPr>
                <w:rFonts w:ascii="Calibri" w:eastAsia="Times New Roman" w:hAnsi="Calibri" w:cs="Calibri"/>
                <w:color w:val="000000"/>
                <w:sz w:val="20"/>
                <w:szCs w:val="20"/>
              </w:rPr>
              <w:t>generichealth</w:t>
            </w:r>
            <w:proofErr w:type="spellEnd"/>
            <w:r w:rsidRPr="008658B2">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br/>
              <w:t xml:space="preserve">Pantoprazole Sandoz </w:t>
            </w:r>
          </w:p>
          <w:p w14:paraId="3F241632" w14:textId="37F1950F"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Salpraz</w:t>
            </w:r>
            <w:proofErr w:type="spellEnd"/>
            <w:r w:rsidRPr="008658B2">
              <w:rPr>
                <w:rFonts w:ascii="Calibri" w:eastAsia="Times New Roman" w:hAnsi="Calibri" w:cs="Calibri"/>
                <w:color w:val="000000"/>
                <w:sz w:val="20"/>
                <w:szCs w:val="20"/>
              </w:rPr>
              <w:t xml:space="preserve"> Somac </w:t>
            </w:r>
          </w:p>
          <w:p w14:paraId="20902231" w14:textId="3CD47F4A"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Sozol</w:t>
            </w:r>
            <w:proofErr w:type="spellEnd"/>
            <w:r w:rsidRPr="008658B2">
              <w:rPr>
                <w:rFonts w:ascii="Calibri" w:eastAsia="Times New Roman" w:hAnsi="Calibri" w:cs="Calibri"/>
                <w:color w:val="000000"/>
                <w:sz w:val="20"/>
                <w:szCs w:val="20"/>
              </w:rPr>
              <w:t xml:space="preserve"> </w:t>
            </w:r>
          </w:p>
        </w:tc>
        <w:tc>
          <w:tcPr>
            <w:tcW w:w="2410" w:type="dxa"/>
            <w:noWrap/>
            <w:hideMark/>
          </w:tcPr>
          <w:p w14:paraId="547C71A4" w14:textId="63515E6B"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7065F6" w:rsidRPr="008658B2" w14:paraId="62828E91" w14:textId="77777777" w:rsidTr="007065F6">
        <w:trPr>
          <w:trHeight w:val="204"/>
        </w:trPr>
        <w:tc>
          <w:tcPr>
            <w:tcW w:w="901" w:type="dxa"/>
            <w:noWrap/>
            <w:hideMark/>
          </w:tcPr>
          <w:p w14:paraId="08A0BC95"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9423Y</w:t>
            </w:r>
          </w:p>
        </w:tc>
        <w:tc>
          <w:tcPr>
            <w:tcW w:w="4481" w:type="dxa"/>
            <w:hideMark/>
          </w:tcPr>
          <w:p w14:paraId="196F5F72"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pantoprazole 40 mg enteric coated granules, 30 sachets</w:t>
            </w:r>
          </w:p>
        </w:tc>
        <w:tc>
          <w:tcPr>
            <w:tcW w:w="1276" w:type="dxa"/>
            <w:noWrap/>
            <w:hideMark/>
          </w:tcPr>
          <w:p w14:paraId="60AD5E8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7610FB4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048575AB" w14:textId="15231DEA"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33.2</w:t>
            </w:r>
            <w:r>
              <w:rPr>
                <w:rFonts w:ascii="Calibri" w:eastAsia="Times New Roman" w:hAnsi="Calibri" w:cs="Calibri"/>
                <w:color w:val="000000"/>
                <w:sz w:val="20"/>
                <w:szCs w:val="20"/>
              </w:rPr>
              <w:t>0</w:t>
            </w:r>
          </w:p>
        </w:tc>
        <w:tc>
          <w:tcPr>
            <w:tcW w:w="2409" w:type="dxa"/>
            <w:noWrap/>
            <w:hideMark/>
          </w:tcPr>
          <w:p w14:paraId="0EFFD9B2" w14:textId="04033051"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Somac</w:t>
            </w:r>
          </w:p>
        </w:tc>
        <w:tc>
          <w:tcPr>
            <w:tcW w:w="2410" w:type="dxa"/>
            <w:hideMark/>
          </w:tcPr>
          <w:p w14:paraId="084F3A77" w14:textId="6EB171D2"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Peptic Ulcer, GORD</w:t>
            </w:r>
          </w:p>
        </w:tc>
      </w:tr>
      <w:tr w:rsidR="007065F6" w:rsidRPr="008658B2" w14:paraId="5DDA5D02" w14:textId="77777777" w:rsidTr="007065F6">
        <w:trPr>
          <w:trHeight w:val="1020"/>
        </w:trPr>
        <w:tc>
          <w:tcPr>
            <w:tcW w:w="901" w:type="dxa"/>
            <w:noWrap/>
            <w:hideMark/>
          </w:tcPr>
          <w:p w14:paraId="45A43860"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8007K</w:t>
            </w:r>
          </w:p>
        </w:tc>
        <w:tc>
          <w:tcPr>
            <w:tcW w:w="4481" w:type="dxa"/>
            <w:noWrap/>
            <w:hideMark/>
          </w:tcPr>
          <w:p w14:paraId="4813A3B3"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pantoprazole 40 mg enteric tablet, 30</w:t>
            </w:r>
          </w:p>
        </w:tc>
        <w:tc>
          <w:tcPr>
            <w:tcW w:w="1276" w:type="dxa"/>
            <w:noWrap/>
            <w:hideMark/>
          </w:tcPr>
          <w:p w14:paraId="347BE84A"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108B25B1"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4531C3BA" w14:textId="1A9D0705"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14.66</w:t>
            </w:r>
          </w:p>
        </w:tc>
        <w:tc>
          <w:tcPr>
            <w:tcW w:w="2409" w:type="dxa"/>
            <w:hideMark/>
          </w:tcPr>
          <w:p w14:paraId="0964137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APO-Pantoprazole</w:t>
            </w:r>
          </w:p>
          <w:p w14:paraId="22CB0E18"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I-Pantoprazole </w:t>
            </w:r>
          </w:p>
          <w:p w14:paraId="2B2CEC80" w14:textId="62E87958"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NOUMED PANTOPRAZOLE </w:t>
            </w:r>
            <w:r w:rsidRPr="008658B2">
              <w:rPr>
                <w:rFonts w:ascii="Calibri" w:eastAsia="Times New Roman" w:hAnsi="Calibri" w:cs="Calibri"/>
                <w:color w:val="000000"/>
                <w:sz w:val="20"/>
                <w:szCs w:val="20"/>
              </w:rPr>
              <w:br/>
            </w:r>
            <w:proofErr w:type="spellStart"/>
            <w:r w:rsidRPr="008658B2">
              <w:rPr>
                <w:rFonts w:ascii="Calibri" w:eastAsia="Times New Roman" w:hAnsi="Calibri" w:cs="Calibri"/>
                <w:color w:val="000000"/>
                <w:sz w:val="20"/>
                <w:szCs w:val="20"/>
              </w:rPr>
              <w:t>Ozpan</w:t>
            </w:r>
            <w:proofErr w:type="spellEnd"/>
            <w:r w:rsidRPr="008658B2">
              <w:rPr>
                <w:rFonts w:ascii="Calibri" w:eastAsia="Times New Roman" w:hAnsi="Calibri" w:cs="Calibri"/>
                <w:color w:val="000000"/>
                <w:sz w:val="20"/>
                <w:szCs w:val="20"/>
              </w:rPr>
              <w:br/>
            </w:r>
            <w:proofErr w:type="spellStart"/>
            <w:r w:rsidRPr="008658B2">
              <w:rPr>
                <w:rFonts w:ascii="Calibri" w:eastAsia="Times New Roman" w:hAnsi="Calibri" w:cs="Calibri"/>
                <w:color w:val="000000"/>
                <w:sz w:val="20"/>
                <w:szCs w:val="20"/>
              </w:rPr>
              <w:t>Panthron</w:t>
            </w:r>
            <w:proofErr w:type="spellEnd"/>
          </w:p>
          <w:p w14:paraId="13C1053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AN </w:t>
            </w:r>
          </w:p>
          <w:p w14:paraId="44803F63" w14:textId="67146058"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APOTEX </w:t>
            </w:r>
          </w:p>
          <w:p w14:paraId="24D591CD" w14:textId="072F814E"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w:t>
            </w:r>
            <w:proofErr w:type="spellStart"/>
            <w:r w:rsidRPr="008658B2">
              <w:rPr>
                <w:rFonts w:ascii="Calibri" w:eastAsia="Times New Roman" w:hAnsi="Calibri" w:cs="Calibri"/>
                <w:color w:val="000000"/>
                <w:sz w:val="20"/>
                <w:szCs w:val="20"/>
              </w:rPr>
              <w:t>generichealth</w:t>
            </w:r>
            <w:proofErr w:type="spellEnd"/>
            <w:r w:rsidRPr="008658B2">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br/>
              <w:t xml:space="preserve">Pantoprazole Sandoz </w:t>
            </w:r>
          </w:p>
          <w:p w14:paraId="542B417A" w14:textId="18197CCD"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Salpraz</w:t>
            </w:r>
            <w:proofErr w:type="spellEnd"/>
            <w:r w:rsidRPr="008658B2">
              <w:rPr>
                <w:rFonts w:ascii="Calibri" w:eastAsia="Times New Roman" w:hAnsi="Calibri" w:cs="Calibri"/>
                <w:color w:val="000000"/>
                <w:sz w:val="20"/>
                <w:szCs w:val="20"/>
              </w:rPr>
              <w:t xml:space="preserve"> </w:t>
            </w:r>
          </w:p>
          <w:p w14:paraId="75059710" w14:textId="6296F469"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Somac </w:t>
            </w:r>
          </w:p>
          <w:p w14:paraId="212E9AE7" w14:textId="60AD5793"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Sozol</w:t>
            </w:r>
            <w:proofErr w:type="spellEnd"/>
            <w:r w:rsidRPr="008658B2">
              <w:rPr>
                <w:rFonts w:ascii="Calibri" w:eastAsia="Times New Roman" w:hAnsi="Calibri" w:cs="Calibri"/>
                <w:color w:val="000000"/>
                <w:sz w:val="20"/>
                <w:szCs w:val="20"/>
              </w:rPr>
              <w:t xml:space="preserve"> </w:t>
            </w:r>
          </w:p>
        </w:tc>
        <w:tc>
          <w:tcPr>
            <w:tcW w:w="2410" w:type="dxa"/>
            <w:hideMark/>
          </w:tcPr>
          <w:p w14:paraId="13F94BB7" w14:textId="494F6D21"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Peptic Ulcer, GORD</w:t>
            </w:r>
          </w:p>
        </w:tc>
      </w:tr>
      <w:tr w:rsidR="007065F6" w:rsidRPr="008658B2" w14:paraId="693CDDC3" w14:textId="77777777" w:rsidTr="007065F6">
        <w:trPr>
          <w:trHeight w:val="204"/>
        </w:trPr>
        <w:tc>
          <w:tcPr>
            <w:tcW w:w="901" w:type="dxa"/>
            <w:noWrap/>
            <w:hideMark/>
          </w:tcPr>
          <w:p w14:paraId="1D2EF20A"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12282K</w:t>
            </w:r>
          </w:p>
        </w:tc>
        <w:tc>
          <w:tcPr>
            <w:tcW w:w="4481" w:type="dxa"/>
            <w:noWrap/>
            <w:hideMark/>
          </w:tcPr>
          <w:p w14:paraId="2D083B1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pantoprazole 40 mg enteric coated granules, 30 sachets</w:t>
            </w:r>
          </w:p>
        </w:tc>
        <w:tc>
          <w:tcPr>
            <w:tcW w:w="1276" w:type="dxa"/>
            <w:noWrap/>
            <w:hideMark/>
          </w:tcPr>
          <w:p w14:paraId="2FCF591D"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409A8820"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0364FE42" w14:textId="3D13229F"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54.32</w:t>
            </w:r>
          </w:p>
        </w:tc>
        <w:tc>
          <w:tcPr>
            <w:tcW w:w="2409" w:type="dxa"/>
            <w:noWrap/>
            <w:hideMark/>
          </w:tcPr>
          <w:p w14:paraId="547ADA28" w14:textId="50AFF30B"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Somac</w:t>
            </w:r>
          </w:p>
        </w:tc>
        <w:tc>
          <w:tcPr>
            <w:tcW w:w="2410" w:type="dxa"/>
            <w:hideMark/>
          </w:tcPr>
          <w:p w14:paraId="08100282" w14:textId="1A085149"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bl>
    <w:p w14:paraId="28EB8AF3" w14:textId="67992D67" w:rsidR="007065F6" w:rsidRDefault="007065F6"/>
    <w:p w14:paraId="020CADE4" w14:textId="77777777" w:rsidR="007065F6" w:rsidRDefault="007065F6"/>
    <w:tbl>
      <w:tblPr>
        <w:tblStyle w:val="TableGrid"/>
        <w:tblW w:w="13183" w:type="dxa"/>
        <w:tblLook w:val="04A0" w:firstRow="1" w:lastRow="0" w:firstColumn="1" w:lastColumn="0" w:noHBand="0" w:noVBand="1"/>
      </w:tblPr>
      <w:tblGrid>
        <w:gridCol w:w="901"/>
        <w:gridCol w:w="4481"/>
        <w:gridCol w:w="1276"/>
        <w:gridCol w:w="713"/>
        <w:gridCol w:w="993"/>
        <w:gridCol w:w="2409"/>
        <w:gridCol w:w="2410"/>
      </w:tblGrid>
      <w:tr w:rsidR="007065F6" w:rsidRPr="008658B2" w14:paraId="05D6A073" w14:textId="77777777" w:rsidTr="007065F6">
        <w:trPr>
          <w:trHeight w:val="124"/>
        </w:trPr>
        <w:tc>
          <w:tcPr>
            <w:tcW w:w="901" w:type="dxa"/>
            <w:shd w:val="clear" w:color="auto" w:fill="BFBFBF" w:themeFill="background1" w:themeFillShade="BF"/>
            <w:noWrap/>
          </w:tcPr>
          <w:p w14:paraId="08399838" w14:textId="503EDE0B"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Item</w:t>
            </w:r>
          </w:p>
        </w:tc>
        <w:tc>
          <w:tcPr>
            <w:tcW w:w="4481" w:type="dxa"/>
            <w:shd w:val="clear" w:color="auto" w:fill="BFBFBF" w:themeFill="background1" w:themeFillShade="BF"/>
            <w:noWrap/>
          </w:tcPr>
          <w:p w14:paraId="24914675" w14:textId="16D92CF5"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Name, form &amp; strength, pack size</w:t>
            </w:r>
          </w:p>
        </w:tc>
        <w:tc>
          <w:tcPr>
            <w:tcW w:w="1276" w:type="dxa"/>
            <w:shd w:val="clear" w:color="auto" w:fill="BFBFBF" w:themeFill="background1" w:themeFillShade="BF"/>
            <w:noWrap/>
          </w:tcPr>
          <w:p w14:paraId="7448AD20" w14:textId="249E6821"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Max. quant.</w:t>
            </w:r>
          </w:p>
        </w:tc>
        <w:tc>
          <w:tcPr>
            <w:tcW w:w="713" w:type="dxa"/>
            <w:shd w:val="clear" w:color="auto" w:fill="BFBFBF" w:themeFill="background1" w:themeFillShade="BF"/>
            <w:noWrap/>
          </w:tcPr>
          <w:p w14:paraId="23268E6D" w14:textId="6C0D8B82" w:rsidR="007065F6" w:rsidRPr="008658B2" w:rsidRDefault="007065F6" w:rsidP="007065F6">
            <w:pPr>
              <w:jc w:val="center"/>
              <w:rPr>
                <w:rFonts w:ascii="Calibri" w:eastAsia="Times New Roman" w:hAnsi="Calibri" w:cs="Calibri"/>
                <w:color w:val="000000"/>
                <w:sz w:val="20"/>
                <w:szCs w:val="20"/>
              </w:rPr>
            </w:pPr>
            <w:proofErr w:type="spellStart"/>
            <w:r w:rsidRPr="008658B2">
              <w:rPr>
                <w:rFonts w:ascii="Calibri" w:eastAsia="Times New Roman" w:hAnsi="Calibri" w:cs="Calibri"/>
                <w:b/>
                <w:bCs/>
                <w:color w:val="000000"/>
                <w:sz w:val="20"/>
                <w:szCs w:val="20"/>
              </w:rPr>
              <w:t>Rpts</w:t>
            </w:r>
            <w:proofErr w:type="spellEnd"/>
          </w:p>
        </w:tc>
        <w:tc>
          <w:tcPr>
            <w:tcW w:w="993" w:type="dxa"/>
            <w:shd w:val="clear" w:color="auto" w:fill="BFBFBF" w:themeFill="background1" w:themeFillShade="BF"/>
            <w:noWrap/>
          </w:tcPr>
          <w:p w14:paraId="1932B15C" w14:textId="5EADEC0B" w:rsidR="007065F6"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DPMQ</w:t>
            </w:r>
          </w:p>
        </w:tc>
        <w:tc>
          <w:tcPr>
            <w:tcW w:w="2409" w:type="dxa"/>
            <w:shd w:val="clear" w:color="auto" w:fill="BFBFBF" w:themeFill="background1" w:themeFillShade="BF"/>
          </w:tcPr>
          <w:p w14:paraId="48CACE05" w14:textId="3B77AD7D"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Brand name</w:t>
            </w:r>
          </w:p>
        </w:tc>
        <w:tc>
          <w:tcPr>
            <w:tcW w:w="2410" w:type="dxa"/>
            <w:shd w:val="clear" w:color="auto" w:fill="BFBFBF" w:themeFill="background1" w:themeFillShade="BF"/>
            <w:noWrap/>
          </w:tcPr>
          <w:p w14:paraId="274E671E" w14:textId="6796D81A"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Indication</w:t>
            </w:r>
          </w:p>
        </w:tc>
      </w:tr>
      <w:tr w:rsidR="007065F6" w:rsidRPr="008658B2" w14:paraId="4F49EF25" w14:textId="77777777" w:rsidTr="007065F6">
        <w:trPr>
          <w:trHeight w:val="1020"/>
        </w:trPr>
        <w:tc>
          <w:tcPr>
            <w:tcW w:w="901" w:type="dxa"/>
            <w:noWrap/>
            <w:hideMark/>
          </w:tcPr>
          <w:p w14:paraId="5F1465F1"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12277E</w:t>
            </w:r>
          </w:p>
        </w:tc>
        <w:tc>
          <w:tcPr>
            <w:tcW w:w="4481" w:type="dxa"/>
            <w:noWrap/>
            <w:hideMark/>
          </w:tcPr>
          <w:p w14:paraId="2C97C22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pantoprazole 40 mg enteric tablet, 30</w:t>
            </w:r>
          </w:p>
        </w:tc>
        <w:tc>
          <w:tcPr>
            <w:tcW w:w="1276" w:type="dxa"/>
            <w:noWrap/>
            <w:hideMark/>
          </w:tcPr>
          <w:p w14:paraId="5500A983"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1573E1C8"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19A96B4F" w14:textId="222400B6"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17.24</w:t>
            </w:r>
          </w:p>
        </w:tc>
        <w:tc>
          <w:tcPr>
            <w:tcW w:w="2409" w:type="dxa"/>
            <w:hideMark/>
          </w:tcPr>
          <w:p w14:paraId="307512A2"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APO-Pantoprazole </w:t>
            </w:r>
          </w:p>
          <w:p w14:paraId="68345F8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I-Pantoprazole </w:t>
            </w:r>
          </w:p>
          <w:p w14:paraId="38F24B7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NOUMED PANTOPRAZOLE </w:t>
            </w:r>
            <w:r w:rsidRPr="008658B2">
              <w:rPr>
                <w:rFonts w:ascii="Calibri" w:eastAsia="Times New Roman" w:hAnsi="Calibri" w:cs="Calibri"/>
                <w:color w:val="000000"/>
                <w:sz w:val="20"/>
                <w:szCs w:val="20"/>
              </w:rPr>
              <w:br/>
            </w:r>
            <w:proofErr w:type="spellStart"/>
            <w:r w:rsidRPr="008658B2">
              <w:rPr>
                <w:rFonts w:ascii="Calibri" w:eastAsia="Times New Roman" w:hAnsi="Calibri" w:cs="Calibri"/>
                <w:color w:val="000000"/>
                <w:sz w:val="20"/>
                <w:szCs w:val="20"/>
              </w:rPr>
              <w:t>Ozpan</w:t>
            </w:r>
            <w:proofErr w:type="spellEnd"/>
            <w:r w:rsidRPr="008658B2">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br/>
            </w:r>
            <w:proofErr w:type="spellStart"/>
            <w:r w:rsidRPr="008658B2">
              <w:rPr>
                <w:rFonts w:ascii="Calibri" w:eastAsia="Times New Roman" w:hAnsi="Calibri" w:cs="Calibri"/>
                <w:color w:val="000000"/>
                <w:sz w:val="20"/>
                <w:szCs w:val="20"/>
              </w:rPr>
              <w:t>Panthron</w:t>
            </w:r>
            <w:proofErr w:type="spellEnd"/>
          </w:p>
          <w:p w14:paraId="6AD1B3C4"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AN </w:t>
            </w:r>
          </w:p>
          <w:p w14:paraId="43B4D56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APOTEX </w:t>
            </w:r>
          </w:p>
          <w:p w14:paraId="15D92E8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Pantoprazole </w:t>
            </w:r>
            <w:proofErr w:type="spellStart"/>
            <w:r w:rsidRPr="008658B2">
              <w:rPr>
                <w:rFonts w:ascii="Calibri" w:eastAsia="Times New Roman" w:hAnsi="Calibri" w:cs="Calibri"/>
                <w:color w:val="000000"/>
                <w:sz w:val="20"/>
                <w:szCs w:val="20"/>
              </w:rPr>
              <w:t>generichealth</w:t>
            </w:r>
            <w:proofErr w:type="spellEnd"/>
            <w:r w:rsidRPr="008658B2">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br/>
              <w:t>Pantoprazole Sandoz</w:t>
            </w:r>
          </w:p>
          <w:p w14:paraId="79ECA77D"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Salpraz</w:t>
            </w:r>
            <w:proofErr w:type="spellEnd"/>
            <w:r w:rsidRPr="008658B2">
              <w:rPr>
                <w:rFonts w:ascii="Calibri" w:eastAsia="Times New Roman" w:hAnsi="Calibri" w:cs="Calibri"/>
                <w:color w:val="000000"/>
                <w:sz w:val="20"/>
                <w:szCs w:val="20"/>
              </w:rPr>
              <w:t xml:space="preserve"> </w:t>
            </w:r>
          </w:p>
          <w:p w14:paraId="4713EBC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Somac </w:t>
            </w:r>
          </w:p>
          <w:p w14:paraId="13866B47" w14:textId="7409AC96"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Sozol</w:t>
            </w:r>
            <w:proofErr w:type="spellEnd"/>
          </w:p>
        </w:tc>
        <w:tc>
          <w:tcPr>
            <w:tcW w:w="2410" w:type="dxa"/>
            <w:noWrap/>
            <w:hideMark/>
          </w:tcPr>
          <w:p w14:paraId="26CE3166" w14:textId="7AFED965"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Complex GORD</w:t>
            </w:r>
          </w:p>
        </w:tc>
      </w:tr>
      <w:tr w:rsidR="007065F6" w:rsidRPr="008658B2" w14:paraId="5F3C31AB" w14:textId="77777777" w:rsidTr="007065F6">
        <w:trPr>
          <w:trHeight w:val="408"/>
        </w:trPr>
        <w:tc>
          <w:tcPr>
            <w:tcW w:w="901" w:type="dxa"/>
            <w:noWrap/>
            <w:hideMark/>
          </w:tcPr>
          <w:p w14:paraId="62683728"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8507R</w:t>
            </w:r>
          </w:p>
        </w:tc>
        <w:tc>
          <w:tcPr>
            <w:tcW w:w="4481" w:type="dxa"/>
            <w:noWrap/>
            <w:hideMark/>
          </w:tcPr>
          <w:p w14:paraId="5318D5C4"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rabeprazole sodium 10 mg enteric tablet, 28</w:t>
            </w:r>
          </w:p>
        </w:tc>
        <w:tc>
          <w:tcPr>
            <w:tcW w:w="1276" w:type="dxa"/>
            <w:noWrap/>
            <w:hideMark/>
          </w:tcPr>
          <w:p w14:paraId="7ACDB10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400DE1F7"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6FA29B04" w14:textId="5A3BFC84"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15.32</w:t>
            </w:r>
          </w:p>
        </w:tc>
        <w:tc>
          <w:tcPr>
            <w:tcW w:w="2409" w:type="dxa"/>
            <w:noWrap/>
            <w:hideMark/>
          </w:tcPr>
          <w:p w14:paraId="3460E16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APO-Rabeprazole </w:t>
            </w:r>
          </w:p>
          <w:p w14:paraId="00EB978B"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Parbezol</w:t>
            </w:r>
            <w:proofErr w:type="spellEnd"/>
            <w:r w:rsidRPr="008658B2">
              <w:rPr>
                <w:rFonts w:ascii="Calibri" w:eastAsia="Times New Roman" w:hAnsi="Calibri" w:cs="Calibri"/>
                <w:color w:val="000000"/>
                <w:sz w:val="20"/>
                <w:szCs w:val="20"/>
              </w:rPr>
              <w:t xml:space="preserve"> </w:t>
            </w:r>
          </w:p>
          <w:p w14:paraId="4C21E3EF" w14:textId="69216AC3"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Sandoz </w:t>
            </w:r>
          </w:p>
        </w:tc>
        <w:tc>
          <w:tcPr>
            <w:tcW w:w="2410" w:type="dxa"/>
            <w:hideMark/>
          </w:tcPr>
          <w:p w14:paraId="4B322EDA" w14:textId="10F7F830"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r>
              <w:rPr>
                <w:rFonts w:ascii="Calibri" w:eastAsia="Times New Roman" w:hAnsi="Calibri" w:cs="Calibri"/>
                <w:color w:val="000000"/>
                <w:sz w:val="20"/>
                <w:szCs w:val="20"/>
              </w:rPr>
              <w:t xml:space="preserve">, </w:t>
            </w:r>
            <w:r w:rsidRPr="008658B2">
              <w:rPr>
                <w:rFonts w:ascii="Calibri" w:eastAsia="Times New Roman" w:hAnsi="Calibri" w:cs="Calibri"/>
                <w:color w:val="000000"/>
                <w:sz w:val="20"/>
                <w:szCs w:val="20"/>
              </w:rPr>
              <w:t>Scleroderma oesophagus</w:t>
            </w:r>
          </w:p>
        </w:tc>
      </w:tr>
      <w:tr w:rsidR="007065F6" w:rsidRPr="008658B2" w14:paraId="63211FB9" w14:textId="77777777" w:rsidTr="007065F6">
        <w:trPr>
          <w:trHeight w:val="204"/>
        </w:trPr>
        <w:tc>
          <w:tcPr>
            <w:tcW w:w="901" w:type="dxa"/>
            <w:noWrap/>
            <w:hideMark/>
          </w:tcPr>
          <w:p w14:paraId="234A4A1C"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8508T</w:t>
            </w:r>
          </w:p>
        </w:tc>
        <w:tc>
          <w:tcPr>
            <w:tcW w:w="4481" w:type="dxa"/>
            <w:noWrap/>
            <w:hideMark/>
          </w:tcPr>
          <w:p w14:paraId="7409D79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rabeprazole sodium 20 mg enteric tablet, 30</w:t>
            </w:r>
          </w:p>
        </w:tc>
        <w:tc>
          <w:tcPr>
            <w:tcW w:w="1276" w:type="dxa"/>
            <w:noWrap/>
            <w:hideMark/>
          </w:tcPr>
          <w:p w14:paraId="38A1416E"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1D57F700"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52AB6CE7" w14:textId="4A5328D9"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15.12</w:t>
            </w:r>
          </w:p>
        </w:tc>
        <w:tc>
          <w:tcPr>
            <w:tcW w:w="2409" w:type="dxa"/>
            <w:noWrap/>
            <w:hideMark/>
          </w:tcPr>
          <w:p w14:paraId="033E9BE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APO-Rabeprazole</w:t>
            </w:r>
          </w:p>
          <w:p w14:paraId="029BE996"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Parbezol</w:t>
            </w:r>
            <w:proofErr w:type="spellEnd"/>
            <w:r w:rsidRPr="008658B2">
              <w:rPr>
                <w:rFonts w:ascii="Calibri" w:eastAsia="Times New Roman" w:hAnsi="Calibri" w:cs="Calibri"/>
                <w:color w:val="000000"/>
                <w:sz w:val="20"/>
                <w:szCs w:val="20"/>
              </w:rPr>
              <w:t xml:space="preserve"> </w:t>
            </w:r>
          </w:p>
          <w:p w14:paraId="4E821ABA"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Mylan </w:t>
            </w:r>
          </w:p>
          <w:p w14:paraId="5843476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Sandoz </w:t>
            </w:r>
          </w:p>
          <w:p w14:paraId="7A2264F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SUN </w:t>
            </w:r>
          </w:p>
          <w:p w14:paraId="157DB2B6" w14:textId="599BFEE5"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Zabep</w:t>
            </w:r>
            <w:proofErr w:type="spellEnd"/>
          </w:p>
        </w:tc>
        <w:tc>
          <w:tcPr>
            <w:tcW w:w="2410" w:type="dxa"/>
            <w:noWrap/>
            <w:hideMark/>
          </w:tcPr>
          <w:p w14:paraId="123DACF6"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Scleroderma oesophagus</w:t>
            </w:r>
          </w:p>
        </w:tc>
      </w:tr>
      <w:tr w:rsidR="007065F6" w:rsidRPr="008658B2" w14:paraId="43344D52" w14:textId="77777777" w:rsidTr="007065F6">
        <w:trPr>
          <w:trHeight w:val="204"/>
        </w:trPr>
        <w:tc>
          <w:tcPr>
            <w:tcW w:w="901" w:type="dxa"/>
            <w:noWrap/>
            <w:hideMark/>
          </w:tcPr>
          <w:p w14:paraId="08CAEB8E"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11670F</w:t>
            </w:r>
          </w:p>
        </w:tc>
        <w:tc>
          <w:tcPr>
            <w:tcW w:w="4481" w:type="dxa"/>
            <w:noWrap/>
            <w:hideMark/>
          </w:tcPr>
          <w:p w14:paraId="6BBB56EA"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rabeprazole sodium 20 mg enteric tablet, 30</w:t>
            </w:r>
          </w:p>
        </w:tc>
        <w:tc>
          <w:tcPr>
            <w:tcW w:w="1276" w:type="dxa"/>
            <w:noWrap/>
            <w:hideMark/>
          </w:tcPr>
          <w:p w14:paraId="0D022EE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27CEB408"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3FDD5566" w14:textId="7352DEF3"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15.12</w:t>
            </w:r>
          </w:p>
        </w:tc>
        <w:tc>
          <w:tcPr>
            <w:tcW w:w="2409" w:type="dxa"/>
            <w:noWrap/>
            <w:hideMark/>
          </w:tcPr>
          <w:p w14:paraId="662B82C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APO-Rabeprazole </w:t>
            </w:r>
          </w:p>
          <w:p w14:paraId="3C662AA6"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Parbezol</w:t>
            </w:r>
            <w:proofErr w:type="spellEnd"/>
            <w:r w:rsidRPr="008658B2">
              <w:rPr>
                <w:rFonts w:ascii="Calibri" w:eastAsia="Times New Roman" w:hAnsi="Calibri" w:cs="Calibri"/>
                <w:color w:val="000000"/>
                <w:sz w:val="20"/>
                <w:szCs w:val="20"/>
              </w:rPr>
              <w:t xml:space="preserve"> </w:t>
            </w:r>
          </w:p>
          <w:p w14:paraId="4081F8B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Mylan </w:t>
            </w:r>
          </w:p>
          <w:p w14:paraId="27EF4132"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Sandoz </w:t>
            </w:r>
          </w:p>
          <w:p w14:paraId="42D51649"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Rabeprazole SUN</w:t>
            </w:r>
          </w:p>
          <w:p w14:paraId="2921F044" w14:textId="6F95045B"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 </w:t>
            </w:r>
            <w:proofErr w:type="spellStart"/>
            <w:r w:rsidRPr="008658B2">
              <w:rPr>
                <w:rFonts w:ascii="Calibri" w:eastAsia="Times New Roman" w:hAnsi="Calibri" w:cs="Calibri"/>
                <w:color w:val="000000"/>
                <w:sz w:val="20"/>
                <w:szCs w:val="20"/>
              </w:rPr>
              <w:t>Zabep</w:t>
            </w:r>
            <w:proofErr w:type="spellEnd"/>
            <w:r w:rsidRPr="008658B2">
              <w:rPr>
                <w:rFonts w:ascii="Calibri" w:eastAsia="Times New Roman" w:hAnsi="Calibri" w:cs="Calibri"/>
                <w:color w:val="000000"/>
                <w:sz w:val="20"/>
                <w:szCs w:val="20"/>
              </w:rPr>
              <w:t xml:space="preserve"> </w:t>
            </w:r>
          </w:p>
        </w:tc>
        <w:tc>
          <w:tcPr>
            <w:tcW w:w="2410" w:type="dxa"/>
            <w:noWrap/>
            <w:hideMark/>
          </w:tcPr>
          <w:p w14:paraId="160B1BC0" w14:textId="09E94611"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7065F6" w:rsidRPr="008658B2" w14:paraId="5E385967" w14:textId="77777777" w:rsidTr="007065F6">
        <w:trPr>
          <w:trHeight w:val="204"/>
        </w:trPr>
        <w:tc>
          <w:tcPr>
            <w:tcW w:w="901" w:type="dxa"/>
            <w:noWrap/>
            <w:hideMark/>
          </w:tcPr>
          <w:p w14:paraId="488721F3"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8509W</w:t>
            </w:r>
          </w:p>
        </w:tc>
        <w:tc>
          <w:tcPr>
            <w:tcW w:w="4481" w:type="dxa"/>
            <w:noWrap/>
            <w:hideMark/>
          </w:tcPr>
          <w:p w14:paraId="032E34FB"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rabeprazole sodium 20 mg enteric tablet, 30</w:t>
            </w:r>
          </w:p>
        </w:tc>
        <w:tc>
          <w:tcPr>
            <w:tcW w:w="1276" w:type="dxa"/>
            <w:noWrap/>
            <w:hideMark/>
          </w:tcPr>
          <w:p w14:paraId="1EB34286"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5E0BD124"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993" w:type="dxa"/>
            <w:noWrap/>
            <w:hideMark/>
          </w:tcPr>
          <w:p w14:paraId="06634758" w14:textId="4D40137A"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15.12</w:t>
            </w:r>
          </w:p>
        </w:tc>
        <w:tc>
          <w:tcPr>
            <w:tcW w:w="2409" w:type="dxa"/>
            <w:noWrap/>
            <w:hideMark/>
          </w:tcPr>
          <w:p w14:paraId="5DA055D2"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APO-Rabeprazole</w:t>
            </w:r>
          </w:p>
          <w:p w14:paraId="5EEBC7C4"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lastRenderedPageBreak/>
              <w:t>Parbezol</w:t>
            </w:r>
            <w:proofErr w:type="spellEnd"/>
            <w:r w:rsidRPr="008658B2">
              <w:rPr>
                <w:rFonts w:ascii="Calibri" w:eastAsia="Times New Roman" w:hAnsi="Calibri" w:cs="Calibri"/>
                <w:color w:val="000000"/>
                <w:sz w:val="20"/>
                <w:szCs w:val="20"/>
              </w:rPr>
              <w:t xml:space="preserve"> </w:t>
            </w:r>
          </w:p>
          <w:p w14:paraId="5B6EB33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Mylan </w:t>
            </w:r>
          </w:p>
          <w:p w14:paraId="4AF597ED"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Sandoz </w:t>
            </w:r>
          </w:p>
          <w:p w14:paraId="44653E1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SUN </w:t>
            </w:r>
          </w:p>
          <w:p w14:paraId="29B4B8B6" w14:textId="7B0AFC0C"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Zabep</w:t>
            </w:r>
            <w:proofErr w:type="spellEnd"/>
            <w:r w:rsidRPr="008658B2">
              <w:rPr>
                <w:rFonts w:ascii="Calibri" w:eastAsia="Times New Roman" w:hAnsi="Calibri" w:cs="Calibri"/>
                <w:color w:val="000000"/>
                <w:sz w:val="20"/>
                <w:szCs w:val="20"/>
              </w:rPr>
              <w:t xml:space="preserve"> </w:t>
            </w:r>
          </w:p>
        </w:tc>
        <w:tc>
          <w:tcPr>
            <w:tcW w:w="2410" w:type="dxa"/>
            <w:noWrap/>
            <w:hideMark/>
          </w:tcPr>
          <w:p w14:paraId="151EEB5F" w14:textId="6ED12679"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lastRenderedPageBreak/>
              <w:t>Peptic ulcer, GORD</w:t>
            </w:r>
          </w:p>
        </w:tc>
      </w:tr>
      <w:tr w:rsidR="007065F6" w:rsidRPr="008658B2" w14:paraId="2EB8EEB5" w14:textId="77777777" w:rsidTr="007065F6">
        <w:trPr>
          <w:trHeight w:val="204"/>
        </w:trPr>
        <w:tc>
          <w:tcPr>
            <w:tcW w:w="901" w:type="dxa"/>
            <w:shd w:val="clear" w:color="auto" w:fill="BFBFBF" w:themeFill="background1" w:themeFillShade="BF"/>
            <w:noWrap/>
          </w:tcPr>
          <w:p w14:paraId="6DDBF749" w14:textId="0A521BE4"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Item</w:t>
            </w:r>
          </w:p>
        </w:tc>
        <w:tc>
          <w:tcPr>
            <w:tcW w:w="4481" w:type="dxa"/>
            <w:shd w:val="clear" w:color="auto" w:fill="BFBFBF" w:themeFill="background1" w:themeFillShade="BF"/>
            <w:noWrap/>
          </w:tcPr>
          <w:p w14:paraId="2AAAA308" w14:textId="0B04B639"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Name, form &amp; strength, pack size</w:t>
            </w:r>
          </w:p>
        </w:tc>
        <w:tc>
          <w:tcPr>
            <w:tcW w:w="1276" w:type="dxa"/>
            <w:shd w:val="clear" w:color="auto" w:fill="BFBFBF" w:themeFill="background1" w:themeFillShade="BF"/>
            <w:noWrap/>
          </w:tcPr>
          <w:p w14:paraId="6F3D38F4" w14:textId="4ECF6B9E"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Max. quant.</w:t>
            </w:r>
          </w:p>
        </w:tc>
        <w:tc>
          <w:tcPr>
            <w:tcW w:w="713" w:type="dxa"/>
            <w:shd w:val="clear" w:color="auto" w:fill="BFBFBF" w:themeFill="background1" w:themeFillShade="BF"/>
            <w:noWrap/>
          </w:tcPr>
          <w:p w14:paraId="1ABEDAAF" w14:textId="06606E1C" w:rsidR="007065F6" w:rsidRPr="008658B2" w:rsidRDefault="007065F6" w:rsidP="007065F6">
            <w:pPr>
              <w:jc w:val="center"/>
              <w:rPr>
                <w:rFonts w:ascii="Calibri" w:eastAsia="Times New Roman" w:hAnsi="Calibri" w:cs="Calibri"/>
                <w:color w:val="000000"/>
                <w:sz w:val="20"/>
                <w:szCs w:val="20"/>
              </w:rPr>
            </w:pPr>
            <w:proofErr w:type="spellStart"/>
            <w:r w:rsidRPr="008658B2">
              <w:rPr>
                <w:rFonts w:ascii="Calibri" w:eastAsia="Times New Roman" w:hAnsi="Calibri" w:cs="Calibri"/>
                <w:b/>
                <w:bCs/>
                <w:color w:val="000000"/>
                <w:sz w:val="20"/>
                <w:szCs w:val="20"/>
              </w:rPr>
              <w:t>Rpts</w:t>
            </w:r>
            <w:proofErr w:type="spellEnd"/>
          </w:p>
        </w:tc>
        <w:tc>
          <w:tcPr>
            <w:tcW w:w="993" w:type="dxa"/>
            <w:shd w:val="clear" w:color="auto" w:fill="BFBFBF" w:themeFill="background1" w:themeFillShade="BF"/>
            <w:noWrap/>
          </w:tcPr>
          <w:p w14:paraId="26D830BC" w14:textId="3C6CD641" w:rsidR="007065F6"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DPMQ</w:t>
            </w:r>
          </w:p>
        </w:tc>
        <w:tc>
          <w:tcPr>
            <w:tcW w:w="2409" w:type="dxa"/>
            <w:shd w:val="clear" w:color="auto" w:fill="BFBFBF" w:themeFill="background1" w:themeFillShade="BF"/>
            <w:noWrap/>
          </w:tcPr>
          <w:p w14:paraId="4ED268DF" w14:textId="7442A73E"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Brand name</w:t>
            </w:r>
          </w:p>
        </w:tc>
        <w:tc>
          <w:tcPr>
            <w:tcW w:w="2410" w:type="dxa"/>
            <w:shd w:val="clear" w:color="auto" w:fill="BFBFBF" w:themeFill="background1" w:themeFillShade="BF"/>
            <w:noWrap/>
          </w:tcPr>
          <w:p w14:paraId="790E2546" w14:textId="4082C815"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b/>
                <w:bCs/>
                <w:color w:val="000000"/>
                <w:sz w:val="20"/>
                <w:szCs w:val="20"/>
              </w:rPr>
              <w:t>Indication</w:t>
            </w:r>
          </w:p>
        </w:tc>
      </w:tr>
      <w:tr w:rsidR="007065F6" w:rsidRPr="008658B2" w14:paraId="0C184FD8" w14:textId="77777777" w:rsidTr="007065F6">
        <w:trPr>
          <w:trHeight w:val="204"/>
        </w:trPr>
        <w:tc>
          <w:tcPr>
            <w:tcW w:w="901" w:type="dxa"/>
            <w:noWrap/>
            <w:hideMark/>
          </w:tcPr>
          <w:p w14:paraId="32CA9F9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12286P</w:t>
            </w:r>
          </w:p>
        </w:tc>
        <w:tc>
          <w:tcPr>
            <w:tcW w:w="4481" w:type="dxa"/>
            <w:noWrap/>
            <w:hideMark/>
          </w:tcPr>
          <w:p w14:paraId="2259D953"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rabeprazole sodium 20 mg enteric tablet, 30</w:t>
            </w:r>
          </w:p>
        </w:tc>
        <w:tc>
          <w:tcPr>
            <w:tcW w:w="1276" w:type="dxa"/>
            <w:noWrap/>
            <w:hideMark/>
          </w:tcPr>
          <w:p w14:paraId="6BF2FAB9"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2</w:t>
            </w:r>
          </w:p>
        </w:tc>
        <w:tc>
          <w:tcPr>
            <w:tcW w:w="713" w:type="dxa"/>
            <w:noWrap/>
            <w:hideMark/>
          </w:tcPr>
          <w:p w14:paraId="6389868A"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5</w:t>
            </w:r>
          </w:p>
        </w:tc>
        <w:tc>
          <w:tcPr>
            <w:tcW w:w="993" w:type="dxa"/>
            <w:noWrap/>
            <w:hideMark/>
          </w:tcPr>
          <w:p w14:paraId="2DFB3560" w14:textId="2E380B42"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18.16</w:t>
            </w:r>
          </w:p>
        </w:tc>
        <w:tc>
          <w:tcPr>
            <w:tcW w:w="2409" w:type="dxa"/>
            <w:noWrap/>
            <w:hideMark/>
          </w:tcPr>
          <w:p w14:paraId="23A3DEC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APO-Rabeprazole</w:t>
            </w:r>
          </w:p>
          <w:p w14:paraId="732FD956" w14:textId="77777777"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Parbezol</w:t>
            </w:r>
            <w:proofErr w:type="spellEnd"/>
            <w:r w:rsidRPr="008658B2">
              <w:rPr>
                <w:rFonts w:ascii="Calibri" w:eastAsia="Times New Roman" w:hAnsi="Calibri" w:cs="Calibri"/>
                <w:color w:val="000000"/>
                <w:sz w:val="20"/>
                <w:szCs w:val="20"/>
              </w:rPr>
              <w:t xml:space="preserve"> </w:t>
            </w:r>
          </w:p>
          <w:p w14:paraId="660E7003"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Mylan </w:t>
            </w:r>
          </w:p>
          <w:p w14:paraId="444A8233"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Sandoz </w:t>
            </w:r>
          </w:p>
          <w:p w14:paraId="099BEEE5"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Rabeprazole SUN </w:t>
            </w:r>
          </w:p>
          <w:p w14:paraId="193B642B" w14:textId="194510A3" w:rsidR="007065F6" w:rsidRPr="008658B2" w:rsidRDefault="007065F6" w:rsidP="007065F6">
            <w:pPr>
              <w:rPr>
                <w:rFonts w:ascii="Calibri" w:eastAsia="Times New Roman" w:hAnsi="Calibri" w:cs="Calibri"/>
                <w:color w:val="000000"/>
                <w:sz w:val="20"/>
                <w:szCs w:val="20"/>
              </w:rPr>
            </w:pPr>
            <w:proofErr w:type="spellStart"/>
            <w:r w:rsidRPr="008658B2">
              <w:rPr>
                <w:rFonts w:ascii="Calibri" w:eastAsia="Times New Roman" w:hAnsi="Calibri" w:cs="Calibri"/>
                <w:color w:val="000000"/>
                <w:sz w:val="20"/>
                <w:szCs w:val="20"/>
              </w:rPr>
              <w:t>Zabep</w:t>
            </w:r>
            <w:proofErr w:type="spellEnd"/>
            <w:r w:rsidRPr="008658B2">
              <w:rPr>
                <w:rFonts w:ascii="Calibri" w:eastAsia="Times New Roman" w:hAnsi="Calibri" w:cs="Calibri"/>
                <w:color w:val="000000"/>
                <w:sz w:val="20"/>
                <w:szCs w:val="20"/>
              </w:rPr>
              <w:t xml:space="preserve"> </w:t>
            </w:r>
          </w:p>
        </w:tc>
        <w:tc>
          <w:tcPr>
            <w:tcW w:w="2410" w:type="dxa"/>
            <w:noWrap/>
            <w:hideMark/>
          </w:tcPr>
          <w:p w14:paraId="167E734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GORD</w:t>
            </w:r>
          </w:p>
        </w:tc>
      </w:tr>
      <w:tr w:rsidR="007065F6" w:rsidRPr="008658B2" w14:paraId="6CA6C08A" w14:textId="77777777" w:rsidTr="007065F6">
        <w:trPr>
          <w:trHeight w:val="612"/>
        </w:trPr>
        <w:tc>
          <w:tcPr>
            <w:tcW w:w="901" w:type="dxa"/>
            <w:noWrap/>
            <w:hideMark/>
          </w:tcPr>
          <w:p w14:paraId="1BBBD309"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10759G</w:t>
            </w:r>
          </w:p>
        </w:tc>
        <w:tc>
          <w:tcPr>
            <w:tcW w:w="4481" w:type="dxa"/>
            <w:hideMark/>
          </w:tcPr>
          <w:p w14:paraId="0F9BB147"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esomeprazole 20 mg enteric tablet [14] (&amp;) amoxicillin 500 mg capsule [28] (&amp;) clarithromycin 500 mg tablet [14], 1 pack</w:t>
            </w:r>
          </w:p>
        </w:tc>
        <w:tc>
          <w:tcPr>
            <w:tcW w:w="1276" w:type="dxa"/>
            <w:noWrap/>
            <w:hideMark/>
          </w:tcPr>
          <w:p w14:paraId="62EC9C53"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2A360A73" w14:textId="59913714"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993" w:type="dxa"/>
            <w:noWrap/>
            <w:hideMark/>
          </w:tcPr>
          <w:p w14:paraId="763B9FA3" w14:textId="3714B7F2"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37.51</w:t>
            </w:r>
          </w:p>
        </w:tc>
        <w:tc>
          <w:tcPr>
            <w:tcW w:w="2409" w:type="dxa"/>
            <w:noWrap/>
            <w:hideMark/>
          </w:tcPr>
          <w:p w14:paraId="68682374" w14:textId="107C909B"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SANDOZ </w:t>
            </w:r>
          </w:p>
        </w:tc>
        <w:tc>
          <w:tcPr>
            <w:tcW w:w="2410" w:type="dxa"/>
            <w:noWrap/>
            <w:hideMark/>
          </w:tcPr>
          <w:p w14:paraId="7E250110"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Eradication of Helicobacter pylori</w:t>
            </w:r>
          </w:p>
        </w:tc>
      </w:tr>
      <w:tr w:rsidR="007065F6" w:rsidRPr="008658B2" w14:paraId="2D15449D" w14:textId="77777777" w:rsidTr="007065F6">
        <w:trPr>
          <w:trHeight w:val="612"/>
        </w:trPr>
        <w:tc>
          <w:tcPr>
            <w:tcW w:w="901" w:type="dxa"/>
            <w:noWrap/>
            <w:hideMark/>
          </w:tcPr>
          <w:p w14:paraId="5435668B"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8738X</w:t>
            </w:r>
          </w:p>
        </w:tc>
        <w:tc>
          <w:tcPr>
            <w:tcW w:w="4481" w:type="dxa"/>
            <w:hideMark/>
          </w:tcPr>
          <w:p w14:paraId="1FABB871"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 xml:space="preserve">esomeprazole 20 mg enteric tablet [14] (&amp;) amoxicillin 500 mg capsule [28] (&amp;) clarithromycin 500 mg tablet [14], </w:t>
            </w:r>
            <w:r w:rsidRPr="008658B2">
              <w:rPr>
                <w:rFonts w:ascii="Calibri" w:eastAsia="Times New Roman" w:hAnsi="Calibri" w:cs="Calibri"/>
                <w:color w:val="000000"/>
                <w:sz w:val="20"/>
                <w:szCs w:val="20"/>
              </w:rPr>
              <w:br/>
              <w:t>1 pack</w:t>
            </w:r>
          </w:p>
        </w:tc>
        <w:tc>
          <w:tcPr>
            <w:tcW w:w="1276" w:type="dxa"/>
            <w:noWrap/>
            <w:hideMark/>
          </w:tcPr>
          <w:p w14:paraId="19CF87A4" w14:textId="77777777" w:rsidR="007065F6" w:rsidRPr="008658B2" w:rsidRDefault="007065F6" w:rsidP="007065F6">
            <w:pPr>
              <w:jc w:val="center"/>
              <w:rPr>
                <w:rFonts w:ascii="Calibri" w:eastAsia="Times New Roman" w:hAnsi="Calibri" w:cs="Calibri"/>
                <w:color w:val="000000"/>
                <w:sz w:val="20"/>
                <w:szCs w:val="20"/>
              </w:rPr>
            </w:pPr>
            <w:r w:rsidRPr="008658B2">
              <w:rPr>
                <w:rFonts w:ascii="Calibri" w:eastAsia="Times New Roman" w:hAnsi="Calibri" w:cs="Calibri"/>
                <w:color w:val="000000"/>
                <w:sz w:val="20"/>
                <w:szCs w:val="20"/>
              </w:rPr>
              <w:t>1</w:t>
            </w:r>
          </w:p>
        </w:tc>
        <w:tc>
          <w:tcPr>
            <w:tcW w:w="713" w:type="dxa"/>
            <w:noWrap/>
            <w:hideMark/>
          </w:tcPr>
          <w:p w14:paraId="49936815" w14:textId="32FAD681"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0</w:t>
            </w:r>
          </w:p>
        </w:tc>
        <w:tc>
          <w:tcPr>
            <w:tcW w:w="993" w:type="dxa"/>
            <w:noWrap/>
            <w:hideMark/>
          </w:tcPr>
          <w:p w14:paraId="370CCEBD" w14:textId="30E19801" w:rsidR="007065F6" w:rsidRPr="008658B2" w:rsidRDefault="007065F6" w:rsidP="007065F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8658B2">
              <w:rPr>
                <w:rFonts w:ascii="Calibri" w:eastAsia="Times New Roman" w:hAnsi="Calibri" w:cs="Calibri"/>
                <w:color w:val="000000"/>
                <w:sz w:val="20"/>
                <w:szCs w:val="20"/>
              </w:rPr>
              <w:t>41.09</w:t>
            </w:r>
          </w:p>
        </w:tc>
        <w:tc>
          <w:tcPr>
            <w:tcW w:w="2409" w:type="dxa"/>
            <w:noWrap/>
            <w:hideMark/>
          </w:tcPr>
          <w:p w14:paraId="0163EBBA" w14:textId="0694457F" w:rsidR="007065F6" w:rsidRPr="006268DA" w:rsidRDefault="007065F6" w:rsidP="007065F6">
            <w:pPr>
              <w:rPr>
                <w:rFonts w:ascii="Calibri" w:eastAsia="Times New Roman" w:hAnsi="Calibri" w:cs="Calibri"/>
                <w:color w:val="000000"/>
                <w:sz w:val="20"/>
                <w:szCs w:val="20"/>
              </w:rPr>
            </w:pPr>
            <w:r w:rsidRPr="006268DA">
              <w:rPr>
                <w:sz w:val="20"/>
                <w:szCs w:val="20"/>
              </w:rPr>
              <w:t>Nexium Hp7</w:t>
            </w:r>
          </w:p>
        </w:tc>
        <w:tc>
          <w:tcPr>
            <w:tcW w:w="2410" w:type="dxa"/>
            <w:noWrap/>
            <w:hideMark/>
          </w:tcPr>
          <w:p w14:paraId="7156E17C" w14:textId="77777777" w:rsidR="007065F6" w:rsidRPr="008658B2" w:rsidRDefault="007065F6" w:rsidP="007065F6">
            <w:pPr>
              <w:rPr>
                <w:rFonts w:ascii="Calibri" w:eastAsia="Times New Roman" w:hAnsi="Calibri" w:cs="Calibri"/>
                <w:color w:val="000000"/>
                <w:sz w:val="20"/>
                <w:szCs w:val="20"/>
              </w:rPr>
            </w:pPr>
            <w:r w:rsidRPr="008658B2">
              <w:rPr>
                <w:rFonts w:ascii="Calibri" w:eastAsia="Times New Roman" w:hAnsi="Calibri" w:cs="Calibri"/>
                <w:color w:val="000000"/>
                <w:sz w:val="20"/>
                <w:szCs w:val="20"/>
              </w:rPr>
              <w:t>Eradication of Helicobacter pylori</w:t>
            </w:r>
          </w:p>
        </w:tc>
      </w:tr>
    </w:tbl>
    <w:p w14:paraId="652179DE" w14:textId="77777777" w:rsidR="00552183" w:rsidRDefault="00552183" w:rsidP="00552183">
      <w:pPr>
        <w:pStyle w:val="Notes"/>
        <w:spacing w:after="0"/>
      </w:pPr>
      <w:r w:rsidRPr="00A35800" w:rsidDel="00EE2BBB">
        <w:t xml:space="preserve">Source: </w:t>
      </w:r>
      <w:r w:rsidDel="00EE2BBB">
        <w:t xml:space="preserve">the </w:t>
      </w:r>
      <w:hyperlink r:id="rId33" w:history="1">
        <w:r w:rsidRPr="001624D7" w:rsidDel="00EE2BBB">
          <w:rPr>
            <w:rStyle w:val="Hyperlink"/>
          </w:rPr>
          <w:t>PBS website</w:t>
        </w:r>
      </w:hyperlink>
      <w:r w:rsidDel="00EE2BBB">
        <w:t>.</w:t>
      </w:r>
      <w:r>
        <w:t xml:space="preserve">  </w:t>
      </w:r>
    </w:p>
    <w:p w14:paraId="3891FF2F" w14:textId="77777777" w:rsidR="00681D83" w:rsidRPr="00107BB6" w:rsidRDefault="00681D83" w:rsidP="007065F6">
      <w:pPr>
        <w:spacing w:after="0"/>
      </w:pPr>
    </w:p>
    <w:sectPr w:rsidR="00681D83" w:rsidRPr="00107BB6" w:rsidSect="007065F6">
      <w:pgSz w:w="16838" w:h="11906" w:orient="landscape"/>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6E2B" w14:textId="77777777" w:rsidR="001A5F7F" w:rsidRDefault="001A5F7F" w:rsidP="00A35800">
      <w:r>
        <w:separator/>
      </w:r>
    </w:p>
  </w:endnote>
  <w:endnote w:type="continuationSeparator" w:id="0">
    <w:p w14:paraId="7D29A31D" w14:textId="77777777" w:rsidR="001A5F7F" w:rsidRDefault="001A5F7F"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77777777" w:rsidR="00782663" w:rsidRDefault="0078266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782663" w:rsidRDefault="0078266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086234"/>
      <w:docPartObj>
        <w:docPartGallery w:val="Page Numbers (Bottom of Page)"/>
        <w:docPartUnique/>
      </w:docPartObj>
    </w:sdtPr>
    <w:sdtEndPr/>
    <w:sdtContent>
      <w:sdt>
        <w:sdtPr>
          <w:id w:val="1728636285"/>
          <w:docPartObj>
            <w:docPartGallery w:val="Page Numbers (Top of Page)"/>
            <w:docPartUnique/>
          </w:docPartObj>
        </w:sdtPr>
        <w:sdtEndPr/>
        <w:sdtContent>
          <w:p w14:paraId="09CD8ECD" w14:textId="77777777" w:rsidR="00573A9C" w:rsidRDefault="00573A9C">
            <w:pPr>
              <w:pStyle w:val="Footer"/>
              <w:jc w:val="center"/>
            </w:pPr>
          </w:p>
          <w:p w14:paraId="2B78830D" w14:textId="77777777" w:rsidR="00573A9C" w:rsidRPr="000E72C6" w:rsidRDefault="00573A9C" w:rsidP="00573A9C">
            <w:pPr>
              <w:pStyle w:val="Footer"/>
              <w:jc w:val="center"/>
              <w:rPr>
                <w:i/>
                <w:sz w:val="20"/>
              </w:rPr>
            </w:pPr>
            <w:r>
              <w:rPr>
                <w:i/>
                <w:sz w:val="20"/>
              </w:rPr>
              <w:t>Public Release Document, June 2022 DUSC Meeting</w:t>
            </w:r>
          </w:p>
          <w:p w14:paraId="5D4A4710" w14:textId="2746ADCD" w:rsidR="00573A9C" w:rsidRDefault="00573A9C">
            <w:pPr>
              <w:pStyle w:val="Footer"/>
              <w:jc w:val="center"/>
            </w:pPr>
            <w:r w:rsidRPr="00573A9C">
              <w:rPr>
                <w:i/>
                <w:iCs/>
                <w:sz w:val="20"/>
                <w:szCs w:val="20"/>
              </w:rPr>
              <w:t xml:space="preserve">Page </w:t>
            </w:r>
            <w:r w:rsidRPr="00573A9C">
              <w:rPr>
                <w:i/>
                <w:iCs/>
                <w:sz w:val="20"/>
                <w:szCs w:val="20"/>
              </w:rPr>
              <w:fldChar w:fldCharType="begin"/>
            </w:r>
            <w:r w:rsidRPr="00573A9C">
              <w:rPr>
                <w:i/>
                <w:iCs/>
                <w:sz w:val="20"/>
                <w:szCs w:val="20"/>
              </w:rPr>
              <w:instrText xml:space="preserve"> PAGE </w:instrText>
            </w:r>
            <w:r w:rsidRPr="00573A9C">
              <w:rPr>
                <w:i/>
                <w:iCs/>
                <w:sz w:val="20"/>
                <w:szCs w:val="20"/>
              </w:rPr>
              <w:fldChar w:fldCharType="separate"/>
            </w:r>
            <w:r w:rsidRPr="00573A9C">
              <w:rPr>
                <w:i/>
                <w:iCs/>
                <w:noProof/>
                <w:sz w:val="20"/>
                <w:szCs w:val="20"/>
              </w:rPr>
              <w:t>2</w:t>
            </w:r>
            <w:r w:rsidRPr="00573A9C">
              <w:rPr>
                <w:i/>
                <w:iCs/>
                <w:sz w:val="20"/>
                <w:szCs w:val="20"/>
              </w:rPr>
              <w:fldChar w:fldCharType="end"/>
            </w:r>
            <w:r w:rsidRPr="00573A9C">
              <w:rPr>
                <w:i/>
                <w:iCs/>
                <w:sz w:val="20"/>
                <w:szCs w:val="20"/>
              </w:rPr>
              <w:t xml:space="preserve"> of </w:t>
            </w:r>
            <w:r w:rsidRPr="00573A9C">
              <w:rPr>
                <w:i/>
                <w:iCs/>
                <w:sz w:val="20"/>
                <w:szCs w:val="20"/>
              </w:rPr>
              <w:fldChar w:fldCharType="begin"/>
            </w:r>
            <w:r w:rsidRPr="00573A9C">
              <w:rPr>
                <w:i/>
                <w:iCs/>
                <w:sz w:val="20"/>
                <w:szCs w:val="20"/>
              </w:rPr>
              <w:instrText xml:space="preserve"> NUMPAGES  </w:instrText>
            </w:r>
            <w:r w:rsidRPr="00573A9C">
              <w:rPr>
                <w:i/>
                <w:iCs/>
                <w:sz w:val="20"/>
                <w:szCs w:val="20"/>
              </w:rPr>
              <w:fldChar w:fldCharType="separate"/>
            </w:r>
            <w:r w:rsidRPr="00573A9C">
              <w:rPr>
                <w:i/>
                <w:iCs/>
                <w:noProof/>
                <w:sz w:val="20"/>
                <w:szCs w:val="20"/>
              </w:rPr>
              <w:t>2</w:t>
            </w:r>
            <w:r w:rsidRPr="00573A9C">
              <w:rPr>
                <w:i/>
                <w:iCs/>
                <w:sz w:val="20"/>
                <w:szCs w:val="20"/>
              </w:rPr>
              <w:fldChar w:fldCharType="end"/>
            </w:r>
          </w:p>
        </w:sdtContent>
      </w:sdt>
    </w:sdtContent>
  </w:sdt>
  <w:p w14:paraId="10292A9A" w14:textId="68B405AA" w:rsidR="00782663" w:rsidRDefault="00782663" w:rsidP="000E72C6">
    <w:pPr>
      <w:pStyle w:val="Footer"/>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782663" w:rsidRDefault="00782663" w:rsidP="007A5733">
    <w:pPr>
      <w:pStyle w:val="Footer"/>
      <w:jc w:val="center"/>
      <w:rPr>
        <w:rStyle w:val="PageNumber"/>
      </w:rPr>
    </w:pPr>
    <w:r>
      <w:rPr>
        <w:rStyle w:val="PageNumber"/>
      </w:rPr>
      <w:t>Committee-in-Confidence</w:t>
    </w:r>
  </w:p>
  <w:p w14:paraId="3CE6880B" w14:textId="77777777" w:rsidR="00782663" w:rsidRDefault="00782663"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B2D5" w14:textId="77777777" w:rsidR="001A5F7F" w:rsidRDefault="001A5F7F" w:rsidP="00A35800">
      <w:r>
        <w:separator/>
      </w:r>
    </w:p>
  </w:footnote>
  <w:footnote w:type="continuationSeparator" w:id="0">
    <w:p w14:paraId="050D6F19" w14:textId="77777777" w:rsidR="001A5F7F" w:rsidRDefault="001A5F7F" w:rsidP="00A35800">
      <w:r>
        <w:continuationSeparator/>
      </w:r>
    </w:p>
  </w:footnote>
  <w:footnote w:id="1">
    <w:p w14:paraId="7C9E3A3D" w14:textId="4B681A20" w:rsidR="00782663" w:rsidRDefault="00782663">
      <w:pPr>
        <w:pStyle w:val="FootnoteText"/>
      </w:pPr>
      <w:r>
        <w:rPr>
          <w:rStyle w:val="FootnoteReference"/>
        </w:rPr>
        <w:footnoteRef/>
      </w:r>
      <w:r>
        <w:t xml:space="preserve"> </w:t>
      </w:r>
      <w:hyperlink r:id="rId1" w:anchor=":~:text=The%20estimated%20prevalence%20of%20diagnosed%20GORD%20in%20patients,of%20people%20with%20undiagnosed%20GORD%20in%20the%20community." w:history="1">
        <w:r>
          <w:rPr>
            <w:rStyle w:val="Hyperlink"/>
          </w:rPr>
          <w:t>RACGP - Gastro-oesophageal reflux disease (GORD) in Australian general practice patients</w:t>
        </w:r>
      </w:hyperlink>
    </w:p>
  </w:footnote>
  <w:footnote w:id="2">
    <w:p w14:paraId="4254D5BC" w14:textId="2801F6DC" w:rsidR="00782663" w:rsidRDefault="00782663">
      <w:pPr>
        <w:pStyle w:val="FootnoteText"/>
      </w:pPr>
      <w:r>
        <w:rPr>
          <w:rStyle w:val="FootnoteReference"/>
        </w:rPr>
        <w:footnoteRef/>
      </w:r>
      <w:r>
        <w:t xml:space="preserve"> </w:t>
      </w:r>
      <w:hyperlink r:id="rId2" w:history="1">
        <w:r>
          <w:rPr>
            <w:rStyle w:val="Hyperlink"/>
          </w:rPr>
          <w:t>Global Prevalence and Risk Factors of Gastro-oesophageal Reflux Disease (GORD): Systematic Review with Meta-analysis | Scientific Reports (nature.com)</w:t>
        </w:r>
      </w:hyperlink>
    </w:p>
  </w:footnote>
  <w:footnote w:id="3">
    <w:p w14:paraId="4ED92592" w14:textId="73BF0FDF" w:rsidR="00782663" w:rsidRDefault="00782663" w:rsidP="00E26B90">
      <w:pPr>
        <w:rPr>
          <w:color w:val="1F497D"/>
          <w:lang w:eastAsia="en-US"/>
        </w:rPr>
      </w:pPr>
      <w:r>
        <w:rPr>
          <w:rStyle w:val="FootnoteReference"/>
        </w:rPr>
        <w:footnoteRef/>
      </w:r>
      <w:r>
        <w:t xml:space="preserve"> </w:t>
      </w:r>
      <w:r>
        <w:rPr>
          <w:sz w:val="20"/>
          <w:szCs w:val="20"/>
        </w:rPr>
        <w:t xml:space="preserve">PBS statistics. Services Australia Medicare. Canberra. Available from </w:t>
      </w:r>
      <w:hyperlink r:id="rId3" w:history="1">
        <w:r>
          <w:rPr>
            <w:rStyle w:val="Hyperlink"/>
            <w:sz w:val="20"/>
            <w:szCs w:val="20"/>
          </w:rPr>
          <w:t>https://www.servicesaustralia.gov.au/organisations/about-us/reports-and-statistics/statistical-information-and-data-0/medicare-statistics/pharmaceutical-benefits-schedule-statistics</w:t>
        </w:r>
      </w:hyperlink>
    </w:p>
    <w:p w14:paraId="7B8331DE" w14:textId="77777777" w:rsidR="00782663" w:rsidRDefault="00782663" w:rsidP="00E26B90">
      <w:pPr>
        <w:pStyle w:val="FootnoteText"/>
      </w:pPr>
    </w:p>
  </w:footnote>
  <w:footnote w:id="4">
    <w:p w14:paraId="098B1BA2" w14:textId="77777777" w:rsidR="00782663" w:rsidRDefault="00782663" w:rsidP="00EF72CC">
      <w:pPr>
        <w:pStyle w:val="FootnoteText"/>
      </w:pPr>
      <w:r>
        <w:rPr>
          <w:rStyle w:val="FootnoteReference"/>
        </w:rPr>
        <w:footnoteRef/>
      </w:r>
      <w:r>
        <w:t xml:space="preserve"> </w:t>
      </w:r>
      <w:hyperlink r:id="rId4" w:history="1">
        <w:r>
          <w:rPr>
            <w:rStyle w:val="Hyperlink"/>
          </w:rPr>
          <w:t>2.3 Proton pump inhibitor medicines dispensing, 18 years and over (safetyandquality.gov.au)</w:t>
        </w:r>
      </w:hyperlink>
    </w:p>
  </w:footnote>
  <w:footnote w:id="5">
    <w:p w14:paraId="38AFD9F6" w14:textId="77777777" w:rsidR="00782663" w:rsidRDefault="00782663" w:rsidP="00EF72CC">
      <w:pPr>
        <w:pStyle w:val="FootnoteText"/>
      </w:pPr>
      <w:r>
        <w:rPr>
          <w:rStyle w:val="FootnoteReference"/>
        </w:rPr>
        <w:footnoteRef/>
      </w:r>
      <w:r>
        <w:t xml:space="preserve"> </w:t>
      </w:r>
      <w:hyperlink r:id="rId5" w:history="1">
        <w:r>
          <w:rPr>
            <w:rStyle w:val="Hyperlink"/>
          </w:rPr>
          <w:t>Community-dwelling older adults’ awareness of the inappropriate use of proton pump inhibitors | BMC Geriatrics | Full Text (biomedcentral.com)</w:t>
        </w:r>
      </w:hyperlink>
    </w:p>
  </w:footnote>
  <w:footnote w:id="6">
    <w:p w14:paraId="3C82869F" w14:textId="0A1ECC7E" w:rsidR="00782663" w:rsidRPr="008E5BAE" w:rsidRDefault="00782663" w:rsidP="009838B8">
      <w:pPr>
        <w:pStyle w:val="CommentText"/>
      </w:pPr>
      <w:r w:rsidRPr="00220C3F">
        <w:rPr>
          <w:rStyle w:val="FootnoteReference"/>
        </w:rPr>
        <w:footnoteRef/>
      </w:r>
      <w:r w:rsidRPr="00220C3F">
        <w:t xml:space="preserve"> NPS MedicineWise, ‘Proton pump inhibitors: PBS changes May 2019’. Accessed on 25 April 2022 at:</w:t>
      </w:r>
      <w:r w:rsidRPr="008E5BAE">
        <w:t xml:space="preserve"> </w:t>
      </w:r>
      <w:hyperlink r:id="rId6" w:history="1">
        <w:r w:rsidRPr="008E5BAE">
          <w:rPr>
            <w:rStyle w:val="Hyperlink"/>
          </w:rPr>
          <w:t>https://www.nps.org.au/radar/articles/proton-pump-inhibitors-pbs-changes-may-2019</w:t>
        </w:r>
      </w:hyperlink>
    </w:p>
  </w:footnote>
  <w:footnote w:id="7">
    <w:p w14:paraId="4DBB9C5E" w14:textId="543286D6" w:rsidR="00782663" w:rsidRPr="008E5BAE" w:rsidRDefault="00782663" w:rsidP="008E5BAE">
      <w:pPr>
        <w:shd w:val="clear" w:color="auto" w:fill="FFFFFF"/>
        <w:rPr>
          <w:rFonts w:ascii="Segoe UI" w:hAnsi="Segoe UI" w:cs="Segoe UI"/>
          <w:color w:val="5B616B"/>
          <w:sz w:val="20"/>
          <w:szCs w:val="20"/>
        </w:rPr>
      </w:pPr>
      <w:r w:rsidRPr="008E5BAE">
        <w:rPr>
          <w:rStyle w:val="FootnoteReference"/>
          <w:sz w:val="20"/>
          <w:szCs w:val="20"/>
        </w:rPr>
        <w:footnoteRef/>
      </w:r>
      <w:r w:rsidRPr="008E5BAE">
        <w:rPr>
          <w:sz w:val="20"/>
          <w:szCs w:val="20"/>
        </w:rPr>
        <w:t xml:space="preserve"> Wu et al. (2020) Impact of NPS MedicineWise general practitioner education programs and Choosing Wisely Australia recommendations on prescribing of proton pump inhibitors in Australia. BMC Fam </w:t>
      </w:r>
      <w:proofErr w:type="spellStart"/>
      <w:r w:rsidRPr="008E5BAE">
        <w:rPr>
          <w:sz w:val="20"/>
          <w:szCs w:val="20"/>
        </w:rPr>
        <w:t>Pract</w:t>
      </w:r>
      <w:proofErr w:type="spellEnd"/>
      <w:r w:rsidRPr="008E5BAE">
        <w:rPr>
          <w:sz w:val="20"/>
          <w:szCs w:val="20"/>
        </w:rPr>
        <w:t xml:space="preserve"> 2020 May 9;21(1):85.</w:t>
      </w:r>
    </w:p>
  </w:footnote>
  <w:footnote w:id="8">
    <w:p w14:paraId="7308BF80" w14:textId="367A4A51" w:rsidR="00782663" w:rsidRPr="008E5BAE" w:rsidRDefault="00782663">
      <w:pPr>
        <w:pStyle w:val="FootnoteText"/>
        <w:rPr>
          <w:sz w:val="20"/>
        </w:rPr>
      </w:pPr>
      <w:r w:rsidRPr="008E5BAE">
        <w:rPr>
          <w:rStyle w:val="FootnoteReference"/>
          <w:sz w:val="20"/>
        </w:rPr>
        <w:footnoteRef/>
      </w:r>
      <w:r w:rsidRPr="008E5BAE">
        <w:rPr>
          <w:sz w:val="20"/>
        </w:rPr>
        <w:t xml:space="preserve"> The Fourth Australian Atlas of Healthcare Variation (2021), Section 6.3,  Australian Commission on Safety and Quality in Health Care. Accessed on 2 May 2022 at: https://www.safetyandquality.gov.au/publications-and-resources/resource-library/fourth-australian-atlas-healthcare-variation-2021</w:t>
      </w:r>
    </w:p>
  </w:footnote>
  <w:footnote w:id="9">
    <w:p w14:paraId="1F83D56D" w14:textId="5E0F9B42" w:rsidR="00782663" w:rsidRDefault="00782663">
      <w:pPr>
        <w:pStyle w:val="FootnoteText"/>
      </w:pPr>
      <w:r w:rsidRPr="008E5BAE">
        <w:rPr>
          <w:rStyle w:val="FootnoteReference"/>
          <w:sz w:val="20"/>
        </w:rPr>
        <w:footnoteRef/>
      </w:r>
      <w:r w:rsidRPr="008E5BAE">
        <w:rPr>
          <w:sz w:val="20"/>
        </w:rPr>
        <w:t xml:space="preserve"> </w:t>
      </w:r>
      <w:hyperlink r:id="rId7" w:history="1">
        <w:r w:rsidRPr="008E5BAE">
          <w:rPr>
            <w:rStyle w:val="Hyperlink"/>
            <w:sz w:val="20"/>
          </w:rPr>
          <w:t>6.3 Proton pump inhibitor medicines dispensing, 75 years and over | Australian Commission on Safety and Quality in Health Care</w:t>
        </w:r>
      </w:hyperlink>
    </w:p>
  </w:footnote>
  <w:footnote w:id="10">
    <w:p w14:paraId="7E07F2A6" w14:textId="77777777" w:rsidR="00782663" w:rsidRPr="008E5BAE" w:rsidRDefault="00782663" w:rsidP="00782663">
      <w:pPr>
        <w:pStyle w:val="CommentText"/>
      </w:pPr>
      <w:r w:rsidRPr="00220C3F">
        <w:rPr>
          <w:rStyle w:val="FootnoteReference"/>
        </w:rPr>
        <w:footnoteRef/>
      </w:r>
      <w:r w:rsidRPr="00220C3F">
        <w:t xml:space="preserve"> NPS MedicineWise, ‘Proton pump inhibitors: PBS changes May 2019’. Accessed on 25 April 2022 at:</w:t>
      </w:r>
      <w:r w:rsidRPr="008E5BAE">
        <w:t xml:space="preserve"> </w:t>
      </w:r>
      <w:hyperlink r:id="rId8" w:history="1">
        <w:r w:rsidRPr="008E5BAE">
          <w:rPr>
            <w:rStyle w:val="Hyperlink"/>
          </w:rPr>
          <w:t>https://www.nps.org.au/radar/articles/proton-pump-inhibitors-pbs-changes-may-2019</w:t>
        </w:r>
      </w:hyperlink>
    </w:p>
  </w:footnote>
  <w:footnote w:id="11">
    <w:p w14:paraId="11F4D1DA" w14:textId="77777777" w:rsidR="00782663" w:rsidRPr="008E5BAE" w:rsidRDefault="00782663" w:rsidP="00782663">
      <w:pPr>
        <w:shd w:val="clear" w:color="auto" w:fill="FFFFFF"/>
        <w:rPr>
          <w:rFonts w:ascii="Segoe UI" w:hAnsi="Segoe UI" w:cs="Segoe UI"/>
          <w:color w:val="5B616B"/>
          <w:sz w:val="20"/>
          <w:szCs w:val="20"/>
        </w:rPr>
      </w:pPr>
      <w:r w:rsidRPr="008E5BAE">
        <w:rPr>
          <w:rStyle w:val="FootnoteReference"/>
          <w:sz w:val="20"/>
          <w:szCs w:val="20"/>
        </w:rPr>
        <w:footnoteRef/>
      </w:r>
      <w:r w:rsidRPr="008E5BAE">
        <w:rPr>
          <w:sz w:val="20"/>
          <w:szCs w:val="20"/>
        </w:rPr>
        <w:t xml:space="preserve"> Wu et al. (2020) Impact of NPS MedicineWise general practitioner education programs and Choosing Wisely Australia recommendations on prescribing of proton pump inhibitors in Australia. BMC Fam </w:t>
      </w:r>
      <w:proofErr w:type="spellStart"/>
      <w:r w:rsidRPr="008E5BAE">
        <w:rPr>
          <w:sz w:val="20"/>
          <w:szCs w:val="20"/>
        </w:rPr>
        <w:t>Pract</w:t>
      </w:r>
      <w:proofErr w:type="spellEnd"/>
      <w:r w:rsidRPr="008E5BAE">
        <w:rPr>
          <w:sz w:val="20"/>
          <w:szCs w:val="20"/>
        </w:rPr>
        <w:t xml:space="preserve"> 2020 May 9;21(1):85.</w:t>
      </w:r>
    </w:p>
  </w:footnote>
  <w:footnote w:id="12">
    <w:p w14:paraId="7823624C" w14:textId="77777777" w:rsidR="00782663" w:rsidRPr="008E5BAE" w:rsidRDefault="00782663" w:rsidP="00782663">
      <w:pPr>
        <w:pStyle w:val="FootnoteText"/>
      </w:pPr>
      <w:r w:rsidRPr="008E5BAE">
        <w:rPr>
          <w:rStyle w:val="FootnoteReference"/>
        </w:rPr>
        <w:footnoteRef/>
      </w:r>
      <w:r w:rsidRPr="008E5BAE">
        <w:t xml:space="preserve"> The Fourth Australian Atlas of Healthcare Variation (2021), Section 6.3,  Australian Commission on Safety and Quality in Health Care. Accessed on 2 May 2022 at: https://www.safetyandquality.gov.au/publications-and-resources/resource-library/fourth-australian-atlas-healthcare-variation-2021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4FE0" w14:textId="77777777" w:rsidR="00782663" w:rsidRDefault="00782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F15D" w14:textId="77777777" w:rsidR="00782663" w:rsidRDefault="00782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34D3" w14:textId="77777777" w:rsidR="00782663" w:rsidRDefault="00782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8C7"/>
    <w:multiLevelType w:val="multilevel"/>
    <w:tmpl w:val="8E7CCC0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1111F"/>
    <w:multiLevelType w:val="multilevel"/>
    <w:tmpl w:val="24EE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C74E3"/>
    <w:multiLevelType w:val="multilevel"/>
    <w:tmpl w:val="1992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C7B2F"/>
    <w:multiLevelType w:val="hybridMultilevel"/>
    <w:tmpl w:val="3192140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07BD03DF"/>
    <w:multiLevelType w:val="multilevel"/>
    <w:tmpl w:val="28BE83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E5594"/>
    <w:multiLevelType w:val="multilevel"/>
    <w:tmpl w:val="C7E4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754A0"/>
    <w:multiLevelType w:val="multilevel"/>
    <w:tmpl w:val="A968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110DD"/>
    <w:multiLevelType w:val="multilevel"/>
    <w:tmpl w:val="553A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02237"/>
    <w:multiLevelType w:val="hybridMultilevel"/>
    <w:tmpl w:val="8FFE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E101B1"/>
    <w:multiLevelType w:val="multilevel"/>
    <w:tmpl w:val="2400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A6095"/>
    <w:multiLevelType w:val="hybridMultilevel"/>
    <w:tmpl w:val="13308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30076"/>
    <w:multiLevelType w:val="hybridMultilevel"/>
    <w:tmpl w:val="AC4C5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211C50"/>
    <w:multiLevelType w:val="multilevel"/>
    <w:tmpl w:val="D62C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B2783"/>
    <w:multiLevelType w:val="multilevel"/>
    <w:tmpl w:val="0CE6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95B74"/>
    <w:multiLevelType w:val="multilevel"/>
    <w:tmpl w:val="6486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D5557"/>
    <w:multiLevelType w:val="multilevel"/>
    <w:tmpl w:val="5B7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B6C23"/>
    <w:multiLevelType w:val="hybridMultilevel"/>
    <w:tmpl w:val="205E21DC"/>
    <w:lvl w:ilvl="0" w:tplc="508A272C">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661F6D"/>
    <w:multiLevelType w:val="multilevel"/>
    <w:tmpl w:val="7F8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F876D9"/>
    <w:multiLevelType w:val="multilevel"/>
    <w:tmpl w:val="4B46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552232"/>
    <w:multiLevelType w:val="hybridMultilevel"/>
    <w:tmpl w:val="37226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210F09"/>
    <w:multiLevelType w:val="hybridMultilevel"/>
    <w:tmpl w:val="EC4E3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E43C43"/>
    <w:multiLevelType w:val="multilevel"/>
    <w:tmpl w:val="1BF6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D2472"/>
    <w:multiLevelType w:val="multilevel"/>
    <w:tmpl w:val="BE46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516B0"/>
    <w:multiLevelType w:val="hybridMultilevel"/>
    <w:tmpl w:val="0D8AE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017DA6"/>
    <w:multiLevelType w:val="multilevel"/>
    <w:tmpl w:val="59A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6B569B"/>
    <w:multiLevelType w:val="hybridMultilevel"/>
    <w:tmpl w:val="8C32D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89455B"/>
    <w:multiLevelType w:val="multilevel"/>
    <w:tmpl w:val="DF5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24556"/>
    <w:multiLevelType w:val="hybridMultilevel"/>
    <w:tmpl w:val="4C9456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CE69FB"/>
    <w:multiLevelType w:val="hybridMultilevel"/>
    <w:tmpl w:val="D47C3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CF7FFD"/>
    <w:multiLevelType w:val="multilevel"/>
    <w:tmpl w:val="A452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F6281B"/>
    <w:multiLevelType w:val="multilevel"/>
    <w:tmpl w:val="78B4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8C7FDD"/>
    <w:multiLevelType w:val="multilevel"/>
    <w:tmpl w:val="3736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5B3CC3"/>
    <w:multiLevelType w:val="hybridMultilevel"/>
    <w:tmpl w:val="73E6C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FC6C62"/>
    <w:multiLevelType w:val="hybridMultilevel"/>
    <w:tmpl w:val="1DC463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2243F62"/>
    <w:multiLevelType w:val="multilevel"/>
    <w:tmpl w:val="A0C8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F765B7"/>
    <w:multiLevelType w:val="multilevel"/>
    <w:tmpl w:val="B7C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2D58D3"/>
    <w:multiLevelType w:val="multilevel"/>
    <w:tmpl w:val="9CE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807FBA"/>
    <w:multiLevelType w:val="multilevel"/>
    <w:tmpl w:val="9E72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46740"/>
    <w:multiLevelType w:val="hybridMultilevel"/>
    <w:tmpl w:val="C31A54DE"/>
    <w:lvl w:ilvl="0" w:tplc="3EE2BC42">
      <w:start w:val="3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880EB7"/>
    <w:multiLevelType w:val="hybridMultilevel"/>
    <w:tmpl w:val="7E785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6057916"/>
    <w:multiLevelType w:val="multilevel"/>
    <w:tmpl w:val="55C82D0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4D033C"/>
    <w:multiLevelType w:val="multilevel"/>
    <w:tmpl w:val="7C3698D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2D552D"/>
    <w:multiLevelType w:val="multilevel"/>
    <w:tmpl w:val="ED56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DC2F4A"/>
    <w:multiLevelType w:val="multilevel"/>
    <w:tmpl w:val="B728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7A1048"/>
    <w:multiLevelType w:val="multilevel"/>
    <w:tmpl w:val="8108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5"/>
  </w:num>
  <w:num w:numId="3">
    <w:abstractNumId w:val="18"/>
  </w:num>
  <w:num w:numId="4">
    <w:abstractNumId w:val="37"/>
  </w:num>
  <w:num w:numId="5">
    <w:abstractNumId w:val="17"/>
  </w:num>
  <w:num w:numId="6">
    <w:abstractNumId w:val="12"/>
  </w:num>
  <w:num w:numId="7">
    <w:abstractNumId w:val="44"/>
  </w:num>
  <w:num w:numId="8">
    <w:abstractNumId w:val="22"/>
  </w:num>
  <w:num w:numId="9">
    <w:abstractNumId w:val="25"/>
  </w:num>
  <w:num w:numId="10">
    <w:abstractNumId w:val="43"/>
  </w:num>
  <w:num w:numId="11">
    <w:abstractNumId w:val="0"/>
  </w:num>
  <w:num w:numId="12">
    <w:abstractNumId w:val="19"/>
  </w:num>
  <w:num w:numId="13">
    <w:abstractNumId w:val="38"/>
  </w:num>
  <w:num w:numId="14">
    <w:abstractNumId w:val="27"/>
  </w:num>
  <w:num w:numId="15">
    <w:abstractNumId w:val="13"/>
  </w:num>
  <w:num w:numId="16">
    <w:abstractNumId w:val="15"/>
  </w:num>
  <w:num w:numId="17">
    <w:abstractNumId w:val="36"/>
  </w:num>
  <w:num w:numId="18">
    <w:abstractNumId w:val="14"/>
  </w:num>
  <w:num w:numId="19">
    <w:abstractNumId w:val="6"/>
  </w:num>
  <w:num w:numId="20">
    <w:abstractNumId w:val="31"/>
  </w:num>
  <w:num w:numId="21">
    <w:abstractNumId w:val="23"/>
  </w:num>
  <w:num w:numId="22">
    <w:abstractNumId w:val="46"/>
  </w:num>
  <w:num w:numId="23">
    <w:abstractNumId w:val="7"/>
  </w:num>
  <w:num w:numId="24">
    <w:abstractNumId w:val="1"/>
  </w:num>
  <w:num w:numId="25">
    <w:abstractNumId w:val="30"/>
  </w:num>
  <w:num w:numId="26">
    <w:abstractNumId w:val="39"/>
  </w:num>
  <w:num w:numId="27">
    <w:abstractNumId w:val="40"/>
  </w:num>
  <w:num w:numId="28">
    <w:abstractNumId w:val="28"/>
  </w:num>
  <w:num w:numId="29">
    <w:abstractNumId w:val="34"/>
  </w:num>
  <w:num w:numId="30">
    <w:abstractNumId w:val="11"/>
  </w:num>
  <w:num w:numId="31">
    <w:abstractNumId w:val="8"/>
  </w:num>
  <w:num w:numId="32">
    <w:abstractNumId w:val="2"/>
  </w:num>
  <w:num w:numId="33">
    <w:abstractNumId w:val="26"/>
  </w:num>
  <w:num w:numId="34">
    <w:abstractNumId w:val="9"/>
  </w:num>
  <w:num w:numId="35">
    <w:abstractNumId w:val="10"/>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32"/>
  </w:num>
  <w:num w:numId="39">
    <w:abstractNumId w:val="42"/>
  </w:num>
  <w:num w:numId="40">
    <w:abstractNumId w:val="4"/>
  </w:num>
  <w:num w:numId="41">
    <w:abstractNumId w:val="21"/>
  </w:num>
  <w:num w:numId="42">
    <w:abstractNumId w:val="3"/>
  </w:num>
  <w:num w:numId="43">
    <w:abstractNumId w:val="16"/>
  </w:num>
  <w:num w:numId="44">
    <w:abstractNumId w:val="24"/>
  </w:num>
  <w:num w:numId="45">
    <w:abstractNumId w:val="5"/>
  </w:num>
  <w:num w:numId="46">
    <w:abstractNumId w:val="29"/>
  </w:num>
  <w:num w:numId="47">
    <w:abstractNumId w:val="33"/>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5EE0"/>
    <w:rsid w:val="00007E6B"/>
    <w:rsid w:val="00007E85"/>
    <w:rsid w:val="00010A83"/>
    <w:rsid w:val="00012C79"/>
    <w:rsid w:val="00013465"/>
    <w:rsid w:val="000153DC"/>
    <w:rsid w:val="00020D85"/>
    <w:rsid w:val="00020FD3"/>
    <w:rsid w:val="000226B3"/>
    <w:rsid w:val="00024549"/>
    <w:rsid w:val="00024962"/>
    <w:rsid w:val="00025C70"/>
    <w:rsid w:val="00026E5D"/>
    <w:rsid w:val="00031D78"/>
    <w:rsid w:val="0004354C"/>
    <w:rsid w:val="00046F01"/>
    <w:rsid w:val="00050651"/>
    <w:rsid w:val="00051B43"/>
    <w:rsid w:val="000543C7"/>
    <w:rsid w:val="000544B6"/>
    <w:rsid w:val="00054681"/>
    <w:rsid w:val="000558BD"/>
    <w:rsid w:val="000558CC"/>
    <w:rsid w:val="00056FEC"/>
    <w:rsid w:val="00060024"/>
    <w:rsid w:val="000604AF"/>
    <w:rsid w:val="00066606"/>
    <w:rsid w:val="00067609"/>
    <w:rsid w:val="00073AAF"/>
    <w:rsid w:val="00075328"/>
    <w:rsid w:val="000810C3"/>
    <w:rsid w:val="00081D13"/>
    <w:rsid w:val="00083B80"/>
    <w:rsid w:val="00086C11"/>
    <w:rsid w:val="000901D9"/>
    <w:rsid w:val="00093EFF"/>
    <w:rsid w:val="00094258"/>
    <w:rsid w:val="00094DCF"/>
    <w:rsid w:val="000973D1"/>
    <w:rsid w:val="00097E0E"/>
    <w:rsid w:val="00097FDA"/>
    <w:rsid w:val="000A1172"/>
    <w:rsid w:val="000A1B04"/>
    <w:rsid w:val="000A3E3C"/>
    <w:rsid w:val="000A63A4"/>
    <w:rsid w:val="000A6CFD"/>
    <w:rsid w:val="000A6DB9"/>
    <w:rsid w:val="000B0982"/>
    <w:rsid w:val="000B379B"/>
    <w:rsid w:val="000B6B5B"/>
    <w:rsid w:val="000B796C"/>
    <w:rsid w:val="000C446D"/>
    <w:rsid w:val="000C46BB"/>
    <w:rsid w:val="000C4D9D"/>
    <w:rsid w:val="000C7980"/>
    <w:rsid w:val="000C7C4B"/>
    <w:rsid w:val="000C7D8B"/>
    <w:rsid w:val="000D17E2"/>
    <w:rsid w:val="000D486F"/>
    <w:rsid w:val="000E1ABD"/>
    <w:rsid w:val="000E485D"/>
    <w:rsid w:val="000E72C6"/>
    <w:rsid w:val="000E7304"/>
    <w:rsid w:val="000F0225"/>
    <w:rsid w:val="000F1893"/>
    <w:rsid w:val="000F2F51"/>
    <w:rsid w:val="000F5F0A"/>
    <w:rsid w:val="000F6F61"/>
    <w:rsid w:val="000F7CC1"/>
    <w:rsid w:val="00100970"/>
    <w:rsid w:val="00100E0E"/>
    <w:rsid w:val="00107874"/>
    <w:rsid w:val="00107BB6"/>
    <w:rsid w:val="00110B6C"/>
    <w:rsid w:val="00113CF8"/>
    <w:rsid w:val="00113D74"/>
    <w:rsid w:val="00114C00"/>
    <w:rsid w:val="0011535A"/>
    <w:rsid w:val="001164FF"/>
    <w:rsid w:val="00117C5C"/>
    <w:rsid w:val="0012102C"/>
    <w:rsid w:val="001218CD"/>
    <w:rsid w:val="00124935"/>
    <w:rsid w:val="00124B83"/>
    <w:rsid w:val="00124C3D"/>
    <w:rsid w:val="0012532E"/>
    <w:rsid w:val="00127DAD"/>
    <w:rsid w:val="001304A2"/>
    <w:rsid w:val="001310AE"/>
    <w:rsid w:val="0013367D"/>
    <w:rsid w:val="00141871"/>
    <w:rsid w:val="001420B3"/>
    <w:rsid w:val="00143A5C"/>
    <w:rsid w:val="001460C4"/>
    <w:rsid w:val="001462EA"/>
    <w:rsid w:val="00155D79"/>
    <w:rsid w:val="0015691C"/>
    <w:rsid w:val="001615B6"/>
    <w:rsid w:val="001621F7"/>
    <w:rsid w:val="001624D7"/>
    <w:rsid w:val="001629A9"/>
    <w:rsid w:val="001638D7"/>
    <w:rsid w:val="0016598C"/>
    <w:rsid w:val="00170A68"/>
    <w:rsid w:val="00171D6F"/>
    <w:rsid w:val="001737E0"/>
    <w:rsid w:val="00173A78"/>
    <w:rsid w:val="00177B86"/>
    <w:rsid w:val="001818D6"/>
    <w:rsid w:val="0018242B"/>
    <w:rsid w:val="00182585"/>
    <w:rsid w:val="00183EF0"/>
    <w:rsid w:val="001848AC"/>
    <w:rsid w:val="00187994"/>
    <w:rsid w:val="0019030F"/>
    <w:rsid w:val="00191182"/>
    <w:rsid w:val="00191A91"/>
    <w:rsid w:val="001925E7"/>
    <w:rsid w:val="0019664D"/>
    <w:rsid w:val="00197597"/>
    <w:rsid w:val="001A2386"/>
    <w:rsid w:val="001A274E"/>
    <w:rsid w:val="001A2E79"/>
    <w:rsid w:val="001A5F7F"/>
    <w:rsid w:val="001A6103"/>
    <w:rsid w:val="001B4A03"/>
    <w:rsid w:val="001B5D37"/>
    <w:rsid w:val="001B7C21"/>
    <w:rsid w:val="001C1E1F"/>
    <w:rsid w:val="001C2940"/>
    <w:rsid w:val="001C2F28"/>
    <w:rsid w:val="001C4016"/>
    <w:rsid w:val="001C548D"/>
    <w:rsid w:val="001C630E"/>
    <w:rsid w:val="001C6A5D"/>
    <w:rsid w:val="001D2966"/>
    <w:rsid w:val="001D3794"/>
    <w:rsid w:val="001D70DA"/>
    <w:rsid w:val="001E0A22"/>
    <w:rsid w:val="001E1FF4"/>
    <w:rsid w:val="001E2DF4"/>
    <w:rsid w:val="001E31A6"/>
    <w:rsid w:val="001E3B36"/>
    <w:rsid w:val="001E3F61"/>
    <w:rsid w:val="001E42C7"/>
    <w:rsid w:val="001E42E8"/>
    <w:rsid w:val="001E4AEC"/>
    <w:rsid w:val="001E4BCE"/>
    <w:rsid w:val="001E4CAB"/>
    <w:rsid w:val="001E7714"/>
    <w:rsid w:val="001F0A4E"/>
    <w:rsid w:val="001F2F3E"/>
    <w:rsid w:val="001F4906"/>
    <w:rsid w:val="001F7C4A"/>
    <w:rsid w:val="002016F8"/>
    <w:rsid w:val="0020578A"/>
    <w:rsid w:val="00207631"/>
    <w:rsid w:val="00214013"/>
    <w:rsid w:val="00220C3F"/>
    <w:rsid w:val="00220D19"/>
    <w:rsid w:val="00220FC1"/>
    <w:rsid w:val="00221620"/>
    <w:rsid w:val="002221E5"/>
    <w:rsid w:val="00222E9A"/>
    <w:rsid w:val="00226F4F"/>
    <w:rsid w:val="00230EA6"/>
    <w:rsid w:val="00230F2F"/>
    <w:rsid w:val="0023179D"/>
    <w:rsid w:val="00236D30"/>
    <w:rsid w:val="0024423D"/>
    <w:rsid w:val="00245102"/>
    <w:rsid w:val="00247EEA"/>
    <w:rsid w:val="0025389D"/>
    <w:rsid w:val="00254E02"/>
    <w:rsid w:val="00255B9E"/>
    <w:rsid w:val="00256397"/>
    <w:rsid w:val="0026265F"/>
    <w:rsid w:val="0026525B"/>
    <w:rsid w:val="0026681D"/>
    <w:rsid w:val="002746CD"/>
    <w:rsid w:val="002766A6"/>
    <w:rsid w:val="002769F2"/>
    <w:rsid w:val="002808CA"/>
    <w:rsid w:val="002818C2"/>
    <w:rsid w:val="00286C3A"/>
    <w:rsid w:val="00287D55"/>
    <w:rsid w:val="00287F86"/>
    <w:rsid w:val="00291DBA"/>
    <w:rsid w:val="002930F5"/>
    <w:rsid w:val="00296CB9"/>
    <w:rsid w:val="002A06B7"/>
    <w:rsid w:val="002A235E"/>
    <w:rsid w:val="002A24E3"/>
    <w:rsid w:val="002A3F08"/>
    <w:rsid w:val="002A517A"/>
    <w:rsid w:val="002A60AA"/>
    <w:rsid w:val="002A62E0"/>
    <w:rsid w:val="002B6135"/>
    <w:rsid w:val="002C21AB"/>
    <w:rsid w:val="002C2C6B"/>
    <w:rsid w:val="002C3C6B"/>
    <w:rsid w:val="002C4A58"/>
    <w:rsid w:val="002C679A"/>
    <w:rsid w:val="002C6E0C"/>
    <w:rsid w:val="002C7717"/>
    <w:rsid w:val="002D144A"/>
    <w:rsid w:val="002D2097"/>
    <w:rsid w:val="002D2C30"/>
    <w:rsid w:val="002D33FD"/>
    <w:rsid w:val="002D6080"/>
    <w:rsid w:val="002D6BD4"/>
    <w:rsid w:val="002E1375"/>
    <w:rsid w:val="002E19A3"/>
    <w:rsid w:val="002E212B"/>
    <w:rsid w:val="002E248A"/>
    <w:rsid w:val="002E3337"/>
    <w:rsid w:val="002E4B4A"/>
    <w:rsid w:val="002E6D03"/>
    <w:rsid w:val="002F39D0"/>
    <w:rsid w:val="002F49A8"/>
    <w:rsid w:val="002F5E66"/>
    <w:rsid w:val="002F61CA"/>
    <w:rsid w:val="0030010D"/>
    <w:rsid w:val="00300DED"/>
    <w:rsid w:val="00302872"/>
    <w:rsid w:val="00302EF4"/>
    <w:rsid w:val="00305290"/>
    <w:rsid w:val="0030567C"/>
    <w:rsid w:val="00310E22"/>
    <w:rsid w:val="00311180"/>
    <w:rsid w:val="0031179D"/>
    <w:rsid w:val="00312EE9"/>
    <w:rsid w:val="003151EB"/>
    <w:rsid w:val="003224FB"/>
    <w:rsid w:val="003248DB"/>
    <w:rsid w:val="00327874"/>
    <w:rsid w:val="003320B3"/>
    <w:rsid w:val="00332273"/>
    <w:rsid w:val="00334F40"/>
    <w:rsid w:val="0033504C"/>
    <w:rsid w:val="00335891"/>
    <w:rsid w:val="00336816"/>
    <w:rsid w:val="003370D0"/>
    <w:rsid w:val="00337355"/>
    <w:rsid w:val="00337624"/>
    <w:rsid w:val="003402E4"/>
    <w:rsid w:val="00340B5F"/>
    <w:rsid w:val="00340F95"/>
    <w:rsid w:val="00343C7E"/>
    <w:rsid w:val="00352595"/>
    <w:rsid w:val="003531ED"/>
    <w:rsid w:val="00354FE3"/>
    <w:rsid w:val="0035582C"/>
    <w:rsid w:val="00355ADA"/>
    <w:rsid w:val="00357A3E"/>
    <w:rsid w:val="00357FF6"/>
    <w:rsid w:val="0036095F"/>
    <w:rsid w:val="00360B9A"/>
    <w:rsid w:val="00361D32"/>
    <w:rsid w:val="00361F06"/>
    <w:rsid w:val="00364DEA"/>
    <w:rsid w:val="00365610"/>
    <w:rsid w:val="00366402"/>
    <w:rsid w:val="00366968"/>
    <w:rsid w:val="00375A08"/>
    <w:rsid w:val="003827C4"/>
    <w:rsid w:val="003843A1"/>
    <w:rsid w:val="0039017F"/>
    <w:rsid w:val="00393D05"/>
    <w:rsid w:val="00394867"/>
    <w:rsid w:val="00394AEE"/>
    <w:rsid w:val="003A263F"/>
    <w:rsid w:val="003A6431"/>
    <w:rsid w:val="003A681D"/>
    <w:rsid w:val="003B18E3"/>
    <w:rsid w:val="003B5653"/>
    <w:rsid w:val="003B5DE7"/>
    <w:rsid w:val="003B7803"/>
    <w:rsid w:val="003B781C"/>
    <w:rsid w:val="003B7B29"/>
    <w:rsid w:val="003C00B1"/>
    <w:rsid w:val="003C0CBB"/>
    <w:rsid w:val="003C2D98"/>
    <w:rsid w:val="003C3D86"/>
    <w:rsid w:val="003C4F9F"/>
    <w:rsid w:val="003C6A5F"/>
    <w:rsid w:val="003D0A92"/>
    <w:rsid w:val="003D24A7"/>
    <w:rsid w:val="003D2E24"/>
    <w:rsid w:val="003D3A96"/>
    <w:rsid w:val="003D3B9C"/>
    <w:rsid w:val="003D715C"/>
    <w:rsid w:val="003E1DCF"/>
    <w:rsid w:val="003E3FAD"/>
    <w:rsid w:val="003E4799"/>
    <w:rsid w:val="003E49C4"/>
    <w:rsid w:val="003E6302"/>
    <w:rsid w:val="003E744F"/>
    <w:rsid w:val="004019B6"/>
    <w:rsid w:val="00401B73"/>
    <w:rsid w:val="00402BA7"/>
    <w:rsid w:val="00404F03"/>
    <w:rsid w:val="00407F67"/>
    <w:rsid w:val="00412051"/>
    <w:rsid w:val="00414D0F"/>
    <w:rsid w:val="00417B8F"/>
    <w:rsid w:val="004200D5"/>
    <w:rsid w:val="004224E2"/>
    <w:rsid w:val="004229C9"/>
    <w:rsid w:val="00423941"/>
    <w:rsid w:val="00423B94"/>
    <w:rsid w:val="004241A0"/>
    <w:rsid w:val="004250AB"/>
    <w:rsid w:val="00425A36"/>
    <w:rsid w:val="00426DDE"/>
    <w:rsid w:val="00430417"/>
    <w:rsid w:val="00430848"/>
    <w:rsid w:val="004329EB"/>
    <w:rsid w:val="00435055"/>
    <w:rsid w:val="0043770E"/>
    <w:rsid w:val="00445097"/>
    <w:rsid w:val="00451CB5"/>
    <w:rsid w:val="00452775"/>
    <w:rsid w:val="004534E2"/>
    <w:rsid w:val="00456942"/>
    <w:rsid w:val="0046132F"/>
    <w:rsid w:val="00461412"/>
    <w:rsid w:val="0046245D"/>
    <w:rsid w:val="00463731"/>
    <w:rsid w:val="0046400A"/>
    <w:rsid w:val="004653FA"/>
    <w:rsid w:val="00465DFD"/>
    <w:rsid w:val="00467B25"/>
    <w:rsid w:val="00470481"/>
    <w:rsid w:val="004704C5"/>
    <w:rsid w:val="00470A7A"/>
    <w:rsid w:val="00472EC1"/>
    <w:rsid w:val="004757EB"/>
    <w:rsid w:val="00476F2D"/>
    <w:rsid w:val="00481108"/>
    <w:rsid w:val="00485826"/>
    <w:rsid w:val="0049042B"/>
    <w:rsid w:val="00491E8C"/>
    <w:rsid w:val="00495473"/>
    <w:rsid w:val="00495F83"/>
    <w:rsid w:val="004A0AE7"/>
    <w:rsid w:val="004A458E"/>
    <w:rsid w:val="004A6DD3"/>
    <w:rsid w:val="004B0325"/>
    <w:rsid w:val="004B0331"/>
    <w:rsid w:val="004B0D30"/>
    <w:rsid w:val="004B17CD"/>
    <w:rsid w:val="004B1C18"/>
    <w:rsid w:val="004B1E1C"/>
    <w:rsid w:val="004B23E7"/>
    <w:rsid w:val="004B306F"/>
    <w:rsid w:val="004B6DD1"/>
    <w:rsid w:val="004C3186"/>
    <w:rsid w:val="004C5042"/>
    <w:rsid w:val="004C7650"/>
    <w:rsid w:val="004D07E3"/>
    <w:rsid w:val="004D12CA"/>
    <w:rsid w:val="004D208B"/>
    <w:rsid w:val="004D2523"/>
    <w:rsid w:val="004D491A"/>
    <w:rsid w:val="004D5415"/>
    <w:rsid w:val="004D6375"/>
    <w:rsid w:val="004D739C"/>
    <w:rsid w:val="004D7B65"/>
    <w:rsid w:val="004E4422"/>
    <w:rsid w:val="004E7D8F"/>
    <w:rsid w:val="004F0311"/>
    <w:rsid w:val="004F0C0F"/>
    <w:rsid w:val="004F1223"/>
    <w:rsid w:val="004F1228"/>
    <w:rsid w:val="004F1F12"/>
    <w:rsid w:val="004F517D"/>
    <w:rsid w:val="004F6AA9"/>
    <w:rsid w:val="004F72A0"/>
    <w:rsid w:val="00501D26"/>
    <w:rsid w:val="0050331B"/>
    <w:rsid w:val="00503998"/>
    <w:rsid w:val="0050623B"/>
    <w:rsid w:val="005073C4"/>
    <w:rsid w:val="0051083A"/>
    <w:rsid w:val="005110A1"/>
    <w:rsid w:val="005128C3"/>
    <w:rsid w:val="00514B44"/>
    <w:rsid w:val="0051745B"/>
    <w:rsid w:val="00517994"/>
    <w:rsid w:val="00517C8A"/>
    <w:rsid w:val="00523181"/>
    <w:rsid w:val="005236E0"/>
    <w:rsid w:val="00524265"/>
    <w:rsid w:val="00524D13"/>
    <w:rsid w:val="00527605"/>
    <w:rsid w:val="005306D6"/>
    <w:rsid w:val="00531FA7"/>
    <w:rsid w:val="005320BB"/>
    <w:rsid w:val="005332F4"/>
    <w:rsid w:val="005339F6"/>
    <w:rsid w:val="00537587"/>
    <w:rsid w:val="005425D8"/>
    <w:rsid w:val="005426B9"/>
    <w:rsid w:val="005474BA"/>
    <w:rsid w:val="0055181C"/>
    <w:rsid w:val="00552183"/>
    <w:rsid w:val="0055770B"/>
    <w:rsid w:val="00560323"/>
    <w:rsid w:val="00561164"/>
    <w:rsid w:val="00561D37"/>
    <w:rsid w:val="00565DA6"/>
    <w:rsid w:val="00566E4C"/>
    <w:rsid w:val="00566E7F"/>
    <w:rsid w:val="00570D8C"/>
    <w:rsid w:val="00573477"/>
    <w:rsid w:val="00573A9C"/>
    <w:rsid w:val="00576B18"/>
    <w:rsid w:val="00580CE1"/>
    <w:rsid w:val="00580FBA"/>
    <w:rsid w:val="00581FA9"/>
    <w:rsid w:val="005876D6"/>
    <w:rsid w:val="00587724"/>
    <w:rsid w:val="00591512"/>
    <w:rsid w:val="005936B3"/>
    <w:rsid w:val="00596B25"/>
    <w:rsid w:val="005A18B9"/>
    <w:rsid w:val="005A1B75"/>
    <w:rsid w:val="005A1D5C"/>
    <w:rsid w:val="005A5129"/>
    <w:rsid w:val="005B15C3"/>
    <w:rsid w:val="005B20B4"/>
    <w:rsid w:val="005B2D91"/>
    <w:rsid w:val="005B3AA8"/>
    <w:rsid w:val="005B48B4"/>
    <w:rsid w:val="005B4DAB"/>
    <w:rsid w:val="005B6003"/>
    <w:rsid w:val="005C01CA"/>
    <w:rsid w:val="005C0445"/>
    <w:rsid w:val="005C0486"/>
    <w:rsid w:val="005C41A0"/>
    <w:rsid w:val="005C6661"/>
    <w:rsid w:val="005C67AA"/>
    <w:rsid w:val="005C6C39"/>
    <w:rsid w:val="005C6E3B"/>
    <w:rsid w:val="005D00D1"/>
    <w:rsid w:val="005D234F"/>
    <w:rsid w:val="005D3004"/>
    <w:rsid w:val="005D474B"/>
    <w:rsid w:val="005D4D7B"/>
    <w:rsid w:val="005D544E"/>
    <w:rsid w:val="005D76D7"/>
    <w:rsid w:val="005E085C"/>
    <w:rsid w:val="005E147D"/>
    <w:rsid w:val="005E1C35"/>
    <w:rsid w:val="005E22C2"/>
    <w:rsid w:val="005E23C6"/>
    <w:rsid w:val="005E2A37"/>
    <w:rsid w:val="005E57BB"/>
    <w:rsid w:val="005F0017"/>
    <w:rsid w:val="005F174B"/>
    <w:rsid w:val="005F335A"/>
    <w:rsid w:val="005F4444"/>
    <w:rsid w:val="005F46B7"/>
    <w:rsid w:val="005F51BE"/>
    <w:rsid w:val="005F61B2"/>
    <w:rsid w:val="005F7A2F"/>
    <w:rsid w:val="006014F1"/>
    <w:rsid w:val="00601A32"/>
    <w:rsid w:val="006059A1"/>
    <w:rsid w:val="00607A01"/>
    <w:rsid w:val="00610091"/>
    <w:rsid w:val="0061068C"/>
    <w:rsid w:val="00612675"/>
    <w:rsid w:val="006129CD"/>
    <w:rsid w:val="0061357B"/>
    <w:rsid w:val="00614A7D"/>
    <w:rsid w:val="00615AC4"/>
    <w:rsid w:val="00622C1A"/>
    <w:rsid w:val="00622E5C"/>
    <w:rsid w:val="00625E49"/>
    <w:rsid w:val="006268DA"/>
    <w:rsid w:val="006304A8"/>
    <w:rsid w:val="00630F14"/>
    <w:rsid w:val="00631221"/>
    <w:rsid w:val="00631AF5"/>
    <w:rsid w:val="006323FD"/>
    <w:rsid w:val="00633982"/>
    <w:rsid w:val="00633EB9"/>
    <w:rsid w:val="0063631C"/>
    <w:rsid w:val="00637286"/>
    <w:rsid w:val="0063757B"/>
    <w:rsid w:val="006377CE"/>
    <w:rsid w:val="006442B9"/>
    <w:rsid w:val="006447D9"/>
    <w:rsid w:val="00644DE3"/>
    <w:rsid w:val="006457D7"/>
    <w:rsid w:val="006537D9"/>
    <w:rsid w:val="00654EFA"/>
    <w:rsid w:val="00655DA5"/>
    <w:rsid w:val="00656389"/>
    <w:rsid w:val="00664303"/>
    <w:rsid w:val="00664A48"/>
    <w:rsid w:val="00664F9C"/>
    <w:rsid w:val="00665DEF"/>
    <w:rsid w:val="0066742C"/>
    <w:rsid w:val="00670A8A"/>
    <w:rsid w:val="00674D40"/>
    <w:rsid w:val="00675BB1"/>
    <w:rsid w:val="00675C5A"/>
    <w:rsid w:val="006775F1"/>
    <w:rsid w:val="00677DAD"/>
    <w:rsid w:val="00681D83"/>
    <w:rsid w:val="0068774E"/>
    <w:rsid w:val="00692AA7"/>
    <w:rsid w:val="00693659"/>
    <w:rsid w:val="00696610"/>
    <w:rsid w:val="00697FEC"/>
    <w:rsid w:val="006A0626"/>
    <w:rsid w:val="006A079E"/>
    <w:rsid w:val="006A175F"/>
    <w:rsid w:val="006A2582"/>
    <w:rsid w:val="006A3003"/>
    <w:rsid w:val="006A44F5"/>
    <w:rsid w:val="006A71D1"/>
    <w:rsid w:val="006B05DD"/>
    <w:rsid w:val="006B063D"/>
    <w:rsid w:val="006B092F"/>
    <w:rsid w:val="006B1466"/>
    <w:rsid w:val="006B166E"/>
    <w:rsid w:val="006B4537"/>
    <w:rsid w:val="006B5F85"/>
    <w:rsid w:val="006B6929"/>
    <w:rsid w:val="006B709B"/>
    <w:rsid w:val="006C54AF"/>
    <w:rsid w:val="006C6634"/>
    <w:rsid w:val="006C7556"/>
    <w:rsid w:val="006C77EA"/>
    <w:rsid w:val="006D1449"/>
    <w:rsid w:val="006D6839"/>
    <w:rsid w:val="006E0064"/>
    <w:rsid w:val="006E0181"/>
    <w:rsid w:val="006E1B5E"/>
    <w:rsid w:val="006E4760"/>
    <w:rsid w:val="006E50DE"/>
    <w:rsid w:val="006E5242"/>
    <w:rsid w:val="006E56A2"/>
    <w:rsid w:val="006F0742"/>
    <w:rsid w:val="006F0A8F"/>
    <w:rsid w:val="006F0F01"/>
    <w:rsid w:val="006F3288"/>
    <w:rsid w:val="006F7EFE"/>
    <w:rsid w:val="007008C4"/>
    <w:rsid w:val="00700C0E"/>
    <w:rsid w:val="00700CB0"/>
    <w:rsid w:val="00701A77"/>
    <w:rsid w:val="00701B11"/>
    <w:rsid w:val="00702CE3"/>
    <w:rsid w:val="00705DAD"/>
    <w:rsid w:val="007065F6"/>
    <w:rsid w:val="007069B3"/>
    <w:rsid w:val="00712071"/>
    <w:rsid w:val="00717282"/>
    <w:rsid w:val="0071774D"/>
    <w:rsid w:val="00717F3D"/>
    <w:rsid w:val="00723089"/>
    <w:rsid w:val="007247B9"/>
    <w:rsid w:val="007248F4"/>
    <w:rsid w:val="0072517B"/>
    <w:rsid w:val="0072612D"/>
    <w:rsid w:val="00727D85"/>
    <w:rsid w:val="00730847"/>
    <w:rsid w:val="00730E76"/>
    <w:rsid w:val="007311A5"/>
    <w:rsid w:val="007325D3"/>
    <w:rsid w:val="007346C7"/>
    <w:rsid w:val="00736041"/>
    <w:rsid w:val="0074056D"/>
    <w:rsid w:val="007408C7"/>
    <w:rsid w:val="0074339E"/>
    <w:rsid w:val="00744C32"/>
    <w:rsid w:val="00745550"/>
    <w:rsid w:val="007465DA"/>
    <w:rsid w:val="00750CD5"/>
    <w:rsid w:val="00751021"/>
    <w:rsid w:val="00751750"/>
    <w:rsid w:val="00752C7F"/>
    <w:rsid w:val="00754D4B"/>
    <w:rsid w:val="00755515"/>
    <w:rsid w:val="00755706"/>
    <w:rsid w:val="00760B68"/>
    <w:rsid w:val="007620FE"/>
    <w:rsid w:val="00770028"/>
    <w:rsid w:val="0077054F"/>
    <w:rsid w:val="00770A20"/>
    <w:rsid w:val="00775A4C"/>
    <w:rsid w:val="00776598"/>
    <w:rsid w:val="007816DD"/>
    <w:rsid w:val="00782663"/>
    <w:rsid w:val="007907CA"/>
    <w:rsid w:val="00792948"/>
    <w:rsid w:val="0079385C"/>
    <w:rsid w:val="0079608B"/>
    <w:rsid w:val="00796E84"/>
    <w:rsid w:val="007A3A3C"/>
    <w:rsid w:val="007A3ADE"/>
    <w:rsid w:val="007A5733"/>
    <w:rsid w:val="007A5774"/>
    <w:rsid w:val="007A7C39"/>
    <w:rsid w:val="007A7FA7"/>
    <w:rsid w:val="007B0B59"/>
    <w:rsid w:val="007B2A7B"/>
    <w:rsid w:val="007B6871"/>
    <w:rsid w:val="007B7291"/>
    <w:rsid w:val="007C0C68"/>
    <w:rsid w:val="007C3DED"/>
    <w:rsid w:val="007C4807"/>
    <w:rsid w:val="007C54F5"/>
    <w:rsid w:val="007C694D"/>
    <w:rsid w:val="007D0981"/>
    <w:rsid w:val="007D11D9"/>
    <w:rsid w:val="007D5771"/>
    <w:rsid w:val="007E197F"/>
    <w:rsid w:val="007E4708"/>
    <w:rsid w:val="007E5DE1"/>
    <w:rsid w:val="007E7DD1"/>
    <w:rsid w:val="007F049F"/>
    <w:rsid w:val="007F0517"/>
    <w:rsid w:val="007F18A0"/>
    <w:rsid w:val="007F1A96"/>
    <w:rsid w:val="007F6179"/>
    <w:rsid w:val="007F6D5D"/>
    <w:rsid w:val="00801E74"/>
    <w:rsid w:val="0080485E"/>
    <w:rsid w:val="00810FB9"/>
    <w:rsid w:val="008142AD"/>
    <w:rsid w:val="008142B4"/>
    <w:rsid w:val="0081441E"/>
    <w:rsid w:val="00821125"/>
    <w:rsid w:val="00824E09"/>
    <w:rsid w:val="00825510"/>
    <w:rsid w:val="00827F98"/>
    <w:rsid w:val="00831AB6"/>
    <w:rsid w:val="00832324"/>
    <w:rsid w:val="00832B72"/>
    <w:rsid w:val="00833EB3"/>
    <w:rsid w:val="00835337"/>
    <w:rsid w:val="00842E35"/>
    <w:rsid w:val="00845B30"/>
    <w:rsid w:val="00846DCD"/>
    <w:rsid w:val="00847768"/>
    <w:rsid w:val="00851D85"/>
    <w:rsid w:val="00852A65"/>
    <w:rsid w:val="00853264"/>
    <w:rsid w:val="00854663"/>
    <w:rsid w:val="00854D8E"/>
    <w:rsid w:val="00855601"/>
    <w:rsid w:val="00857A95"/>
    <w:rsid w:val="00860071"/>
    <w:rsid w:val="00860C3D"/>
    <w:rsid w:val="00860CCB"/>
    <w:rsid w:val="00860D65"/>
    <w:rsid w:val="008612CF"/>
    <w:rsid w:val="00862567"/>
    <w:rsid w:val="00863BB2"/>
    <w:rsid w:val="00863EC0"/>
    <w:rsid w:val="008640E9"/>
    <w:rsid w:val="008658B2"/>
    <w:rsid w:val="00872742"/>
    <w:rsid w:val="008740A3"/>
    <w:rsid w:val="008807B0"/>
    <w:rsid w:val="008816B3"/>
    <w:rsid w:val="00883A7A"/>
    <w:rsid w:val="00883F9B"/>
    <w:rsid w:val="0088457C"/>
    <w:rsid w:val="00885113"/>
    <w:rsid w:val="008855A7"/>
    <w:rsid w:val="0089111E"/>
    <w:rsid w:val="0089297B"/>
    <w:rsid w:val="00897DFA"/>
    <w:rsid w:val="008A0A39"/>
    <w:rsid w:val="008A361F"/>
    <w:rsid w:val="008A42EA"/>
    <w:rsid w:val="008B171D"/>
    <w:rsid w:val="008B5B14"/>
    <w:rsid w:val="008B7D9C"/>
    <w:rsid w:val="008B7ECC"/>
    <w:rsid w:val="008C1AF0"/>
    <w:rsid w:val="008C292A"/>
    <w:rsid w:val="008C3095"/>
    <w:rsid w:val="008C36CA"/>
    <w:rsid w:val="008C47B0"/>
    <w:rsid w:val="008C690C"/>
    <w:rsid w:val="008D2FAC"/>
    <w:rsid w:val="008D75C3"/>
    <w:rsid w:val="008E0884"/>
    <w:rsid w:val="008E2607"/>
    <w:rsid w:val="008E2E14"/>
    <w:rsid w:val="008E2ED5"/>
    <w:rsid w:val="008E3F8C"/>
    <w:rsid w:val="008E5BAE"/>
    <w:rsid w:val="008E7035"/>
    <w:rsid w:val="008F7A9A"/>
    <w:rsid w:val="00900481"/>
    <w:rsid w:val="00901562"/>
    <w:rsid w:val="0090193E"/>
    <w:rsid w:val="009020F9"/>
    <w:rsid w:val="00902FD0"/>
    <w:rsid w:val="009053D3"/>
    <w:rsid w:val="0090649D"/>
    <w:rsid w:val="00906861"/>
    <w:rsid w:val="0090691F"/>
    <w:rsid w:val="00911448"/>
    <w:rsid w:val="00912A33"/>
    <w:rsid w:val="009132AB"/>
    <w:rsid w:val="00913524"/>
    <w:rsid w:val="009227B5"/>
    <w:rsid w:val="00923663"/>
    <w:rsid w:val="009254AE"/>
    <w:rsid w:val="0092669B"/>
    <w:rsid w:val="00930541"/>
    <w:rsid w:val="0093111F"/>
    <w:rsid w:val="00931205"/>
    <w:rsid w:val="00931A7A"/>
    <w:rsid w:val="00931ACD"/>
    <w:rsid w:val="00932119"/>
    <w:rsid w:val="009346AE"/>
    <w:rsid w:val="00935689"/>
    <w:rsid w:val="009415D1"/>
    <w:rsid w:val="00941E31"/>
    <w:rsid w:val="009435E3"/>
    <w:rsid w:val="00944D36"/>
    <w:rsid w:val="0094561B"/>
    <w:rsid w:val="009529F5"/>
    <w:rsid w:val="0095303B"/>
    <w:rsid w:val="00953518"/>
    <w:rsid w:val="009537BD"/>
    <w:rsid w:val="009543DE"/>
    <w:rsid w:val="0095634B"/>
    <w:rsid w:val="009653BC"/>
    <w:rsid w:val="0096559D"/>
    <w:rsid w:val="009663B6"/>
    <w:rsid w:val="00971B84"/>
    <w:rsid w:val="00973A92"/>
    <w:rsid w:val="00974A47"/>
    <w:rsid w:val="00975182"/>
    <w:rsid w:val="00975956"/>
    <w:rsid w:val="00980286"/>
    <w:rsid w:val="00981DD8"/>
    <w:rsid w:val="009838B8"/>
    <w:rsid w:val="00983E1F"/>
    <w:rsid w:val="009848E1"/>
    <w:rsid w:val="00984FDD"/>
    <w:rsid w:val="00987738"/>
    <w:rsid w:val="00990DCF"/>
    <w:rsid w:val="00991899"/>
    <w:rsid w:val="00993E57"/>
    <w:rsid w:val="0099776A"/>
    <w:rsid w:val="009A0FFD"/>
    <w:rsid w:val="009A26D6"/>
    <w:rsid w:val="009A49A1"/>
    <w:rsid w:val="009A4CD6"/>
    <w:rsid w:val="009A537C"/>
    <w:rsid w:val="009A6D96"/>
    <w:rsid w:val="009B012F"/>
    <w:rsid w:val="009B194A"/>
    <w:rsid w:val="009B387D"/>
    <w:rsid w:val="009B3A48"/>
    <w:rsid w:val="009B5F6B"/>
    <w:rsid w:val="009C0886"/>
    <w:rsid w:val="009C0A70"/>
    <w:rsid w:val="009C1111"/>
    <w:rsid w:val="009C158B"/>
    <w:rsid w:val="009C19EE"/>
    <w:rsid w:val="009C28D0"/>
    <w:rsid w:val="009C35F2"/>
    <w:rsid w:val="009C379E"/>
    <w:rsid w:val="009C3BA7"/>
    <w:rsid w:val="009C5ADE"/>
    <w:rsid w:val="009C7782"/>
    <w:rsid w:val="009D04B3"/>
    <w:rsid w:val="009D1792"/>
    <w:rsid w:val="009D1ED5"/>
    <w:rsid w:val="009D4C13"/>
    <w:rsid w:val="009D5356"/>
    <w:rsid w:val="009E0F8D"/>
    <w:rsid w:val="009E1B8B"/>
    <w:rsid w:val="009E21A7"/>
    <w:rsid w:val="009E228A"/>
    <w:rsid w:val="009F7E09"/>
    <w:rsid w:val="00A00AA7"/>
    <w:rsid w:val="00A01BA6"/>
    <w:rsid w:val="00A0327B"/>
    <w:rsid w:val="00A103ED"/>
    <w:rsid w:val="00A1101F"/>
    <w:rsid w:val="00A11CD0"/>
    <w:rsid w:val="00A1279B"/>
    <w:rsid w:val="00A13C60"/>
    <w:rsid w:val="00A14263"/>
    <w:rsid w:val="00A15134"/>
    <w:rsid w:val="00A16741"/>
    <w:rsid w:val="00A17F46"/>
    <w:rsid w:val="00A17F7A"/>
    <w:rsid w:val="00A22441"/>
    <w:rsid w:val="00A23662"/>
    <w:rsid w:val="00A33436"/>
    <w:rsid w:val="00A33A72"/>
    <w:rsid w:val="00A341A3"/>
    <w:rsid w:val="00A342CD"/>
    <w:rsid w:val="00A35800"/>
    <w:rsid w:val="00A46C79"/>
    <w:rsid w:val="00A52918"/>
    <w:rsid w:val="00A52F56"/>
    <w:rsid w:val="00A547B3"/>
    <w:rsid w:val="00A63255"/>
    <w:rsid w:val="00A64BA1"/>
    <w:rsid w:val="00A667D3"/>
    <w:rsid w:val="00A7054B"/>
    <w:rsid w:val="00A70BCF"/>
    <w:rsid w:val="00A70E82"/>
    <w:rsid w:val="00A74213"/>
    <w:rsid w:val="00A75AB1"/>
    <w:rsid w:val="00A75FCF"/>
    <w:rsid w:val="00A779D8"/>
    <w:rsid w:val="00A84CAD"/>
    <w:rsid w:val="00A86935"/>
    <w:rsid w:val="00A87B5F"/>
    <w:rsid w:val="00A90781"/>
    <w:rsid w:val="00A90836"/>
    <w:rsid w:val="00A90E50"/>
    <w:rsid w:val="00A91B57"/>
    <w:rsid w:val="00A92388"/>
    <w:rsid w:val="00A932D7"/>
    <w:rsid w:val="00A95FA5"/>
    <w:rsid w:val="00A9682B"/>
    <w:rsid w:val="00A96D92"/>
    <w:rsid w:val="00AA3900"/>
    <w:rsid w:val="00AA5B79"/>
    <w:rsid w:val="00AB03E1"/>
    <w:rsid w:val="00AB199C"/>
    <w:rsid w:val="00AB3733"/>
    <w:rsid w:val="00AB588C"/>
    <w:rsid w:val="00AB7897"/>
    <w:rsid w:val="00AC2C4A"/>
    <w:rsid w:val="00AC3323"/>
    <w:rsid w:val="00AC38F3"/>
    <w:rsid w:val="00AC3BB3"/>
    <w:rsid w:val="00AC420C"/>
    <w:rsid w:val="00AC5054"/>
    <w:rsid w:val="00AC6E72"/>
    <w:rsid w:val="00AD04EB"/>
    <w:rsid w:val="00AD1023"/>
    <w:rsid w:val="00AD34F5"/>
    <w:rsid w:val="00AD51EC"/>
    <w:rsid w:val="00AD6438"/>
    <w:rsid w:val="00AE19C8"/>
    <w:rsid w:val="00AE1F99"/>
    <w:rsid w:val="00AE40EB"/>
    <w:rsid w:val="00AE45FA"/>
    <w:rsid w:val="00AE4BAC"/>
    <w:rsid w:val="00AE6437"/>
    <w:rsid w:val="00AF739A"/>
    <w:rsid w:val="00B02293"/>
    <w:rsid w:val="00B0271D"/>
    <w:rsid w:val="00B02FA3"/>
    <w:rsid w:val="00B034FC"/>
    <w:rsid w:val="00B05310"/>
    <w:rsid w:val="00B10A0B"/>
    <w:rsid w:val="00B12D98"/>
    <w:rsid w:val="00B15795"/>
    <w:rsid w:val="00B15F0F"/>
    <w:rsid w:val="00B16A68"/>
    <w:rsid w:val="00B21EFC"/>
    <w:rsid w:val="00B22873"/>
    <w:rsid w:val="00B22954"/>
    <w:rsid w:val="00B30D85"/>
    <w:rsid w:val="00B31189"/>
    <w:rsid w:val="00B33039"/>
    <w:rsid w:val="00B35A4A"/>
    <w:rsid w:val="00B428D9"/>
    <w:rsid w:val="00B44055"/>
    <w:rsid w:val="00B453CF"/>
    <w:rsid w:val="00B45624"/>
    <w:rsid w:val="00B45B86"/>
    <w:rsid w:val="00B46300"/>
    <w:rsid w:val="00B46EBF"/>
    <w:rsid w:val="00B506C1"/>
    <w:rsid w:val="00B51313"/>
    <w:rsid w:val="00B516EF"/>
    <w:rsid w:val="00B51A89"/>
    <w:rsid w:val="00B51E5A"/>
    <w:rsid w:val="00B61B54"/>
    <w:rsid w:val="00B63CD3"/>
    <w:rsid w:val="00B63FD7"/>
    <w:rsid w:val="00B651E1"/>
    <w:rsid w:val="00B677F6"/>
    <w:rsid w:val="00B70BC8"/>
    <w:rsid w:val="00B71864"/>
    <w:rsid w:val="00B72CC5"/>
    <w:rsid w:val="00B754F9"/>
    <w:rsid w:val="00B807EB"/>
    <w:rsid w:val="00B816D9"/>
    <w:rsid w:val="00B82DFA"/>
    <w:rsid w:val="00B83DF1"/>
    <w:rsid w:val="00B83F84"/>
    <w:rsid w:val="00B8567A"/>
    <w:rsid w:val="00B86046"/>
    <w:rsid w:val="00B90E03"/>
    <w:rsid w:val="00B9120F"/>
    <w:rsid w:val="00B9193E"/>
    <w:rsid w:val="00B9216C"/>
    <w:rsid w:val="00B924A4"/>
    <w:rsid w:val="00B938E2"/>
    <w:rsid w:val="00B959EF"/>
    <w:rsid w:val="00BA4EF9"/>
    <w:rsid w:val="00BB0268"/>
    <w:rsid w:val="00BB02D4"/>
    <w:rsid w:val="00BB0D1A"/>
    <w:rsid w:val="00BB1362"/>
    <w:rsid w:val="00BB1D3B"/>
    <w:rsid w:val="00BC2482"/>
    <w:rsid w:val="00BC35ED"/>
    <w:rsid w:val="00BD70E2"/>
    <w:rsid w:val="00BE205A"/>
    <w:rsid w:val="00BE29F8"/>
    <w:rsid w:val="00BE3802"/>
    <w:rsid w:val="00BF14DB"/>
    <w:rsid w:val="00BF238E"/>
    <w:rsid w:val="00BF2F4A"/>
    <w:rsid w:val="00BF544D"/>
    <w:rsid w:val="00C00662"/>
    <w:rsid w:val="00C0076F"/>
    <w:rsid w:val="00C00A8F"/>
    <w:rsid w:val="00C01EE7"/>
    <w:rsid w:val="00C021AD"/>
    <w:rsid w:val="00C021AF"/>
    <w:rsid w:val="00C026CB"/>
    <w:rsid w:val="00C0301C"/>
    <w:rsid w:val="00C03465"/>
    <w:rsid w:val="00C050B6"/>
    <w:rsid w:val="00C06571"/>
    <w:rsid w:val="00C1035C"/>
    <w:rsid w:val="00C10B83"/>
    <w:rsid w:val="00C10DDE"/>
    <w:rsid w:val="00C10F12"/>
    <w:rsid w:val="00C11511"/>
    <w:rsid w:val="00C23A35"/>
    <w:rsid w:val="00C245EA"/>
    <w:rsid w:val="00C256F6"/>
    <w:rsid w:val="00C27CA1"/>
    <w:rsid w:val="00C3097E"/>
    <w:rsid w:val="00C313D6"/>
    <w:rsid w:val="00C32F6D"/>
    <w:rsid w:val="00C3393E"/>
    <w:rsid w:val="00C35920"/>
    <w:rsid w:val="00C35ECC"/>
    <w:rsid w:val="00C35F84"/>
    <w:rsid w:val="00C361A8"/>
    <w:rsid w:val="00C40010"/>
    <w:rsid w:val="00C40B17"/>
    <w:rsid w:val="00C41246"/>
    <w:rsid w:val="00C42039"/>
    <w:rsid w:val="00C42C2E"/>
    <w:rsid w:val="00C44AF2"/>
    <w:rsid w:val="00C450BB"/>
    <w:rsid w:val="00C45242"/>
    <w:rsid w:val="00C45E5F"/>
    <w:rsid w:val="00C46008"/>
    <w:rsid w:val="00C46291"/>
    <w:rsid w:val="00C52DEA"/>
    <w:rsid w:val="00C55285"/>
    <w:rsid w:val="00C55A73"/>
    <w:rsid w:val="00C57C9A"/>
    <w:rsid w:val="00C57EE2"/>
    <w:rsid w:val="00C63412"/>
    <w:rsid w:val="00C63DC5"/>
    <w:rsid w:val="00C63F02"/>
    <w:rsid w:val="00C6592F"/>
    <w:rsid w:val="00C65A68"/>
    <w:rsid w:val="00C670EB"/>
    <w:rsid w:val="00C714D0"/>
    <w:rsid w:val="00C74ADA"/>
    <w:rsid w:val="00C77615"/>
    <w:rsid w:val="00C85300"/>
    <w:rsid w:val="00C8637D"/>
    <w:rsid w:val="00C90ABA"/>
    <w:rsid w:val="00C90EF4"/>
    <w:rsid w:val="00C91393"/>
    <w:rsid w:val="00C913C6"/>
    <w:rsid w:val="00C925C5"/>
    <w:rsid w:val="00C93940"/>
    <w:rsid w:val="00C96379"/>
    <w:rsid w:val="00C964D4"/>
    <w:rsid w:val="00CA015A"/>
    <w:rsid w:val="00CA0F90"/>
    <w:rsid w:val="00CA2FE4"/>
    <w:rsid w:val="00CA348C"/>
    <w:rsid w:val="00CA76AB"/>
    <w:rsid w:val="00CB174A"/>
    <w:rsid w:val="00CB2AB6"/>
    <w:rsid w:val="00CB3C15"/>
    <w:rsid w:val="00CB6AD7"/>
    <w:rsid w:val="00CB6EE5"/>
    <w:rsid w:val="00CC085D"/>
    <w:rsid w:val="00CC1AA3"/>
    <w:rsid w:val="00CC2BE5"/>
    <w:rsid w:val="00CC3023"/>
    <w:rsid w:val="00CC39B2"/>
    <w:rsid w:val="00CC3A18"/>
    <w:rsid w:val="00CC4944"/>
    <w:rsid w:val="00CC5833"/>
    <w:rsid w:val="00CC5913"/>
    <w:rsid w:val="00CC5E8D"/>
    <w:rsid w:val="00CC770E"/>
    <w:rsid w:val="00CC7FFE"/>
    <w:rsid w:val="00CD4486"/>
    <w:rsid w:val="00CD63AA"/>
    <w:rsid w:val="00CE3792"/>
    <w:rsid w:val="00CE3D03"/>
    <w:rsid w:val="00CE4A98"/>
    <w:rsid w:val="00CE62C7"/>
    <w:rsid w:val="00CE6F72"/>
    <w:rsid w:val="00CE746E"/>
    <w:rsid w:val="00CE7ADA"/>
    <w:rsid w:val="00CF5E22"/>
    <w:rsid w:val="00CF6E57"/>
    <w:rsid w:val="00CF75FF"/>
    <w:rsid w:val="00CF77BE"/>
    <w:rsid w:val="00CF77F6"/>
    <w:rsid w:val="00D00B23"/>
    <w:rsid w:val="00D01F83"/>
    <w:rsid w:val="00D06A44"/>
    <w:rsid w:val="00D070AA"/>
    <w:rsid w:val="00D107F2"/>
    <w:rsid w:val="00D111FA"/>
    <w:rsid w:val="00D15105"/>
    <w:rsid w:val="00D151EB"/>
    <w:rsid w:val="00D21760"/>
    <w:rsid w:val="00D21B88"/>
    <w:rsid w:val="00D23405"/>
    <w:rsid w:val="00D239C7"/>
    <w:rsid w:val="00D258FF"/>
    <w:rsid w:val="00D300E0"/>
    <w:rsid w:val="00D311FD"/>
    <w:rsid w:val="00D33A90"/>
    <w:rsid w:val="00D34EEA"/>
    <w:rsid w:val="00D359B1"/>
    <w:rsid w:val="00D35B14"/>
    <w:rsid w:val="00D374CD"/>
    <w:rsid w:val="00D401A5"/>
    <w:rsid w:val="00D52A1A"/>
    <w:rsid w:val="00D53429"/>
    <w:rsid w:val="00D55DFC"/>
    <w:rsid w:val="00D61652"/>
    <w:rsid w:val="00D62445"/>
    <w:rsid w:val="00D6410C"/>
    <w:rsid w:val="00D650CE"/>
    <w:rsid w:val="00D659B6"/>
    <w:rsid w:val="00D66273"/>
    <w:rsid w:val="00D71719"/>
    <w:rsid w:val="00D739E9"/>
    <w:rsid w:val="00D7535B"/>
    <w:rsid w:val="00D760BA"/>
    <w:rsid w:val="00D776DA"/>
    <w:rsid w:val="00D80DC2"/>
    <w:rsid w:val="00D8371A"/>
    <w:rsid w:val="00D852C2"/>
    <w:rsid w:val="00D8758B"/>
    <w:rsid w:val="00D93147"/>
    <w:rsid w:val="00D942B3"/>
    <w:rsid w:val="00D94863"/>
    <w:rsid w:val="00D94A88"/>
    <w:rsid w:val="00DA0981"/>
    <w:rsid w:val="00DA3258"/>
    <w:rsid w:val="00DA6DB8"/>
    <w:rsid w:val="00DA7D09"/>
    <w:rsid w:val="00DB4892"/>
    <w:rsid w:val="00DB5AB7"/>
    <w:rsid w:val="00DC2630"/>
    <w:rsid w:val="00DC27FD"/>
    <w:rsid w:val="00DC43B8"/>
    <w:rsid w:val="00DC49E9"/>
    <w:rsid w:val="00DC4F57"/>
    <w:rsid w:val="00DC55E4"/>
    <w:rsid w:val="00DC7D71"/>
    <w:rsid w:val="00DD188C"/>
    <w:rsid w:val="00DD29A3"/>
    <w:rsid w:val="00DD4662"/>
    <w:rsid w:val="00DD48EE"/>
    <w:rsid w:val="00DE08DF"/>
    <w:rsid w:val="00DE0B96"/>
    <w:rsid w:val="00DE10B9"/>
    <w:rsid w:val="00DE2CB0"/>
    <w:rsid w:val="00DE658C"/>
    <w:rsid w:val="00DE7E8C"/>
    <w:rsid w:val="00DF0B13"/>
    <w:rsid w:val="00DF2595"/>
    <w:rsid w:val="00DF2EB8"/>
    <w:rsid w:val="00DF4A94"/>
    <w:rsid w:val="00DF4AFC"/>
    <w:rsid w:val="00DF6003"/>
    <w:rsid w:val="00DF602E"/>
    <w:rsid w:val="00DF6C55"/>
    <w:rsid w:val="00DF7B13"/>
    <w:rsid w:val="00DF7C21"/>
    <w:rsid w:val="00E00095"/>
    <w:rsid w:val="00E0018B"/>
    <w:rsid w:val="00E0215E"/>
    <w:rsid w:val="00E0320C"/>
    <w:rsid w:val="00E03931"/>
    <w:rsid w:val="00E046B7"/>
    <w:rsid w:val="00E066C3"/>
    <w:rsid w:val="00E074BD"/>
    <w:rsid w:val="00E079B5"/>
    <w:rsid w:val="00E10D8C"/>
    <w:rsid w:val="00E12E2D"/>
    <w:rsid w:val="00E13166"/>
    <w:rsid w:val="00E1353A"/>
    <w:rsid w:val="00E1564B"/>
    <w:rsid w:val="00E15EA5"/>
    <w:rsid w:val="00E16869"/>
    <w:rsid w:val="00E208A0"/>
    <w:rsid w:val="00E216C9"/>
    <w:rsid w:val="00E2254E"/>
    <w:rsid w:val="00E232EA"/>
    <w:rsid w:val="00E24263"/>
    <w:rsid w:val="00E256D8"/>
    <w:rsid w:val="00E25B49"/>
    <w:rsid w:val="00E25BCA"/>
    <w:rsid w:val="00E2640D"/>
    <w:rsid w:val="00E26B90"/>
    <w:rsid w:val="00E26DF3"/>
    <w:rsid w:val="00E27909"/>
    <w:rsid w:val="00E27DC7"/>
    <w:rsid w:val="00E30154"/>
    <w:rsid w:val="00E327C1"/>
    <w:rsid w:val="00E333D4"/>
    <w:rsid w:val="00E371EA"/>
    <w:rsid w:val="00E37D3F"/>
    <w:rsid w:val="00E45AAE"/>
    <w:rsid w:val="00E4714C"/>
    <w:rsid w:val="00E4750D"/>
    <w:rsid w:val="00E479CD"/>
    <w:rsid w:val="00E5074E"/>
    <w:rsid w:val="00E50C71"/>
    <w:rsid w:val="00E51515"/>
    <w:rsid w:val="00E5228C"/>
    <w:rsid w:val="00E523E9"/>
    <w:rsid w:val="00E53F03"/>
    <w:rsid w:val="00E54ACC"/>
    <w:rsid w:val="00E56372"/>
    <w:rsid w:val="00E603E0"/>
    <w:rsid w:val="00E6247D"/>
    <w:rsid w:val="00E64429"/>
    <w:rsid w:val="00E677DD"/>
    <w:rsid w:val="00E73F6D"/>
    <w:rsid w:val="00E7594B"/>
    <w:rsid w:val="00E93CC9"/>
    <w:rsid w:val="00E93F62"/>
    <w:rsid w:val="00E95D0D"/>
    <w:rsid w:val="00EA0043"/>
    <w:rsid w:val="00EA1227"/>
    <w:rsid w:val="00EA7A5D"/>
    <w:rsid w:val="00EA7F29"/>
    <w:rsid w:val="00EB4688"/>
    <w:rsid w:val="00EB4B70"/>
    <w:rsid w:val="00EB51E4"/>
    <w:rsid w:val="00EB6C07"/>
    <w:rsid w:val="00EC028D"/>
    <w:rsid w:val="00EC1253"/>
    <w:rsid w:val="00ED3B62"/>
    <w:rsid w:val="00ED633B"/>
    <w:rsid w:val="00ED75DA"/>
    <w:rsid w:val="00EE1460"/>
    <w:rsid w:val="00EE2982"/>
    <w:rsid w:val="00EE2BBB"/>
    <w:rsid w:val="00EE478C"/>
    <w:rsid w:val="00EE5340"/>
    <w:rsid w:val="00EF0FA6"/>
    <w:rsid w:val="00EF3F2C"/>
    <w:rsid w:val="00EF72CC"/>
    <w:rsid w:val="00F01440"/>
    <w:rsid w:val="00F05177"/>
    <w:rsid w:val="00F1132C"/>
    <w:rsid w:val="00F145EA"/>
    <w:rsid w:val="00F152F9"/>
    <w:rsid w:val="00F15DD5"/>
    <w:rsid w:val="00F172C4"/>
    <w:rsid w:val="00F17D4B"/>
    <w:rsid w:val="00F20AB6"/>
    <w:rsid w:val="00F23139"/>
    <w:rsid w:val="00F24B61"/>
    <w:rsid w:val="00F27BC9"/>
    <w:rsid w:val="00F27F1D"/>
    <w:rsid w:val="00F312FC"/>
    <w:rsid w:val="00F320B7"/>
    <w:rsid w:val="00F34CB3"/>
    <w:rsid w:val="00F423E5"/>
    <w:rsid w:val="00F50131"/>
    <w:rsid w:val="00F5075C"/>
    <w:rsid w:val="00F5272B"/>
    <w:rsid w:val="00F53EAA"/>
    <w:rsid w:val="00F5469F"/>
    <w:rsid w:val="00F56AFD"/>
    <w:rsid w:val="00F65D9B"/>
    <w:rsid w:val="00F65E74"/>
    <w:rsid w:val="00F66CD5"/>
    <w:rsid w:val="00F67A9A"/>
    <w:rsid w:val="00F7033C"/>
    <w:rsid w:val="00F70F4E"/>
    <w:rsid w:val="00F71558"/>
    <w:rsid w:val="00F725C1"/>
    <w:rsid w:val="00F72F8E"/>
    <w:rsid w:val="00F73113"/>
    <w:rsid w:val="00F75FC4"/>
    <w:rsid w:val="00F7694C"/>
    <w:rsid w:val="00F81984"/>
    <w:rsid w:val="00F8373E"/>
    <w:rsid w:val="00F85981"/>
    <w:rsid w:val="00F85D52"/>
    <w:rsid w:val="00F85FCA"/>
    <w:rsid w:val="00F864C6"/>
    <w:rsid w:val="00F87263"/>
    <w:rsid w:val="00F87427"/>
    <w:rsid w:val="00F91D93"/>
    <w:rsid w:val="00F9332D"/>
    <w:rsid w:val="00F93725"/>
    <w:rsid w:val="00F947A3"/>
    <w:rsid w:val="00F95271"/>
    <w:rsid w:val="00F979CA"/>
    <w:rsid w:val="00FA1BA3"/>
    <w:rsid w:val="00FA2483"/>
    <w:rsid w:val="00FA4890"/>
    <w:rsid w:val="00FA57A8"/>
    <w:rsid w:val="00FA7FAF"/>
    <w:rsid w:val="00FB0CED"/>
    <w:rsid w:val="00FB30BF"/>
    <w:rsid w:val="00FB3A43"/>
    <w:rsid w:val="00FB6CF7"/>
    <w:rsid w:val="00FB77FA"/>
    <w:rsid w:val="00FC1BC6"/>
    <w:rsid w:val="00FC2847"/>
    <w:rsid w:val="00FC2DF3"/>
    <w:rsid w:val="00FC30D7"/>
    <w:rsid w:val="00FC3C70"/>
    <w:rsid w:val="00FC3FFE"/>
    <w:rsid w:val="00FC4A73"/>
    <w:rsid w:val="00FC4ADF"/>
    <w:rsid w:val="00FC559C"/>
    <w:rsid w:val="00FC5878"/>
    <w:rsid w:val="00FC6CD4"/>
    <w:rsid w:val="00FC7EC3"/>
    <w:rsid w:val="00FC7F0D"/>
    <w:rsid w:val="00FD13FE"/>
    <w:rsid w:val="00FD3BFE"/>
    <w:rsid w:val="00FD3F34"/>
    <w:rsid w:val="00FD4403"/>
    <w:rsid w:val="00FE2201"/>
    <w:rsid w:val="00FE337D"/>
    <w:rsid w:val="00FE3920"/>
    <w:rsid w:val="00FE5394"/>
    <w:rsid w:val="00FE60ED"/>
    <w:rsid w:val="00FE645A"/>
    <w:rsid w:val="00FE6A7B"/>
    <w:rsid w:val="00FE7463"/>
    <w:rsid w:val="00FF04AC"/>
    <w:rsid w:val="00FF2F59"/>
    <w:rsid w:val="00FF384F"/>
    <w:rsid w:val="00FF39C6"/>
    <w:rsid w:val="00FF50EF"/>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Footnote,Bullet point,List Paragraph1,List Paragraph11,Recommendation,Numbered para,ES Paragraph,PBAC ES Paragraph,PBAC normal points,Bullet List"/>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semiHidden/>
    <w:unhideWhenUsed/>
    <w:rsid w:val="00B938E2"/>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B938E2"/>
    <w:rPr>
      <w:color w:val="605E5C"/>
      <w:shd w:val="clear" w:color="auto" w:fill="E1DFDD"/>
    </w:rPr>
  </w:style>
  <w:style w:type="character" w:customStyle="1" w:styleId="genericdrug">
    <w:name w:val="genericdrug"/>
    <w:basedOn w:val="DefaultParagraphFont"/>
    <w:rsid w:val="00C91393"/>
  </w:style>
  <w:style w:type="character" w:customStyle="1" w:styleId="symbol">
    <w:name w:val="symbol"/>
    <w:basedOn w:val="DefaultParagraphFont"/>
    <w:rsid w:val="00C91393"/>
  </w:style>
  <w:style w:type="character" w:customStyle="1" w:styleId="disabledrug">
    <w:name w:val="disabledrug"/>
    <w:basedOn w:val="DefaultParagraphFont"/>
    <w:rsid w:val="00C91393"/>
  </w:style>
  <w:style w:type="character" w:customStyle="1" w:styleId="ListParagraphChar">
    <w:name w:val="List Paragraph Char"/>
    <w:aliases w:val="BulletPoints Char,Footnote Char,Bullet point Char,List Paragraph1 Char,List Paragraph11 Char,Recommendation Char,Numbered para Char,ES Paragraph Char,PBAC ES Paragraph Char,PBAC normal points Char,Bullet List Char"/>
    <w:basedOn w:val="DefaultParagraphFont"/>
    <w:link w:val="ListParagraph"/>
    <w:uiPriority w:val="34"/>
    <w:qFormat/>
    <w:rsid w:val="002E248A"/>
    <w:rPr>
      <w:sz w:val="24"/>
      <w:szCs w:val="24"/>
    </w:rPr>
  </w:style>
  <w:style w:type="paragraph" w:customStyle="1" w:styleId="PBACHeading1">
    <w:name w:val="PBAC Heading 1"/>
    <w:qFormat/>
    <w:rsid w:val="002E248A"/>
    <w:pPr>
      <w:numPr>
        <w:numId w:val="10"/>
      </w:numPr>
      <w:spacing w:before="120" w:after="120" w:line="240" w:lineRule="auto"/>
      <w:outlineLvl w:val="0"/>
    </w:pPr>
    <w:rPr>
      <w:rFonts w:eastAsia="Times New Roman" w:cs="Arial"/>
      <w:b/>
      <w:snapToGrid w:val="0"/>
      <w:sz w:val="32"/>
      <w:szCs w:val="32"/>
      <w:lang w:eastAsia="en-US"/>
    </w:rPr>
  </w:style>
  <w:style w:type="character" w:styleId="FollowedHyperlink">
    <w:name w:val="FollowedHyperlink"/>
    <w:basedOn w:val="DefaultParagraphFont"/>
    <w:uiPriority w:val="99"/>
    <w:semiHidden/>
    <w:unhideWhenUsed/>
    <w:rsid w:val="005A18B9"/>
    <w:rPr>
      <w:color w:val="800080" w:themeColor="followedHyperlink"/>
      <w:u w:val="single"/>
    </w:rPr>
  </w:style>
  <w:style w:type="character" w:customStyle="1" w:styleId="cf01">
    <w:name w:val="cf01"/>
    <w:basedOn w:val="DefaultParagraphFont"/>
    <w:rsid w:val="005426B9"/>
    <w:rPr>
      <w:rFonts w:ascii="Segoe UI" w:hAnsi="Segoe UI" w:cs="Segoe UI" w:hint="default"/>
      <w:sz w:val="18"/>
      <w:szCs w:val="18"/>
    </w:rPr>
  </w:style>
  <w:style w:type="character" w:styleId="Strong">
    <w:name w:val="Strong"/>
    <w:basedOn w:val="DefaultParagraphFont"/>
    <w:uiPriority w:val="22"/>
    <w:qFormat/>
    <w:rsid w:val="00C313D6"/>
    <w:rPr>
      <w:b/>
      <w:bCs/>
    </w:rPr>
  </w:style>
  <w:style w:type="character" w:customStyle="1" w:styleId="UnresolvedMention2">
    <w:name w:val="Unresolved Mention2"/>
    <w:basedOn w:val="DefaultParagraphFont"/>
    <w:uiPriority w:val="99"/>
    <w:semiHidden/>
    <w:unhideWhenUsed/>
    <w:rsid w:val="00107BB6"/>
    <w:rPr>
      <w:color w:val="605E5C"/>
      <w:shd w:val="clear" w:color="auto" w:fill="E1DFDD"/>
    </w:rPr>
  </w:style>
  <w:style w:type="paragraph" w:styleId="BodyText">
    <w:name w:val="Body Text"/>
    <w:basedOn w:val="Normal"/>
    <w:link w:val="BodyTextChar"/>
    <w:uiPriority w:val="99"/>
    <w:unhideWhenUsed/>
    <w:rsid w:val="00107BB6"/>
    <w:pPr>
      <w:spacing w:after="120"/>
    </w:pPr>
  </w:style>
  <w:style w:type="character" w:customStyle="1" w:styleId="BodyTextChar">
    <w:name w:val="Body Text Char"/>
    <w:basedOn w:val="DefaultParagraphFont"/>
    <w:link w:val="BodyText"/>
    <w:uiPriority w:val="99"/>
    <w:rsid w:val="00107BB6"/>
    <w:rPr>
      <w:sz w:val="24"/>
      <w:szCs w:val="24"/>
    </w:rPr>
  </w:style>
  <w:style w:type="paragraph" w:customStyle="1" w:styleId="TableParagraph">
    <w:name w:val="Table Paragraph"/>
    <w:basedOn w:val="Normal"/>
    <w:uiPriority w:val="1"/>
    <w:qFormat/>
    <w:rsid w:val="00107BB6"/>
    <w:pPr>
      <w:widowControl w:val="0"/>
      <w:spacing w:after="0"/>
    </w:pPr>
    <w:rPr>
      <w:rFonts w:eastAsiaTheme="minorHAnsi"/>
      <w:sz w:val="22"/>
      <w:szCs w:val="22"/>
      <w:lang w:val="en-US" w:eastAsia="en-US"/>
    </w:rPr>
  </w:style>
  <w:style w:type="table" w:styleId="GridTable6Colorful-Accent1">
    <w:name w:val="Grid Table 6 Colorful Accent 1"/>
    <w:basedOn w:val="TableNormal"/>
    <w:uiPriority w:val="51"/>
    <w:rsid w:val="00681D8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3C0CBB"/>
    <w:rPr>
      <w:i/>
      <w:iCs/>
      <w:color w:val="1F497D" w:themeColor="text2"/>
      <w:sz w:val="18"/>
      <w:szCs w:val="18"/>
    </w:rPr>
  </w:style>
  <w:style w:type="character" w:customStyle="1" w:styleId="UnresolvedMention3">
    <w:name w:val="Unresolved Mention3"/>
    <w:basedOn w:val="DefaultParagraphFont"/>
    <w:uiPriority w:val="99"/>
    <w:semiHidden/>
    <w:unhideWhenUsed/>
    <w:rsid w:val="002F39D0"/>
    <w:rPr>
      <w:color w:val="605E5C"/>
      <w:shd w:val="clear" w:color="auto" w:fill="E1DFDD"/>
    </w:rPr>
  </w:style>
  <w:style w:type="character" w:customStyle="1" w:styleId="period">
    <w:name w:val="period"/>
    <w:basedOn w:val="DefaultParagraphFont"/>
    <w:rsid w:val="002F39D0"/>
  </w:style>
  <w:style w:type="character" w:customStyle="1" w:styleId="cit">
    <w:name w:val="cit"/>
    <w:basedOn w:val="DefaultParagraphFont"/>
    <w:rsid w:val="002F39D0"/>
  </w:style>
  <w:style w:type="table" w:styleId="PlainTable1">
    <w:name w:val="Plain Table 1"/>
    <w:basedOn w:val="TableNormal"/>
    <w:uiPriority w:val="41"/>
    <w:rsid w:val="00B516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9838B8"/>
    <w:pPr>
      <w:spacing w:after="0"/>
    </w:pPr>
    <w:rPr>
      <w:sz w:val="20"/>
      <w:szCs w:val="20"/>
    </w:rPr>
  </w:style>
  <w:style w:type="character" w:customStyle="1" w:styleId="EndnoteTextChar">
    <w:name w:val="Endnote Text Char"/>
    <w:basedOn w:val="DefaultParagraphFont"/>
    <w:link w:val="EndnoteText"/>
    <w:uiPriority w:val="99"/>
    <w:semiHidden/>
    <w:rsid w:val="009838B8"/>
    <w:rPr>
      <w:sz w:val="20"/>
      <w:szCs w:val="20"/>
    </w:rPr>
  </w:style>
  <w:style w:type="character" w:styleId="EndnoteReference">
    <w:name w:val="endnote reference"/>
    <w:basedOn w:val="DefaultParagraphFont"/>
    <w:uiPriority w:val="99"/>
    <w:semiHidden/>
    <w:unhideWhenUsed/>
    <w:rsid w:val="009838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6133">
      <w:bodyDiv w:val="1"/>
      <w:marLeft w:val="0"/>
      <w:marRight w:val="0"/>
      <w:marTop w:val="0"/>
      <w:marBottom w:val="0"/>
      <w:divBdr>
        <w:top w:val="none" w:sz="0" w:space="0" w:color="auto"/>
        <w:left w:val="none" w:sz="0" w:space="0" w:color="auto"/>
        <w:bottom w:val="none" w:sz="0" w:space="0" w:color="auto"/>
        <w:right w:val="none" w:sz="0" w:space="0" w:color="auto"/>
      </w:divBdr>
      <w:divsChild>
        <w:div w:id="945694980">
          <w:marLeft w:val="0"/>
          <w:marRight w:val="0"/>
          <w:marTop w:val="0"/>
          <w:marBottom w:val="0"/>
          <w:divBdr>
            <w:top w:val="none" w:sz="0" w:space="0" w:color="C4DEEE"/>
            <w:left w:val="none" w:sz="0" w:space="0" w:color="C4DEEE"/>
            <w:bottom w:val="none" w:sz="0" w:space="0" w:color="C4DEEE"/>
            <w:right w:val="none" w:sz="0" w:space="0" w:color="C4DEEE"/>
          </w:divBdr>
          <w:divsChild>
            <w:div w:id="270019305">
              <w:marLeft w:val="0"/>
              <w:marRight w:val="0"/>
              <w:marTop w:val="0"/>
              <w:marBottom w:val="0"/>
              <w:divBdr>
                <w:top w:val="none" w:sz="0" w:space="0" w:color="C4DEEE"/>
                <w:left w:val="none" w:sz="0" w:space="0" w:color="C4DEEE"/>
                <w:bottom w:val="none" w:sz="0" w:space="0" w:color="C4DEEE"/>
                <w:right w:val="none" w:sz="0" w:space="0" w:color="C4DEEE"/>
              </w:divBdr>
            </w:div>
          </w:divsChild>
        </w:div>
        <w:div w:id="178204550">
          <w:marLeft w:val="0"/>
          <w:marRight w:val="0"/>
          <w:marTop w:val="0"/>
          <w:marBottom w:val="0"/>
          <w:divBdr>
            <w:top w:val="none" w:sz="0" w:space="2" w:color="C4DEEE"/>
            <w:left w:val="none" w:sz="0" w:space="15" w:color="C4DEEE"/>
            <w:bottom w:val="none" w:sz="0" w:space="2" w:color="C4DEEE"/>
            <w:right w:val="none" w:sz="0" w:space="2" w:color="C4DEEE"/>
          </w:divBdr>
        </w:div>
        <w:div w:id="1589264755">
          <w:marLeft w:val="0"/>
          <w:marRight w:val="0"/>
          <w:marTop w:val="0"/>
          <w:marBottom w:val="0"/>
          <w:divBdr>
            <w:top w:val="none" w:sz="0" w:space="0" w:color="C4DEEE"/>
            <w:left w:val="none" w:sz="0" w:space="0" w:color="C4DEEE"/>
            <w:bottom w:val="none" w:sz="0" w:space="0" w:color="C4DEEE"/>
            <w:right w:val="none" w:sz="0" w:space="0" w:color="C4DEEE"/>
          </w:divBdr>
          <w:divsChild>
            <w:div w:id="234048887">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134103787">
      <w:bodyDiv w:val="1"/>
      <w:marLeft w:val="0"/>
      <w:marRight w:val="0"/>
      <w:marTop w:val="0"/>
      <w:marBottom w:val="0"/>
      <w:divBdr>
        <w:top w:val="none" w:sz="0" w:space="0" w:color="auto"/>
        <w:left w:val="none" w:sz="0" w:space="0" w:color="auto"/>
        <w:bottom w:val="none" w:sz="0" w:space="0" w:color="auto"/>
        <w:right w:val="none" w:sz="0" w:space="0" w:color="auto"/>
      </w:divBdr>
    </w:div>
    <w:div w:id="150756964">
      <w:bodyDiv w:val="1"/>
      <w:marLeft w:val="0"/>
      <w:marRight w:val="0"/>
      <w:marTop w:val="0"/>
      <w:marBottom w:val="0"/>
      <w:divBdr>
        <w:top w:val="none" w:sz="0" w:space="0" w:color="auto"/>
        <w:left w:val="none" w:sz="0" w:space="0" w:color="auto"/>
        <w:bottom w:val="none" w:sz="0" w:space="0" w:color="auto"/>
        <w:right w:val="none" w:sz="0" w:space="0" w:color="auto"/>
      </w:divBdr>
    </w:div>
    <w:div w:id="267928108">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16369926">
      <w:bodyDiv w:val="1"/>
      <w:marLeft w:val="0"/>
      <w:marRight w:val="0"/>
      <w:marTop w:val="0"/>
      <w:marBottom w:val="0"/>
      <w:divBdr>
        <w:top w:val="none" w:sz="0" w:space="0" w:color="auto"/>
        <w:left w:val="none" w:sz="0" w:space="0" w:color="auto"/>
        <w:bottom w:val="none" w:sz="0" w:space="0" w:color="auto"/>
        <w:right w:val="none" w:sz="0" w:space="0" w:color="auto"/>
      </w:divBdr>
    </w:div>
    <w:div w:id="450326994">
      <w:bodyDiv w:val="1"/>
      <w:marLeft w:val="0"/>
      <w:marRight w:val="0"/>
      <w:marTop w:val="0"/>
      <w:marBottom w:val="0"/>
      <w:divBdr>
        <w:top w:val="none" w:sz="0" w:space="0" w:color="auto"/>
        <w:left w:val="none" w:sz="0" w:space="0" w:color="auto"/>
        <w:bottom w:val="none" w:sz="0" w:space="0" w:color="auto"/>
        <w:right w:val="none" w:sz="0" w:space="0" w:color="auto"/>
      </w:divBdr>
    </w:div>
    <w:div w:id="454905161">
      <w:bodyDiv w:val="1"/>
      <w:marLeft w:val="0"/>
      <w:marRight w:val="0"/>
      <w:marTop w:val="0"/>
      <w:marBottom w:val="0"/>
      <w:divBdr>
        <w:top w:val="none" w:sz="0" w:space="0" w:color="auto"/>
        <w:left w:val="none" w:sz="0" w:space="0" w:color="auto"/>
        <w:bottom w:val="none" w:sz="0" w:space="0" w:color="auto"/>
        <w:right w:val="none" w:sz="0" w:space="0" w:color="auto"/>
      </w:divBdr>
    </w:div>
    <w:div w:id="539977849">
      <w:bodyDiv w:val="1"/>
      <w:marLeft w:val="0"/>
      <w:marRight w:val="0"/>
      <w:marTop w:val="0"/>
      <w:marBottom w:val="0"/>
      <w:divBdr>
        <w:top w:val="none" w:sz="0" w:space="0" w:color="auto"/>
        <w:left w:val="none" w:sz="0" w:space="0" w:color="auto"/>
        <w:bottom w:val="none" w:sz="0" w:space="0" w:color="auto"/>
        <w:right w:val="none" w:sz="0" w:space="0" w:color="auto"/>
      </w:divBdr>
    </w:div>
    <w:div w:id="545486277">
      <w:bodyDiv w:val="1"/>
      <w:marLeft w:val="0"/>
      <w:marRight w:val="0"/>
      <w:marTop w:val="0"/>
      <w:marBottom w:val="0"/>
      <w:divBdr>
        <w:top w:val="none" w:sz="0" w:space="0" w:color="auto"/>
        <w:left w:val="none" w:sz="0" w:space="0" w:color="auto"/>
        <w:bottom w:val="none" w:sz="0" w:space="0" w:color="auto"/>
        <w:right w:val="none" w:sz="0" w:space="0" w:color="auto"/>
      </w:divBdr>
    </w:div>
    <w:div w:id="546258556">
      <w:bodyDiv w:val="1"/>
      <w:marLeft w:val="0"/>
      <w:marRight w:val="0"/>
      <w:marTop w:val="0"/>
      <w:marBottom w:val="0"/>
      <w:divBdr>
        <w:top w:val="none" w:sz="0" w:space="0" w:color="auto"/>
        <w:left w:val="none" w:sz="0" w:space="0" w:color="auto"/>
        <w:bottom w:val="none" w:sz="0" w:space="0" w:color="auto"/>
        <w:right w:val="none" w:sz="0" w:space="0" w:color="auto"/>
      </w:divBdr>
    </w:div>
    <w:div w:id="565141451">
      <w:bodyDiv w:val="1"/>
      <w:marLeft w:val="0"/>
      <w:marRight w:val="0"/>
      <w:marTop w:val="0"/>
      <w:marBottom w:val="0"/>
      <w:divBdr>
        <w:top w:val="none" w:sz="0" w:space="0" w:color="auto"/>
        <w:left w:val="none" w:sz="0" w:space="0" w:color="auto"/>
        <w:bottom w:val="none" w:sz="0" w:space="0" w:color="auto"/>
        <w:right w:val="none" w:sz="0" w:space="0" w:color="auto"/>
      </w:divBdr>
    </w:div>
    <w:div w:id="658113722">
      <w:bodyDiv w:val="1"/>
      <w:marLeft w:val="0"/>
      <w:marRight w:val="0"/>
      <w:marTop w:val="0"/>
      <w:marBottom w:val="0"/>
      <w:divBdr>
        <w:top w:val="none" w:sz="0" w:space="0" w:color="auto"/>
        <w:left w:val="none" w:sz="0" w:space="0" w:color="auto"/>
        <w:bottom w:val="none" w:sz="0" w:space="0" w:color="auto"/>
        <w:right w:val="none" w:sz="0" w:space="0" w:color="auto"/>
      </w:divBdr>
    </w:div>
    <w:div w:id="687875691">
      <w:bodyDiv w:val="1"/>
      <w:marLeft w:val="0"/>
      <w:marRight w:val="0"/>
      <w:marTop w:val="0"/>
      <w:marBottom w:val="0"/>
      <w:divBdr>
        <w:top w:val="none" w:sz="0" w:space="0" w:color="auto"/>
        <w:left w:val="none" w:sz="0" w:space="0" w:color="auto"/>
        <w:bottom w:val="none" w:sz="0" w:space="0" w:color="auto"/>
        <w:right w:val="none" w:sz="0" w:space="0" w:color="auto"/>
      </w:divBdr>
      <w:divsChild>
        <w:div w:id="492985517">
          <w:marLeft w:val="0"/>
          <w:marRight w:val="0"/>
          <w:marTop w:val="0"/>
          <w:marBottom w:val="0"/>
          <w:divBdr>
            <w:top w:val="none" w:sz="0" w:space="0" w:color="auto"/>
            <w:left w:val="none" w:sz="0" w:space="0" w:color="auto"/>
            <w:bottom w:val="none" w:sz="0" w:space="0" w:color="auto"/>
            <w:right w:val="none" w:sz="0" w:space="0" w:color="auto"/>
          </w:divBdr>
        </w:div>
        <w:div w:id="119807056">
          <w:marLeft w:val="0"/>
          <w:marRight w:val="0"/>
          <w:marTop w:val="0"/>
          <w:marBottom w:val="0"/>
          <w:divBdr>
            <w:top w:val="none" w:sz="0" w:space="0" w:color="auto"/>
            <w:left w:val="none" w:sz="0" w:space="0" w:color="auto"/>
            <w:bottom w:val="none" w:sz="0" w:space="0" w:color="auto"/>
            <w:right w:val="none" w:sz="0" w:space="0" w:color="auto"/>
          </w:divBdr>
        </w:div>
        <w:div w:id="1118177667">
          <w:marLeft w:val="0"/>
          <w:marRight w:val="0"/>
          <w:marTop w:val="0"/>
          <w:marBottom w:val="0"/>
          <w:divBdr>
            <w:top w:val="none" w:sz="0" w:space="0" w:color="auto"/>
            <w:left w:val="none" w:sz="0" w:space="0" w:color="auto"/>
            <w:bottom w:val="none" w:sz="0" w:space="0" w:color="auto"/>
            <w:right w:val="none" w:sz="0" w:space="0" w:color="auto"/>
          </w:divBdr>
        </w:div>
        <w:div w:id="1582447955">
          <w:marLeft w:val="0"/>
          <w:marRight w:val="0"/>
          <w:marTop w:val="0"/>
          <w:marBottom w:val="0"/>
          <w:divBdr>
            <w:top w:val="none" w:sz="0" w:space="0" w:color="auto"/>
            <w:left w:val="none" w:sz="0" w:space="0" w:color="auto"/>
            <w:bottom w:val="none" w:sz="0" w:space="0" w:color="auto"/>
            <w:right w:val="none" w:sz="0" w:space="0" w:color="auto"/>
          </w:divBdr>
        </w:div>
        <w:div w:id="756292314">
          <w:marLeft w:val="0"/>
          <w:marRight w:val="0"/>
          <w:marTop w:val="0"/>
          <w:marBottom w:val="0"/>
          <w:divBdr>
            <w:top w:val="none" w:sz="0" w:space="0" w:color="auto"/>
            <w:left w:val="none" w:sz="0" w:space="0" w:color="auto"/>
            <w:bottom w:val="none" w:sz="0" w:space="0" w:color="auto"/>
            <w:right w:val="none" w:sz="0" w:space="0" w:color="auto"/>
          </w:divBdr>
          <w:divsChild>
            <w:div w:id="671834059">
              <w:marLeft w:val="0"/>
              <w:marRight w:val="0"/>
              <w:marTop w:val="0"/>
              <w:marBottom w:val="0"/>
              <w:divBdr>
                <w:top w:val="none" w:sz="0" w:space="0" w:color="auto"/>
                <w:left w:val="none" w:sz="0" w:space="0" w:color="auto"/>
                <w:bottom w:val="none" w:sz="0" w:space="0" w:color="auto"/>
                <w:right w:val="none" w:sz="0" w:space="0" w:color="auto"/>
              </w:divBdr>
            </w:div>
            <w:div w:id="250428247">
              <w:marLeft w:val="0"/>
              <w:marRight w:val="0"/>
              <w:marTop w:val="0"/>
              <w:marBottom w:val="0"/>
              <w:divBdr>
                <w:top w:val="none" w:sz="0" w:space="0" w:color="auto"/>
                <w:left w:val="none" w:sz="0" w:space="0" w:color="auto"/>
                <w:bottom w:val="none" w:sz="0" w:space="0" w:color="auto"/>
                <w:right w:val="none" w:sz="0" w:space="0" w:color="auto"/>
              </w:divBdr>
            </w:div>
            <w:div w:id="3152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0644">
      <w:bodyDiv w:val="1"/>
      <w:marLeft w:val="0"/>
      <w:marRight w:val="0"/>
      <w:marTop w:val="0"/>
      <w:marBottom w:val="0"/>
      <w:divBdr>
        <w:top w:val="none" w:sz="0" w:space="0" w:color="auto"/>
        <w:left w:val="none" w:sz="0" w:space="0" w:color="auto"/>
        <w:bottom w:val="none" w:sz="0" w:space="0" w:color="auto"/>
        <w:right w:val="none" w:sz="0" w:space="0" w:color="auto"/>
      </w:divBdr>
    </w:div>
    <w:div w:id="735058067">
      <w:bodyDiv w:val="1"/>
      <w:marLeft w:val="0"/>
      <w:marRight w:val="0"/>
      <w:marTop w:val="0"/>
      <w:marBottom w:val="0"/>
      <w:divBdr>
        <w:top w:val="none" w:sz="0" w:space="0" w:color="auto"/>
        <w:left w:val="none" w:sz="0" w:space="0" w:color="auto"/>
        <w:bottom w:val="none" w:sz="0" w:space="0" w:color="auto"/>
        <w:right w:val="none" w:sz="0" w:space="0" w:color="auto"/>
      </w:divBdr>
    </w:div>
    <w:div w:id="791171250">
      <w:bodyDiv w:val="1"/>
      <w:marLeft w:val="0"/>
      <w:marRight w:val="0"/>
      <w:marTop w:val="0"/>
      <w:marBottom w:val="0"/>
      <w:divBdr>
        <w:top w:val="none" w:sz="0" w:space="0" w:color="auto"/>
        <w:left w:val="none" w:sz="0" w:space="0" w:color="auto"/>
        <w:bottom w:val="none" w:sz="0" w:space="0" w:color="auto"/>
        <w:right w:val="none" w:sz="0" w:space="0" w:color="auto"/>
      </w:divBdr>
    </w:div>
    <w:div w:id="870995242">
      <w:bodyDiv w:val="1"/>
      <w:marLeft w:val="0"/>
      <w:marRight w:val="0"/>
      <w:marTop w:val="0"/>
      <w:marBottom w:val="0"/>
      <w:divBdr>
        <w:top w:val="none" w:sz="0" w:space="0" w:color="auto"/>
        <w:left w:val="none" w:sz="0" w:space="0" w:color="auto"/>
        <w:bottom w:val="none" w:sz="0" w:space="0" w:color="auto"/>
        <w:right w:val="none" w:sz="0" w:space="0" w:color="auto"/>
      </w:divBdr>
    </w:div>
    <w:div w:id="912661610">
      <w:bodyDiv w:val="1"/>
      <w:marLeft w:val="0"/>
      <w:marRight w:val="0"/>
      <w:marTop w:val="0"/>
      <w:marBottom w:val="0"/>
      <w:divBdr>
        <w:top w:val="none" w:sz="0" w:space="0" w:color="auto"/>
        <w:left w:val="none" w:sz="0" w:space="0" w:color="auto"/>
        <w:bottom w:val="none" w:sz="0" w:space="0" w:color="auto"/>
        <w:right w:val="none" w:sz="0" w:space="0" w:color="auto"/>
      </w:divBdr>
    </w:div>
    <w:div w:id="938879486">
      <w:bodyDiv w:val="1"/>
      <w:marLeft w:val="0"/>
      <w:marRight w:val="0"/>
      <w:marTop w:val="0"/>
      <w:marBottom w:val="0"/>
      <w:divBdr>
        <w:top w:val="none" w:sz="0" w:space="0" w:color="auto"/>
        <w:left w:val="none" w:sz="0" w:space="0" w:color="auto"/>
        <w:bottom w:val="none" w:sz="0" w:space="0" w:color="auto"/>
        <w:right w:val="none" w:sz="0" w:space="0" w:color="auto"/>
      </w:divBdr>
    </w:div>
    <w:div w:id="945040064">
      <w:bodyDiv w:val="1"/>
      <w:marLeft w:val="0"/>
      <w:marRight w:val="0"/>
      <w:marTop w:val="0"/>
      <w:marBottom w:val="0"/>
      <w:divBdr>
        <w:top w:val="none" w:sz="0" w:space="0" w:color="auto"/>
        <w:left w:val="none" w:sz="0" w:space="0" w:color="auto"/>
        <w:bottom w:val="none" w:sz="0" w:space="0" w:color="auto"/>
        <w:right w:val="none" w:sz="0" w:space="0" w:color="auto"/>
      </w:divBdr>
      <w:divsChild>
        <w:div w:id="79104843">
          <w:marLeft w:val="0"/>
          <w:marRight w:val="0"/>
          <w:marTop w:val="0"/>
          <w:marBottom w:val="0"/>
          <w:divBdr>
            <w:top w:val="none" w:sz="0" w:space="0" w:color="auto"/>
            <w:left w:val="none" w:sz="0" w:space="0" w:color="auto"/>
            <w:bottom w:val="none" w:sz="0" w:space="0" w:color="auto"/>
            <w:right w:val="none" w:sz="0" w:space="0" w:color="auto"/>
          </w:divBdr>
          <w:divsChild>
            <w:div w:id="967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5459">
      <w:bodyDiv w:val="1"/>
      <w:marLeft w:val="0"/>
      <w:marRight w:val="0"/>
      <w:marTop w:val="0"/>
      <w:marBottom w:val="0"/>
      <w:divBdr>
        <w:top w:val="none" w:sz="0" w:space="0" w:color="auto"/>
        <w:left w:val="none" w:sz="0" w:space="0" w:color="auto"/>
        <w:bottom w:val="none" w:sz="0" w:space="0" w:color="auto"/>
        <w:right w:val="none" w:sz="0" w:space="0" w:color="auto"/>
      </w:divBdr>
    </w:div>
    <w:div w:id="96091674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16631550">
      <w:bodyDiv w:val="1"/>
      <w:marLeft w:val="0"/>
      <w:marRight w:val="0"/>
      <w:marTop w:val="0"/>
      <w:marBottom w:val="0"/>
      <w:divBdr>
        <w:top w:val="none" w:sz="0" w:space="0" w:color="auto"/>
        <w:left w:val="none" w:sz="0" w:space="0" w:color="auto"/>
        <w:bottom w:val="none" w:sz="0" w:space="0" w:color="auto"/>
        <w:right w:val="none" w:sz="0" w:space="0" w:color="auto"/>
      </w:divBdr>
    </w:div>
    <w:div w:id="1124009107">
      <w:bodyDiv w:val="1"/>
      <w:marLeft w:val="0"/>
      <w:marRight w:val="0"/>
      <w:marTop w:val="0"/>
      <w:marBottom w:val="0"/>
      <w:divBdr>
        <w:top w:val="none" w:sz="0" w:space="0" w:color="auto"/>
        <w:left w:val="none" w:sz="0" w:space="0" w:color="auto"/>
        <w:bottom w:val="none" w:sz="0" w:space="0" w:color="auto"/>
        <w:right w:val="none" w:sz="0" w:space="0" w:color="auto"/>
      </w:divBdr>
    </w:div>
    <w:div w:id="1201549006">
      <w:bodyDiv w:val="1"/>
      <w:marLeft w:val="0"/>
      <w:marRight w:val="0"/>
      <w:marTop w:val="0"/>
      <w:marBottom w:val="0"/>
      <w:divBdr>
        <w:top w:val="none" w:sz="0" w:space="0" w:color="auto"/>
        <w:left w:val="none" w:sz="0" w:space="0" w:color="auto"/>
        <w:bottom w:val="none" w:sz="0" w:space="0" w:color="auto"/>
        <w:right w:val="none" w:sz="0" w:space="0" w:color="auto"/>
      </w:divBdr>
      <w:divsChild>
        <w:div w:id="378432374">
          <w:marLeft w:val="0"/>
          <w:marRight w:val="0"/>
          <w:marTop w:val="0"/>
          <w:marBottom w:val="0"/>
          <w:divBdr>
            <w:top w:val="none" w:sz="0" w:space="0" w:color="auto"/>
            <w:left w:val="none" w:sz="0" w:space="0" w:color="auto"/>
            <w:bottom w:val="none" w:sz="0" w:space="0" w:color="auto"/>
            <w:right w:val="none" w:sz="0" w:space="0" w:color="auto"/>
          </w:divBdr>
        </w:div>
        <w:div w:id="1136139968">
          <w:marLeft w:val="0"/>
          <w:marRight w:val="0"/>
          <w:marTop w:val="0"/>
          <w:marBottom w:val="0"/>
          <w:divBdr>
            <w:top w:val="none" w:sz="0" w:space="0" w:color="auto"/>
            <w:left w:val="none" w:sz="0" w:space="0" w:color="auto"/>
            <w:bottom w:val="none" w:sz="0" w:space="0" w:color="auto"/>
            <w:right w:val="none" w:sz="0" w:space="0" w:color="auto"/>
          </w:divBdr>
        </w:div>
      </w:divsChild>
    </w:div>
    <w:div w:id="1278415180">
      <w:bodyDiv w:val="1"/>
      <w:marLeft w:val="0"/>
      <w:marRight w:val="0"/>
      <w:marTop w:val="0"/>
      <w:marBottom w:val="0"/>
      <w:divBdr>
        <w:top w:val="none" w:sz="0" w:space="0" w:color="auto"/>
        <w:left w:val="none" w:sz="0" w:space="0" w:color="auto"/>
        <w:bottom w:val="none" w:sz="0" w:space="0" w:color="auto"/>
        <w:right w:val="none" w:sz="0" w:space="0" w:color="auto"/>
      </w:divBdr>
    </w:div>
    <w:div w:id="1281181680">
      <w:bodyDiv w:val="1"/>
      <w:marLeft w:val="0"/>
      <w:marRight w:val="0"/>
      <w:marTop w:val="0"/>
      <w:marBottom w:val="0"/>
      <w:divBdr>
        <w:top w:val="none" w:sz="0" w:space="0" w:color="auto"/>
        <w:left w:val="none" w:sz="0" w:space="0" w:color="auto"/>
        <w:bottom w:val="none" w:sz="0" w:space="0" w:color="auto"/>
        <w:right w:val="none" w:sz="0" w:space="0" w:color="auto"/>
      </w:divBdr>
    </w:div>
    <w:div w:id="1281182406">
      <w:bodyDiv w:val="1"/>
      <w:marLeft w:val="0"/>
      <w:marRight w:val="0"/>
      <w:marTop w:val="0"/>
      <w:marBottom w:val="0"/>
      <w:divBdr>
        <w:top w:val="none" w:sz="0" w:space="0" w:color="auto"/>
        <w:left w:val="none" w:sz="0" w:space="0" w:color="auto"/>
        <w:bottom w:val="none" w:sz="0" w:space="0" w:color="auto"/>
        <w:right w:val="none" w:sz="0" w:space="0" w:color="auto"/>
      </w:divBdr>
      <w:divsChild>
        <w:div w:id="1369448714">
          <w:marLeft w:val="0"/>
          <w:marRight w:val="0"/>
          <w:marTop w:val="0"/>
          <w:marBottom w:val="0"/>
          <w:divBdr>
            <w:top w:val="none" w:sz="0" w:space="0" w:color="auto"/>
            <w:left w:val="none" w:sz="0" w:space="0" w:color="auto"/>
            <w:bottom w:val="none" w:sz="0" w:space="0" w:color="auto"/>
            <w:right w:val="none" w:sz="0" w:space="0" w:color="auto"/>
          </w:divBdr>
          <w:divsChild>
            <w:div w:id="159124942">
              <w:marLeft w:val="0"/>
              <w:marRight w:val="0"/>
              <w:marTop w:val="0"/>
              <w:marBottom w:val="0"/>
              <w:divBdr>
                <w:top w:val="none" w:sz="0" w:space="0" w:color="auto"/>
                <w:left w:val="none" w:sz="0" w:space="0" w:color="auto"/>
                <w:bottom w:val="none" w:sz="0" w:space="0" w:color="auto"/>
                <w:right w:val="none" w:sz="0" w:space="0" w:color="auto"/>
              </w:divBdr>
            </w:div>
            <w:div w:id="808716369">
              <w:marLeft w:val="0"/>
              <w:marRight w:val="0"/>
              <w:marTop w:val="0"/>
              <w:marBottom w:val="0"/>
              <w:divBdr>
                <w:top w:val="none" w:sz="0" w:space="0" w:color="auto"/>
                <w:left w:val="none" w:sz="0" w:space="0" w:color="auto"/>
                <w:bottom w:val="none" w:sz="0" w:space="0" w:color="auto"/>
                <w:right w:val="none" w:sz="0" w:space="0" w:color="auto"/>
              </w:divBdr>
            </w:div>
            <w:div w:id="150145617">
              <w:marLeft w:val="0"/>
              <w:marRight w:val="0"/>
              <w:marTop w:val="0"/>
              <w:marBottom w:val="0"/>
              <w:divBdr>
                <w:top w:val="none" w:sz="0" w:space="0" w:color="auto"/>
                <w:left w:val="none" w:sz="0" w:space="0" w:color="auto"/>
                <w:bottom w:val="none" w:sz="0" w:space="0" w:color="auto"/>
                <w:right w:val="none" w:sz="0" w:space="0" w:color="auto"/>
              </w:divBdr>
            </w:div>
            <w:div w:id="1607151974">
              <w:marLeft w:val="0"/>
              <w:marRight w:val="0"/>
              <w:marTop w:val="0"/>
              <w:marBottom w:val="0"/>
              <w:divBdr>
                <w:top w:val="none" w:sz="0" w:space="0" w:color="auto"/>
                <w:left w:val="none" w:sz="0" w:space="0" w:color="auto"/>
                <w:bottom w:val="none" w:sz="0" w:space="0" w:color="auto"/>
                <w:right w:val="none" w:sz="0" w:space="0" w:color="auto"/>
              </w:divBdr>
            </w:div>
            <w:div w:id="1308172044">
              <w:marLeft w:val="0"/>
              <w:marRight w:val="0"/>
              <w:marTop w:val="0"/>
              <w:marBottom w:val="0"/>
              <w:divBdr>
                <w:top w:val="none" w:sz="0" w:space="0" w:color="auto"/>
                <w:left w:val="none" w:sz="0" w:space="0" w:color="auto"/>
                <w:bottom w:val="none" w:sz="0" w:space="0" w:color="auto"/>
                <w:right w:val="none" w:sz="0" w:space="0" w:color="auto"/>
              </w:divBdr>
              <w:divsChild>
                <w:div w:id="287710637">
                  <w:marLeft w:val="0"/>
                  <w:marRight w:val="0"/>
                  <w:marTop w:val="0"/>
                  <w:marBottom w:val="0"/>
                  <w:divBdr>
                    <w:top w:val="none" w:sz="0" w:space="0" w:color="auto"/>
                    <w:left w:val="none" w:sz="0" w:space="0" w:color="auto"/>
                    <w:bottom w:val="none" w:sz="0" w:space="0" w:color="auto"/>
                    <w:right w:val="none" w:sz="0" w:space="0" w:color="auto"/>
                  </w:divBdr>
                </w:div>
                <w:div w:id="360278208">
                  <w:marLeft w:val="0"/>
                  <w:marRight w:val="0"/>
                  <w:marTop w:val="0"/>
                  <w:marBottom w:val="0"/>
                  <w:divBdr>
                    <w:top w:val="none" w:sz="0" w:space="0" w:color="auto"/>
                    <w:left w:val="none" w:sz="0" w:space="0" w:color="auto"/>
                    <w:bottom w:val="none" w:sz="0" w:space="0" w:color="auto"/>
                    <w:right w:val="none" w:sz="0" w:space="0" w:color="auto"/>
                  </w:divBdr>
                </w:div>
                <w:div w:id="597056094">
                  <w:marLeft w:val="0"/>
                  <w:marRight w:val="0"/>
                  <w:marTop w:val="0"/>
                  <w:marBottom w:val="0"/>
                  <w:divBdr>
                    <w:top w:val="none" w:sz="0" w:space="0" w:color="auto"/>
                    <w:left w:val="none" w:sz="0" w:space="0" w:color="auto"/>
                    <w:bottom w:val="none" w:sz="0" w:space="0" w:color="auto"/>
                    <w:right w:val="none" w:sz="0" w:space="0" w:color="auto"/>
                  </w:divBdr>
                </w:div>
                <w:div w:id="1548181416">
                  <w:marLeft w:val="0"/>
                  <w:marRight w:val="0"/>
                  <w:marTop w:val="0"/>
                  <w:marBottom w:val="0"/>
                  <w:divBdr>
                    <w:top w:val="none" w:sz="0" w:space="0" w:color="auto"/>
                    <w:left w:val="none" w:sz="0" w:space="0" w:color="auto"/>
                    <w:bottom w:val="none" w:sz="0" w:space="0" w:color="auto"/>
                    <w:right w:val="none" w:sz="0" w:space="0" w:color="auto"/>
                  </w:divBdr>
                </w:div>
              </w:divsChild>
            </w:div>
            <w:div w:id="626349419">
              <w:marLeft w:val="0"/>
              <w:marRight w:val="0"/>
              <w:marTop w:val="0"/>
              <w:marBottom w:val="0"/>
              <w:divBdr>
                <w:top w:val="none" w:sz="0" w:space="0" w:color="auto"/>
                <w:left w:val="none" w:sz="0" w:space="0" w:color="auto"/>
                <w:bottom w:val="none" w:sz="0" w:space="0" w:color="auto"/>
                <w:right w:val="none" w:sz="0" w:space="0" w:color="auto"/>
              </w:divBdr>
            </w:div>
            <w:div w:id="302852448">
              <w:marLeft w:val="0"/>
              <w:marRight w:val="0"/>
              <w:marTop w:val="0"/>
              <w:marBottom w:val="0"/>
              <w:divBdr>
                <w:top w:val="none" w:sz="0" w:space="0" w:color="auto"/>
                <w:left w:val="none" w:sz="0" w:space="0" w:color="auto"/>
                <w:bottom w:val="none" w:sz="0" w:space="0" w:color="auto"/>
                <w:right w:val="none" w:sz="0" w:space="0" w:color="auto"/>
              </w:divBdr>
              <w:divsChild>
                <w:div w:id="286544755">
                  <w:marLeft w:val="0"/>
                  <w:marRight w:val="0"/>
                  <w:marTop w:val="0"/>
                  <w:marBottom w:val="0"/>
                  <w:divBdr>
                    <w:top w:val="none" w:sz="0" w:space="0" w:color="auto"/>
                    <w:left w:val="none" w:sz="0" w:space="0" w:color="auto"/>
                    <w:bottom w:val="none" w:sz="0" w:space="0" w:color="auto"/>
                    <w:right w:val="none" w:sz="0" w:space="0" w:color="auto"/>
                  </w:divBdr>
                </w:div>
                <w:div w:id="175464829">
                  <w:marLeft w:val="0"/>
                  <w:marRight w:val="0"/>
                  <w:marTop w:val="0"/>
                  <w:marBottom w:val="0"/>
                  <w:divBdr>
                    <w:top w:val="none" w:sz="0" w:space="0" w:color="auto"/>
                    <w:left w:val="none" w:sz="0" w:space="0" w:color="auto"/>
                    <w:bottom w:val="none" w:sz="0" w:space="0" w:color="auto"/>
                    <w:right w:val="none" w:sz="0" w:space="0" w:color="auto"/>
                  </w:divBdr>
                </w:div>
              </w:divsChild>
            </w:div>
            <w:div w:id="1276911630">
              <w:marLeft w:val="0"/>
              <w:marRight w:val="0"/>
              <w:marTop w:val="0"/>
              <w:marBottom w:val="0"/>
              <w:divBdr>
                <w:top w:val="none" w:sz="0" w:space="0" w:color="auto"/>
                <w:left w:val="none" w:sz="0" w:space="0" w:color="auto"/>
                <w:bottom w:val="none" w:sz="0" w:space="0" w:color="auto"/>
                <w:right w:val="none" w:sz="0" w:space="0" w:color="auto"/>
              </w:divBdr>
            </w:div>
          </w:divsChild>
        </w:div>
        <w:div w:id="1086074288">
          <w:marLeft w:val="0"/>
          <w:marRight w:val="0"/>
          <w:marTop w:val="0"/>
          <w:marBottom w:val="0"/>
          <w:divBdr>
            <w:top w:val="none" w:sz="0" w:space="0" w:color="auto"/>
            <w:left w:val="none" w:sz="0" w:space="0" w:color="auto"/>
            <w:bottom w:val="none" w:sz="0" w:space="0" w:color="auto"/>
            <w:right w:val="none" w:sz="0" w:space="0" w:color="auto"/>
          </w:divBdr>
          <w:divsChild>
            <w:div w:id="422578934">
              <w:marLeft w:val="0"/>
              <w:marRight w:val="0"/>
              <w:marTop w:val="0"/>
              <w:marBottom w:val="0"/>
              <w:divBdr>
                <w:top w:val="none" w:sz="0" w:space="0" w:color="auto"/>
                <w:left w:val="none" w:sz="0" w:space="0" w:color="auto"/>
                <w:bottom w:val="none" w:sz="0" w:space="0" w:color="auto"/>
                <w:right w:val="none" w:sz="0" w:space="0" w:color="auto"/>
              </w:divBdr>
            </w:div>
            <w:div w:id="435953247">
              <w:marLeft w:val="0"/>
              <w:marRight w:val="0"/>
              <w:marTop w:val="0"/>
              <w:marBottom w:val="0"/>
              <w:divBdr>
                <w:top w:val="none" w:sz="0" w:space="0" w:color="auto"/>
                <w:left w:val="none" w:sz="0" w:space="0" w:color="auto"/>
                <w:bottom w:val="none" w:sz="0" w:space="0" w:color="auto"/>
                <w:right w:val="none" w:sz="0" w:space="0" w:color="auto"/>
              </w:divBdr>
            </w:div>
            <w:div w:id="61224422">
              <w:marLeft w:val="0"/>
              <w:marRight w:val="0"/>
              <w:marTop w:val="0"/>
              <w:marBottom w:val="0"/>
              <w:divBdr>
                <w:top w:val="none" w:sz="0" w:space="0" w:color="auto"/>
                <w:left w:val="none" w:sz="0" w:space="0" w:color="auto"/>
                <w:bottom w:val="none" w:sz="0" w:space="0" w:color="auto"/>
                <w:right w:val="none" w:sz="0" w:space="0" w:color="auto"/>
              </w:divBdr>
              <w:divsChild>
                <w:div w:id="397944564">
                  <w:marLeft w:val="0"/>
                  <w:marRight w:val="0"/>
                  <w:marTop w:val="0"/>
                  <w:marBottom w:val="0"/>
                  <w:divBdr>
                    <w:top w:val="none" w:sz="0" w:space="0" w:color="auto"/>
                    <w:left w:val="none" w:sz="0" w:space="0" w:color="auto"/>
                    <w:bottom w:val="none" w:sz="0" w:space="0" w:color="auto"/>
                    <w:right w:val="none" w:sz="0" w:space="0" w:color="auto"/>
                  </w:divBdr>
                </w:div>
                <w:div w:id="1657998484">
                  <w:marLeft w:val="0"/>
                  <w:marRight w:val="0"/>
                  <w:marTop w:val="0"/>
                  <w:marBottom w:val="0"/>
                  <w:divBdr>
                    <w:top w:val="none" w:sz="0" w:space="0" w:color="auto"/>
                    <w:left w:val="none" w:sz="0" w:space="0" w:color="auto"/>
                    <w:bottom w:val="none" w:sz="0" w:space="0" w:color="auto"/>
                    <w:right w:val="none" w:sz="0" w:space="0" w:color="auto"/>
                  </w:divBdr>
                </w:div>
                <w:div w:id="315577028">
                  <w:marLeft w:val="0"/>
                  <w:marRight w:val="0"/>
                  <w:marTop w:val="0"/>
                  <w:marBottom w:val="0"/>
                  <w:divBdr>
                    <w:top w:val="none" w:sz="0" w:space="0" w:color="auto"/>
                    <w:left w:val="none" w:sz="0" w:space="0" w:color="auto"/>
                    <w:bottom w:val="none" w:sz="0" w:space="0" w:color="auto"/>
                    <w:right w:val="none" w:sz="0" w:space="0" w:color="auto"/>
                  </w:divBdr>
                </w:div>
                <w:div w:id="1066875077">
                  <w:marLeft w:val="0"/>
                  <w:marRight w:val="0"/>
                  <w:marTop w:val="0"/>
                  <w:marBottom w:val="0"/>
                  <w:divBdr>
                    <w:top w:val="none" w:sz="0" w:space="0" w:color="auto"/>
                    <w:left w:val="none" w:sz="0" w:space="0" w:color="auto"/>
                    <w:bottom w:val="none" w:sz="0" w:space="0" w:color="auto"/>
                    <w:right w:val="none" w:sz="0" w:space="0" w:color="auto"/>
                  </w:divBdr>
                </w:div>
              </w:divsChild>
            </w:div>
            <w:div w:id="1114980647">
              <w:marLeft w:val="0"/>
              <w:marRight w:val="0"/>
              <w:marTop w:val="0"/>
              <w:marBottom w:val="0"/>
              <w:divBdr>
                <w:top w:val="none" w:sz="0" w:space="0" w:color="auto"/>
                <w:left w:val="none" w:sz="0" w:space="0" w:color="auto"/>
                <w:bottom w:val="none" w:sz="0" w:space="0" w:color="auto"/>
                <w:right w:val="none" w:sz="0" w:space="0" w:color="auto"/>
              </w:divBdr>
            </w:div>
            <w:div w:id="34503860">
              <w:marLeft w:val="0"/>
              <w:marRight w:val="0"/>
              <w:marTop w:val="0"/>
              <w:marBottom w:val="0"/>
              <w:divBdr>
                <w:top w:val="none" w:sz="0" w:space="0" w:color="auto"/>
                <w:left w:val="none" w:sz="0" w:space="0" w:color="auto"/>
                <w:bottom w:val="none" w:sz="0" w:space="0" w:color="auto"/>
                <w:right w:val="none" w:sz="0" w:space="0" w:color="auto"/>
              </w:divBdr>
            </w:div>
            <w:div w:id="717625690">
              <w:marLeft w:val="0"/>
              <w:marRight w:val="0"/>
              <w:marTop w:val="0"/>
              <w:marBottom w:val="0"/>
              <w:divBdr>
                <w:top w:val="none" w:sz="0" w:space="0" w:color="auto"/>
                <w:left w:val="none" w:sz="0" w:space="0" w:color="auto"/>
                <w:bottom w:val="none" w:sz="0" w:space="0" w:color="auto"/>
                <w:right w:val="none" w:sz="0" w:space="0" w:color="auto"/>
              </w:divBdr>
              <w:divsChild>
                <w:div w:id="2100902438">
                  <w:marLeft w:val="0"/>
                  <w:marRight w:val="0"/>
                  <w:marTop w:val="0"/>
                  <w:marBottom w:val="0"/>
                  <w:divBdr>
                    <w:top w:val="none" w:sz="0" w:space="0" w:color="auto"/>
                    <w:left w:val="none" w:sz="0" w:space="0" w:color="auto"/>
                    <w:bottom w:val="none" w:sz="0" w:space="0" w:color="auto"/>
                    <w:right w:val="none" w:sz="0" w:space="0" w:color="auto"/>
                  </w:divBdr>
                </w:div>
                <w:div w:id="1369800556">
                  <w:marLeft w:val="0"/>
                  <w:marRight w:val="0"/>
                  <w:marTop w:val="0"/>
                  <w:marBottom w:val="0"/>
                  <w:divBdr>
                    <w:top w:val="none" w:sz="0" w:space="0" w:color="auto"/>
                    <w:left w:val="none" w:sz="0" w:space="0" w:color="auto"/>
                    <w:bottom w:val="none" w:sz="0" w:space="0" w:color="auto"/>
                    <w:right w:val="none" w:sz="0" w:space="0" w:color="auto"/>
                  </w:divBdr>
                </w:div>
                <w:div w:id="2100640042">
                  <w:marLeft w:val="0"/>
                  <w:marRight w:val="0"/>
                  <w:marTop w:val="0"/>
                  <w:marBottom w:val="0"/>
                  <w:divBdr>
                    <w:top w:val="none" w:sz="0" w:space="0" w:color="auto"/>
                    <w:left w:val="none" w:sz="0" w:space="0" w:color="auto"/>
                    <w:bottom w:val="none" w:sz="0" w:space="0" w:color="auto"/>
                    <w:right w:val="none" w:sz="0" w:space="0" w:color="auto"/>
                  </w:divBdr>
                </w:div>
              </w:divsChild>
            </w:div>
            <w:div w:id="532428670">
              <w:marLeft w:val="0"/>
              <w:marRight w:val="0"/>
              <w:marTop w:val="0"/>
              <w:marBottom w:val="0"/>
              <w:divBdr>
                <w:top w:val="none" w:sz="0" w:space="0" w:color="auto"/>
                <w:left w:val="none" w:sz="0" w:space="0" w:color="auto"/>
                <w:bottom w:val="none" w:sz="0" w:space="0" w:color="auto"/>
                <w:right w:val="none" w:sz="0" w:space="0" w:color="auto"/>
              </w:divBdr>
            </w:div>
            <w:div w:id="1767114982">
              <w:marLeft w:val="0"/>
              <w:marRight w:val="0"/>
              <w:marTop w:val="0"/>
              <w:marBottom w:val="0"/>
              <w:divBdr>
                <w:top w:val="none" w:sz="0" w:space="0" w:color="auto"/>
                <w:left w:val="none" w:sz="0" w:space="0" w:color="auto"/>
                <w:bottom w:val="none" w:sz="0" w:space="0" w:color="auto"/>
                <w:right w:val="none" w:sz="0" w:space="0" w:color="auto"/>
              </w:divBdr>
            </w:div>
            <w:div w:id="2067871733">
              <w:marLeft w:val="0"/>
              <w:marRight w:val="0"/>
              <w:marTop w:val="0"/>
              <w:marBottom w:val="0"/>
              <w:divBdr>
                <w:top w:val="none" w:sz="0" w:space="0" w:color="auto"/>
                <w:left w:val="none" w:sz="0" w:space="0" w:color="auto"/>
                <w:bottom w:val="none" w:sz="0" w:space="0" w:color="auto"/>
                <w:right w:val="none" w:sz="0" w:space="0" w:color="auto"/>
              </w:divBdr>
            </w:div>
            <w:div w:id="1405294073">
              <w:marLeft w:val="0"/>
              <w:marRight w:val="0"/>
              <w:marTop w:val="0"/>
              <w:marBottom w:val="0"/>
              <w:divBdr>
                <w:top w:val="none" w:sz="0" w:space="0" w:color="auto"/>
                <w:left w:val="none" w:sz="0" w:space="0" w:color="auto"/>
                <w:bottom w:val="none" w:sz="0" w:space="0" w:color="auto"/>
                <w:right w:val="none" w:sz="0" w:space="0" w:color="auto"/>
              </w:divBdr>
            </w:div>
            <w:div w:id="120072821">
              <w:marLeft w:val="0"/>
              <w:marRight w:val="0"/>
              <w:marTop w:val="0"/>
              <w:marBottom w:val="0"/>
              <w:divBdr>
                <w:top w:val="none" w:sz="0" w:space="0" w:color="auto"/>
                <w:left w:val="none" w:sz="0" w:space="0" w:color="auto"/>
                <w:bottom w:val="none" w:sz="0" w:space="0" w:color="auto"/>
                <w:right w:val="none" w:sz="0" w:space="0" w:color="auto"/>
              </w:divBdr>
            </w:div>
            <w:div w:id="1518470448">
              <w:marLeft w:val="0"/>
              <w:marRight w:val="0"/>
              <w:marTop w:val="0"/>
              <w:marBottom w:val="0"/>
              <w:divBdr>
                <w:top w:val="none" w:sz="0" w:space="0" w:color="auto"/>
                <w:left w:val="none" w:sz="0" w:space="0" w:color="auto"/>
                <w:bottom w:val="none" w:sz="0" w:space="0" w:color="auto"/>
                <w:right w:val="none" w:sz="0" w:space="0" w:color="auto"/>
              </w:divBdr>
            </w:div>
            <w:div w:id="1647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5397">
      <w:bodyDiv w:val="1"/>
      <w:marLeft w:val="0"/>
      <w:marRight w:val="0"/>
      <w:marTop w:val="0"/>
      <w:marBottom w:val="0"/>
      <w:divBdr>
        <w:top w:val="none" w:sz="0" w:space="0" w:color="auto"/>
        <w:left w:val="none" w:sz="0" w:space="0" w:color="auto"/>
        <w:bottom w:val="none" w:sz="0" w:space="0" w:color="auto"/>
        <w:right w:val="none" w:sz="0" w:space="0" w:color="auto"/>
      </w:divBdr>
    </w:div>
    <w:div w:id="1326394218">
      <w:bodyDiv w:val="1"/>
      <w:marLeft w:val="0"/>
      <w:marRight w:val="0"/>
      <w:marTop w:val="0"/>
      <w:marBottom w:val="0"/>
      <w:divBdr>
        <w:top w:val="none" w:sz="0" w:space="0" w:color="auto"/>
        <w:left w:val="none" w:sz="0" w:space="0" w:color="auto"/>
        <w:bottom w:val="none" w:sz="0" w:space="0" w:color="auto"/>
        <w:right w:val="none" w:sz="0" w:space="0" w:color="auto"/>
      </w:divBdr>
    </w:div>
    <w:div w:id="1485317858">
      <w:bodyDiv w:val="1"/>
      <w:marLeft w:val="0"/>
      <w:marRight w:val="0"/>
      <w:marTop w:val="0"/>
      <w:marBottom w:val="0"/>
      <w:divBdr>
        <w:top w:val="none" w:sz="0" w:space="0" w:color="auto"/>
        <w:left w:val="none" w:sz="0" w:space="0" w:color="auto"/>
        <w:bottom w:val="none" w:sz="0" w:space="0" w:color="auto"/>
        <w:right w:val="none" w:sz="0" w:space="0" w:color="auto"/>
      </w:divBdr>
    </w:div>
    <w:div w:id="1541016051">
      <w:bodyDiv w:val="1"/>
      <w:marLeft w:val="0"/>
      <w:marRight w:val="0"/>
      <w:marTop w:val="0"/>
      <w:marBottom w:val="0"/>
      <w:divBdr>
        <w:top w:val="none" w:sz="0" w:space="0" w:color="auto"/>
        <w:left w:val="none" w:sz="0" w:space="0" w:color="auto"/>
        <w:bottom w:val="none" w:sz="0" w:space="0" w:color="auto"/>
        <w:right w:val="none" w:sz="0" w:space="0" w:color="auto"/>
      </w:divBdr>
    </w:div>
    <w:div w:id="1545016603">
      <w:bodyDiv w:val="1"/>
      <w:marLeft w:val="0"/>
      <w:marRight w:val="0"/>
      <w:marTop w:val="0"/>
      <w:marBottom w:val="0"/>
      <w:divBdr>
        <w:top w:val="none" w:sz="0" w:space="0" w:color="auto"/>
        <w:left w:val="none" w:sz="0" w:space="0" w:color="auto"/>
        <w:bottom w:val="none" w:sz="0" w:space="0" w:color="auto"/>
        <w:right w:val="none" w:sz="0" w:space="0" w:color="auto"/>
      </w:divBdr>
    </w:div>
    <w:div w:id="1569608353">
      <w:bodyDiv w:val="1"/>
      <w:marLeft w:val="0"/>
      <w:marRight w:val="0"/>
      <w:marTop w:val="0"/>
      <w:marBottom w:val="0"/>
      <w:divBdr>
        <w:top w:val="none" w:sz="0" w:space="0" w:color="auto"/>
        <w:left w:val="none" w:sz="0" w:space="0" w:color="auto"/>
        <w:bottom w:val="none" w:sz="0" w:space="0" w:color="auto"/>
        <w:right w:val="none" w:sz="0" w:space="0" w:color="auto"/>
      </w:divBdr>
      <w:divsChild>
        <w:div w:id="1770736633">
          <w:marLeft w:val="0"/>
          <w:marRight w:val="0"/>
          <w:marTop w:val="0"/>
          <w:marBottom w:val="0"/>
          <w:divBdr>
            <w:top w:val="none" w:sz="0" w:space="0" w:color="auto"/>
            <w:left w:val="none" w:sz="0" w:space="0" w:color="auto"/>
            <w:bottom w:val="none" w:sz="0" w:space="0" w:color="auto"/>
            <w:right w:val="none" w:sz="0" w:space="0" w:color="auto"/>
          </w:divBdr>
        </w:div>
        <w:div w:id="952663269">
          <w:marLeft w:val="0"/>
          <w:marRight w:val="0"/>
          <w:marTop w:val="0"/>
          <w:marBottom w:val="0"/>
          <w:divBdr>
            <w:top w:val="none" w:sz="0" w:space="0" w:color="auto"/>
            <w:left w:val="none" w:sz="0" w:space="0" w:color="auto"/>
            <w:bottom w:val="none" w:sz="0" w:space="0" w:color="auto"/>
            <w:right w:val="none" w:sz="0" w:space="0" w:color="auto"/>
          </w:divBdr>
        </w:div>
        <w:div w:id="386412934">
          <w:marLeft w:val="0"/>
          <w:marRight w:val="0"/>
          <w:marTop w:val="0"/>
          <w:marBottom w:val="0"/>
          <w:divBdr>
            <w:top w:val="none" w:sz="0" w:space="0" w:color="auto"/>
            <w:left w:val="none" w:sz="0" w:space="0" w:color="auto"/>
            <w:bottom w:val="none" w:sz="0" w:space="0" w:color="auto"/>
            <w:right w:val="none" w:sz="0" w:space="0" w:color="auto"/>
          </w:divBdr>
        </w:div>
        <w:div w:id="1239704033">
          <w:marLeft w:val="0"/>
          <w:marRight w:val="0"/>
          <w:marTop w:val="0"/>
          <w:marBottom w:val="0"/>
          <w:divBdr>
            <w:top w:val="none" w:sz="0" w:space="0" w:color="auto"/>
            <w:left w:val="none" w:sz="0" w:space="0" w:color="auto"/>
            <w:bottom w:val="none" w:sz="0" w:space="0" w:color="auto"/>
            <w:right w:val="none" w:sz="0" w:space="0" w:color="auto"/>
          </w:divBdr>
          <w:divsChild>
            <w:div w:id="476578308">
              <w:marLeft w:val="0"/>
              <w:marRight w:val="0"/>
              <w:marTop w:val="0"/>
              <w:marBottom w:val="0"/>
              <w:divBdr>
                <w:top w:val="none" w:sz="0" w:space="0" w:color="auto"/>
                <w:left w:val="none" w:sz="0" w:space="0" w:color="auto"/>
                <w:bottom w:val="none" w:sz="0" w:space="0" w:color="auto"/>
                <w:right w:val="none" w:sz="0" w:space="0" w:color="auto"/>
              </w:divBdr>
            </w:div>
            <w:div w:id="1712222678">
              <w:marLeft w:val="0"/>
              <w:marRight w:val="0"/>
              <w:marTop w:val="0"/>
              <w:marBottom w:val="0"/>
              <w:divBdr>
                <w:top w:val="none" w:sz="0" w:space="0" w:color="auto"/>
                <w:left w:val="none" w:sz="0" w:space="0" w:color="auto"/>
                <w:bottom w:val="none" w:sz="0" w:space="0" w:color="auto"/>
                <w:right w:val="none" w:sz="0" w:space="0" w:color="auto"/>
              </w:divBdr>
            </w:div>
          </w:divsChild>
        </w:div>
        <w:div w:id="748581061">
          <w:marLeft w:val="0"/>
          <w:marRight w:val="0"/>
          <w:marTop w:val="0"/>
          <w:marBottom w:val="0"/>
          <w:divBdr>
            <w:top w:val="none" w:sz="0" w:space="0" w:color="auto"/>
            <w:left w:val="none" w:sz="0" w:space="0" w:color="auto"/>
            <w:bottom w:val="none" w:sz="0" w:space="0" w:color="auto"/>
            <w:right w:val="none" w:sz="0" w:space="0" w:color="auto"/>
          </w:divBdr>
        </w:div>
        <w:div w:id="486898698">
          <w:marLeft w:val="0"/>
          <w:marRight w:val="0"/>
          <w:marTop w:val="0"/>
          <w:marBottom w:val="0"/>
          <w:divBdr>
            <w:top w:val="none" w:sz="0" w:space="0" w:color="auto"/>
            <w:left w:val="none" w:sz="0" w:space="0" w:color="auto"/>
            <w:bottom w:val="none" w:sz="0" w:space="0" w:color="auto"/>
            <w:right w:val="none" w:sz="0" w:space="0" w:color="auto"/>
          </w:divBdr>
          <w:divsChild>
            <w:div w:id="1990133821">
              <w:marLeft w:val="225"/>
              <w:marRight w:val="0"/>
              <w:marTop w:val="225"/>
              <w:marBottom w:val="225"/>
              <w:divBdr>
                <w:top w:val="none" w:sz="0" w:space="0" w:color="auto"/>
                <w:left w:val="none" w:sz="0" w:space="0" w:color="auto"/>
                <w:bottom w:val="none" w:sz="0" w:space="0" w:color="auto"/>
                <w:right w:val="none" w:sz="0" w:space="0" w:color="auto"/>
              </w:divBdr>
              <w:divsChild>
                <w:div w:id="1653873742">
                  <w:marLeft w:val="0"/>
                  <w:marRight w:val="0"/>
                  <w:marTop w:val="0"/>
                  <w:marBottom w:val="0"/>
                  <w:divBdr>
                    <w:top w:val="single" w:sz="6" w:space="0" w:color="BCBCBC"/>
                    <w:left w:val="single" w:sz="6" w:space="0" w:color="BCBCBC"/>
                    <w:bottom w:val="single" w:sz="6" w:space="0" w:color="BCBCBC"/>
                    <w:right w:val="single" w:sz="6" w:space="0" w:color="BCBCBC"/>
                  </w:divBdr>
                  <w:divsChild>
                    <w:div w:id="1412267088">
                      <w:marLeft w:val="0"/>
                      <w:marRight w:val="0"/>
                      <w:marTop w:val="0"/>
                      <w:marBottom w:val="0"/>
                      <w:divBdr>
                        <w:top w:val="none" w:sz="0" w:space="0" w:color="auto"/>
                        <w:left w:val="none" w:sz="0" w:space="0" w:color="auto"/>
                        <w:bottom w:val="single" w:sz="6" w:space="0" w:color="BCBCBC"/>
                        <w:right w:val="none" w:sz="0" w:space="0" w:color="auto"/>
                      </w:divBdr>
                      <w:divsChild>
                        <w:div w:id="232398549">
                          <w:marLeft w:val="225"/>
                          <w:marRight w:val="225"/>
                          <w:marTop w:val="225"/>
                          <w:marBottom w:val="225"/>
                          <w:divBdr>
                            <w:top w:val="none" w:sz="0" w:space="0" w:color="auto"/>
                            <w:left w:val="none" w:sz="0" w:space="0" w:color="auto"/>
                            <w:bottom w:val="none" w:sz="0" w:space="0" w:color="auto"/>
                            <w:right w:val="none" w:sz="0" w:space="0" w:color="auto"/>
                          </w:divBdr>
                          <w:divsChild>
                            <w:div w:id="12871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0729">
                      <w:marLeft w:val="0"/>
                      <w:marRight w:val="0"/>
                      <w:marTop w:val="0"/>
                      <w:marBottom w:val="0"/>
                      <w:divBdr>
                        <w:top w:val="none" w:sz="0" w:space="0" w:color="auto"/>
                        <w:left w:val="none" w:sz="0" w:space="0" w:color="auto"/>
                        <w:bottom w:val="none" w:sz="0" w:space="0" w:color="auto"/>
                        <w:right w:val="none" w:sz="0" w:space="0" w:color="auto"/>
                      </w:divBdr>
                      <w:divsChild>
                        <w:div w:id="639270478">
                          <w:marLeft w:val="0"/>
                          <w:marRight w:val="0"/>
                          <w:marTop w:val="0"/>
                          <w:marBottom w:val="0"/>
                          <w:divBdr>
                            <w:top w:val="none" w:sz="0" w:space="0" w:color="auto"/>
                            <w:left w:val="none" w:sz="0" w:space="0" w:color="auto"/>
                            <w:bottom w:val="none" w:sz="0" w:space="0" w:color="auto"/>
                            <w:right w:val="none" w:sz="0" w:space="0" w:color="auto"/>
                          </w:divBdr>
                        </w:div>
                        <w:div w:id="8099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46480">
          <w:marLeft w:val="0"/>
          <w:marRight w:val="0"/>
          <w:marTop w:val="0"/>
          <w:marBottom w:val="0"/>
          <w:divBdr>
            <w:top w:val="none" w:sz="0" w:space="0" w:color="auto"/>
            <w:left w:val="none" w:sz="0" w:space="0" w:color="auto"/>
            <w:bottom w:val="none" w:sz="0" w:space="0" w:color="auto"/>
            <w:right w:val="none" w:sz="0" w:space="0" w:color="auto"/>
          </w:divBdr>
        </w:div>
      </w:divsChild>
    </w:div>
    <w:div w:id="1576743800">
      <w:bodyDiv w:val="1"/>
      <w:marLeft w:val="0"/>
      <w:marRight w:val="0"/>
      <w:marTop w:val="0"/>
      <w:marBottom w:val="0"/>
      <w:divBdr>
        <w:top w:val="none" w:sz="0" w:space="0" w:color="auto"/>
        <w:left w:val="none" w:sz="0" w:space="0" w:color="auto"/>
        <w:bottom w:val="none" w:sz="0" w:space="0" w:color="auto"/>
        <w:right w:val="none" w:sz="0" w:space="0" w:color="auto"/>
      </w:divBdr>
    </w:div>
    <w:div w:id="1629700920">
      <w:bodyDiv w:val="1"/>
      <w:marLeft w:val="0"/>
      <w:marRight w:val="0"/>
      <w:marTop w:val="0"/>
      <w:marBottom w:val="0"/>
      <w:divBdr>
        <w:top w:val="none" w:sz="0" w:space="0" w:color="auto"/>
        <w:left w:val="none" w:sz="0" w:space="0" w:color="auto"/>
        <w:bottom w:val="none" w:sz="0" w:space="0" w:color="auto"/>
        <w:right w:val="none" w:sz="0" w:space="0" w:color="auto"/>
      </w:divBdr>
    </w:div>
    <w:div w:id="1733578020">
      <w:bodyDiv w:val="1"/>
      <w:marLeft w:val="0"/>
      <w:marRight w:val="0"/>
      <w:marTop w:val="0"/>
      <w:marBottom w:val="0"/>
      <w:divBdr>
        <w:top w:val="none" w:sz="0" w:space="0" w:color="auto"/>
        <w:left w:val="none" w:sz="0" w:space="0" w:color="auto"/>
        <w:bottom w:val="none" w:sz="0" w:space="0" w:color="auto"/>
        <w:right w:val="none" w:sz="0" w:space="0" w:color="auto"/>
      </w:divBdr>
    </w:div>
    <w:div w:id="1752502325">
      <w:bodyDiv w:val="1"/>
      <w:marLeft w:val="0"/>
      <w:marRight w:val="0"/>
      <w:marTop w:val="0"/>
      <w:marBottom w:val="0"/>
      <w:divBdr>
        <w:top w:val="none" w:sz="0" w:space="0" w:color="auto"/>
        <w:left w:val="none" w:sz="0" w:space="0" w:color="auto"/>
        <w:bottom w:val="none" w:sz="0" w:space="0" w:color="auto"/>
        <w:right w:val="none" w:sz="0" w:space="0" w:color="auto"/>
      </w:divBdr>
    </w:div>
    <w:div w:id="1775589418">
      <w:bodyDiv w:val="1"/>
      <w:marLeft w:val="0"/>
      <w:marRight w:val="0"/>
      <w:marTop w:val="0"/>
      <w:marBottom w:val="0"/>
      <w:divBdr>
        <w:top w:val="none" w:sz="0" w:space="0" w:color="auto"/>
        <w:left w:val="none" w:sz="0" w:space="0" w:color="auto"/>
        <w:bottom w:val="none" w:sz="0" w:space="0" w:color="auto"/>
        <w:right w:val="none" w:sz="0" w:space="0" w:color="auto"/>
      </w:divBdr>
    </w:div>
    <w:div w:id="1841851903">
      <w:bodyDiv w:val="1"/>
      <w:marLeft w:val="0"/>
      <w:marRight w:val="0"/>
      <w:marTop w:val="0"/>
      <w:marBottom w:val="0"/>
      <w:divBdr>
        <w:top w:val="none" w:sz="0" w:space="0" w:color="auto"/>
        <w:left w:val="none" w:sz="0" w:space="0" w:color="auto"/>
        <w:bottom w:val="none" w:sz="0" w:space="0" w:color="auto"/>
        <w:right w:val="none" w:sz="0" w:space="0" w:color="auto"/>
      </w:divBdr>
      <w:divsChild>
        <w:div w:id="279919937">
          <w:marLeft w:val="0"/>
          <w:marRight w:val="0"/>
          <w:marTop w:val="0"/>
          <w:marBottom w:val="0"/>
          <w:divBdr>
            <w:top w:val="none" w:sz="0" w:space="0" w:color="auto"/>
            <w:left w:val="none" w:sz="0" w:space="0" w:color="auto"/>
            <w:bottom w:val="none" w:sz="0" w:space="0" w:color="auto"/>
            <w:right w:val="none" w:sz="0" w:space="0" w:color="auto"/>
          </w:divBdr>
        </w:div>
        <w:div w:id="1893930542">
          <w:marLeft w:val="0"/>
          <w:marRight w:val="0"/>
          <w:marTop w:val="0"/>
          <w:marBottom w:val="0"/>
          <w:divBdr>
            <w:top w:val="none" w:sz="0" w:space="0" w:color="auto"/>
            <w:left w:val="none" w:sz="0" w:space="0" w:color="auto"/>
            <w:bottom w:val="none" w:sz="0" w:space="0" w:color="auto"/>
            <w:right w:val="none" w:sz="0" w:space="0" w:color="auto"/>
          </w:divBdr>
        </w:div>
      </w:divsChild>
    </w:div>
    <w:div w:id="1908147450">
      <w:bodyDiv w:val="1"/>
      <w:marLeft w:val="0"/>
      <w:marRight w:val="0"/>
      <w:marTop w:val="0"/>
      <w:marBottom w:val="0"/>
      <w:divBdr>
        <w:top w:val="none" w:sz="0" w:space="0" w:color="auto"/>
        <w:left w:val="none" w:sz="0" w:space="0" w:color="auto"/>
        <w:bottom w:val="none" w:sz="0" w:space="0" w:color="auto"/>
        <w:right w:val="none" w:sz="0" w:space="0" w:color="auto"/>
      </w:divBdr>
    </w:div>
    <w:div w:id="1939942302">
      <w:bodyDiv w:val="1"/>
      <w:marLeft w:val="0"/>
      <w:marRight w:val="0"/>
      <w:marTop w:val="0"/>
      <w:marBottom w:val="0"/>
      <w:divBdr>
        <w:top w:val="none" w:sz="0" w:space="0" w:color="auto"/>
        <w:left w:val="none" w:sz="0" w:space="0" w:color="auto"/>
        <w:bottom w:val="none" w:sz="0" w:space="0" w:color="auto"/>
        <w:right w:val="none" w:sz="0" w:space="0" w:color="auto"/>
      </w:divBdr>
    </w:div>
    <w:div w:id="1992176434">
      <w:bodyDiv w:val="1"/>
      <w:marLeft w:val="0"/>
      <w:marRight w:val="0"/>
      <w:marTop w:val="0"/>
      <w:marBottom w:val="0"/>
      <w:divBdr>
        <w:top w:val="none" w:sz="0" w:space="0" w:color="auto"/>
        <w:left w:val="none" w:sz="0" w:space="0" w:color="auto"/>
        <w:bottom w:val="none" w:sz="0" w:space="0" w:color="auto"/>
        <w:right w:val="none" w:sz="0" w:space="0" w:color="auto"/>
      </w:divBdr>
    </w:div>
    <w:div w:id="2010979466">
      <w:bodyDiv w:val="1"/>
      <w:marLeft w:val="0"/>
      <w:marRight w:val="0"/>
      <w:marTop w:val="0"/>
      <w:marBottom w:val="0"/>
      <w:divBdr>
        <w:top w:val="none" w:sz="0" w:space="0" w:color="auto"/>
        <w:left w:val="none" w:sz="0" w:space="0" w:color="auto"/>
        <w:bottom w:val="none" w:sz="0" w:space="0" w:color="auto"/>
        <w:right w:val="none" w:sz="0" w:space="0" w:color="auto"/>
      </w:divBdr>
    </w:div>
    <w:div w:id="2019499377">
      <w:bodyDiv w:val="1"/>
      <w:marLeft w:val="0"/>
      <w:marRight w:val="0"/>
      <w:marTop w:val="0"/>
      <w:marBottom w:val="0"/>
      <w:divBdr>
        <w:top w:val="none" w:sz="0" w:space="0" w:color="auto"/>
        <w:left w:val="none" w:sz="0" w:space="0" w:color="auto"/>
        <w:bottom w:val="none" w:sz="0" w:space="0" w:color="auto"/>
        <w:right w:val="none" w:sz="0" w:space="0" w:color="auto"/>
      </w:divBdr>
    </w:div>
    <w:div w:id="2035419313">
      <w:bodyDiv w:val="1"/>
      <w:marLeft w:val="0"/>
      <w:marRight w:val="0"/>
      <w:marTop w:val="0"/>
      <w:marBottom w:val="0"/>
      <w:divBdr>
        <w:top w:val="none" w:sz="0" w:space="0" w:color="auto"/>
        <w:left w:val="none" w:sz="0" w:space="0" w:color="auto"/>
        <w:bottom w:val="none" w:sz="0" w:space="0" w:color="auto"/>
        <w:right w:val="none" w:sz="0" w:space="0" w:color="auto"/>
      </w:divBdr>
    </w:div>
    <w:div w:id="20991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dmanuals.com/professional/gastrointestinal-disorders/tumors-of-the-gastrointestinal-tract/esophageal-cancer" TargetMode="External"/><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bs.gov.au/publication/schedule/2022/03/2022-03-01-general-schedule-volume-1.pdf"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www.pbs.gov.au/pbs/home"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consumers/information-medicines-cmi.htm" TargetMode="External"/><Relationship Id="rId24" Type="http://schemas.openxmlformats.org/officeDocument/2006/relationships/chart" Target="charts/chart9.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bs.gov.au/info/industry/listing/elements/pbac-meetings/pbac-outcomes/recommendations-made-by-the-pbac-march-2020" TargetMode="External"/><Relationship Id="rId23" Type="http://schemas.openxmlformats.org/officeDocument/2006/relationships/chart" Target="charts/chart8.xml"/><Relationship Id="rId28" Type="http://schemas.openxmlformats.org/officeDocument/2006/relationships/header" Target="header2.xml"/><Relationship Id="rId10" Type="http://schemas.openxmlformats.org/officeDocument/2006/relationships/hyperlink" Target="http://tga.gov.au/hp/information-medicines-pi.htm" TargetMode="External"/><Relationship Id="rId19" Type="http://schemas.openxmlformats.org/officeDocument/2006/relationships/chart" Target="charts/chart4.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xlist.com/enzyme/definition.htm" TargetMode="External"/><Relationship Id="rId14" Type="http://schemas.openxmlformats.org/officeDocument/2006/relationships/hyperlink" Target="https://www.pbs.gov.au/info/industry/listing/elements/pbac-meetings/pbac-outcomes/recommendations-pbac-march-2018" TargetMode="External"/><Relationship Id="rId22" Type="http://schemas.openxmlformats.org/officeDocument/2006/relationships/chart" Target="charts/chart7.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nps.org.au/radar/articles/proton-pump-inhibitors-pbs-changes-may-2019" TargetMode="External"/><Relationship Id="rId3" Type="http://schemas.openxmlformats.org/officeDocument/2006/relationships/hyperlink" Target="https://www.servicesaustralia.gov.au/organisations/about-us/reports-and-statistics/statistical-information-and-data-0/medicare-statistics/pharmaceutical-benefits-schedule-statistics" TargetMode="External"/><Relationship Id="rId7" Type="http://schemas.openxmlformats.org/officeDocument/2006/relationships/hyperlink" Target="https://www.safetyandquality.gov.au/our-work/healthcare-variation/fourth-atlas-2021/medicines-use-older-people/63-proton-pump-inhibitor-medicines-dispensing-75-years-and-over" TargetMode="External"/><Relationship Id="rId2" Type="http://schemas.openxmlformats.org/officeDocument/2006/relationships/hyperlink" Target="https://www.nature.com/articles/s41598-020-62795-1" TargetMode="External"/><Relationship Id="rId1" Type="http://schemas.openxmlformats.org/officeDocument/2006/relationships/hyperlink" Target="https://www.racgp.org.au/afp/2015/october/gastro-oesophageal-reflux-disease-gord-in-australi" TargetMode="External"/><Relationship Id="rId6" Type="http://schemas.openxmlformats.org/officeDocument/2006/relationships/hyperlink" Target="https://www.nps.org.au/radar/articles/proton-pump-inhibitors-pbs-changes-may-2019" TargetMode="External"/><Relationship Id="rId5" Type="http://schemas.openxmlformats.org/officeDocument/2006/relationships/hyperlink" Target="https://bmcgeriatr.biomedcentral.com/articles/10.1186/s12877-020-01844-w" TargetMode="External"/><Relationship Id="rId4" Type="http://schemas.openxmlformats.org/officeDocument/2006/relationships/hyperlink" Target="https://www.safetyandquality.gov.au/sites/default/files/migrated/2.3-Text-Proton-pump-inhibitor-medicines-dispensing-18-years-and-over.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ABRIT\AppData\Local\Microsoft\Windows\INetCache\Content.Outlook\T473RMF7\D1393_SCRPT_SUM%20+%20relative%20dos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ABRIT\AppData\Local\Microsoft\Windows\INetCache\Content.Outlook\T473RMF7\D1393_DDDs_SUM%20+%20relative%20dose_.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ABRIT\AppData\Local\Microsoft\Windows\INetCache\Content.Outlook\T473RMF7\D1393_SCRPT_SUM%20+%20relative%20dos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ABRIT\AppData\Local\Microsoft\Windows\INetCache\Content.Outlook\T473RMF7\D1393%20-%20SEQ_INIT_FREQ%20relative%20dose-%2010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ABRIT\AppData\Local\Microsoft\Windows\INetCache\Content.Outlook\T473RMF7\D1393%20-%20SEQ_INIT_FREQ%20relative%20dose-%2010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[D1393_PATCNTBY_DRUG_N_SUPP_Q.xlsx]Sheet1!PivotTable2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Sheet1!$B$3:$B$4</c:f>
              <c:strCache>
                <c:ptCount val="1"/>
                <c:pt idx="0">
                  <c:v>ESOMEPRAZOLE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Sheet1!$B$1</c:f>
              <c:numCache>
                <c:formatCode>General</c:formatCode>
                <c:ptCount val="36"/>
                <c:pt idx="0">
                  <c:v>791597</c:v>
                </c:pt>
                <c:pt idx="1">
                  <c:v>837400</c:v>
                </c:pt>
                <c:pt idx="2">
                  <c:v>865458</c:v>
                </c:pt>
                <c:pt idx="3">
                  <c:v>874979</c:v>
                </c:pt>
                <c:pt idx="4">
                  <c:v>854609</c:v>
                </c:pt>
                <c:pt idx="5">
                  <c:v>893445</c:v>
                </c:pt>
                <c:pt idx="6">
                  <c:v>906100</c:v>
                </c:pt>
                <c:pt idx="7">
                  <c:v>895173</c:v>
                </c:pt>
                <c:pt idx="8">
                  <c:v>865972</c:v>
                </c:pt>
                <c:pt idx="9">
                  <c:v>896034</c:v>
                </c:pt>
                <c:pt idx="10">
                  <c:v>910400</c:v>
                </c:pt>
                <c:pt idx="11">
                  <c:v>918325</c:v>
                </c:pt>
                <c:pt idx="12">
                  <c:v>920216</c:v>
                </c:pt>
                <c:pt idx="13">
                  <c:v>950586</c:v>
                </c:pt>
                <c:pt idx="14">
                  <c:v>966975</c:v>
                </c:pt>
                <c:pt idx="15">
                  <c:v>974263</c:v>
                </c:pt>
                <c:pt idx="16">
                  <c:v>954501</c:v>
                </c:pt>
                <c:pt idx="17">
                  <c:v>983233</c:v>
                </c:pt>
                <c:pt idx="18">
                  <c:v>979458</c:v>
                </c:pt>
                <c:pt idx="19">
                  <c:v>976810</c:v>
                </c:pt>
                <c:pt idx="20">
                  <c:v>951147</c:v>
                </c:pt>
                <c:pt idx="21">
                  <c:v>978569</c:v>
                </c:pt>
                <c:pt idx="22">
                  <c:v>982918</c:v>
                </c:pt>
                <c:pt idx="23">
                  <c:v>985030</c:v>
                </c:pt>
                <c:pt idx="24">
                  <c:v>956603</c:v>
                </c:pt>
                <c:pt idx="25">
                  <c:v>914034</c:v>
                </c:pt>
                <c:pt idx="26">
                  <c:v>842223</c:v>
                </c:pt>
                <c:pt idx="27">
                  <c:v>825353</c:v>
                </c:pt>
                <c:pt idx="28">
                  <c:v>815221</c:v>
                </c:pt>
                <c:pt idx="29">
                  <c:v>816444</c:v>
                </c:pt>
                <c:pt idx="30">
                  <c:v>849740</c:v>
                </c:pt>
                <c:pt idx="31">
                  <c:v>853547</c:v>
                </c:pt>
                <c:pt idx="32">
                  <c:v>825403</c:v>
                </c:pt>
                <c:pt idx="33">
                  <c:v>840365</c:v>
                </c:pt>
                <c:pt idx="34">
                  <c:v>855702</c:v>
                </c:pt>
                <c:pt idx="35">
                  <c:v>853649</c:v>
                </c:pt>
              </c:numCache>
            </c:numRef>
          </c:val>
          <c:smooth val="0"/>
          <c:extLst>
            <c:ext xmlns:c16="http://schemas.microsoft.com/office/drawing/2014/chart" uri="{C3380CC4-5D6E-409C-BE32-E72D297353CC}">
              <c16:uniqueId val="{00000000-E871-4800-B949-8C89AB307E52}"/>
            </c:ext>
          </c:extLst>
        </c:ser>
        <c:ser>
          <c:idx val="1"/>
          <c:order val="1"/>
          <c:tx>
            <c:strRef>
              <c:f>Sheet1!$C$3:$C$4</c:f>
              <c:strCache>
                <c:ptCount val="1"/>
                <c:pt idx="0">
                  <c:v>PANTOPRAZOLE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Sheet1!$B$1</c:f>
              <c:numCache>
                <c:formatCode>General</c:formatCode>
                <c:ptCount val="36"/>
                <c:pt idx="0">
                  <c:v>513887</c:v>
                </c:pt>
                <c:pt idx="1">
                  <c:v>537405</c:v>
                </c:pt>
                <c:pt idx="2">
                  <c:v>559438</c:v>
                </c:pt>
                <c:pt idx="3">
                  <c:v>571146</c:v>
                </c:pt>
                <c:pt idx="4">
                  <c:v>563902</c:v>
                </c:pt>
                <c:pt idx="5">
                  <c:v>588468</c:v>
                </c:pt>
                <c:pt idx="6">
                  <c:v>603585</c:v>
                </c:pt>
                <c:pt idx="7">
                  <c:v>617673</c:v>
                </c:pt>
                <c:pt idx="8">
                  <c:v>609680</c:v>
                </c:pt>
                <c:pt idx="9">
                  <c:v>632156</c:v>
                </c:pt>
                <c:pt idx="10">
                  <c:v>648465</c:v>
                </c:pt>
                <c:pt idx="11">
                  <c:v>659152</c:v>
                </c:pt>
                <c:pt idx="12">
                  <c:v>648207</c:v>
                </c:pt>
                <c:pt idx="13">
                  <c:v>669356</c:v>
                </c:pt>
                <c:pt idx="14">
                  <c:v>683244</c:v>
                </c:pt>
                <c:pt idx="15">
                  <c:v>691321</c:v>
                </c:pt>
                <c:pt idx="16">
                  <c:v>681399</c:v>
                </c:pt>
                <c:pt idx="17">
                  <c:v>701505</c:v>
                </c:pt>
                <c:pt idx="18">
                  <c:v>709174</c:v>
                </c:pt>
                <c:pt idx="19">
                  <c:v>716131</c:v>
                </c:pt>
                <c:pt idx="20">
                  <c:v>704798</c:v>
                </c:pt>
                <c:pt idx="21">
                  <c:v>724731</c:v>
                </c:pt>
                <c:pt idx="22">
                  <c:v>736183</c:v>
                </c:pt>
                <c:pt idx="23">
                  <c:v>747359</c:v>
                </c:pt>
                <c:pt idx="24">
                  <c:v>732489</c:v>
                </c:pt>
                <c:pt idx="25">
                  <c:v>762615</c:v>
                </c:pt>
                <c:pt idx="26">
                  <c:v>795224</c:v>
                </c:pt>
                <c:pt idx="27">
                  <c:v>828828</c:v>
                </c:pt>
                <c:pt idx="28">
                  <c:v>844987</c:v>
                </c:pt>
                <c:pt idx="29">
                  <c:v>867897</c:v>
                </c:pt>
                <c:pt idx="30">
                  <c:v>922366</c:v>
                </c:pt>
                <c:pt idx="31">
                  <c:v>940022</c:v>
                </c:pt>
                <c:pt idx="32">
                  <c:v>925617</c:v>
                </c:pt>
                <c:pt idx="33">
                  <c:v>953096</c:v>
                </c:pt>
                <c:pt idx="34">
                  <c:v>985348</c:v>
                </c:pt>
                <c:pt idx="35">
                  <c:v>995353</c:v>
                </c:pt>
              </c:numCache>
            </c:numRef>
          </c:val>
          <c:smooth val="0"/>
          <c:extLst>
            <c:ext xmlns:c16="http://schemas.microsoft.com/office/drawing/2014/chart" uri="{C3380CC4-5D6E-409C-BE32-E72D297353CC}">
              <c16:uniqueId val="{00000001-E871-4800-B949-8C89AB307E52}"/>
            </c:ext>
          </c:extLst>
        </c:ser>
        <c:ser>
          <c:idx val="2"/>
          <c:order val="2"/>
          <c:tx>
            <c:strRef>
              <c:f>Sheet1!$D$3:$D$4</c:f>
              <c:strCache>
                <c:ptCount val="1"/>
                <c:pt idx="0">
                  <c:v>RABEPRAZOLE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Sheet1!$B$1</c:f>
              <c:numCache>
                <c:formatCode>General</c:formatCode>
                <c:ptCount val="36"/>
                <c:pt idx="0">
                  <c:v>275370</c:v>
                </c:pt>
                <c:pt idx="1">
                  <c:v>287211</c:v>
                </c:pt>
                <c:pt idx="2">
                  <c:v>292956</c:v>
                </c:pt>
                <c:pt idx="3">
                  <c:v>293470</c:v>
                </c:pt>
                <c:pt idx="4">
                  <c:v>283159</c:v>
                </c:pt>
                <c:pt idx="5">
                  <c:v>290095</c:v>
                </c:pt>
                <c:pt idx="6">
                  <c:v>289858</c:v>
                </c:pt>
                <c:pt idx="7">
                  <c:v>289848</c:v>
                </c:pt>
                <c:pt idx="8">
                  <c:v>280607</c:v>
                </c:pt>
                <c:pt idx="9">
                  <c:v>286556</c:v>
                </c:pt>
                <c:pt idx="10">
                  <c:v>287050</c:v>
                </c:pt>
                <c:pt idx="11">
                  <c:v>287242</c:v>
                </c:pt>
                <c:pt idx="12">
                  <c:v>276980</c:v>
                </c:pt>
                <c:pt idx="13">
                  <c:v>281419</c:v>
                </c:pt>
                <c:pt idx="14">
                  <c:v>280953</c:v>
                </c:pt>
                <c:pt idx="15">
                  <c:v>279072</c:v>
                </c:pt>
                <c:pt idx="16">
                  <c:v>269472</c:v>
                </c:pt>
                <c:pt idx="17">
                  <c:v>272224</c:v>
                </c:pt>
                <c:pt idx="18">
                  <c:v>269997</c:v>
                </c:pt>
                <c:pt idx="19">
                  <c:v>268663</c:v>
                </c:pt>
                <c:pt idx="20">
                  <c:v>259502</c:v>
                </c:pt>
                <c:pt idx="21">
                  <c:v>262585</c:v>
                </c:pt>
                <c:pt idx="22">
                  <c:v>262102</c:v>
                </c:pt>
                <c:pt idx="23">
                  <c:v>261529</c:v>
                </c:pt>
                <c:pt idx="24">
                  <c:v>252661</c:v>
                </c:pt>
                <c:pt idx="25">
                  <c:v>253941</c:v>
                </c:pt>
                <c:pt idx="26">
                  <c:v>250308</c:v>
                </c:pt>
                <c:pt idx="27">
                  <c:v>252200</c:v>
                </c:pt>
                <c:pt idx="28">
                  <c:v>251827</c:v>
                </c:pt>
                <c:pt idx="29">
                  <c:v>250889</c:v>
                </c:pt>
                <c:pt idx="30">
                  <c:v>260909</c:v>
                </c:pt>
                <c:pt idx="31">
                  <c:v>261105</c:v>
                </c:pt>
                <c:pt idx="32">
                  <c:v>252806</c:v>
                </c:pt>
                <c:pt idx="33">
                  <c:v>255474</c:v>
                </c:pt>
                <c:pt idx="34">
                  <c:v>258345</c:v>
                </c:pt>
                <c:pt idx="35">
                  <c:v>257261</c:v>
                </c:pt>
              </c:numCache>
            </c:numRef>
          </c:val>
          <c:smooth val="0"/>
          <c:extLst>
            <c:ext xmlns:c16="http://schemas.microsoft.com/office/drawing/2014/chart" uri="{C3380CC4-5D6E-409C-BE32-E72D297353CC}">
              <c16:uniqueId val="{00000002-E871-4800-B949-8C89AB307E52}"/>
            </c:ext>
          </c:extLst>
        </c:ser>
        <c:ser>
          <c:idx val="3"/>
          <c:order val="3"/>
          <c:tx>
            <c:strRef>
              <c:f>Sheet1!$E$3:$E$4</c:f>
              <c:strCache>
                <c:ptCount val="1"/>
                <c:pt idx="0">
                  <c:v>OMEPRAZOLE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Sheet1!$B$1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Sheet1!$B$1</c:f>
              <c:numCache>
                <c:formatCode>General</c:formatCode>
                <c:ptCount val="36"/>
                <c:pt idx="0">
                  <c:v>279848</c:v>
                </c:pt>
                <c:pt idx="1">
                  <c:v>284926</c:v>
                </c:pt>
                <c:pt idx="2">
                  <c:v>281298</c:v>
                </c:pt>
                <c:pt idx="3">
                  <c:v>275597</c:v>
                </c:pt>
                <c:pt idx="4">
                  <c:v>263558</c:v>
                </c:pt>
                <c:pt idx="5">
                  <c:v>265115</c:v>
                </c:pt>
                <c:pt idx="6">
                  <c:v>262209</c:v>
                </c:pt>
                <c:pt idx="7">
                  <c:v>259425</c:v>
                </c:pt>
                <c:pt idx="8">
                  <c:v>248796</c:v>
                </c:pt>
                <c:pt idx="9">
                  <c:v>251314</c:v>
                </c:pt>
                <c:pt idx="10">
                  <c:v>249354</c:v>
                </c:pt>
                <c:pt idx="11">
                  <c:v>247138</c:v>
                </c:pt>
                <c:pt idx="12">
                  <c:v>236876</c:v>
                </c:pt>
                <c:pt idx="13">
                  <c:v>238361</c:v>
                </c:pt>
                <c:pt idx="14">
                  <c:v>236711</c:v>
                </c:pt>
                <c:pt idx="15">
                  <c:v>233693</c:v>
                </c:pt>
                <c:pt idx="16">
                  <c:v>224492</c:v>
                </c:pt>
                <c:pt idx="17">
                  <c:v>224929</c:v>
                </c:pt>
                <c:pt idx="18">
                  <c:v>221811</c:v>
                </c:pt>
                <c:pt idx="19">
                  <c:v>218620</c:v>
                </c:pt>
                <c:pt idx="20">
                  <c:v>210537</c:v>
                </c:pt>
                <c:pt idx="21">
                  <c:v>209869</c:v>
                </c:pt>
                <c:pt idx="22">
                  <c:v>207643</c:v>
                </c:pt>
                <c:pt idx="23">
                  <c:v>205351</c:v>
                </c:pt>
                <c:pt idx="24">
                  <c:v>197642</c:v>
                </c:pt>
                <c:pt idx="25">
                  <c:v>197199</c:v>
                </c:pt>
                <c:pt idx="26">
                  <c:v>193264</c:v>
                </c:pt>
                <c:pt idx="27">
                  <c:v>195457</c:v>
                </c:pt>
                <c:pt idx="28">
                  <c:v>194218</c:v>
                </c:pt>
                <c:pt idx="29">
                  <c:v>192819</c:v>
                </c:pt>
                <c:pt idx="30">
                  <c:v>197844</c:v>
                </c:pt>
                <c:pt idx="31">
                  <c:v>195256</c:v>
                </c:pt>
                <c:pt idx="32">
                  <c:v>187861</c:v>
                </c:pt>
                <c:pt idx="33">
                  <c:v>188427</c:v>
                </c:pt>
                <c:pt idx="34">
                  <c:v>188253</c:v>
                </c:pt>
                <c:pt idx="35">
                  <c:v>185124</c:v>
                </c:pt>
              </c:numCache>
            </c:numRef>
          </c:val>
          <c:smooth val="0"/>
          <c:extLst>
            <c:ext xmlns:c16="http://schemas.microsoft.com/office/drawing/2014/chart" uri="{C3380CC4-5D6E-409C-BE32-E72D297353CC}">
              <c16:uniqueId val="{00000003-E871-4800-B949-8C89AB307E52}"/>
            </c:ext>
          </c:extLst>
        </c:ser>
        <c:ser>
          <c:idx val="4"/>
          <c:order val="4"/>
          <c:tx>
            <c:strRef>
              <c:f>Sheet1!$F$3:$F$4</c:f>
              <c:strCache>
                <c:ptCount val="1"/>
                <c:pt idx="0">
                  <c:v>LANSOPRAZOLE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Sheet1!$B$1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Sheet1!$B$1</c:f>
              <c:numCache>
                <c:formatCode>General</c:formatCode>
                <c:ptCount val="36"/>
                <c:pt idx="0">
                  <c:v>55463</c:v>
                </c:pt>
                <c:pt idx="1">
                  <c:v>56466</c:v>
                </c:pt>
                <c:pt idx="2">
                  <c:v>56771</c:v>
                </c:pt>
                <c:pt idx="3">
                  <c:v>56902</c:v>
                </c:pt>
                <c:pt idx="4">
                  <c:v>54213</c:v>
                </c:pt>
                <c:pt idx="5">
                  <c:v>54942</c:v>
                </c:pt>
                <c:pt idx="6">
                  <c:v>54713</c:v>
                </c:pt>
                <c:pt idx="7">
                  <c:v>54522</c:v>
                </c:pt>
                <c:pt idx="8">
                  <c:v>52397</c:v>
                </c:pt>
                <c:pt idx="9">
                  <c:v>53151</c:v>
                </c:pt>
                <c:pt idx="10">
                  <c:v>53073</c:v>
                </c:pt>
                <c:pt idx="11">
                  <c:v>53371</c:v>
                </c:pt>
                <c:pt idx="12">
                  <c:v>50929</c:v>
                </c:pt>
                <c:pt idx="13">
                  <c:v>51481</c:v>
                </c:pt>
                <c:pt idx="14">
                  <c:v>51124</c:v>
                </c:pt>
                <c:pt idx="15">
                  <c:v>50844</c:v>
                </c:pt>
                <c:pt idx="16">
                  <c:v>48924</c:v>
                </c:pt>
                <c:pt idx="17">
                  <c:v>49238</c:v>
                </c:pt>
                <c:pt idx="18">
                  <c:v>48879</c:v>
                </c:pt>
                <c:pt idx="19">
                  <c:v>48543</c:v>
                </c:pt>
                <c:pt idx="20">
                  <c:v>46996</c:v>
                </c:pt>
                <c:pt idx="21">
                  <c:v>47320</c:v>
                </c:pt>
                <c:pt idx="22">
                  <c:v>46913</c:v>
                </c:pt>
                <c:pt idx="23">
                  <c:v>47351</c:v>
                </c:pt>
                <c:pt idx="24">
                  <c:v>45484</c:v>
                </c:pt>
                <c:pt idx="25">
                  <c:v>45710</c:v>
                </c:pt>
                <c:pt idx="26">
                  <c:v>45336</c:v>
                </c:pt>
                <c:pt idx="27">
                  <c:v>46608</c:v>
                </c:pt>
                <c:pt idx="28">
                  <c:v>46971</c:v>
                </c:pt>
                <c:pt idx="29">
                  <c:v>46651</c:v>
                </c:pt>
                <c:pt idx="30">
                  <c:v>47610</c:v>
                </c:pt>
                <c:pt idx="31">
                  <c:v>47554</c:v>
                </c:pt>
                <c:pt idx="32">
                  <c:v>45553</c:v>
                </c:pt>
                <c:pt idx="33">
                  <c:v>45926</c:v>
                </c:pt>
                <c:pt idx="34">
                  <c:v>46253</c:v>
                </c:pt>
                <c:pt idx="35">
                  <c:v>46328</c:v>
                </c:pt>
              </c:numCache>
            </c:numRef>
          </c:val>
          <c:smooth val="0"/>
          <c:extLst>
            <c:ext xmlns:c16="http://schemas.microsoft.com/office/drawing/2014/chart" uri="{C3380CC4-5D6E-409C-BE32-E72D297353CC}">
              <c16:uniqueId val="{00000004-E871-4800-B949-8C89AB307E52}"/>
            </c:ext>
          </c:extLst>
        </c:ser>
        <c:dLbls>
          <c:showLegendKey val="0"/>
          <c:showVal val="0"/>
          <c:showCatName val="0"/>
          <c:showSerName val="0"/>
          <c:showPercent val="0"/>
          <c:showBubbleSize val="0"/>
        </c:dLbls>
        <c:marker val="1"/>
        <c:smooth val="0"/>
        <c:axId val="971167136"/>
        <c:axId val="971165824"/>
      </c:lineChart>
      <c:catAx>
        <c:axId val="971167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layout>
            <c:manualLayout>
              <c:xMode val="edge"/>
              <c:yMode val="edge"/>
              <c:x val="0.4450988854100173"/>
              <c:y val="0.914157489862250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165824"/>
        <c:crosses val="autoZero"/>
        <c:auto val="1"/>
        <c:lblAlgn val="ctr"/>
        <c:lblOffset val="100"/>
        <c:noMultiLvlLbl val="0"/>
      </c:catAx>
      <c:valAx>
        <c:axId val="971165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manualLayout>
              <c:xMode val="edge"/>
              <c:yMode val="edge"/>
              <c:x val="1.2310258581127997E-2"/>
              <c:y val="0.4534036252473003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1671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[D1393_SCRPT_SUM + age group &amp; gender.xlsx]Sheet1 (2)!PivotTable1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Esomeprazole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s>
    <c:plotArea>
      <c:layout/>
      <c:barChart>
        <c:barDir val="col"/>
        <c:grouping val="clustered"/>
        <c:varyColors val="0"/>
        <c:ser>
          <c:idx val="0"/>
          <c:order val="0"/>
          <c:tx>
            <c:strRef>
              <c:f>'Sheet1 (2)'!$B$2</c:f>
              <c:strCache>
                <c:ptCount val="1"/>
                <c:pt idx="0">
                  <c:v>F</c:v>
                </c:pt>
              </c:strCache>
            </c:strRef>
          </c:tx>
          <c:spPr>
            <a:solidFill>
              <a:schemeClr val="accent1"/>
            </a:solidFill>
            <a:ln>
              <a:noFill/>
            </a:ln>
            <a:effectLst/>
          </c:spPr>
          <c:invertIfNegative val="0"/>
          <c:cat>
            <c:multiLvlStrRef>
              <c:f>'Sheet1 (2)'!$B$2</c:f>
              <c:multiLvlStrCache>
                <c:ptCount val="44"/>
                <c:lvl>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pt idx="20">
                    <c:v>100+  yrs</c:v>
                  </c:pt>
                  <c:pt idx="21">
                    <c:v>NA    yrs</c:v>
                  </c:pt>
                  <c:pt idx="22">
                    <c:v> 0-4  yrs</c:v>
                  </c:pt>
                  <c:pt idx="23">
                    <c:v> 5-9  yrs</c:v>
                  </c:pt>
                  <c:pt idx="24">
                    <c:v>10-14 yrs</c:v>
                  </c:pt>
                  <c:pt idx="25">
                    <c:v>15-19 yrs</c:v>
                  </c:pt>
                  <c:pt idx="26">
                    <c:v>20-24 yrs</c:v>
                  </c:pt>
                  <c:pt idx="27">
                    <c:v>25-29 yrs</c:v>
                  </c:pt>
                  <c:pt idx="28">
                    <c:v>30-34 yrs</c:v>
                  </c:pt>
                  <c:pt idx="29">
                    <c:v>35-39 yrs</c:v>
                  </c:pt>
                  <c:pt idx="30">
                    <c:v>40-44 yrs</c:v>
                  </c:pt>
                  <c:pt idx="31">
                    <c:v>45-49 yrs</c:v>
                  </c:pt>
                  <c:pt idx="32">
                    <c:v>50-54 yrs</c:v>
                  </c:pt>
                  <c:pt idx="33">
                    <c:v>55-59 yrs</c:v>
                  </c:pt>
                  <c:pt idx="34">
                    <c:v>60-64 yrs</c:v>
                  </c:pt>
                  <c:pt idx="35">
                    <c:v>65-69 yrs</c:v>
                  </c:pt>
                  <c:pt idx="36">
                    <c:v>70-74 yrs</c:v>
                  </c:pt>
                  <c:pt idx="37">
                    <c:v>75-79 yrs</c:v>
                  </c:pt>
                  <c:pt idx="38">
                    <c:v>80-84 yrs</c:v>
                  </c:pt>
                  <c:pt idx="39">
                    <c:v>85-89 yrs</c:v>
                  </c:pt>
                  <c:pt idx="40">
                    <c:v>90-94 yrs</c:v>
                  </c:pt>
                  <c:pt idx="41">
                    <c:v>95-99 yrs</c:v>
                  </c:pt>
                  <c:pt idx="42">
                    <c:v>100+  yrs</c:v>
                  </c:pt>
                  <c:pt idx="43">
                    <c:v>NA    yrs</c:v>
                  </c:pt>
                </c:lvl>
                <c:lvl>
                  <c:pt idx="0">
                    <c:v>2018</c:v>
                  </c:pt>
                  <c:pt idx="22">
                    <c:v>2021</c:v>
                  </c:pt>
                </c:lvl>
              </c:multiLvlStrCache>
            </c:multiLvlStrRef>
          </c:cat>
          <c:val>
            <c:numRef>
              <c:f>'Sheet1 (2)'!$B$2</c:f>
              <c:numCache>
                <c:formatCode>General</c:formatCode>
                <c:ptCount val="44"/>
                <c:pt idx="0">
                  <c:v>298</c:v>
                </c:pt>
                <c:pt idx="1">
                  <c:v>1165</c:v>
                </c:pt>
                <c:pt idx="2">
                  <c:v>4795</c:v>
                </c:pt>
                <c:pt idx="3">
                  <c:v>20769</c:v>
                </c:pt>
                <c:pt idx="4">
                  <c:v>39008</c:v>
                </c:pt>
                <c:pt idx="5">
                  <c:v>60482</c:v>
                </c:pt>
                <c:pt idx="6">
                  <c:v>89529</c:v>
                </c:pt>
                <c:pt idx="7">
                  <c:v>121877</c:v>
                </c:pt>
                <c:pt idx="8">
                  <c:v>170708</c:v>
                </c:pt>
                <c:pt idx="9">
                  <c:v>264710</c:v>
                </c:pt>
                <c:pt idx="10">
                  <c:v>336338</c:v>
                </c:pt>
                <c:pt idx="11">
                  <c:v>471626</c:v>
                </c:pt>
                <c:pt idx="12">
                  <c:v>593604</c:v>
                </c:pt>
                <c:pt idx="13">
                  <c:v>738671</c:v>
                </c:pt>
                <c:pt idx="14">
                  <c:v>794596</c:v>
                </c:pt>
                <c:pt idx="15">
                  <c:v>642022</c:v>
                </c:pt>
                <c:pt idx="16">
                  <c:v>497478</c:v>
                </c:pt>
                <c:pt idx="17">
                  <c:v>336370</c:v>
                </c:pt>
                <c:pt idx="18">
                  <c:v>169695</c:v>
                </c:pt>
                <c:pt idx="19">
                  <c:v>42867</c:v>
                </c:pt>
                <c:pt idx="20">
                  <c:v>4756</c:v>
                </c:pt>
                <c:pt idx="21">
                  <c:v>3</c:v>
                </c:pt>
                <c:pt idx="22">
                  <c:v>119</c:v>
                </c:pt>
                <c:pt idx="23">
                  <c:v>839</c:v>
                </c:pt>
                <c:pt idx="24">
                  <c:v>3575</c:v>
                </c:pt>
                <c:pt idx="25">
                  <c:v>14742</c:v>
                </c:pt>
                <c:pt idx="26">
                  <c:v>27494</c:v>
                </c:pt>
                <c:pt idx="27">
                  <c:v>45669</c:v>
                </c:pt>
                <c:pt idx="28">
                  <c:v>68608</c:v>
                </c:pt>
                <c:pt idx="29">
                  <c:v>101105</c:v>
                </c:pt>
                <c:pt idx="30">
                  <c:v>136831</c:v>
                </c:pt>
                <c:pt idx="31">
                  <c:v>203960</c:v>
                </c:pt>
                <c:pt idx="32">
                  <c:v>287965</c:v>
                </c:pt>
                <c:pt idx="33">
                  <c:v>387443</c:v>
                </c:pt>
                <c:pt idx="34">
                  <c:v>511286</c:v>
                </c:pt>
                <c:pt idx="35">
                  <c:v>640279</c:v>
                </c:pt>
                <c:pt idx="36">
                  <c:v>758348</c:v>
                </c:pt>
                <c:pt idx="37">
                  <c:v>645851</c:v>
                </c:pt>
                <c:pt idx="38">
                  <c:v>488885</c:v>
                </c:pt>
                <c:pt idx="39">
                  <c:v>308557</c:v>
                </c:pt>
                <c:pt idx="40">
                  <c:v>156014</c:v>
                </c:pt>
                <c:pt idx="41">
                  <c:v>42262</c:v>
                </c:pt>
                <c:pt idx="42">
                  <c:v>5052</c:v>
                </c:pt>
                <c:pt idx="43">
                  <c:v>4</c:v>
                </c:pt>
              </c:numCache>
            </c:numRef>
          </c:val>
          <c:extLst>
            <c:ext xmlns:c16="http://schemas.microsoft.com/office/drawing/2014/chart" uri="{C3380CC4-5D6E-409C-BE32-E72D297353CC}">
              <c16:uniqueId val="{00000000-7B7A-4957-8FA9-07E50A7D5BE4}"/>
            </c:ext>
          </c:extLst>
        </c:ser>
        <c:ser>
          <c:idx val="1"/>
          <c:order val="1"/>
          <c:tx>
            <c:strRef>
              <c:f>'Sheet1 (2)'!$B$2</c:f>
              <c:strCache>
                <c:ptCount val="1"/>
                <c:pt idx="0">
                  <c:v>M</c:v>
                </c:pt>
              </c:strCache>
            </c:strRef>
          </c:tx>
          <c:spPr>
            <a:solidFill>
              <a:schemeClr val="accent2"/>
            </a:solidFill>
            <a:ln>
              <a:noFill/>
            </a:ln>
            <a:effectLst/>
          </c:spPr>
          <c:invertIfNegative val="0"/>
          <c:cat>
            <c:multiLvlStrRef>
              <c:f>'Sheet1 (2)'!$B$2</c:f>
              <c:multiLvlStrCache>
                <c:ptCount val="44"/>
                <c:lvl>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pt idx="20">
                    <c:v>100+  yrs</c:v>
                  </c:pt>
                  <c:pt idx="21">
                    <c:v>NA    yrs</c:v>
                  </c:pt>
                  <c:pt idx="22">
                    <c:v> 0-4  yrs</c:v>
                  </c:pt>
                  <c:pt idx="23">
                    <c:v> 5-9  yrs</c:v>
                  </c:pt>
                  <c:pt idx="24">
                    <c:v>10-14 yrs</c:v>
                  </c:pt>
                  <c:pt idx="25">
                    <c:v>15-19 yrs</c:v>
                  </c:pt>
                  <c:pt idx="26">
                    <c:v>20-24 yrs</c:v>
                  </c:pt>
                  <c:pt idx="27">
                    <c:v>25-29 yrs</c:v>
                  </c:pt>
                  <c:pt idx="28">
                    <c:v>30-34 yrs</c:v>
                  </c:pt>
                  <c:pt idx="29">
                    <c:v>35-39 yrs</c:v>
                  </c:pt>
                  <c:pt idx="30">
                    <c:v>40-44 yrs</c:v>
                  </c:pt>
                  <c:pt idx="31">
                    <c:v>45-49 yrs</c:v>
                  </c:pt>
                  <c:pt idx="32">
                    <c:v>50-54 yrs</c:v>
                  </c:pt>
                  <c:pt idx="33">
                    <c:v>55-59 yrs</c:v>
                  </c:pt>
                  <c:pt idx="34">
                    <c:v>60-64 yrs</c:v>
                  </c:pt>
                  <c:pt idx="35">
                    <c:v>65-69 yrs</c:v>
                  </c:pt>
                  <c:pt idx="36">
                    <c:v>70-74 yrs</c:v>
                  </c:pt>
                  <c:pt idx="37">
                    <c:v>75-79 yrs</c:v>
                  </c:pt>
                  <c:pt idx="38">
                    <c:v>80-84 yrs</c:v>
                  </c:pt>
                  <c:pt idx="39">
                    <c:v>85-89 yrs</c:v>
                  </c:pt>
                  <c:pt idx="40">
                    <c:v>90-94 yrs</c:v>
                  </c:pt>
                  <c:pt idx="41">
                    <c:v>95-99 yrs</c:v>
                  </c:pt>
                  <c:pt idx="42">
                    <c:v>100+  yrs</c:v>
                  </c:pt>
                  <c:pt idx="43">
                    <c:v>NA    yrs</c:v>
                  </c:pt>
                </c:lvl>
                <c:lvl>
                  <c:pt idx="0">
                    <c:v>2018</c:v>
                  </c:pt>
                  <c:pt idx="22">
                    <c:v>2021</c:v>
                  </c:pt>
                </c:lvl>
              </c:multiLvlStrCache>
            </c:multiLvlStrRef>
          </c:cat>
          <c:val>
            <c:numRef>
              <c:f>'Sheet1 (2)'!$B$2</c:f>
              <c:numCache>
                <c:formatCode>General</c:formatCode>
                <c:ptCount val="44"/>
                <c:pt idx="0">
                  <c:v>517</c:v>
                </c:pt>
                <c:pt idx="1">
                  <c:v>1588</c:v>
                </c:pt>
                <c:pt idx="2">
                  <c:v>4219</c:v>
                </c:pt>
                <c:pt idx="3">
                  <c:v>12747</c:v>
                </c:pt>
                <c:pt idx="4">
                  <c:v>28973</c:v>
                </c:pt>
                <c:pt idx="5">
                  <c:v>54604</c:v>
                </c:pt>
                <c:pt idx="6">
                  <c:v>91243</c:v>
                </c:pt>
                <c:pt idx="7">
                  <c:v>127112</c:v>
                </c:pt>
                <c:pt idx="8">
                  <c:v>163597</c:v>
                </c:pt>
                <c:pt idx="9">
                  <c:v>230672</c:v>
                </c:pt>
                <c:pt idx="10">
                  <c:v>280843</c:v>
                </c:pt>
                <c:pt idx="11">
                  <c:v>368850</c:v>
                </c:pt>
                <c:pt idx="12">
                  <c:v>433589</c:v>
                </c:pt>
                <c:pt idx="13">
                  <c:v>533549</c:v>
                </c:pt>
                <c:pt idx="14">
                  <c:v>585011</c:v>
                </c:pt>
                <c:pt idx="15">
                  <c:v>459481</c:v>
                </c:pt>
                <c:pt idx="16">
                  <c:v>332802</c:v>
                </c:pt>
                <c:pt idx="17">
                  <c:v>200311</c:v>
                </c:pt>
                <c:pt idx="18">
                  <c:v>81079</c:v>
                </c:pt>
                <c:pt idx="19">
                  <c:v>16135</c:v>
                </c:pt>
                <c:pt idx="20">
                  <c:v>944</c:v>
                </c:pt>
                <c:pt idx="21">
                  <c:v>44</c:v>
                </c:pt>
                <c:pt idx="22">
                  <c:v>265</c:v>
                </c:pt>
                <c:pt idx="23">
                  <c:v>1021</c:v>
                </c:pt>
                <c:pt idx="24">
                  <c:v>3433</c:v>
                </c:pt>
                <c:pt idx="25">
                  <c:v>8973</c:v>
                </c:pt>
                <c:pt idx="26">
                  <c:v>18275</c:v>
                </c:pt>
                <c:pt idx="27">
                  <c:v>37120</c:v>
                </c:pt>
                <c:pt idx="28">
                  <c:v>65385</c:v>
                </c:pt>
                <c:pt idx="29">
                  <c:v>101200</c:v>
                </c:pt>
                <c:pt idx="30">
                  <c:v>130551</c:v>
                </c:pt>
                <c:pt idx="31">
                  <c:v>182088</c:v>
                </c:pt>
                <c:pt idx="32">
                  <c:v>237345</c:v>
                </c:pt>
                <c:pt idx="33">
                  <c:v>305811</c:v>
                </c:pt>
                <c:pt idx="34">
                  <c:v>379232</c:v>
                </c:pt>
                <c:pt idx="35">
                  <c:v>450574</c:v>
                </c:pt>
                <c:pt idx="36">
                  <c:v>543761</c:v>
                </c:pt>
                <c:pt idx="37">
                  <c:v>460438</c:v>
                </c:pt>
                <c:pt idx="38">
                  <c:v>329910</c:v>
                </c:pt>
                <c:pt idx="39">
                  <c:v>187249</c:v>
                </c:pt>
                <c:pt idx="40">
                  <c:v>80763</c:v>
                </c:pt>
                <c:pt idx="41">
                  <c:v>17395</c:v>
                </c:pt>
                <c:pt idx="42">
                  <c:v>1212</c:v>
                </c:pt>
                <c:pt idx="43">
                  <c:v>2</c:v>
                </c:pt>
              </c:numCache>
            </c:numRef>
          </c:val>
          <c:extLst>
            <c:ext xmlns:c16="http://schemas.microsoft.com/office/drawing/2014/chart" uri="{C3380CC4-5D6E-409C-BE32-E72D297353CC}">
              <c16:uniqueId val="{00000001-7B7A-4957-8FA9-07E50A7D5BE4}"/>
            </c:ext>
          </c:extLst>
        </c:ser>
        <c:dLbls>
          <c:showLegendKey val="0"/>
          <c:showVal val="0"/>
          <c:showCatName val="0"/>
          <c:showSerName val="0"/>
          <c:showPercent val="0"/>
          <c:showBubbleSize val="0"/>
        </c:dLbls>
        <c:gapWidth val="150"/>
        <c:axId val="787197096"/>
        <c:axId val="787195456"/>
      </c:barChart>
      <c:catAx>
        <c:axId val="787197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87195456"/>
        <c:crosses val="autoZero"/>
        <c:auto val="1"/>
        <c:lblAlgn val="ctr"/>
        <c:lblOffset val="100"/>
        <c:tickLblSkip val="1"/>
        <c:noMultiLvlLbl val="0"/>
      </c:catAx>
      <c:valAx>
        <c:axId val="787195456"/>
        <c:scaling>
          <c:orientation val="minMax"/>
          <c:max val="8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1.0942452072113775E-2"/>
              <c:y val="0.411959080896832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197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[D1393_SCRPT_SUM + age group  gender.xlsx]Sheet1 (2)!PivotTable1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Pantoprazole</a:t>
            </a:r>
          </a:p>
        </c:rich>
      </c:tx>
      <c:layout>
        <c:manualLayout>
          <c:xMode val="edge"/>
          <c:yMode val="edge"/>
          <c:x val="0.39492847776185236"/>
          <c:y val="2.08333333333333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9"/>
        <c:spPr>
          <a:solidFill>
            <a:schemeClr val="accent1"/>
          </a:solidFill>
          <a:ln>
            <a:noFill/>
          </a:ln>
          <a:effectLst/>
        </c:spPr>
        <c:marker>
          <c:symbol val="circle"/>
          <c:size val="5"/>
          <c:spPr>
            <a:solidFill>
              <a:schemeClr val="accent1"/>
            </a:solidFill>
            <a:ln w="9525">
              <a:solidFill>
                <a:schemeClr val="accent1"/>
              </a:solidFill>
            </a:ln>
            <a:effectLst/>
          </c:spPr>
        </c:marker>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 (2)'!$B$5:$B$6</c:f>
              <c:strCache>
                <c:ptCount val="1"/>
                <c:pt idx="0">
                  <c:v>F</c:v>
                </c:pt>
              </c:strCache>
            </c:strRef>
          </c:tx>
          <c:spPr>
            <a:solidFill>
              <a:schemeClr val="accent1"/>
            </a:solidFill>
            <a:ln>
              <a:noFill/>
            </a:ln>
            <a:effectLst/>
          </c:spPr>
          <c:invertIfNegative val="0"/>
          <c:cat>
            <c:multiLvlStrRef>
              <c:f>'Sheet1 (2)'!$B$3</c:f>
              <c:multiLvlStrCache>
                <c:ptCount val="44"/>
                <c:lvl>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pt idx="20">
                    <c:v>100+  yrs</c:v>
                  </c:pt>
                  <c:pt idx="21">
                    <c:v>NA    yrs</c:v>
                  </c:pt>
                  <c:pt idx="22">
                    <c:v> 0-4  yrs</c:v>
                  </c:pt>
                  <c:pt idx="23">
                    <c:v> 5-9  yrs</c:v>
                  </c:pt>
                  <c:pt idx="24">
                    <c:v>10-14 yrs</c:v>
                  </c:pt>
                  <c:pt idx="25">
                    <c:v>15-19 yrs</c:v>
                  </c:pt>
                  <c:pt idx="26">
                    <c:v>20-24 yrs</c:v>
                  </c:pt>
                  <c:pt idx="27">
                    <c:v>25-29 yrs</c:v>
                  </c:pt>
                  <c:pt idx="28">
                    <c:v>30-34 yrs</c:v>
                  </c:pt>
                  <c:pt idx="29">
                    <c:v>35-39 yrs</c:v>
                  </c:pt>
                  <c:pt idx="30">
                    <c:v>40-44 yrs</c:v>
                  </c:pt>
                  <c:pt idx="31">
                    <c:v>45-49 yrs</c:v>
                  </c:pt>
                  <c:pt idx="32">
                    <c:v>50-54 yrs</c:v>
                  </c:pt>
                  <c:pt idx="33">
                    <c:v>55-59 yrs</c:v>
                  </c:pt>
                  <c:pt idx="34">
                    <c:v>60-64 yrs</c:v>
                  </c:pt>
                  <c:pt idx="35">
                    <c:v>65-69 yrs</c:v>
                  </c:pt>
                  <c:pt idx="36">
                    <c:v>70-74 yrs</c:v>
                  </c:pt>
                  <c:pt idx="37">
                    <c:v>75-79 yrs</c:v>
                  </c:pt>
                  <c:pt idx="38">
                    <c:v>80-84 yrs</c:v>
                  </c:pt>
                  <c:pt idx="39">
                    <c:v>85-89 yrs</c:v>
                  </c:pt>
                  <c:pt idx="40">
                    <c:v>90-94 yrs</c:v>
                  </c:pt>
                  <c:pt idx="41">
                    <c:v>95-99 yrs</c:v>
                  </c:pt>
                  <c:pt idx="42">
                    <c:v>100+  yrs</c:v>
                  </c:pt>
                  <c:pt idx="43">
                    <c:v>NA    yrs</c:v>
                  </c:pt>
                </c:lvl>
                <c:lvl>
                  <c:pt idx="0">
                    <c:v>2018</c:v>
                  </c:pt>
                  <c:pt idx="22">
                    <c:v>2021</c:v>
                  </c:pt>
                </c:lvl>
              </c:multiLvlStrCache>
            </c:multiLvlStrRef>
          </c:cat>
          <c:val>
            <c:numRef>
              <c:f>'Sheet1 (2)'!$B$3</c:f>
              <c:numCache>
                <c:formatCode>General</c:formatCode>
                <c:ptCount val="44"/>
                <c:pt idx="0">
                  <c:v>1015</c:v>
                </c:pt>
                <c:pt idx="1">
                  <c:v>1466</c:v>
                </c:pt>
                <c:pt idx="2">
                  <c:v>3900</c:v>
                </c:pt>
                <c:pt idx="3">
                  <c:v>15410</c:v>
                </c:pt>
                <c:pt idx="4">
                  <c:v>28915</c:v>
                </c:pt>
                <c:pt idx="5">
                  <c:v>41882</c:v>
                </c:pt>
                <c:pt idx="6">
                  <c:v>58415</c:v>
                </c:pt>
                <c:pt idx="7">
                  <c:v>79682</c:v>
                </c:pt>
                <c:pt idx="8">
                  <c:v>112937</c:v>
                </c:pt>
                <c:pt idx="9">
                  <c:v>177052</c:v>
                </c:pt>
                <c:pt idx="10">
                  <c:v>228732</c:v>
                </c:pt>
                <c:pt idx="11">
                  <c:v>314078</c:v>
                </c:pt>
                <c:pt idx="12">
                  <c:v>385186</c:v>
                </c:pt>
                <c:pt idx="13">
                  <c:v>467640</c:v>
                </c:pt>
                <c:pt idx="14">
                  <c:v>511514</c:v>
                </c:pt>
                <c:pt idx="15">
                  <c:v>454454</c:v>
                </c:pt>
                <c:pt idx="16">
                  <c:v>403680</c:v>
                </c:pt>
                <c:pt idx="17">
                  <c:v>325823</c:v>
                </c:pt>
                <c:pt idx="18">
                  <c:v>192949</c:v>
                </c:pt>
                <c:pt idx="19">
                  <c:v>55661</c:v>
                </c:pt>
                <c:pt idx="20">
                  <c:v>6776</c:v>
                </c:pt>
                <c:pt idx="21">
                  <c:v>6</c:v>
                </c:pt>
                <c:pt idx="22">
                  <c:v>1141</c:v>
                </c:pt>
                <c:pt idx="23">
                  <c:v>1491</c:v>
                </c:pt>
                <c:pt idx="24">
                  <c:v>5273</c:v>
                </c:pt>
                <c:pt idx="25">
                  <c:v>22706</c:v>
                </c:pt>
                <c:pt idx="26">
                  <c:v>42635</c:v>
                </c:pt>
                <c:pt idx="27">
                  <c:v>63452</c:v>
                </c:pt>
                <c:pt idx="28">
                  <c:v>88031</c:v>
                </c:pt>
                <c:pt idx="29">
                  <c:v>125487</c:v>
                </c:pt>
                <c:pt idx="30">
                  <c:v>163769</c:v>
                </c:pt>
                <c:pt idx="31">
                  <c:v>234593</c:v>
                </c:pt>
                <c:pt idx="32">
                  <c:v>319062</c:v>
                </c:pt>
                <c:pt idx="33">
                  <c:v>403833</c:v>
                </c:pt>
                <c:pt idx="34">
                  <c:v>514211</c:v>
                </c:pt>
                <c:pt idx="35">
                  <c:v>606455</c:v>
                </c:pt>
                <c:pt idx="36">
                  <c:v>703573</c:v>
                </c:pt>
                <c:pt idx="37">
                  <c:v>623171</c:v>
                </c:pt>
                <c:pt idx="38">
                  <c:v>529429</c:v>
                </c:pt>
                <c:pt idx="39">
                  <c:v>390738</c:v>
                </c:pt>
                <c:pt idx="40">
                  <c:v>232726</c:v>
                </c:pt>
                <c:pt idx="41">
                  <c:v>73235</c:v>
                </c:pt>
                <c:pt idx="42">
                  <c:v>9285</c:v>
                </c:pt>
                <c:pt idx="43">
                  <c:v>14</c:v>
                </c:pt>
              </c:numCache>
            </c:numRef>
          </c:val>
          <c:extLst>
            <c:ext xmlns:c16="http://schemas.microsoft.com/office/drawing/2014/chart" uri="{C3380CC4-5D6E-409C-BE32-E72D297353CC}">
              <c16:uniqueId val="{00000000-C6E9-4CA5-A777-4890CDBA231D}"/>
            </c:ext>
          </c:extLst>
        </c:ser>
        <c:ser>
          <c:idx val="1"/>
          <c:order val="1"/>
          <c:tx>
            <c:strRef>
              <c:f>'Sheet1 (2)'!$C$5:$C$6</c:f>
              <c:strCache>
                <c:ptCount val="1"/>
                <c:pt idx="0">
                  <c:v>M</c:v>
                </c:pt>
              </c:strCache>
            </c:strRef>
          </c:tx>
          <c:spPr>
            <a:solidFill>
              <a:schemeClr val="accent2"/>
            </a:solidFill>
            <a:ln>
              <a:noFill/>
            </a:ln>
            <a:effectLst/>
          </c:spPr>
          <c:invertIfNegative val="0"/>
          <c:cat>
            <c:multiLvlStrRef>
              <c:f>'Sheet1 (2)'!$B$3</c:f>
              <c:multiLvlStrCache>
                <c:ptCount val="44"/>
                <c:lvl>
                  <c:pt idx="0">
                    <c:v> 0-4  yrs</c:v>
                  </c:pt>
                  <c:pt idx="1">
                    <c:v> 5-9  yrs</c:v>
                  </c:pt>
                  <c:pt idx="2">
                    <c:v>10-14 yrs</c:v>
                  </c:pt>
                  <c:pt idx="3">
                    <c:v>15-19 yrs</c:v>
                  </c:pt>
                  <c:pt idx="4">
                    <c:v>20-24 yrs</c:v>
                  </c:pt>
                  <c:pt idx="5">
                    <c:v>25-29 yrs</c:v>
                  </c:pt>
                  <c:pt idx="6">
                    <c:v>30-34 yrs</c:v>
                  </c:pt>
                  <c:pt idx="7">
                    <c:v>35-39 yrs</c:v>
                  </c:pt>
                  <c:pt idx="8">
                    <c:v>40-44 yrs</c:v>
                  </c:pt>
                  <c:pt idx="9">
                    <c:v>45-49 yrs</c:v>
                  </c:pt>
                  <c:pt idx="10">
                    <c:v>50-54 yrs</c:v>
                  </c:pt>
                  <c:pt idx="11">
                    <c:v>55-59 yrs</c:v>
                  </c:pt>
                  <c:pt idx="12">
                    <c:v>60-64 yrs</c:v>
                  </c:pt>
                  <c:pt idx="13">
                    <c:v>65-69 yrs</c:v>
                  </c:pt>
                  <c:pt idx="14">
                    <c:v>70-74 yrs</c:v>
                  </c:pt>
                  <c:pt idx="15">
                    <c:v>75-79 yrs</c:v>
                  </c:pt>
                  <c:pt idx="16">
                    <c:v>80-84 yrs</c:v>
                  </c:pt>
                  <c:pt idx="17">
                    <c:v>85-89 yrs</c:v>
                  </c:pt>
                  <c:pt idx="18">
                    <c:v>90-94 yrs</c:v>
                  </c:pt>
                  <c:pt idx="19">
                    <c:v>95-99 yrs</c:v>
                  </c:pt>
                  <c:pt idx="20">
                    <c:v>100+  yrs</c:v>
                  </c:pt>
                  <c:pt idx="21">
                    <c:v>NA    yrs</c:v>
                  </c:pt>
                  <c:pt idx="22">
                    <c:v> 0-4  yrs</c:v>
                  </c:pt>
                  <c:pt idx="23">
                    <c:v> 5-9  yrs</c:v>
                  </c:pt>
                  <c:pt idx="24">
                    <c:v>10-14 yrs</c:v>
                  </c:pt>
                  <c:pt idx="25">
                    <c:v>15-19 yrs</c:v>
                  </c:pt>
                  <c:pt idx="26">
                    <c:v>20-24 yrs</c:v>
                  </c:pt>
                  <c:pt idx="27">
                    <c:v>25-29 yrs</c:v>
                  </c:pt>
                  <c:pt idx="28">
                    <c:v>30-34 yrs</c:v>
                  </c:pt>
                  <c:pt idx="29">
                    <c:v>35-39 yrs</c:v>
                  </c:pt>
                  <c:pt idx="30">
                    <c:v>40-44 yrs</c:v>
                  </c:pt>
                  <c:pt idx="31">
                    <c:v>45-49 yrs</c:v>
                  </c:pt>
                  <c:pt idx="32">
                    <c:v>50-54 yrs</c:v>
                  </c:pt>
                  <c:pt idx="33">
                    <c:v>55-59 yrs</c:v>
                  </c:pt>
                  <c:pt idx="34">
                    <c:v>60-64 yrs</c:v>
                  </c:pt>
                  <c:pt idx="35">
                    <c:v>65-69 yrs</c:v>
                  </c:pt>
                  <c:pt idx="36">
                    <c:v>70-74 yrs</c:v>
                  </c:pt>
                  <c:pt idx="37">
                    <c:v>75-79 yrs</c:v>
                  </c:pt>
                  <c:pt idx="38">
                    <c:v>80-84 yrs</c:v>
                  </c:pt>
                  <c:pt idx="39">
                    <c:v>85-89 yrs</c:v>
                  </c:pt>
                  <c:pt idx="40">
                    <c:v>90-94 yrs</c:v>
                  </c:pt>
                  <c:pt idx="41">
                    <c:v>95-99 yrs</c:v>
                  </c:pt>
                  <c:pt idx="42">
                    <c:v>100+  yrs</c:v>
                  </c:pt>
                  <c:pt idx="43">
                    <c:v>NA    yrs</c:v>
                  </c:pt>
                </c:lvl>
                <c:lvl>
                  <c:pt idx="0">
                    <c:v>2018</c:v>
                  </c:pt>
                  <c:pt idx="22">
                    <c:v>2021</c:v>
                  </c:pt>
                </c:lvl>
              </c:multiLvlStrCache>
            </c:multiLvlStrRef>
          </c:cat>
          <c:val>
            <c:numRef>
              <c:f>'Sheet1 (2)'!$B$3</c:f>
              <c:numCache>
                <c:formatCode>General</c:formatCode>
                <c:ptCount val="44"/>
                <c:pt idx="0">
                  <c:v>1572</c:v>
                </c:pt>
                <c:pt idx="1">
                  <c:v>2083</c:v>
                </c:pt>
                <c:pt idx="2">
                  <c:v>3659</c:v>
                </c:pt>
                <c:pt idx="3">
                  <c:v>10080</c:v>
                </c:pt>
                <c:pt idx="4">
                  <c:v>21648</c:v>
                </c:pt>
                <c:pt idx="5">
                  <c:v>36471</c:v>
                </c:pt>
                <c:pt idx="6">
                  <c:v>60554</c:v>
                </c:pt>
                <c:pt idx="7">
                  <c:v>83176</c:v>
                </c:pt>
                <c:pt idx="8">
                  <c:v>110788</c:v>
                </c:pt>
                <c:pt idx="9">
                  <c:v>166139</c:v>
                </c:pt>
                <c:pt idx="10">
                  <c:v>213661</c:v>
                </c:pt>
                <c:pt idx="11">
                  <c:v>294008</c:v>
                </c:pt>
                <c:pt idx="12">
                  <c:v>355291</c:v>
                </c:pt>
                <c:pt idx="13">
                  <c:v>436878</c:v>
                </c:pt>
                <c:pt idx="14">
                  <c:v>482071</c:v>
                </c:pt>
                <c:pt idx="15">
                  <c:v>407641</c:v>
                </c:pt>
                <c:pt idx="16">
                  <c:v>328728</c:v>
                </c:pt>
                <c:pt idx="17">
                  <c:v>223516</c:v>
                </c:pt>
                <c:pt idx="18">
                  <c:v>98803</c:v>
                </c:pt>
                <c:pt idx="19">
                  <c:v>20784</c:v>
                </c:pt>
                <c:pt idx="20">
                  <c:v>1663</c:v>
                </c:pt>
                <c:pt idx="21">
                  <c:v>18</c:v>
                </c:pt>
                <c:pt idx="22">
                  <c:v>1435</c:v>
                </c:pt>
                <c:pt idx="23">
                  <c:v>1968</c:v>
                </c:pt>
                <c:pt idx="24">
                  <c:v>4224</c:v>
                </c:pt>
                <c:pt idx="25">
                  <c:v>13572</c:v>
                </c:pt>
                <c:pt idx="26">
                  <c:v>30349</c:v>
                </c:pt>
                <c:pt idx="27">
                  <c:v>53498</c:v>
                </c:pt>
                <c:pt idx="28">
                  <c:v>83427</c:v>
                </c:pt>
                <c:pt idx="29">
                  <c:v>118229</c:v>
                </c:pt>
                <c:pt idx="30">
                  <c:v>149812</c:v>
                </c:pt>
                <c:pt idx="31">
                  <c:v>208216</c:v>
                </c:pt>
                <c:pt idx="32">
                  <c:v>278041</c:v>
                </c:pt>
                <c:pt idx="33">
                  <c:v>364524</c:v>
                </c:pt>
                <c:pt idx="34">
                  <c:v>456428</c:v>
                </c:pt>
                <c:pt idx="35">
                  <c:v>542520</c:v>
                </c:pt>
                <c:pt idx="36">
                  <c:v>640543</c:v>
                </c:pt>
                <c:pt idx="37">
                  <c:v>559327</c:v>
                </c:pt>
                <c:pt idx="38">
                  <c:v>438757</c:v>
                </c:pt>
                <c:pt idx="39">
                  <c:v>277776</c:v>
                </c:pt>
                <c:pt idx="40">
                  <c:v>131624</c:v>
                </c:pt>
                <c:pt idx="41">
                  <c:v>29901</c:v>
                </c:pt>
                <c:pt idx="42">
                  <c:v>2490</c:v>
                </c:pt>
              </c:numCache>
            </c:numRef>
          </c:val>
          <c:extLst>
            <c:ext xmlns:c16="http://schemas.microsoft.com/office/drawing/2014/chart" uri="{C3380CC4-5D6E-409C-BE32-E72D297353CC}">
              <c16:uniqueId val="{00000001-C6E9-4CA5-A777-4890CDBA231D}"/>
            </c:ext>
          </c:extLst>
        </c:ser>
        <c:dLbls>
          <c:showLegendKey val="0"/>
          <c:showVal val="0"/>
          <c:showCatName val="0"/>
          <c:showSerName val="0"/>
          <c:showPercent val="0"/>
          <c:showBubbleSize val="0"/>
        </c:dLbls>
        <c:gapWidth val="150"/>
        <c:axId val="787197096"/>
        <c:axId val="787195456"/>
      </c:barChart>
      <c:catAx>
        <c:axId val="787197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195456"/>
        <c:crosses val="autoZero"/>
        <c:auto val="1"/>
        <c:lblAlgn val="ctr"/>
        <c:lblOffset val="100"/>
        <c:noMultiLvlLbl val="0"/>
      </c:catAx>
      <c:valAx>
        <c:axId val="787195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1.0942452072113775E-2"/>
              <c:y val="0.411959080896832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197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[D1393_PATCNTBY_DRUG_N_SUPP_Q.xlsx]Sheet1 (2)!PivotTable2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 (2)'!$B$3:$B$4</c:f>
              <c:strCache>
                <c:ptCount val="1"/>
                <c:pt idx="0">
                  <c:v>PANTOPRAZOLE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(2)'!$B$1</c:f>
              <c:strCache>
                <c:ptCount val="32"/>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pt idx="31">
                  <c:v>2021Q4</c:v>
                </c:pt>
              </c:strCache>
            </c:strRef>
          </c:cat>
          <c:val>
            <c:numRef>
              <c:f>'Sheet1 (2)'!$B$1</c:f>
              <c:numCache>
                <c:formatCode>General</c:formatCode>
                <c:ptCount val="32"/>
                <c:pt idx="0">
                  <c:v>85404</c:v>
                </c:pt>
                <c:pt idx="1">
                  <c:v>88242</c:v>
                </c:pt>
                <c:pt idx="2">
                  <c:v>90577</c:v>
                </c:pt>
                <c:pt idx="3">
                  <c:v>87799</c:v>
                </c:pt>
                <c:pt idx="4">
                  <c:v>85298</c:v>
                </c:pt>
                <c:pt idx="5">
                  <c:v>86995</c:v>
                </c:pt>
                <c:pt idx="6">
                  <c:v>89862</c:v>
                </c:pt>
                <c:pt idx="7">
                  <c:v>85692</c:v>
                </c:pt>
                <c:pt idx="8">
                  <c:v>84235</c:v>
                </c:pt>
                <c:pt idx="9">
                  <c:v>87857</c:v>
                </c:pt>
                <c:pt idx="10">
                  <c:v>89757</c:v>
                </c:pt>
                <c:pt idx="11">
                  <c:v>85926</c:v>
                </c:pt>
                <c:pt idx="12">
                  <c:v>83449</c:v>
                </c:pt>
                <c:pt idx="13">
                  <c:v>85443</c:v>
                </c:pt>
                <c:pt idx="14">
                  <c:v>86702</c:v>
                </c:pt>
                <c:pt idx="15">
                  <c:v>84163</c:v>
                </c:pt>
                <c:pt idx="16">
                  <c:v>82322</c:v>
                </c:pt>
                <c:pt idx="17">
                  <c:v>84091</c:v>
                </c:pt>
                <c:pt idx="18">
                  <c:v>86715</c:v>
                </c:pt>
                <c:pt idx="19">
                  <c:v>84836</c:v>
                </c:pt>
                <c:pt idx="20">
                  <c:v>81380</c:v>
                </c:pt>
                <c:pt idx="21">
                  <c:v>99195</c:v>
                </c:pt>
                <c:pt idx="22">
                  <c:v>117300</c:v>
                </c:pt>
                <c:pt idx="23">
                  <c:v>118696</c:v>
                </c:pt>
                <c:pt idx="24">
                  <c:v>110002</c:v>
                </c:pt>
                <c:pt idx="25">
                  <c:v>107736</c:v>
                </c:pt>
                <c:pt idx="26">
                  <c:v>117953</c:v>
                </c:pt>
                <c:pt idx="27">
                  <c:v>111553</c:v>
                </c:pt>
                <c:pt idx="28">
                  <c:v>104115</c:v>
                </c:pt>
                <c:pt idx="29">
                  <c:v>105391</c:v>
                </c:pt>
                <c:pt idx="30">
                  <c:v>110571</c:v>
                </c:pt>
                <c:pt idx="31">
                  <c:v>105319</c:v>
                </c:pt>
              </c:numCache>
            </c:numRef>
          </c:val>
          <c:smooth val="0"/>
          <c:extLst>
            <c:ext xmlns:c16="http://schemas.microsoft.com/office/drawing/2014/chart" uri="{C3380CC4-5D6E-409C-BE32-E72D297353CC}">
              <c16:uniqueId val="{00000000-FFE2-4B7A-8CB9-BBB0F96EEC2A}"/>
            </c:ext>
          </c:extLst>
        </c:ser>
        <c:ser>
          <c:idx val="1"/>
          <c:order val="1"/>
          <c:tx>
            <c:strRef>
              <c:f>'Sheet1 (2)'!$C$3:$C$4</c:f>
              <c:strCache>
                <c:ptCount val="1"/>
                <c:pt idx="0">
                  <c:v>ESOMEPRAZOLE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(2)'!$B$1</c:f>
              <c:strCache>
                <c:ptCount val="32"/>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pt idx="31">
                  <c:v>2021Q4</c:v>
                </c:pt>
              </c:strCache>
            </c:strRef>
          </c:cat>
          <c:val>
            <c:numRef>
              <c:f>'Sheet1 (2)'!$B$1</c:f>
              <c:numCache>
                <c:formatCode>General</c:formatCode>
                <c:ptCount val="32"/>
                <c:pt idx="0">
                  <c:v>119314</c:v>
                </c:pt>
                <c:pt idx="1">
                  <c:v>121362</c:v>
                </c:pt>
                <c:pt idx="2">
                  <c:v>117607</c:v>
                </c:pt>
                <c:pt idx="3">
                  <c:v>102704</c:v>
                </c:pt>
                <c:pt idx="4">
                  <c:v>97551</c:v>
                </c:pt>
                <c:pt idx="5">
                  <c:v>98614</c:v>
                </c:pt>
                <c:pt idx="6">
                  <c:v>99174</c:v>
                </c:pt>
                <c:pt idx="7">
                  <c:v>91421</c:v>
                </c:pt>
                <c:pt idx="8">
                  <c:v>101528</c:v>
                </c:pt>
                <c:pt idx="9">
                  <c:v>104034</c:v>
                </c:pt>
                <c:pt idx="10">
                  <c:v>104669</c:v>
                </c:pt>
                <c:pt idx="11">
                  <c:v>97621</c:v>
                </c:pt>
                <c:pt idx="12">
                  <c:v>95901</c:v>
                </c:pt>
                <c:pt idx="13">
                  <c:v>97458</c:v>
                </c:pt>
                <c:pt idx="14">
                  <c:v>93899</c:v>
                </c:pt>
                <c:pt idx="15">
                  <c:v>87864</c:v>
                </c:pt>
                <c:pt idx="16">
                  <c:v>87109</c:v>
                </c:pt>
                <c:pt idx="17">
                  <c:v>89930</c:v>
                </c:pt>
                <c:pt idx="18">
                  <c:v>89222</c:v>
                </c:pt>
                <c:pt idx="19">
                  <c:v>84548</c:v>
                </c:pt>
                <c:pt idx="20">
                  <c:v>83206</c:v>
                </c:pt>
                <c:pt idx="21">
                  <c:v>53653</c:v>
                </c:pt>
                <c:pt idx="22">
                  <c:v>43006</c:v>
                </c:pt>
                <c:pt idx="23">
                  <c:v>45396</c:v>
                </c:pt>
                <c:pt idx="24">
                  <c:v>45263</c:v>
                </c:pt>
                <c:pt idx="25">
                  <c:v>47285</c:v>
                </c:pt>
                <c:pt idx="26">
                  <c:v>53212</c:v>
                </c:pt>
                <c:pt idx="27">
                  <c:v>49679</c:v>
                </c:pt>
                <c:pt idx="28">
                  <c:v>46960</c:v>
                </c:pt>
                <c:pt idx="29">
                  <c:v>48151</c:v>
                </c:pt>
                <c:pt idx="30">
                  <c:v>50959</c:v>
                </c:pt>
                <c:pt idx="31">
                  <c:v>47739</c:v>
                </c:pt>
              </c:numCache>
            </c:numRef>
          </c:val>
          <c:smooth val="0"/>
          <c:extLst>
            <c:ext xmlns:c16="http://schemas.microsoft.com/office/drawing/2014/chart" uri="{C3380CC4-5D6E-409C-BE32-E72D297353CC}">
              <c16:uniqueId val="{00000001-FFE2-4B7A-8CB9-BBB0F96EEC2A}"/>
            </c:ext>
          </c:extLst>
        </c:ser>
        <c:ser>
          <c:idx val="2"/>
          <c:order val="2"/>
          <c:tx>
            <c:strRef>
              <c:f>'Sheet1 (2)'!$D$3:$D$4</c:f>
              <c:strCache>
                <c:ptCount val="1"/>
                <c:pt idx="0">
                  <c:v>RABEPRAZOLE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(2)'!$B$1</c:f>
              <c:strCache>
                <c:ptCount val="32"/>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pt idx="31">
                  <c:v>2021Q4</c:v>
                </c:pt>
              </c:strCache>
            </c:strRef>
          </c:cat>
          <c:val>
            <c:numRef>
              <c:f>'Sheet1 (2)'!$B$1</c:f>
              <c:numCache>
                <c:formatCode>General</c:formatCode>
                <c:ptCount val="32"/>
                <c:pt idx="0">
                  <c:v>32729</c:v>
                </c:pt>
                <c:pt idx="1">
                  <c:v>32259</c:v>
                </c:pt>
                <c:pt idx="2">
                  <c:v>30464</c:v>
                </c:pt>
                <c:pt idx="3">
                  <c:v>27562</c:v>
                </c:pt>
                <c:pt idx="4">
                  <c:v>26093</c:v>
                </c:pt>
                <c:pt idx="5">
                  <c:v>26182</c:v>
                </c:pt>
                <c:pt idx="6">
                  <c:v>25873</c:v>
                </c:pt>
                <c:pt idx="7">
                  <c:v>24037</c:v>
                </c:pt>
                <c:pt idx="8">
                  <c:v>23239</c:v>
                </c:pt>
                <c:pt idx="9">
                  <c:v>23923</c:v>
                </c:pt>
                <c:pt idx="10">
                  <c:v>23036</c:v>
                </c:pt>
                <c:pt idx="11">
                  <c:v>21079</c:v>
                </c:pt>
                <c:pt idx="12">
                  <c:v>20290</c:v>
                </c:pt>
                <c:pt idx="13">
                  <c:v>19869</c:v>
                </c:pt>
                <c:pt idx="14">
                  <c:v>19844</c:v>
                </c:pt>
                <c:pt idx="15">
                  <c:v>18768</c:v>
                </c:pt>
                <c:pt idx="16">
                  <c:v>17914</c:v>
                </c:pt>
                <c:pt idx="17">
                  <c:v>17848</c:v>
                </c:pt>
                <c:pt idx="18">
                  <c:v>18627</c:v>
                </c:pt>
                <c:pt idx="19">
                  <c:v>17626</c:v>
                </c:pt>
                <c:pt idx="20">
                  <c:v>16905</c:v>
                </c:pt>
                <c:pt idx="21">
                  <c:v>18646</c:v>
                </c:pt>
                <c:pt idx="22">
                  <c:v>20756</c:v>
                </c:pt>
                <c:pt idx="23">
                  <c:v>21904</c:v>
                </c:pt>
                <c:pt idx="24">
                  <c:v>19987</c:v>
                </c:pt>
                <c:pt idx="25">
                  <c:v>19382</c:v>
                </c:pt>
                <c:pt idx="26">
                  <c:v>21609</c:v>
                </c:pt>
                <c:pt idx="27">
                  <c:v>19861</c:v>
                </c:pt>
                <c:pt idx="28">
                  <c:v>18006</c:v>
                </c:pt>
                <c:pt idx="29">
                  <c:v>17802</c:v>
                </c:pt>
                <c:pt idx="30">
                  <c:v>18268</c:v>
                </c:pt>
                <c:pt idx="31">
                  <c:v>17427</c:v>
                </c:pt>
              </c:numCache>
            </c:numRef>
          </c:val>
          <c:smooth val="0"/>
          <c:extLst>
            <c:ext xmlns:c16="http://schemas.microsoft.com/office/drawing/2014/chart" uri="{C3380CC4-5D6E-409C-BE32-E72D297353CC}">
              <c16:uniqueId val="{00000002-FFE2-4B7A-8CB9-BBB0F96EEC2A}"/>
            </c:ext>
          </c:extLst>
        </c:ser>
        <c:ser>
          <c:idx val="3"/>
          <c:order val="3"/>
          <c:tx>
            <c:strRef>
              <c:f>'Sheet1 (2)'!$E$3:$E$4</c:f>
              <c:strCache>
                <c:ptCount val="1"/>
                <c:pt idx="0">
                  <c:v>OMEPRAZOLE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(2)'!$B$1</c:f>
              <c:strCache>
                <c:ptCount val="32"/>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pt idx="31">
                  <c:v>2021Q4</c:v>
                </c:pt>
              </c:strCache>
            </c:strRef>
          </c:cat>
          <c:val>
            <c:numRef>
              <c:f>'Sheet1 (2)'!$B$1</c:f>
              <c:numCache>
                <c:formatCode>General</c:formatCode>
                <c:ptCount val="32"/>
                <c:pt idx="0">
                  <c:v>26436</c:v>
                </c:pt>
                <c:pt idx="1">
                  <c:v>26316</c:v>
                </c:pt>
                <c:pt idx="2">
                  <c:v>26338</c:v>
                </c:pt>
                <c:pt idx="3">
                  <c:v>24531</c:v>
                </c:pt>
                <c:pt idx="4">
                  <c:v>23681</c:v>
                </c:pt>
                <c:pt idx="5">
                  <c:v>24467</c:v>
                </c:pt>
                <c:pt idx="6">
                  <c:v>24272</c:v>
                </c:pt>
                <c:pt idx="7">
                  <c:v>23150</c:v>
                </c:pt>
                <c:pt idx="8">
                  <c:v>22610</c:v>
                </c:pt>
                <c:pt idx="9">
                  <c:v>23410</c:v>
                </c:pt>
                <c:pt idx="10">
                  <c:v>23173</c:v>
                </c:pt>
                <c:pt idx="11">
                  <c:v>21614</c:v>
                </c:pt>
                <c:pt idx="12">
                  <c:v>20611</c:v>
                </c:pt>
                <c:pt idx="13">
                  <c:v>20672</c:v>
                </c:pt>
                <c:pt idx="14">
                  <c:v>20733</c:v>
                </c:pt>
                <c:pt idx="15">
                  <c:v>19654</c:v>
                </c:pt>
                <c:pt idx="16">
                  <c:v>19089</c:v>
                </c:pt>
                <c:pt idx="17">
                  <c:v>18412</c:v>
                </c:pt>
                <c:pt idx="18">
                  <c:v>18843</c:v>
                </c:pt>
                <c:pt idx="19">
                  <c:v>17810</c:v>
                </c:pt>
                <c:pt idx="20">
                  <c:v>17178</c:v>
                </c:pt>
                <c:pt idx="21">
                  <c:v>18730</c:v>
                </c:pt>
                <c:pt idx="22">
                  <c:v>19960</c:v>
                </c:pt>
                <c:pt idx="23">
                  <c:v>23336</c:v>
                </c:pt>
                <c:pt idx="24">
                  <c:v>21522</c:v>
                </c:pt>
                <c:pt idx="25">
                  <c:v>19823</c:v>
                </c:pt>
                <c:pt idx="26">
                  <c:v>20582</c:v>
                </c:pt>
                <c:pt idx="27">
                  <c:v>18531</c:v>
                </c:pt>
                <c:pt idx="28">
                  <c:v>17304</c:v>
                </c:pt>
                <c:pt idx="29">
                  <c:v>17587</c:v>
                </c:pt>
                <c:pt idx="30">
                  <c:v>17916</c:v>
                </c:pt>
                <c:pt idx="31">
                  <c:v>16329</c:v>
                </c:pt>
              </c:numCache>
            </c:numRef>
          </c:val>
          <c:smooth val="0"/>
          <c:extLst>
            <c:ext xmlns:c16="http://schemas.microsoft.com/office/drawing/2014/chart" uri="{C3380CC4-5D6E-409C-BE32-E72D297353CC}">
              <c16:uniqueId val="{00000003-FFE2-4B7A-8CB9-BBB0F96EEC2A}"/>
            </c:ext>
          </c:extLst>
        </c:ser>
        <c:ser>
          <c:idx val="4"/>
          <c:order val="4"/>
          <c:tx>
            <c:strRef>
              <c:f>'Sheet1 (2)'!$F$3:$F$4</c:f>
              <c:strCache>
                <c:ptCount val="1"/>
                <c:pt idx="0">
                  <c:v>LANSOPRAZOLE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(2)'!$B$1</c:f>
              <c:strCache>
                <c:ptCount val="32"/>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pt idx="31">
                  <c:v>2021Q4</c:v>
                </c:pt>
              </c:strCache>
            </c:strRef>
          </c:cat>
          <c:val>
            <c:numRef>
              <c:f>'Sheet1 (2)'!$B$1</c:f>
              <c:numCache>
                <c:formatCode>General</c:formatCode>
                <c:ptCount val="32"/>
                <c:pt idx="0">
                  <c:v>5278</c:v>
                </c:pt>
                <c:pt idx="1">
                  <c:v>5233</c:v>
                </c:pt>
                <c:pt idx="2">
                  <c:v>4999</c:v>
                </c:pt>
                <c:pt idx="3">
                  <c:v>4739</c:v>
                </c:pt>
                <c:pt idx="4">
                  <c:v>4520</c:v>
                </c:pt>
                <c:pt idx="5">
                  <c:v>4621</c:v>
                </c:pt>
                <c:pt idx="6">
                  <c:v>4683</c:v>
                </c:pt>
                <c:pt idx="7">
                  <c:v>4768</c:v>
                </c:pt>
                <c:pt idx="8">
                  <c:v>4384</c:v>
                </c:pt>
                <c:pt idx="9">
                  <c:v>4617</c:v>
                </c:pt>
                <c:pt idx="10">
                  <c:v>4394</c:v>
                </c:pt>
                <c:pt idx="11">
                  <c:v>4177</c:v>
                </c:pt>
                <c:pt idx="12">
                  <c:v>4097</c:v>
                </c:pt>
                <c:pt idx="13">
                  <c:v>3968</c:v>
                </c:pt>
                <c:pt idx="14">
                  <c:v>4211</c:v>
                </c:pt>
                <c:pt idx="15">
                  <c:v>4130</c:v>
                </c:pt>
                <c:pt idx="16">
                  <c:v>4112</c:v>
                </c:pt>
                <c:pt idx="17">
                  <c:v>3972</c:v>
                </c:pt>
                <c:pt idx="18">
                  <c:v>3892</c:v>
                </c:pt>
                <c:pt idx="19">
                  <c:v>4199</c:v>
                </c:pt>
                <c:pt idx="20">
                  <c:v>3850</c:v>
                </c:pt>
                <c:pt idx="21">
                  <c:v>4346</c:v>
                </c:pt>
                <c:pt idx="22">
                  <c:v>4581</c:v>
                </c:pt>
                <c:pt idx="23">
                  <c:v>5542</c:v>
                </c:pt>
                <c:pt idx="24">
                  <c:v>5511</c:v>
                </c:pt>
                <c:pt idx="25">
                  <c:v>4724</c:v>
                </c:pt>
                <c:pt idx="26">
                  <c:v>4708</c:v>
                </c:pt>
                <c:pt idx="27">
                  <c:v>4562</c:v>
                </c:pt>
                <c:pt idx="28">
                  <c:v>4068</c:v>
                </c:pt>
                <c:pt idx="29">
                  <c:v>4004</c:v>
                </c:pt>
                <c:pt idx="30">
                  <c:v>4200</c:v>
                </c:pt>
                <c:pt idx="31">
                  <c:v>4176</c:v>
                </c:pt>
              </c:numCache>
            </c:numRef>
          </c:val>
          <c:smooth val="0"/>
          <c:extLst>
            <c:ext xmlns:c16="http://schemas.microsoft.com/office/drawing/2014/chart" uri="{C3380CC4-5D6E-409C-BE32-E72D297353CC}">
              <c16:uniqueId val="{00000004-FFE2-4B7A-8CB9-BBB0F96EEC2A}"/>
            </c:ext>
          </c:extLst>
        </c:ser>
        <c:dLbls>
          <c:showLegendKey val="0"/>
          <c:showVal val="0"/>
          <c:showCatName val="0"/>
          <c:showSerName val="0"/>
          <c:showPercent val="0"/>
          <c:showBubbleSize val="0"/>
        </c:dLbls>
        <c:marker val="1"/>
        <c:smooth val="0"/>
        <c:axId val="971167136"/>
        <c:axId val="971165824"/>
      </c:lineChart>
      <c:catAx>
        <c:axId val="971167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layout>
            <c:manualLayout>
              <c:xMode val="edge"/>
              <c:yMode val="edge"/>
              <c:x val="0.4450988854100173"/>
              <c:y val="0.914157489862250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165824"/>
        <c:crosses val="autoZero"/>
        <c:auto val="1"/>
        <c:lblAlgn val="ctr"/>
        <c:lblOffset val="100"/>
        <c:noMultiLvlLbl val="0"/>
      </c:catAx>
      <c:valAx>
        <c:axId val="971165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manualLayout>
              <c:xMode val="edge"/>
              <c:yMode val="edge"/>
              <c:x val="1.2310258581127997E-2"/>
              <c:y val="0.4534036252473003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1671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[D1393_SCRPT_SUM.xlsx]Sheet1!PivotTable1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Sheet1!$B$1:$B$2</c:f>
              <c:strCache>
                <c:ptCount val="1"/>
                <c:pt idx="0">
                  <c:v>ESOMEPRAZOLE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Sheet1!$A$3:$A$39</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Sheet1!$B$3:$B$39</c:f>
              <c:numCache>
                <c:formatCode>General</c:formatCode>
                <c:ptCount val="36"/>
                <c:pt idx="0">
                  <c:v>1827637</c:v>
                </c:pt>
                <c:pt idx="1">
                  <c:v>2044601</c:v>
                </c:pt>
                <c:pt idx="2">
                  <c:v>2131921</c:v>
                </c:pt>
                <c:pt idx="3">
                  <c:v>2269200</c:v>
                </c:pt>
                <c:pt idx="4">
                  <c:v>1977054</c:v>
                </c:pt>
                <c:pt idx="5">
                  <c:v>2185725</c:v>
                </c:pt>
                <c:pt idx="6">
                  <c:v>2238240</c:v>
                </c:pt>
                <c:pt idx="7">
                  <c:v>2333987</c:v>
                </c:pt>
                <c:pt idx="8">
                  <c:v>2017852</c:v>
                </c:pt>
                <c:pt idx="9">
                  <c:v>2191723</c:v>
                </c:pt>
                <c:pt idx="10">
                  <c:v>2261866</c:v>
                </c:pt>
                <c:pt idx="11">
                  <c:v>2404004</c:v>
                </c:pt>
                <c:pt idx="12">
                  <c:v>2131990</c:v>
                </c:pt>
                <c:pt idx="13">
                  <c:v>2311318</c:v>
                </c:pt>
                <c:pt idx="14">
                  <c:v>2369982</c:v>
                </c:pt>
                <c:pt idx="15">
                  <c:v>2472135</c:v>
                </c:pt>
                <c:pt idx="16">
                  <c:v>2234692</c:v>
                </c:pt>
                <c:pt idx="17">
                  <c:v>2394219</c:v>
                </c:pt>
                <c:pt idx="18">
                  <c:v>2386735</c:v>
                </c:pt>
                <c:pt idx="19">
                  <c:v>2455993</c:v>
                </c:pt>
                <c:pt idx="20">
                  <c:v>2224250</c:v>
                </c:pt>
                <c:pt idx="21">
                  <c:v>2376291</c:v>
                </c:pt>
                <c:pt idx="22">
                  <c:v>2379845</c:v>
                </c:pt>
                <c:pt idx="23">
                  <c:v>2481928</c:v>
                </c:pt>
                <c:pt idx="24">
                  <c:v>2213746</c:v>
                </c:pt>
                <c:pt idx="25">
                  <c:v>2203430</c:v>
                </c:pt>
                <c:pt idx="26">
                  <c:v>2066633</c:v>
                </c:pt>
                <c:pt idx="27">
                  <c:v>2112966</c:v>
                </c:pt>
                <c:pt idx="28">
                  <c:v>2034972</c:v>
                </c:pt>
                <c:pt idx="29">
                  <c:v>1957045</c:v>
                </c:pt>
                <c:pt idx="30">
                  <c:v>2133385</c:v>
                </c:pt>
                <c:pt idx="31">
                  <c:v>2221180</c:v>
                </c:pt>
                <c:pt idx="32">
                  <c:v>1969309</c:v>
                </c:pt>
                <c:pt idx="33">
                  <c:v>2072968</c:v>
                </c:pt>
                <c:pt idx="34">
                  <c:v>2152817</c:v>
                </c:pt>
                <c:pt idx="35">
                  <c:v>2219104</c:v>
                </c:pt>
              </c:numCache>
            </c:numRef>
          </c:val>
          <c:smooth val="0"/>
          <c:extLst>
            <c:ext xmlns:c16="http://schemas.microsoft.com/office/drawing/2014/chart" uri="{C3380CC4-5D6E-409C-BE32-E72D297353CC}">
              <c16:uniqueId val="{00000000-47BF-421D-9F7C-C7E13AA79C65}"/>
            </c:ext>
          </c:extLst>
        </c:ser>
        <c:ser>
          <c:idx val="1"/>
          <c:order val="1"/>
          <c:tx>
            <c:strRef>
              <c:f>Sheet1!$C$1:$C$2</c:f>
              <c:strCache>
                <c:ptCount val="1"/>
                <c:pt idx="0">
                  <c:v>PANTOPRAZOLE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Sheet1!$A$3:$A$39</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Sheet1!$C$3:$C$39</c:f>
              <c:numCache>
                <c:formatCode>General</c:formatCode>
                <c:ptCount val="36"/>
                <c:pt idx="0">
                  <c:v>1213570</c:v>
                </c:pt>
                <c:pt idx="1">
                  <c:v>1337159</c:v>
                </c:pt>
                <c:pt idx="2">
                  <c:v>1400595</c:v>
                </c:pt>
                <c:pt idx="3">
                  <c:v>1495376</c:v>
                </c:pt>
                <c:pt idx="4">
                  <c:v>1336666</c:v>
                </c:pt>
                <c:pt idx="5">
                  <c:v>1462473</c:v>
                </c:pt>
                <c:pt idx="6">
                  <c:v>1516168</c:v>
                </c:pt>
                <c:pt idx="7">
                  <c:v>1615673</c:v>
                </c:pt>
                <c:pt idx="8">
                  <c:v>1448082</c:v>
                </c:pt>
                <c:pt idx="9">
                  <c:v>1562017</c:v>
                </c:pt>
                <c:pt idx="10">
                  <c:v>1625606</c:v>
                </c:pt>
                <c:pt idx="11">
                  <c:v>1726210</c:v>
                </c:pt>
                <c:pt idx="12">
                  <c:v>1541394</c:v>
                </c:pt>
                <c:pt idx="13">
                  <c:v>1661509</c:v>
                </c:pt>
                <c:pt idx="14">
                  <c:v>1709725</c:v>
                </c:pt>
                <c:pt idx="15">
                  <c:v>1790820</c:v>
                </c:pt>
                <c:pt idx="16">
                  <c:v>1628205</c:v>
                </c:pt>
                <c:pt idx="17">
                  <c:v>1747905</c:v>
                </c:pt>
                <c:pt idx="18">
                  <c:v>1770306</c:v>
                </c:pt>
                <c:pt idx="19">
                  <c:v>1846128</c:v>
                </c:pt>
                <c:pt idx="20">
                  <c:v>1688873</c:v>
                </c:pt>
                <c:pt idx="21">
                  <c:v>1807447</c:v>
                </c:pt>
                <c:pt idx="22">
                  <c:v>1833493</c:v>
                </c:pt>
                <c:pt idx="23">
                  <c:v>1940381</c:v>
                </c:pt>
                <c:pt idx="24">
                  <c:v>1745160</c:v>
                </c:pt>
                <c:pt idx="25">
                  <c:v>1857327</c:v>
                </c:pt>
                <c:pt idx="26">
                  <c:v>1960411</c:v>
                </c:pt>
                <c:pt idx="27">
                  <c:v>2132125</c:v>
                </c:pt>
                <c:pt idx="28">
                  <c:v>2100499</c:v>
                </c:pt>
                <c:pt idx="29">
                  <c:v>2090774</c:v>
                </c:pt>
                <c:pt idx="30">
                  <c:v>2310316</c:v>
                </c:pt>
                <c:pt idx="31">
                  <c:v>2437539</c:v>
                </c:pt>
                <c:pt idx="32">
                  <c:v>2207084</c:v>
                </c:pt>
                <c:pt idx="33">
                  <c:v>2344830</c:v>
                </c:pt>
                <c:pt idx="34">
                  <c:v>2468545</c:v>
                </c:pt>
                <c:pt idx="35">
                  <c:v>2567827</c:v>
                </c:pt>
              </c:numCache>
            </c:numRef>
          </c:val>
          <c:smooth val="0"/>
          <c:extLst>
            <c:ext xmlns:c16="http://schemas.microsoft.com/office/drawing/2014/chart" uri="{C3380CC4-5D6E-409C-BE32-E72D297353CC}">
              <c16:uniqueId val="{00000001-47BF-421D-9F7C-C7E13AA79C65}"/>
            </c:ext>
          </c:extLst>
        </c:ser>
        <c:ser>
          <c:idx val="2"/>
          <c:order val="2"/>
          <c:tx>
            <c:strRef>
              <c:f>Sheet1!$D$1:$D$2</c:f>
              <c:strCache>
                <c:ptCount val="1"/>
                <c:pt idx="0">
                  <c:v>RABEPRAZOLE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Sheet1!$A$3:$A$39</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Sheet1!$D$3:$D$39</c:f>
              <c:numCache>
                <c:formatCode>General</c:formatCode>
                <c:ptCount val="36"/>
                <c:pt idx="0">
                  <c:v>642856</c:v>
                </c:pt>
                <c:pt idx="1">
                  <c:v>708038</c:v>
                </c:pt>
                <c:pt idx="2">
                  <c:v>729447</c:v>
                </c:pt>
                <c:pt idx="3">
                  <c:v>765734</c:v>
                </c:pt>
                <c:pt idx="4">
                  <c:v>670565</c:v>
                </c:pt>
                <c:pt idx="5">
                  <c:v>726579</c:v>
                </c:pt>
                <c:pt idx="6">
                  <c:v>734769</c:v>
                </c:pt>
                <c:pt idx="7">
                  <c:v>766802</c:v>
                </c:pt>
                <c:pt idx="8">
                  <c:v>673078</c:v>
                </c:pt>
                <c:pt idx="9">
                  <c:v>718868</c:v>
                </c:pt>
                <c:pt idx="10">
                  <c:v>730324</c:v>
                </c:pt>
                <c:pt idx="11">
                  <c:v>763482</c:v>
                </c:pt>
                <c:pt idx="12">
                  <c:v>669130</c:v>
                </c:pt>
                <c:pt idx="13">
                  <c:v>712027</c:v>
                </c:pt>
                <c:pt idx="14">
                  <c:v>718427</c:v>
                </c:pt>
                <c:pt idx="15">
                  <c:v>737665</c:v>
                </c:pt>
                <c:pt idx="16">
                  <c:v>654778</c:v>
                </c:pt>
                <c:pt idx="17">
                  <c:v>694355</c:v>
                </c:pt>
                <c:pt idx="18">
                  <c:v>690849</c:v>
                </c:pt>
                <c:pt idx="19">
                  <c:v>708807</c:v>
                </c:pt>
                <c:pt idx="20">
                  <c:v>636642</c:v>
                </c:pt>
                <c:pt idx="21">
                  <c:v>672439</c:v>
                </c:pt>
                <c:pt idx="22">
                  <c:v>670634</c:v>
                </c:pt>
                <c:pt idx="23">
                  <c:v>697339</c:v>
                </c:pt>
                <c:pt idx="24">
                  <c:v>618175</c:v>
                </c:pt>
                <c:pt idx="25">
                  <c:v>638777</c:v>
                </c:pt>
                <c:pt idx="26">
                  <c:v>638347</c:v>
                </c:pt>
                <c:pt idx="27">
                  <c:v>674406</c:v>
                </c:pt>
                <c:pt idx="28">
                  <c:v>660508</c:v>
                </c:pt>
                <c:pt idx="29">
                  <c:v>627100</c:v>
                </c:pt>
                <c:pt idx="30">
                  <c:v>683669</c:v>
                </c:pt>
                <c:pt idx="31">
                  <c:v>709255</c:v>
                </c:pt>
                <c:pt idx="32">
                  <c:v>631072</c:v>
                </c:pt>
                <c:pt idx="33">
                  <c:v>660624</c:v>
                </c:pt>
                <c:pt idx="34">
                  <c:v>679762</c:v>
                </c:pt>
                <c:pt idx="35">
                  <c:v>697666</c:v>
                </c:pt>
              </c:numCache>
            </c:numRef>
          </c:val>
          <c:smooth val="0"/>
          <c:extLst>
            <c:ext xmlns:c16="http://schemas.microsoft.com/office/drawing/2014/chart" uri="{C3380CC4-5D6E-409C-BE32-E72D297353CC}">
              <c16:uniqueId val="{00000002-47BF-421D-9F7C-C7E13AA79C65}"/>
            </c:ext>
          </c:extLst>
        </c:ser>
        <c:ser>
          <c:idx val="3"/>
          <c:order val="3"/>
          <c:tx>
            <c:strRef>
              <c:f>Sheet1!$E$1:$E$2</c:f>
              <c:strCache>
                <c:ptCount val="1"/>
                <c:pt idx="0">
                  <c:v>OMEPRAZOLE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Sheet1!$A$3:$A$39</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Sheet1!$E$3:$E$39</c:f>
              <c:numCache>
                <c:formatCode>General</c:formatCode>
                <c:ptCount val="36"/>
                <c:pt idx="0">
                  <c:v>684317</c:v>
                </c:pt>
                <c:pt idx="1">
                  <c:v>734719</c:v>
                </c:pt>
                <c:pt idx="2">
                  <c:v>733644</c:v>
                </c:pt>
                <c:pt idx="3">
                  <c:v>751047</c:v>
                </c:pt>
                <c:pt idx="4">
                  <c:v>649803</c:v>
                </c:pt>
                <c:pt idx="5">
                  <c:v>687712</c:v>
                </c:pt>
                <c:pt idx="6">
                  <c:v>685366</c:v>
                </c:pt>
                <c:pt idx="7">
                  <c:v>706477</c:v>
                </c:pt>
                <c:pt idx="8">
                  <c:v>613461</c:v>
                </c:pt>
                <c:pt idx="9">
                  <c:v>644436</c:v>
                </c:pt>
                <c:pt idx="10">
                  <c:v>648467</c:v>
                </c:pt>
                <c:pt idx="11">
                  <c:v>671728</c:v>
                </c:pt>
                <c:pt idx="12">
                  <c:v>581656</c:v>
                </c:pt>
                <c:pt idx="13">
                  <c:v>613343</c:v>
                </c:pt>
                <c:pt idx="14">
                  <c:v>612848</c:v>
                </c:pt>
                <c:pt idx="15">
                  <c:v>626793</c:v>
                </c:pt>
                <c:pt idx="16">
                  <c:v>553144</c:v>
                </c:pt>
                <c:pt idx="17">
                  <c:v>578934</c:v>
                </c:pt>
                <c:pt idx="18">
                  <c:v>572002</c:v>
                </c:pt>
                <c:pt idx="19">
                  <c:v>583192</c:v>
                </c:pt>
                <c:pt idx="20">
                  <c:v>518469</c:v>
                </c:pt>
                <c:pt idx="21">
                  <c:v>540274</c:v>
                </c:pt>
                <c:pt idx="22">
                  <c:v>533439</c:v>
                </c:pt>
                <c:pt idx="23">
                  <c:v>550788</c:v>
                </c:pt>
                <c:pt idx="24">
                  <c:v>484526</c:v>
                </c:pt>
                <c:pt idx="25">
                  <c:v>498475</c:v>
                </c:pt>
                <c:pt idx="26">
                  <c:v>495011</c:v>
                </c:pt>
                <c:pt idx="27">
                  <c:v>523781</c:v>
                </c:pt>
                <c:pt idx="28">
                  <c:v>508219</c:v>
                </c:pt>
                <c:pt idx="29">
                  <c:v>486452</c:v>
                </c:pt>
                <c:pt idx="30">
                  <c:v>520740</c:v>
                </c:pt>
                <c:pt idx="31">
                  <c:v>531963</c:v>
                </c:pt>
                <c:pt idx="32">
                  <c:v>468766</c:v>
                </c:pt>
                <c:pt idx="33">
                  <c:v>485583</c:v>
                </c:pt>
                <c:pt idx="34">
                  <c:v>493374</c:v>
                </c:pt>
                <c:pt idx="35">
                  <c:v>499869</c:v>
                </c:pt>
              </c:numCache>
            </c:numRef>
          </c:val>
          <c:smooth val="0"/>
          <c:extLst>
            <c:ext xmlns:c16="http://schemas.microsoft.com/office/drawing/2014/chart" uri="{C3380CC4-5D6E-409C-BE32-E72D297353CC}">
              <c16:uniqueId val="{00000003-47BF-421D-9F7C-C7E13AA79C65}"/>
            </c:ext>
          </c:extLst>
        </c:ser>
        <c:ser>
          <c:idx val="4"/>
          <c:order val="4"/>
          <c:tx>
            <c:strRef>
              <c:f>Sheet1!$F$1:$F$2</c:f>
              <c:strCache>
                <c:ptCount val="1"/>
                <c:pt idx="0">
                  <c:v>LANSOPRAZOLE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Sheet1!$A$3:$A$39</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Sheet1!$F$3:$F$39</c:f>
              <c:numCache>
                <c:formatCode>General</c:formatCode>
                <c:ptCount val="36"/>
                <c:pt idx="0">
                  <c:v>138322</c:v>
                </c:pt>
                <c:pt idx="1">
                  <c:v>148564</c:v>
                </c:pt>
                <c:pt idx="2">
                  <c:v>150248</c:v>
                </c:pt>
                <c:pt idx="3">
                  <c:v>156576</c:v>
                </c:pt>
                <c:pt idx="4">
                  <c:v>136301</c:v>
                </c:pt>
                <c:pt idx="5">
                  <c:v>144939</c:v>
                </c:pt>
                <c:pt idx="6">
                  <c:v>145435</c:v>
                </c:pt>
                <c:pt idx="7">
                  <c:v>150805</c:v>
                </c:pt>
                <c:pt idx="8">
                  <c:v>132516</c:v>
                </c:pt>
                <c:pt idx="9">
                  <c:v>139477</c:v>
                </c:pt>
                <c:pt idx="10">
                  <c:v>140342</c:v>
                </c:pt>
                <c:pt idx="11">
                  <c:v>146596</c:v>
                </c:pt>
                <c:pt idx="12">
                  <c:v>127973</c:v>
                </c:pt>
                <c:pt idx="13">
                  <c:v>134678</c:v>
                </c:pt>
                <c:pt idx="14">
                  <c:v>134826</c:v>
                </c:pt>
                <c:pt idx="15">
                  <c:v>138783</c:v>
                </c:pt>
                <c:pt idx="16">
                  <c:v>123453</c:v>
                </c:pt>
                <c:pt idx="17">
                  <c:v>129799</c:v>
                </c:pt>
                <c:pt idx="18">
                  <c:v>128589</c:v>
                </c:pt>
                <c:pt idx="19">
                  <c:v>131460</c:v>
                </c:pt>
                <c:pt idx="20">
                  <c:v>119204</c:v>
                </c:pt>
                <c:pt idx="21">
                  <c:v>124636</c:v>
                </c:pt>
                <c:pt idx="22">
                  <c:v>123492</c:v>
                </c:pt>
                <c:pt idx="23">
                  <c:v>128938</c:v>
                </c:pt>
                <c:pt idx="24">
                  <c:v>114799</c:v>
                </c:pt>
                <c:pt idx="25">
                  <c:v>118281</c:v>
                </c:pt>
                <c:pt idx="26">
                  <c:v>119426</c:v>
                </c:pt>
                <c:pt idx="27">
                  <c:v>127277</c:v>
                </c:pt>
                <c:pt idx="28">
                  <c:v>126191</c:v>
                </c:pt>
                <c:pt idx="29">
                  <c:v>120891</c:v>
                </c:pt>
                <c:pt idx="30">
                  <c:v>128818</c:v>
                </c:pt>
                <c:pt idx="31">
                  <c:v>132933</c:v>
                </c:pt>
                <c:pt idx="32">
                  <c:v>118208</c:v>
                </c:pt>
                <c:pt idx="33">
                  <c:v>122715</c:v>
                </c:pt>
                <c:pt idx="34">
                  <c:v>125610</c:v>
                </c:pt>
                <c:pt idx="35">
                  <c:v>128730</c:v>
                </c:pt>
              </c:numCache>
            </c:numRef>
          </c:val>
          <c:smooth val="0"/>
          <c:extLst>
            <c:ext xmlns:c16="http://schemas.microsoft.com/office/drawing/2014/chart" uri="{C3380CC4-5D6E-409C-BE32-E72D297353CC}">
              <c16:uniqueId val="{00000004-47BF-421D-9F7C-C7E13AA79C65}"/>
            </c:ext>
          </c:extLst>
        </c:ser>
        <c:dLbls>
          <c:showLegendKey val="0"/>
          <c:showVal val="0"/>
          <c:showCatName val="0"/>
          <c:showSerName val="0"/>
          <c:showPercent val="0"/>
          <c:showBubbleSize val="0"/>
        </c:dLbls>
        <c:marker val="1"/>
        <c:smooth val="0"/>
        <c:axId val="787197096"/>
        <c:axId val="787195456"/>
      </c:lineChart>
      <c:catAx>
        <c:axId val="787197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layout>
            <c:manualLayout>
              <c:xMode val="edge"/>
              <c:yMode val="edge"/>
              <c:x val="0.42263271735010866"/>
              <c:y val="0.912062981695647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195456"/>
        <c:crosses val="autoZero"/>
        <c:auto val="1"/>
        <c:lblAlgn val="ctr"/>
        <c:lblOffset val="100"/>
        <c:noMultiLvlLbl val="0"/>
      </c:catAx>
      <c:valAx>
        <c:axId val="787195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1.0942452072113775E-2"/>
              <c:y val="0.411959080896832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1970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[D1393_SCRPT_SUM + relative dose.xlsx]Sheet2 (5)!PivotTable3</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 (5)'!$B$3</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 (5)'!$A$4:$A$40</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'Sheet2 (5)'!$B$4:$B$40</c:f>
              <c:numCache>
                <c:formatCode>General</c:formatCode>
                <c:ptCount val="36"/>
                <c:pt idx="0">
                  <c:v>4506702</c:v>
                </c:pt>
                <c:pt idx="1">
                  <c:v>4973081</c:v>
                </c:pt>
                <c:pt idx="2">
                  <c:v>5145855</c:v>
                </c:pt>
                <c:pt idx="3">
                  <c:v>5437933</c:v>
                </c:pt>
                <c:pt idx="4">
                  <c:v>4770389</c:v>
                </c:pt>
                <c:pt idx="5">
                  <c:v>5207428</c:v>
                </c:pt>
                <c:pt idx="6">
                  <c:v>5319978</c:v>
                </c:pt>
                <c:pt idx="7">
                  <c:v>5573744</c:v>
                </c:pt>
                <c:pt idx="8">
                  <c:v>4884989</c:v>
                </c:pt>
                <c:pt idx="9">
                  <c:v>5256521</c:v>
                </c:pt>
                <c:pt idx="10">
                  <c:v>5406605</c:v>
                </c:pt>
                <c:pt idx="11">
                  <c:v>5712020</c:v>
                </c:pt>
                <c:pt idx="12">
                  <c:v>5052143</c:v>
                </c:pt>
                <c:pt idx="13">
                  <c:v>5432875</c:v>
                </c:pt>
                <c:pt idx="14">
                  <c:v>5545808</c:v>
                </c:pt>
                <c:pt idx="15">
                  <c:v>5766196</c:v>
                </c:pt>
                <c:pt idx="16">
                  <c:v>5194272</c:v>
                </c:pt>
                <c:pt idx="17">
                  <c:v>5545212</c:v>
                </c:pt>
                <c:pt idx="18">
                  <c:v>5548481</c:v>
                </c:pt>
                <c:pt idx="19">
                  <c:v>5725580</c:v>
                </c:pt>
                <c:pt idx="20">
                  <c:v>5187438</c:v>
                </c:pt>
                <c:pt idx="21">
                  <c:v>5521087</c:v>
                </c:pt>
                <c:pt idx="22">
                  <c:v>5540903</c:v>
                </c:pt>
                <c:pt idx="23">
                  <c:v>5799374</c:v>
                </c:pt>
                <c:pt idx="24">
                  <c:v>5176406</c:v>
                </c:pt>
                <c:pt idx="25">
                  <c:v>5316290</c:v>
                </c:pt>
                <c:pt idx="26">
                  <c:v>5279828</c:v>
                </c:pt>
                <c:pt idx="27">
                  <c:v>5570555</c:v>
                </c:pt>
                <c:pt idx="28">
                  <c:v>5430389</c:v>
                </c:pt>
                <c:pt idx="29">
                  <c:v>5282262</c:v>
                </c:pt>
                <c:pt idx="30">
                  <c:v>5776928</c:v>
                </c:pt>
                <c:pt idx="31">
                  <c:v>6032870</c:v>
                </c:pt>
                <c:pt idx="32">
                  <c:v>5394439</c:v>
                </c:pt>
                <c:pt idx="33">
                  <c:v>5686720</c:v>
                </c:pt>
                <c:pt idx="34">
                  <c:v>5920108</c:v>
                </c:pt>
                <c:pt idx="35">
                  <c:v>6113196</c:v>
                </c:pt>
              </c:numCache>
            </c:numRef>
          </c:val>
          <c:smooth val="0"/>
          <c:extLst>
            <c:ext xmlns:c16="http://schemas.microsoft.com/office/drawing/2014/chart" uri="{C3380CC4-5D6E-409C-BE32-E72D297353CC}">
              <c16:uniqueId val="{00000000-A78F-4CDA-83BB-965912683A2A}"/>
            </c:ext>
          </c:extLst>
        </c:ser>
        <c:dLbls>
          <c:showLegendKey val="0"/>
          <c:showVal val="0"/>
          <c:showCatName val="0"/>
          <c:showSerName val="0"/>
          <c:showPercent val="0"/>
          <c:showBubbleSize val="0"/>
        </c:dLbls>
        <c:marker val="1"/>
        <c:smooth val="0"/>
        <c:axId val="996249904"/>
        <c:axId val="996247936"/>
      </c:lineChart>
      <c:catAx>
        <c:axId val="9962499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96247936"/>
        <c:crosses val="autoZero"/>
        <c:auto val="1"/>
        <c:lblAlgn val="ctr"/>
        <c:lblOffset val="100"/>
        <c:noMultiLvlLbl val="0"/>
      </c:catAx>
      <c:valAx>
        <c:axId val="996247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Prescriptions</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96249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[D1393_DDDs_SUM + relative dose_.xlsx]Sheet2 (5)!PivotTable3</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 (5)'!$B$3</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 (5)'!$A$4:$A$40</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'Sheet2 (5)'!$B$4:$B$40</c:f>
              <c:numCache>
                <c:formatCode>General</c:formatCode>
                <c:ptCount val="36"/>
                <c:pt idx="0">
                  <c:v>136235220.66639999</c:v>
                </c:pt>
                <c:pt idx="1">
                  <c:v>150576797</c:v>
                </c:pt>
                <c:pt idx="2">
                  <c:v>155958104.83397001</c:v>
                </c:pt>
                <c:pt idx="3">
                  <c:v>165035587.83332998</c:v>
                </c:pt>
                <c:pt idx="4">
                  <c:v>143908139.49972999</c:v>
                </c:pt>
                <c:pt idx="5">
                  <c:v>157366612.49965999</c:v>
                </c:pt>
                <c:pt idx="6">
                  <c:v>160848787.00060999</c:v>
                </c:pt>
                <c:pt idx="7">
                  <c:v>168283240.66664001</c:v>
                </c:pt>
                <c:pt idx="8">
                  <c:v>146370507.66706002</c:v>
                </c:pt>
                <c:pt idx="9">
                  <c:v>157354076.667</c:v>
                </c:pt>
                <c:pt idx="10">
                  <c:v>161676425.99963668</c:v>
                </c:pt>
                <c:pt idx="11">
                  <c:v>170900887.66696</c:v>
                </c:pt>
                <c:pt idx="12">
                  <c:v>150536640.33361602</c:v>
                </c:pt>
                <c:pt idx="13">
                  <c:v>162100098.00066</c:v>
                </c:pt>
                <c:pt idx="14">
                  <c:v>165383405.667707</c:v>
                </c:pt>
                <c:pt idx="15">
                  <c:v>171955976.833543</c:v>
                </c:pt>
                <c:pt idx="16">
                  <c:v>154211453.99963301</c:v>
                </c:pt>
                <c:pt idx="17">
                  <c:v>164582607.83261701</c:v>
                </c:pt>
                <c:pt idx="18">
                  <c:v>164492024.33363998</c:v>
                </c:pt>
                <c:pt idx="19">
                  <c:v>169578737.33339697</c:v>
                </c:pt>
                <c:pt idx="20">
                  <c:v>152800803.83333701</c:v>
                </c:pt>
                <c:pt idx="21">
                  <c:v>162468382.49991301</c:v>
                </c:pt>
                <c:pt idx="22">
                  <c:v>162670846.33331603</c:v>
                </c:pt>
                <c:pt idx="23">
                  <c:v>169790870.500503</c:v>
                </c:pt>
                <c:pt idx="24">
                  <c:v>150688745.66672999</c:v>
                </c:pt>
                <c:pt idx="25">
                  <c:v>150790977.66661298</c:v>
                </c:pt>
                <c:pt idx="26">
                  <c:v>141814821.33333701</c:v>
                </c:pt>
                <c:pt idx="27">
                  <c:v>144830890.66681999</c:v>
                </c:pt>
                <c:pt idx="28">
                  <c:v>138992650.00011</c:v>
                </c:pt>
                <c:pt idx="29">
                  <c:v>134659165.83326</c:v>
                </c:pt>
                <c:pt idx="30">
                  <c:v>146758971.16660699</c:v>
                </c:pt>
                <c:pt idx="31">
                  <c:v>152946388.33342999</c:v>
                </c:pt>
                <c:pt idx="32">
                  <c:v>136508411.1668227</c:v>
                </c:pt>
                <c:pt idx="33">
                  <c:v>143908869.833334</c:v>
                </c:pt>
                <c:pt idx="34">
                  <c:v>149861334.66659001</c:v>
                </c:pt>
                <c:pt idx="35">
                  <c:v>154747908.33381999</c:v>
                </c:pt>
              </c:numCache>
            </c:numRef>
          </c:val>
          <c:smooth val="0"/>
          <c:extLst>
            <c:ext xmlns:c16="http://schemas.microsoft.com/office/drawing/2014/chart" uri="{C3380CC4-5D6E-409C-BE32-E72D297353CC}">
              <c16:uniqueId val="{00000000-A5B8-4396-B0B4-6D149374F731}"/>
            </c:ext>
          </c:extLst>
        </c:ser>
        <c:dLbls>
          <c:showLegendKey val="0"/>
          <c:showVal val="0"/>
          <c:showCatName val="0"/>
          <c:showSerName val="0"/>
          <c:showPercent val="0"/>
          <c:showBubbleSize val="0"/>
        </c:dLbls>
        <c:marker val="1"/>
        <c:smooth val="0"/>
        <c:axId val="996249904"/>
        <c:axId val="996247936"/>
      </c:lineChart>
      <c:catAx>
        <c:axId val="9962499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96247936"/>
        <c:crosses val="autoZero"/>
        <c:auto val="1"/>
        <c:lblAlgn val="ctr"/>
        <c:lblOffset val="100"/>
        <c:noMultiLvlLbl val="0"/>
      </c:catAx>
      <c:valAx>
        <c:axId val="996247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DDDs</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96249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[D1393_SCRPT_SUM + relative dose.xlsx]Sheet2 (3)!PivotTable3</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 (3)'!$B$3:$B$4</c:f>
              <c:strCache>
                <c:ptCount val="1"/>
                <c:pt idx="0">
                  <c:v>High dose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 (3)'!$A$5:$A$41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'Sheet2 (3)'!$B$5:$B$41</c:f>
              <c:numCache>
                <c:formatCode>General</c:formatCode>
                <c:ptCount val="36"/>
                <c:pt idx="0">
                  <c:v>737377</c:v>
                </c:pt>
                <c:pt idx="1">
                  <c:v>836888</c:v>
                </c:pt>
                <c:pt idx="2">
                  <c:v>889840</c:v>
                </c:pt>
                <c:pt idx="3">
                  <c:v>952642</c:v>
                </c:pt>
                <c:pt idx="4">
                  <c:v>813173</c:v>
                </c:pt>
                <c:pt idx="5">
                  <c:v>911325</c:v>
                </c:pt>
                <c:pt idx="6">
                  <c:v>941234</c:v>
                </c:pt>
                <c:pt idx="7">
                  <c:v>958783</c:v>
                </c:pt>
                <c:pt idx="8">
                  <c:v>795440</c:v>
                </c:pt>
                <c:pt idx="9">
                  <c:v>860458</c:v>
                </c:pt>
                <c:pt idx="10">
                  <c:v>889411</c:v>
                </c:pt>
                <c:pt idx="11">
                  <c:v>948267</c:v>
                </c:pt>
                <c:pt idx="12">
                  <c:v>844586</c:v>
                </c:pt>
                <c:pt idx="13">
                  <c:v>929980</c:v>
                </c:pt>
                <c:pt idx="14">
                  <c:v>957366</c:v>
                </c:pt>
                <c:pt idx="15">
                  <c:v>994019</c:v>
                </c:pt>
                <c:pt idx="16">
                  <c:v>896885</c:v>
                </c:pt>
                <c:pt idx="17">
                  <c:v>957870</c:v>
                </c:pt>
                <c:pt idx="18">
                  <c:v>951245</c:v>
                </c:pt>
                <c:pt idx="19">
                  <c:v>968261</c:v>
                </c:pt>
                <c:pt idx="20">
                  <c:v>871346</c:v>
                </c:pt>
                <c:pt idx="21">
                  <c:v>926933</c:v>
                </c:pt>
                <c:pt idx="22">
                  <c:v>920138</c:v>
                </c:pt>
                <c:pt idx="23">
                  <c:v>941437</c:v>
                </c:pt>
                <c:pt idx="24">
                  <c:v>831567</c:v>
                </c:pt>
                <c:pt idx="25">
                  <c:v>709212</c:v>
                </c:pt>
                <c:pt idx="26">
                  <c:v>488769</c:v>
                </c:pt>
                <c:pt idx="27">
                  <c:v>432787</c:v>
                </c:pt>
                <c:pt idx="28">
                  <c:v>375654</c:v>
                </c:pt>
                <c:pt idx="29">
                  <c:v>353825</c:v>
                </c:pt>
                <c:pt idx="30">
                  <c:v>367121</c:v>
                </c:pt>
                <c:pt idx="31">
                  <c:v>368314</c:v>
                </c:pt>
                <c:pt idx="32">
                  <c:v>321629</c:v>
                </c:pt>
                <c:pt idx="33">
                  <c:v>338657</c:v>
                </c:pt>
                <c:pt idx="34">
                  <c:v>347436</c:v>
                </c:pt>
                <c:pt idx="35">
                  <c:v>348031</c:v>
                </c:pt>
              </c:numCache>
            </c:numRef>
          </c:val>
          <c:smooth val="0"/>
          <c:extLst>
            <c:ext xmlns:c16="http://schemas.microsoft.com/office/drawing/2014/chart" uri="{C3380CC4-5D6E-409C-BE32-E72D297353CC}">
              <c16:uniqueId val="{00000000-5EB3-4374-B8BE-E691DB7967B0}"/>
            </c:ext>
          </c:extLst>
        </c:ser>
        <c:ser>
          <c:idx val="1"/>
          <c:order val="1"/>
          <c:tx>
            <c:strRef>
              <c:f>'Sheet2 (3)'!$C$3:$C$4</c:f>
              <c:strCache>
                <c:ptCount val="1"/>
                <c:pt idx="0">
                  <c:v>Low dose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 (3)'!$A$5:$A$41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'Sheet2 (3)'!$C$5:$C$41</c:f>
              <c:numCache>
                <c:formatCode>General</c:formatCode>
                <c:ptCount val="36"/>
                <c:pt idx="0">
                  <c:v>197326</c:v>
                </c:pt>
                <c:pt idx="1">
                  <c:v>217528</c:v>
                </c:pt>
                <c:pt idx="2">
                  <c:v>228693</c:v>
                </c:pt>
                <c:pt idx="3">
                  <c:v>241668</c:v>
                </c:pt>
                <c:pt idx="4">
                  <c:v>221601</c:v>
                </c:pt>
                <c:pt idx="5">
                  <c:v>241845</c:v>
                </c:pt>
                <c:pt idx="6">
                  <c:v>250884</c:v>
                </c:pt>
                <c:pt idx="7">
                  <c:v>264396</c:v>
                </c:pt>
                <c:pt idx="8">
                  <c:v>242493</c:v>
                </c:pt>
                <c:pt idx="9">
                  <c:v>265916</c:v>
                </c:pt>
                <c:pt idx="10">
                  <c:v>280591</c:v>
                </c:pt>
                <c:pt idx="11">
                  <c:v>298373</c:v>
                </c:pt>
                <c:pt idx="12">
                  <c:v>276335</c:v>
                </c:pt>
                <c:pt idx="13">
                  <c:v>300477</c:v>
                </c:pt>
                <c:pt idx="14">
                  <c:v>311951</c:v>
                </c:pt>
                <c:pt idx="15">
                  <c:v>326169</c:v>
                </c:pt>
                <c:pt idx="16">
                  <c:v>303715</c:v>
                </c:pt>
                <c:pt idx="17">
                  <c:v>327593</c:v>
                </c:pt>
                <c:pt idx="18">
                  <c:v>334878</c:v>
                </c:pt>
                <c:pt idx="19">
                  <c:v>350901</c:v>
                </c:pt>
                <c:pt idx="20">
                  <c:v>332535</c:v>
                </c:pt>
                <c:pt idx="21">
                  <c:v>357619</c:v>
                </c:pt>
                <c:pt idx="22">
                  <c:v>370875</c:v>
                </c:pt>
                <c:pt idx="23">
                  <c:v>401650</c:v>
                </c:pt>
                <c:pt idx="24">
                  <c:v>373435</c:v>
                </c:pt>
                <c:pt idx="25">
                  <c:v>474644</c:v>
                </c:pt>
                <c:pt idx="26">
                  <c:v>626900</c:v>
                </c:pt>
                <c:pt idx="27">
                  <c:v>763413</c:v>
                </c:pt>
                <c:pt idx="28">
                  <c:v>789547</c:v>
                </c:pt>
                <c:pt idx="29">
                  <c:v>786844</c:v>
                </c:pt>
                <c:pt idx="30">
                  <c:v>868607</c:v>
                </c:pt>
                <c:pt idx="31">
                  <c:v>911723</c:v>
                </c:pt>
                <c:pt idx="32">
                  <c:v>827933</c:v>
                </c:pt>
                <c:pt idx="33">
                  <c:v>878453</c:v>
                </c:pt>
                <c:pt idx="34">
                  <c:v>920614</c:v>
                </c:pt>
                <c:pt idx="35">
                  <c:v>953310</c:v>
                </c:pt>
              </c:numCache>
            </c:numRef>
          </c:val>
          <c:smooth val="0"/>
          <c:extLst>
            <c:ext xmlns:c16="http://schemas.microsoft.com/office/drawing/2014/chart" uri="{C3380CC4-5D6E-409C-BE32-E72D297353CC}">
              <c16:uniqueId val="{00000001-5EB3-4374-B8BE-E691DB7967B0}"/>
            </c:ext>
          </c:extLst>
        </c:ser>
        <c:ser>
          <c:idx val="2"/>
          <c:order val="2"/>
          <c:tx>
            <c:strRef>
              <c:f>'Sheet2 (3)'!$D$3:$D$4</c:f>
              <c:strCache>
                <c:ptCount val="1"/>
                <c:pt idx="0">
                  <c:v>Standard dose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 (3)'!$A$5:$A$41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'Sheet2 (3)'!$D$5:$D$41</c:f>
              <c:numCache>
                <c:formatCode>General</c:formatCode>
                <c:ptCount val="36"/>
                <c:pt idx="0">
                  <c:v>3571999</c:v>
                </c:pt>
                <c:pt idx="1">
                  <c:v>3918665</c:v>
                </c:pt>
                <c:pt idx="2">
                  <c:v>4027322</c:v>
                </c:pt>
                <c:pt idx="3">
                  <c:v>4243623</c:v>
                </c:pt>
                <c:pt idx="4">
                  <c:v>3735615</c:v>
                </c:pt>
                <c:pt idx="5">
                  <c:v>4054258</c:v>
                </c:pt>
                <c:pt idx="6">
                  <c:v>4127860</c:v>
                </c:pt>
                <c:pt idx="7">
                  <c:v>4350565</c:v>
                </c:pt>
                <c:pt idx="8">
                  <c:v>3847056</c:v>
                </c:pt>
                <c:pt idx="9">
                  <c:v>4130147</c:v>
                </c:pt>
                <c:pt idx="10">
                  <c:v>4236603</c:v>
                </c:pt>
                <c:pt idx="11">
                  <c:v>4465380</c:v>
                </c:pt>
                <c:pt idx="12">
                  <c:v>3931222</c:v>
                </c:pt>
                <c:pt idx="13">
                  <c:v>4202418</c:v>
                </c:pt>
                <c:pt idx="14">
                  <c:v>4276491</c:v>
                </c:pt>
                <c:pt idx="15">
                  <c:v>4446008</c:v>
                </c:pt>
                <c:pt idx="16">
                  <c:v>3993672</c:v>
                </c:pt>
                <c:pt idx="17">
                  <c:v>4259749</c:v>
                </c:pt>
                <c:pt idx="18">
                  <c:v>4262358</c:v>
                </c:pt>
                <c:pt idx="19">
                  <c:v>4406418</c:v>
                </c:pt>
                <c:pt idx="20">
                  <c:v>3983557</c:v>
                </c:pt>
                <c:pt idx="21">
                  <c:v>4236535</c:v>
                </c:pt>
                <c:pt idx="22">
                  <c:v>4249890</c:v>
                </c:pt>
                <c:pt idx="23">
                  <c:v>4456287</c:v>
                </c:pt>
                <c:pt idx="24">
                  <c:v>3971404</c:v>
                </c:pt>
                <c:pt idx="25">
                  <c:v>4132434</c:v>
                </c:pt>
                <c:pt idx="26">
                  <c:v>4164159</c:v>
                </c:pt>
                <c:pt idx="27">
                  <c:v>4374355</c:v>
                </c:pt>
                <c:pt idx="28">
                  <c:v>4265188</c:v>
                </c:pt>
                <c:pt idx="29">
                  <c:v>4141593</c:v>
                </c:pt>
                <c:pt idx="30">
                  <c:v>4541200</c:v>
                </c:pt>
                <c:pt idx="31">
                  <c:v>4752833</c:v>
                </c:pt>
                <c:pt idx="32">
                  <c:v>4243555</c:v>
                </c:pt>
                <c:pt idx="33">
                  <c:v>4462463</c:v>
                </c:pt>
                <c:pt idx="34">
                  <c:v>4640569</c:v>
                </c:pt>
                <c:pt idx="35">
                  <c:v>4798283</c:v>
                </c:pt>
              </c:numCache>
            </c:numRef>
          </c:val>
          <c:smooth val="0"/>
          <c:extLst>
            <c:ext xmlns:c16="http://schemas.microsoft.com/office/drawing/2014/chart" uri="{C3380CC4-5D6E-409C-BE32-E72D297353CC}">
              <c16:uniqueId val="{00000002-5EB3-4374-B8BE-E691DB7967B0}"/>
            </c:ext>
          </c:extLst>
        </c:ser>
        <c:ser>
          <c:idx val="3"/>
          <c:order val="3"/>
          <c:tx>
            <c:strRef>
              <c:f>'Sheet2 (3)'!$E$3:$E$4</c:f>
              <c:strCache>
                <c:ptCount val="1"/>
                <c:pt idx="0">
                  <c:v>VeryHigh dose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 (3)'!$A$5:$A$41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'Sheet2 (3)'!$E$5:$E$41</c:f>
              <c:numCache>
                <c:formatCode>General</c:formatCode>
                <c:ptCount val="36"/>
                <c:pt idx="32">
                  <c:v>1322</c:v>
                </c:pt>
                <c:pt idx="33">
                  <c:v>7147</c:v>
                </c:pt>
                <c:pt idx="34">
                  <c:v>11489</c:v>
                </c:pt>
                <c:pt idx="35">
                  <c:v>13572</c:v>
                </c:pt>
              </c:numCache>
            </c:numRef>
          </c:val>
          <c:smooth val="0"/>
          <c:extLst>
            <c:ext xmlns:c16="http://schemas.microsoft.com/office/drawing/2014/chart" uri="{C3380CC4-5D6E-409C-BE32-E72D297353CC}">
              <c16:uniqueId val="{00000003-5EB3-4374-B8BE-E691DB7967B0}"/>
            </c:ext>
          </c:extLst>
        </c:ser>
        <c:dLbls>
          <c:showLegendKey val="0"/>
          <c:showVal val="0"/>
          <c:showCatName val="0"/>
          <c:showSerName val="0"/>
          <c:showPercent val="0"/>
          <c:showBubbleSize val="0"/>
        </c:dLbls>
        <c:marker val="1"/>
        <c:smooth val="0"/>
        <c:axId val="996249904"/>
        <c:axId val="996247936"/>
      </c:lineChart>
      <c:catAx>
        <c:axId val="996249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6247936"/>
        <c:crosses val="autoZero"/>
        <c:auto val="1"/>
        <c:lblAlgn val="ctr"/>
        <c:lblOffset val="100"/>
        <c:noMultiLvlLbl val="0"/>
      </c:catAx>
      <c:valAx>
        <c:axId val="996247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6249904"/>
        <c:crosses val="autoZero"/>
        <c:crossBetween val="between"/>
      </c:valAx>
      <c:spPr>
        <a:noFill/>
        <a:ln>
          <a:noFill/>
        </a:ln>
        <a:effectLst/>
      </c:spPr>
    </c:plotArea>
    <c:legend>
      <c:legendPos val="r"/>
      <c:layout>
        <c:manualLayout>
          <c:xMode val="edge"/>
          <c:yMode val="edge"/>
          <c:x val="0.82206968824567739"/>
          <c:y val="0.36500350623965527"/>
          <c:w val="0.16108234809697222"/>
          <c:h val="0.295359020398856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[D1393_DDDs_SUM + relative dose_.xlsx]Sheet2 (3)!PivotTable3</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'Sheet2 (3)'!$B$3:$B$4</c:f>
              <c:strCache>
                <c:ptCount val="1"/>
                <c:pt idx="0">
                  <c:v>High dose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 (3)'!$A$5:$A$41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'Sheet2 (3)'!$B$5:$B$41</c:f>
              <c:numCache>
                <c:formatCode>General</c:formatCode>
                <c:ptCount val="36"/>
                <c:pt idx="0">
                  <c:v>29682343.999730002</c:v>
                </c:pt>
                <c:pt idx="1">
                  <c:v>33704300</c:v>
                </c:pt>
                <c:pt idx="2">
                  <c:v>35850126.667329997</c:v>
                </c:pt>
                <c:pt idx="3">
                  <c:v>38405962.666669995</c:v>
                </c:pt>
                <c:pt idx="4">
                  <c:v>32786585.333000001</c:v>
                </c:pt>
                <c:pt idx="5">
                  <c:v>36763054.666329995</c:v>
                </c:pt>
                <c:pt idx="6">
                  <c:v>37980417.333999999</c:v>
                </c:pt>
                <c:pt idx="7">
                  <c:v>38730878.666669995</c:v>
                </c:pt>
                <c:pt idx="8">
                  <c:v>32145528.000360001</c:v>
                </c:pt>
                <c:pt idx="9">
                  <c:v>34800420.000330001</c:v>
                </c:pt>
                <c:pt idx="10">
                  <c:v>35989565.333000004</c:v>
                </c:pt>
                <c:pt idx="11">
                  <c:v>38383354.666680001</c:v>
                </c:pt>
                <c:pt idx="12">
                  <c:v>34164370.667009994</c:v>
                </c:pt>
                <c:pt idx="13">
                  <c:v>37638054.667329997</c:v>
                </c:pt>
                <c:pt idx="14">
                  <c:v>38762600.000969999</c:v>
                </c:pt>
                <c:pt idx="15">
                  <c:v>40293329.333609998</c:v>
                </c:pt>
                <c:pt idx="16">
                  <c:v>36333479.999600001</c:v>
                </c:pt>
                <c:pt idx="17">
                  <c:v>38825239.999290004</c:v>
                </c:pt>
                <c:pt idx="18">
                  <c:v>38564625.333699994</c:v>
                </c:pt>
                <c:pt idx="19">
                  <c:v>39278654.666670002</c:v>
                </c:pt>
                <c:pt idx="20">
                  <c:v>35306957.333299994</c:v>
                </c:pt>
                <c:pt idx="21">
                  <c:v>37578320</c:v>
                </c:pt>
                <c:pt idx="22">
                  <c:v>37326238.666610003</c:v>
                </c:pt>
                <c:pt idx="23">
                  <c:v>38216941.333970003</c:v>
                </c:pt>
                <c:pt idx="24">
                  <c:v>33723324.000029996</c:v>
                </c:pt>
                <c:pt idx="25">
                  <c:v>28882662.66666</c:v>
                </c:pt>
                <c:pt idx="26">
                  <c:v>20001506.666730002</c:v>
                </c:pt>
                <c:pt idx="27">
                  <c:v>17727684.000020001</c:v>
                </c:pt>
                <c:pt idx="28">
                  <c:v>15371557.33337</c:v>
                </c:pt>
                <c:pt idx="29">
                  <c:v>14468432</c:v>
                </c:pt>
                <c:pt idx="30">
                  <c:v>15017306.66666</c:v>
                </c:pt>
                <c:pt idx="31">
                  <c:v>15076634.666689999</c:v>
                </c:pt>
                <c:pt idx="32">
                  <c:v>13135370.333389999</c:v>
                </c:pt>
                <c:pt idx="33">
                  <c:v>13801249.666663999</c:v>
                </c:pt>
                <c:pt idx="34">
                  <c:v>14207646.000033</c:v>
                </c:pt>
                <c:pt idx="35">
                  <c:v>14335628.66677</c:v>
                </c:pt>
              </c:numCache>
            </c:numRef>
          </c:val>
          <c:smooth val="0"/>
          <c:extLst>
            <c:ext xmlns:c16="http://schemas.microsoft.com/office/drawing/2014/chart" uri="{C3380CC4-5D6E-409C-BE32-E72D297353CC}">
              <c16:uniqueId val="{00000000-CFAB-42B2-95DB-121C2F9A4D3E}"/>
            </c:ext>
          </c:extLst>
        </c:ser>
        <c:ser>
          <c:idx val="1"/>
          <c:order val="1"/>
          <c:tx>
            <c:strRef>
              <c:f>'Sheet2 (3)'!$C$3:$C$4</c:f>
              <c:strCache>
                <c:ptCount val="1"/>
                <c:pt idx="0">
                  <c:v>Low dose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 (3)'!$A$5:$A$41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'Sheet2 (3)'!$C$5:$C$41</c:f>
              <c:numCache>
                <c:formatCode>General</c:formatCode>
                <c:ptCount val="36"/>
                <c:pt idx="0">
                  <c:v>2992018</c:v>
                </c:pt>
                <c:pt idx="1">
                  <c:v>3298954</c:v>
                </c:pt>
                <c:pt idx="2">
                  <c:v>3467639.5</c:v>
                </c:pt>
                <c:pt idx="3">
                  <c:v>3667344.5</c:v>
                </c:pt>
                <c:pt idx="4">
                  <c:v>3361076.5</c:v>
                </c:pt>
                <c:pt idx="5">
                  <c:v>3670259.5</c:v>
                </c:pt>
                <c:pt idx="6">
                  <c:v>3808140</c:v>
                </c:pt>
                <c:pt idx="7">
                  <c:v>4016187</c:v>
                </c:pt>
                <c:pt idx="8">
                  <c:v>3679635</c:v>
                </c:pt>
                <c:pt idx="9">
                  <c:v>4034381</c:v>
                </c:pt>
                <c:pt idx="10">
                  <c:v>4256545</c:v>
                </c:pt>
                <c:pt idx="11">
                  <c:v>4528233</c:v>
                </c:pt>
                <c:pt idx="12">
                  <c:v>4187233</c:v>
                </c:pt>
                <c:pt idx="13">
                  <c:v>4554247</c:v>
                </c:pt>
                <c:pt idx="14">
                  <c:v>4729713</c:v>
                </c:pt>
                <c:pt idx="15">
                  <c:v>4945823.5</c:v>
                </c:pt>
                <c:pt idx="16">
                  <c:v>4601370</c:v>
                </c:pt>
                <c:pt idx="17">
                  <c:v>4963294.5</c:v>
                </c:pt>
                <c:pt idx="18">
                  <c:v>5074318</c:v>
                </c:pt>
                <c:pt idx="19">
                  <c:v>5319069</c:v>
                </c:pt>
                <c:pt idx="20">
                  <c:v>5034936.5</c:v>
                </c:pt>
                <c:pt idx="21">
                  <c:v>5414588.5</c:v>
                </c:pt>
                <c:pt idx="22">
                  <c:v>5615327</c:v>
                </c:pt>
                <c:pt idx="23">
                  <c:v>6085046.5</c:v>
                </c:pt>
                <c:pt idx="24">
                  <c:v>5649330</c:v>
                </c:pt>
                <c:pt idx="25">
                  <c:v>7174667</c:v>
                </c:pt>
                <c:pt idx="26">
                  <c:v>9479931</c:v>
                </c:pt>
                <c:pt idx="27">
                  <c:v>11549809</c:v>
                </c:pt>
                <c:pt idx="28">
                  <c:v>11933430</c:v>
                </c:pt>
                <c:pt idx="29">
                  <c:v>11883088.5</c:v>
                </c:pt>
                <c:pt idx="30">
                  <c:v>13106918.5</c:v>
                </c:pt>
                <c:pt idx="31">
                  <c:v>13753378</c:v>
                </c:pt>
                <c:pt idx="32">
                  <c:v>12475495.5</c:v>
                </c:pt>
                <c:pt idx="33">
                  <c:v>13232613.5</c:v>
                </c:pt>
                <c:pt idx="34">
                  <c:v>13858484</c:v>
                </c:pt>
                <c:pt idx="35">
                  <c:v>14348185</c:v>
                </c:pt>
              </c:numCache>
            </c:numRef>
          </c:val>
          <c:smooth val="0"/>
          <c:extLst>
            <c:ext xmlns:c16="http://schemas.microsoft.com/office/drawing/2014/chart" uri="{C3380CC4-5D6E-409C-BE32-E72D297353CC}">
              <c16:uniqueId val="{00000001-CFAB-42B2-95DB-121C2F9A4D3E}"/>
            </c:ext>
          </c:extLst>
        </c:ser>
        <c:ser>
          <c:idx val="2"/>
          <c:order val="2"/>
          <c:tx>
            <c:strRef>
              <c:f>'Sheet2 (3)'!$D$3:$D$4</c:f>
              <c:strCache>
                <c:ptCount val="1"/>
                <c:pt idx="0">
                  <c:v>Standard dose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 (3)'!$A$5:$A$41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'Sheet2 (3)'!$D$5:$D$41</c:f>
              <c:numCache>
                <c:formatCode>General</c:formatCode>
                <c:ptCount val="36"/>
                <c:pt idx="0">
                  <c:v>103560858.66666999</c:v>
                </c:pt>
                <c:pt idx="1">
                  <c:v>113573543</c:v>
                </c:pt>
                <c:pt idx="2">
                  <c:v>116640338.66664</c:v>
                </c:pt>
                <c:pt idx="3">
                  <c:v>122962280.66666001</c:v>
                </c:pt>
                <c:pt idx="4">
                  <c:v>107760477.66673</c:v>
                </c:pt>
                <c:pt idx="5">
                  <c:v>116933298.33333001</c:v>
                </c:pt>
                <c:pt idx="6">
                  <c:v>119060229.66661</c:v>
                </c:pt>
                <c:pt idx="7">
                  <c:v>125536174.99997</c:v>
                </c:pt>
                <c:pt idx="8">
                  <c:v>110545344.66670001</c:v>
                </c:pt>
                <c:pt idx="9">
                  <c:v>118519275.66666999</c:v>
                </c:pt>
                <c:pt idx="10">
                  <c:v>121430315.66663668</c:v>
                </c:pt>
                <c:pt idx="11">
                  <c:v>127989300.00027999</c:v>
                </c:pt>
                <c:pt idx="12">
                  <c:v>112185036.66660599</c:v>
                </c:pt>
                <c:pt idx="13">
                  <c:v>119907796.33333001</c:v>
                </c:pt>
                <c:pt idx="14">
                  <c:v>121891092.66673699</c:v>
                </c:pt>
                <c:pt idx="15">
                  <c:v>126716823.999933</c:v>
                </c:pt>
                <c:pt idx="16">
                  <c:v>113276604.00003299</c:v>
                </c:pt>
                <c:pt idx="17">
                  <c:v>120794073.333327</c:v>
                </c:pt>
                <c:pt idx="18">
                  <c:v>120853080.99994001</c:v>
                </c:pt>
                <c:pt idx="19">
                  <c:v>124981013.66672701</c:v>
                </c:pt>
                <c:pt idx="20">
                  <c:v>112458910.000037</c:v>
                </c:pt>
                <c:pt idx="21">
                  <c:v>119475473.99991299</c:v>
                </c:pt>
                <c:pt idx="22">
                  <c:v>119729280.666706</c:v>
                </c:pt>
                <c:pt idx="23">
                  <c:v>125488882.66653299</c:v>
                </c:pt>
                <c:pt idx="24">
                  <c:v>111316091.66670001</c:v>
                </c:pt>
                <c:pt idx="25">
                  <c:v>114733647.999953</c:v>
                </c:pt>
                <c:pt idx="26">
                  <c:v>112333383.66660699</c:v>
                </c:pt>
                <c:pt idx="27">
                  <c:v>115553397.66679999</c:v>
                </c:pt>
                <c:pt idx="28">
                  <c:v>111687662.66674</c:v>
                </c:pt>
                <c:pt idx="29">
                  <c:v>108307645.33326</c:v>
                </c:pt>
                <c:pt idx="30">
                  <c:v>118634745.99994701</c:v>
                </c:pt>
                <c:pt idx="31">
                  <c:v>124116375.66674</c:v>
                </c:pt>
                <c:pt idx="32">
                  <c:v>110822065.3334327</c:v>
                </c:pt>
                <c:pt idx="33">
                  <c:v>116447928</c:v>
                </c:pt>
                <c:pt idx="34">
                  <c:v>121074963.33322701</c:v>
                </c:pt>
                <c:pt idx="35">
                  <c:v>125190764.00038999</c:v>
                </c:pt>
              </c:numCache>
            </c:numRef>
          </c:val>
          <c:smooth val="0"/>
          <c:extLst>
            <c:ext xmlns:c16="http://schemas.microsoft.com/office/drawing/2014/chart" uri="{C3380CC4-5D6E-409C-BE32-E72D297353CC}">
              <c16:uniqueId val="{00000002-CFAB-42B2-95DB-121C2F9A4D3E}"/>
            </c:ext>
          </c:extLst>
        </c:ser>
        <c:ser>
          <c:idx val="3"/>
          <c:order val="3"/>
          <c:tx>
            <c:strRef>
              <c:f>'Sheet2 (3)'!$E$3:$E$4</c:f>
              <c:strCache>
                <c:ptCount val="1"/>
                <c:pt idx="0">
                  <c:v>VeryHigh dose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 (3)'!$A$5:$A$41</c:f>
              <c:strCache>
                <c:ptCount val="36"/>
                <c:pt idx="0">
                  <c:v>2013Q1</c:v>
                </c:pt>
                <c:pt idx="1">
                  <c:v>2013Q2</c:v>
                </c:pt>
                <c:pt idx="2">
                  <c:v>2013Q3</c:v>
                </c:pt>
                <c:pt idx="3">
                  <c:v>2013Q4</c:v>
                </c:pt>
                <c:pt idx="4">
                  <c:v>2014Q1</c:v>
                </c:pt>
                <c:pt idx="5">
                  <c:v>2014Q2</c:v>
                </c:pt>
                <c:pt idx="6">
                  <c:v>2014Q3</c:v>
                </c:pt>
                <c:pt idx="7">
                  <c:v>2014Q4</c:v>
                </c:pt>
                <c:pt idx="8">
                  <c:v>2015Q1</c:v>
                </c:pt>
                <c:pt idx="9">
                  <c:v>2015Q2</c:v>
                </c:pt>
                <c:pt idx="10">
                  <c:v>2015Q3</c:v>
                </c:pt>
                <c:pt idx="11">
                  <c:v>2015Q4</c:v>
                </c:pt>
                <c:pt idx="12">
                  <c:v>2016Q1</c:v>
                </c:pt>
                <c:pt idx="13">
                  <c:v>2016Q2</c:v>
                </c:pt>
                <c:pt idx="14">
                  <c:v>2016Q3</c:v>
                </c:pt>
                <c:pt idx="15">
                  <c:v>2016Q4</c:v>
                </c:pt>
                <c:pt idx="16">
                  <c:v>2017Q1</c:v>
                </c:pt>
                <c:pt idx="17">
                  <c:v>2017Q2</c:v>
                </c:pt>
                <c:pt idx="18">
                  <c:v>2017Q3</c:v>
                </c:pt>
                <c:pt idx="19">
                  <c:v>2017Q4</c:v>
                </c:pt>
                <c:pt idx="20">
                  <c:v>2018Q1</c:v>
                </c:pt>
                <c:pt idx="21">
                  <c:v>2018Q2</c:v>
                </c:pt>
                <c:pt idx="22">
                  <c:v>2018Q3</c:v>
                </c:pt>
                <c:pt idx="23">
                  <c:v>2018Q4</c:v>
                </c:pt>
                <c:pt idx="24">
                  <c:v>2019Q1</c:v>
                </c:pt>
                <c:pt idx="25">
                  <c:v>2019Q2</c:v>
                </c:pt>
                <c:pt idx="26">
                  <c:v>2019Q3</c:v>
                </c:pt>
                <c:pt idx="27">
                  <c:v>2019Q4</c:v>
                </c:pt>
                <c:pt idx="28">
                  <c:v>2020Q1</c:v>
                </c:pt>
                <c:pt idx="29">
                  <c:v>2020Q2</c:v>
                </c:pt>
                <c:pt idx="30">
                  <c:v>2020Q3</c:v>
                </c:pt>
                <c:pt idx="31">
                  <c:v>2020Q4</c:v>
                </c:pt>
                <c:pt idx="32">
                  <c:v>2021Q1</c:v>
                </c:pt>
                <c:pt idx="33">
                  <c:v>2021Q2</c:v>
                </c:pt>
                <c:pt idx="34">
                  <c:v>2021Q3</c:v>
                </c:pt>
                <c:pt idx="35">
                  <c:v>2021Q4</c:v>
                </c:pt>
              </c:strCache>
            </c:strRef>
          </c:cat>
          <c:val>
            <c:numRef>
              <c:f>'Sheet2 (3)'!$E$5:$E$41</c:f>
              <c:numCache>
                <c:formatCode>General</c:formatCode>
                <c:ptCount val="36"/>
                <c:pt idx="32">
                  <c:v>75480</c:v>
                </c:pt>
                <c:pt idx="33">
                  <c:v>427078.66667000001</c:v>
                </c:pt>
                <c:pt idx="34">
                  <c:v>720241.33333000005</c:v>
                </c:pt>
                <c:pt idx="35">
                  <c:v>873330.6666600001</c:v>
                </c:pt>
              </c:numCache>
            </c:numRef>
          </c:val>
          <c:smooth val="0"/>
          <c:extLst>
            <c:ext xmlns:c16="http://schemas.microsoft.com/office/drawing/2014/chart" uri="{C3380CC4-5D6E-409C-BE32-E72D297353CC}">
              <c16:uniqueId val="{00000003-CFAB-42B2-95DB-121C2F9A4D3E}"/>
            </c:ext>
          </c:extLst>
        </c:ser>
        <c:dLbls>
          <c:showLegendKey val="0"/>
          <c:showVal val="0"/>
          <c:showCatName val="0"/>
          <c:showSerName val="0"/>
          <c:showPercent val="0"/>
          <c:showBubbleSize val="0"/>
        </c:dLbls>
        <c:marker val="1"/>
        <c:smooth val="0"/>
        <c:axId val="996249904"/>
        <c:axId val="996247936"/>
      </c:lineChart>
      <c:catAx>
        <c:axId val="996249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6247936"/>
        <c:crosses val="autoZero"/>
        <c:auto val="1"/>
        <c:lblAlgn val="ctr"/>
        <c:lblOffset val="100"/>
        <c:noMultiLvlLbl val="0"/>
      </c:catAx>
      <c:valAx>
        <c:axId val="996247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DDDs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6249904"/>
        <c:crosses val="autoZero"/>
        <c:crossBetween val="between"/>
      </c:valAx>
      <c:spPr>
        <a:noFill/>
        <a:ln>
          <a:noFill/>
        </a:ln>
        <a:effectLst/>
      </c:spPr>
    </c:plotArea>
    <c:legend>
      <c:legendPos val="r"/>
      <c:layout>
        <c:manualLayout>
          <c:xMode val="edge"/>
          <c:yMode val="edge"/>
          <c:x val="0.83278550479089819"/>
          <c:y val="0.36500350623965527"/>
          <c:w val="0.14975463311406689"/>
          <c:h val="0.287403388495490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[D1393 - SEQ_INIT_FREQ relative dose- 100%.xlsx]pivot tables + pie!PivotTable2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Patients in 2017</a:t>
            </a:r>
          </a:p>
        </c:rich>
      </c:tx>
      <c:layout>
        <c:manualLayout>
          <c:xMode val="edge"/>
          <c:yMode val="edge"/>
          <c:x val="0.48433033208585213"/>
          <c:y val="4.138207777484691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pivotFmt>
      <c:pivotFmt>
        <c:idx val="1"/>
        <c:spPr>
          <a:solidFill>
            <a:schemeClr val="accent1"/>
          </a:solidFill>
          <a:ln w="19050">
            <a:solidFill>
              <a:schemeClr val="lt1"/>
            </a:solidFill>
          </a:ln>
          <a:effectLst/>
        </c:spPr>
        <c:marker>
          <c:symbol val="none"/>
        </c:marker>
      </c:pivotFmt>
      <c:pivotFmt>
        <c:idx val="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pivotFmt>
      <c:pivotFmt>
        <c:idx val="29"/>
        <c:spPr>
          <a:solidFill>
            <a:schemeClr val="accent1"/>
          </a:solidFill>
          <a:ln w="19050">
            <a:solidFill>
              <a:schemeClr val="lt1"/>
            </a:solidFill>
          </a:ln>
          <a:effectLst/>
        </c:spPr>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pivotFmt>
      <c:pivotFmt>
        <c:idx val="64"/>
        <c:spPr>
          <a:solidFill>
            <a:schemeClr val="accent1"/>
          </a:solidFill>
          <a:ln w="19050">
            <a:solidFill>
              <a:schemeClr val="lt1"/>
            </a:solidFill>
          </a:ln>
          <a:effectLst/>
        </c:spPr>
      </c:pivotFmt>
      <c:pivotFmt>
        <c:idx val="65"/>
        <c:spPr>
          <a:solidFill>
            <a:schemeClr val="accent1"/>
          </a:solidFill>
          <a:ln w="19050">
            <a:solidFill>
              <a:schemeClr val="lt1"/>
            </a:solidFill>
          </a:ln>
          <a:effectLst/>
        </c:spPr>
      </c:pivotFmt>
      <c:pivotFmt>
        <c:idx val="66"/>
        <c:spPr>
          <a:solidFill>
            <a:schemeClr val="accent1"/>
          </a:solidFill>
          <a:ln w="19050">
            <a:solidFill>
              <a:schemeClr val="lt1"/>
            </a:solidFill>
          </a:ln>
          <a:effectLst/>
        </c:spPr>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pivotFmt>
      <c:pivotFmt>
        <c:idx val="72"/>
        <c:spPr>
          <a:solidFill>
            <a:schemeClr val="accent1"/>
          </a:solidFill>
          <a:ln w="19050">
            <a:solidFill>
              <a:schemeClr val="lt1"/>
            </a:solidFill>
          </a:ln>
          <a:effectLst/>
        </c:spPr>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19050">
            <a:solidFill>
              <a:schemeClr val="lt1"/>
            </a:solidFill>
          </a:ln>
          <a:effectLst/>
        </c:spPr>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pivotFmt>
      <c:pivotFmt>
        <c:idx val="81"/>
        <c:spPr>
          <a:solidFill>
            <a:schemeClr val="accent1"/>
          </a:solidFill>
          <a:ln w="19050">
            <a:solidFill>
              <a:schemeClr val="lt1"/>
            </a:solidFill>
          </a:ln>
          <a:effectLst/>
        </c:spPr>
      </c:pivotFmt>
      <c:pivotFmt>
        <c:idx val="82"/>
        <c:spPr>
          <a:solidFill>
            <a:schemeClr val="accent1"/>
          </a:solidFill>
          <a:ln w="19050">
            <a:solidFill>
              <a:schemeClr val="lt1"/>
            </a:solidFill>
          </a:ln>
          <a:effectLst/>
        </c:spPr>
      </c:pivotFmt>
      <c:pivotFmt>
        <c:idx val="83"/>
        <c:spPr>
          <a:solidFill>
            <a:schemeClr val="accent1"/>
          </a:solidFill>
          <a:ln w="19050">
            <a:solidFill>
              <a:schemeClr val="lt1"/>
            </a:solidFill>
          </a:ln>
          <a:effectLst/>
        </c:spPr>
      </c:pivotFmt>
      <c:pivotFmt>
        <c:idx val="84"/>
        <c:spPr>
          <a:solidFill>
            <a:schemeClr val="accent1"/>
          </a:solidFill>
          <a:ln w="19050">
            <a:solidFill>
              <a:schemeClr val="lt1"/>
            </a:solidFill>
          </a:ln>
          <a:effectLst/>
        </c:spPr>
      </c:pivotFmt>
      <c:pivotFmt>
        <c:idx val="85"/>
        <c:spPr>
          <a:solidFill>
            <a:schemeClr val="accent1"/>
          </a:solidFill>
          <a:ln w="19050">
            <a:solidFill>
              <a:schemeClr val="lt1"/>
            </a:solidFill>
          </a:ln>
          <a:effectLst/>
        </c:spPr>
      </c:pivotFmt>
      <c:pivotFmt>
        <c:idx val="86"/>
        <c:spPr>
          <a:solidFill>
            <a:schemeClr val="accent1"/>
          </a:solidFill>
          <a:ln w="19050">
            <a:solidFill>
              <a:schemeClr val="lt1"/>
            </a:solidFill>
          </a:ln>
          <a:effectLst/>
        </c:spPr>
      </c:pivotFmt>
      <c:pivotFmt>
        <c:idx val="87"/>
        <c:spPr>
          <a:solidFill>
            <a:schemeClr val="accent1"/>
          </a:solidFill>
          <a:ln w="19050">
            <a:solidFill>
              <a:schemeClr val="lt1"/>
            </a:solidFill>
          </a:ln>
          <a:effectLst/>
        </c:spPr>
      </c:pivotFmt>
      <c:pivotFmt>
        <c:idx val="88"/>
        <c:spPr>
          <a:solidFill>
            <a:schemeClr val="accent1"/>
          </a:solidFill>
          <a:ln w="19050">
            <a:solidFill>
              <a:schemeClr val="lt1"/>
            </a:solidFill>
          </a:ln>
          <a:effectLst/>
        </c:spPr>
      </c:pivotFmt>
      <c:pivotFmt>
        <c:idx val="89"/>
        <c:spPr>
          <a:solidFill>
            <a:schemeClr val="accent1"/>
          </a:solidFill>
          <a:ln w="19050">
            <a:solidFill>
              <a:schemeClr val="lt1"/>
            </a:solidFill>
          </a:ln>
          <a:effectLst/>
        </c:spPr>
      </c:pivotFmt>
      <c:pivotFmt>
        <c:idx val="90"/>
        <c:spPr>
          <a:solidFill>
            <a:schemeClr val="accent1"/>
          </a:solidFill>
          <a:ln w="19050">
            <a:solidFill>
              <a:schemeClr val="lt1"/>
            </a:solidFill>
          </a:ln>
          <a:effectLst/>
        </c:spPr>
      </c:pivotFmt>
      <c:pivotFmt>
        <c:idx val="91"/>
        <c:spPr>
          <a:solidFill>
            <a:schemeClr val="accent1"/>
          </a:solidFill>
          <a:ln w="19050">
            <a:solidFill>
              <a:schemeClr val="lt1"/>
            </a:solidFill>
          </a:ln>
          <a:effectLst/>
        </c:spPr>
      </c:pivotFmt>
      <c:pivotFmt>
        <c:idx val="92"/>
        <c:spPr>
          <a:solidFill>
            <a:schemeClr val="accent1"/>
          </a:solidFill>
          <a:ln w="19050">
            <a:solidFill>
              <a:schemeClr val="lt1"/>
            </a:solidFill>
          </a:ln>
          <a:effectLst/>
        </c:spPr>
      </c:pivotFmt>
      <c:pivotFmt>
        <c:idx val="93"/>
        <c:spPr>
          <a:solidFill>
            <a:schemeClr val="accent1"/>
          </a:solidFill>
          <a:ln w="19050">
            <a:solidFill>
              <a:schemeClr val="lt1"/>
            </a:solidFill>
          </a:ln>
          <a:effectLst/>
        </c:spPr>
      </c:pivotFmt>
      <c:pivotFmt>
        <c:idx val="94"/>
        <c:spPr>
          <a:solidFill>
            <a:schemeClr val="accent1"/>
          </a:solidFill>
          <a:ln w="19050">
            <a:solidFill>
              <a:schemeClr val="lt1"/>
            </a:solidFill>
          </a:ln>
          <a:effectLst/>
        </c:spPr>
      </c:pivotFmt>
      <c:pivotFmt>
        <c:idx val="95"/>
        <c:spPr>
          <a:solidFill>
            <a:schemeClr val="accent1"/>
          </a:solidFill>
          <a:ln w="19050">
            <a:solidFill>
              <a:schemeClr val="lt1"/>
            </a:solidFill>
          </a:ln>
          <a:effectLst/>
        </c:spPr>
      </c:pivotFmt>
      <c:pivotFmt>
        <c:idx val="96"/>
        <c:spPr>
          <a:solidFill>
            <a:schemeClr val="accent1"/>
          </a:solidFill>
          <a:ln w="19050">
            <a:solidFill>
              <a:schemeClr val="lt1"/>
            </a:solidFill>
          </a:ln>
          <a:effectLst/>
        </c:spPr>
      </c:pivotFmt>
      <c:pivotFmt>
        <c:idx val="97"/>
        <c:spPr>
          <a:solidFill>
            <a:schemeClr val="accent1"/>
          </a:solidFill>
          <a:ln w="19050">
            <a:solidFill>
              <a:schemeClr val="lt1"/>
            </a:solidFill>
          </a:ln>
          <a:effectLst/>
        </c:spPr>
      </c:pivotFmt>
      <c:pivotFmt>
        <c:idx val="98"/>
        <c:spPr>
          <a:solidFill>
            <a:schemeClr val="accent1"/>
          </a:solidFill>
          <a:ln w="19050">
            <a:solidFill>
              <a:schemeClr val="lt1"/>
            </a:solidFill>
          </a:ln>
          <a:effectLst/>
        </c:spPr>
      </c:pivotFmt>
      <c:pivotFmt>
        <c:idx val="99"/>
        <c:spPr>
          <a:solidFill>
            <a:schemeClr val="accent1"/>
          </a:solidFill>
          <a:ln w="19050">
            <a:solidFill>
              <a:schemeClr val="lt1"/>
            </a:solidFill>
          </a:ln>
          <a:effectLst/>
        </c:spPr>
      </c:pivotFmt>
      <c:pivotFmt>
        <c:idx val="100"/>
        <c:spPr>
          <a:solidFill>
            <a:schemeClr val="accent1"/>
          </a:solidFill>
          <a:ln w="19050">
            <a:solidFill>
              <a:schemeClr val="lt1"/>
            </a:solidFill>
          </a:ln>
          <a:effectLst/>
        </c:spPr>
      </c:pivotFmt>
      <c:pivotFmt>
        <c:idx val="101"/>
        <c:spPr>
          <a:solidFill>
            <a:schemeClr val="accent1"/>
          </a:solidFill>
          <a:ln w="19050">
            <a:solidFill>
              <a:schemeClr val="lt1"/>
            </a:solidFill>
          </a:ln>
          <a:effectLst/>
        </c:spPr>
      </c:pivotFmt>
      <c:pivotFmt>
        <c:idx val="10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w="19050">
            <a:solidFill>
              <a:schemeClr val="lt1"/>
            </a:solidFill>
          </a:ln>
          <a:effectLst/>
        </c:spPr>
      </c:pivotFmt>
      <c:pivotFmt>
        <c:idx val="104"/>
        <c:spPr>
          <a:solidFill>
            <a:schemeClr val="accent1"/>
          </a:solidFill>
          <a:ln w="19050">
            <a:solidFill>
              <a:schemeClr val="lt1"/>
            </a:solidFill>
          </a:ln>
          <a:effectLst/>
        </c:spPr>
      </c:pivotFmt>
      <c:pivotFmt>
        <c:idx val="105"/>
        <c:spPr>
          <a:solidFill>
            <a:schemeClr val="accent1"/>
          </a:solidFill>
          <a:ln w="19050">
            <a:solidFill>
              <a:schemeClr val="lt1"/>
            </a:solidFill>
          </a:ln>
          <a:effectLst/>
        </c:spPr>
      </c:pivotFmt>
      <c:pivotFmt>
        <c:idx val="106"/>
        <c:spPr>
          <a:solidFill>
            <a:schemeClr val="accent1"/>
          </a:solidFill>
          <a:ln w="19050">
            <a:solidFill>
              <a:schemeClr val="lt1"/>
            </a:solidFill>
          </a:ln>
          <a:effectLst/>
        </c:spPr>
      </c:pivotFmt>
      <c:pivotFmt>
        <c:idx val="107"/>
        <c:spPr>
          <a:solidFill>
            <a:schemeClr val="accent1"/>
          </a:solidFill>
          <a:ln w="19050">
            <a:solidFill>
              <a:schemeClr val="lt1"/>
            </a:solidFill>
          </a:ln>
          <a:effectLst/>
        </c:spPr>
      </c:pivotFmt>
      <c:pivotFmt>
        <c:idx val="108"/>
        <c:spPr>
          <a:solidFill>
            <a:schemeClr val="accent1"/>
          </a:solidFill>
          <a:ln w="19050">
            <a:solidFill>
              <a:schemeClr val="lt1"/>
            </a:solidFill>
          </a:ln>
          <a:effectLst/>
        </c:spPr>
      </c:pivotFmt>
      <c:pivotFmt>
        <c:idx val="109"/>
        <c:spPr>
          <a:solidFill>
            <a:schemeClr val="accent1"/>
          </a:solidFill>
          <a:ln w="19050">
            <a:solidFill>
              <a:schemeClr val="lt1"/>
            </a:solidFill>
          </a:ln>
          <a:effectLst/>
        </c:spPr>
      </c:pivotFmt>
      <c:pivotFmt>
        <c:idx val="110"/>
        <c:spPr>
          <a:solidFill>
            <a:schemeClr val="accent1"/>
          </a:solidFill>
          <a:ln w="19050">
            <a:solidFill>
              <a:schemeClr val="lt1"/>
            </a:solidFill>
          </a:ln>
          <a:effectLst/>
        </c:spPr>
      </c:pivotFmt>
      <c:pivotFmt>
        <c:idx val="111"/>
        <c:spPr>
          <a:solidFill>
            <a:schemeClr val="accent1"/>
          </a:solidFill>
          <a:ln w="19050">
            <a:solidFill>
              <a:schemeClr val="lt1"/>
            </a:solidFill>
          </a:ln>
          <a:effectLst/>
        </c:spPr>
      </c:pivotFmt>
      <c:pivotFmt>
        <c:idx val="112"/>
        <c:spPr>
          <a:solidFill>
            <a:schemeClr val="accent1"/>
          </a:solidFill>
          <a:ln w="19050">
            <a:solidFill>
              <a:schemeClr val="lt1"/>
            </a:solidFill>
          </a:ln>
          <a:effectLst/>
        </c:spPr>
      </c:pivotFmt>
      <c:pivotFmt>
        <c:idx val="113"/>
        <c:spPr>
          <a:solidFill>
            <a:schemeClr val="accent1"/>
          </a:solidFill>
          <a:ln w="19050">
            <a:solidFill>
              <a:schemeClr val="lt1"/>
            </a:solidFill>
          </a:ln>
          <a:effectLst/>
        </c:spPr>
      </c:pivotFmt>
      <c:pivotFmt>
        <c:idx val="114"/>
        <c:spPr>
          <a:solidFill>
            <a:schemeClr val="accent1"/>
          </a:solidFill>
          <a:ln w="19050">
            <a:solidFill>
              <a:schemeClr val="lt1"/>
            </a:solidFill>
          </a:ln>
          <a:effectLst/>
        </c:spPr>
      </c:pivotFmt>
      <c:pivotFmt>
        <c:idx val="115"/>
        <c:spPr>
          <a:solidFill>
            <a:schemeClr val="accent1"/>
          </a:solidFill>
          <a:ln w="19050">
            <a:solidFill>
              <a:schemeClr val="lt1"/>
            </a:solidFill>
          </a:ln>
          <a:effectLst/>
        </c:spPr>
      </c:pivotFmt>
      <c:pivotFmt>
        <c:idx val="116"/>
        <c:spPr>
          <a:solidFill>
            <a:schemeClr val="accent1"/>
          </a:solidFill>
          <a:ln w="19050">
            <a:solidFill>
              <a:schemeClr val="lt1"/>
            </a:solidFill>
          </a:ln>
          <a:effectLst/>
        </c:spPr>
      </c:pivotFmt>
      <c:pivotFmt>
        <c:idx val="117"/>
        <c:spPr>
          <a:solidFill>
            <a:schemeClr val="accent1"/>
          </a:solidFill>
          <a:ln w="19050">
            <a:solidFill>
              <a:schemeClr val="lt1"/>
            </a:solidFill>
          </a:ln>
          <a:effectLst/>
        </c:spPr>
      </c:pivotFmt>
      <c:pivotFmt>
        <c:idx val="118"/>
        <c:spPr>
          <a:solidFill>
            <a:schemeClr val="accent1"/>
          </a:solidFill>
          <a:ln w="19050">
            <a:solidFill>
              <a:schemeClr val="lt1"/>
            </a:solidFill>
          </a:ln>
          <a:effectLst/>
        </c:spPr>
      </c:pivotFmt>
      <c:pivotFmt>
        <c:idx val="119"/>
        <c:spPr>
          <a:solidFill>
            <a:schemeClr val="accent1"/>
          </a:solidFill>
          <a:ln w="19050">
            <a:solidFill>
              <a:schemeClr val="lt1"/>
            </a:solidFill>
          </a:ln>
          <a:effectLst/>
        </c:spPr>
      </c:pivotFmt>
      <c:pivotFmt>
        <c:idx val="120"/>
        <c:spPr>
          <a:solidFill>
            <a:schemeClr val="accent1"/>
          </a:solidFill>
          <a:ln w="19050">
            <a:solidFill>
              <a:schemeClr val="lt1"/>
            </a:solidFill>
          </a:ln>
          <a:effectLst/>
        </c:spPr>
      </c:pivotFmt>
      <c:pivotFmt>
        <c:idx val="121"/>
        <c:spPr>
          <a:solidFill>
            <a:schemeClr val="accent1"/>
          </a:solidFill>
          <a:ln w="19050">
            <a:solidFill>
              <a:schemeClr val="lt1"/>
            </a:solidFill>
          </a:ln>
          <a:effectLst/>
        </c:spPr>
      </c:pivotFmt>
      <c:pivotFmt>
        <c:idx val="122"/>
        <c:spPr>
          <a:solidFill>
            <a:schemeClr val="accent1"/>
          </a:solidFill>
          <a:ln w="19050">
            <a:solidFill>
              <a:schemeClr val="lt1"/>
            </a:solidFill>
          </a:ln>
          <a:effectLst/>
        </c:spPr>
      </c:pivotFmt>
      <c:pivotFmt>
        <c:idx val="123"/>
        <c:spPr>
          <a:solidFill>
            <a:schemeClr val="accent1"/>
          </a:solidFill>
          <a:ln w="19050">
            <a:solidFill>
              <a:schemeClr val="lt1"/>
            </a:solidFill>
          </a:ln>
          <a:effectLst/>
        </c:spPr>
      </c:pivotFmt>
      <c:pivotFmt>
        <c:idx val="124"/>
        <c:spPr>
          <a:solidFill>
            <a:schemeClr val="accent1"/>
          </a:solidFill>
          <a:ln w="19050">
            <a:solidFill>
              <a:schemeClr val="lt1"/>
            </a:solidFill>
          </a:ln>
          <a:effectLst/>
        </c:spPr>
      </c:pivotFmt>
      <c:pivotFmt>
        <c:idx val="125"/>
        <c:spPr>
          <a:solidFill>
            <a:schemeClr val="accent1"/>
          </a:solidFill>
          <a:ln w="19050">
            <a:solidFill>
              <a:schemeClr val="lt1"/>
            </a:solidFill>
          </a:ln>
          <a:effectLst/>
        </c:spPr>
      </c:pivotFmt>
      <c:pivotFmt>
        <c:idx val="126"/>
        <c:spPr>
          <a:solidFill>
            <a:schemeClr val="accent1"/>
          </a:solidFill>
          <a:ln w="19050">
            <a:solidFill>
              <a:schemeClr val="lt1"/>
            </a:solidFill>
          </a:ln>
          <a:effectLst/>
        </c:spPr>
      </c:pivotFmt>
      <c:pivotFmt>
        <c:idx val="1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w="19050">
            <a:solidFill>
              <a:schemeClr val="lt1"/>
            </a:solidFill>
          </a:ln>
          <a:effectLst/>
        </c:spPr>
      </c:pivotFmt>
      <c:pivotFmt>
        <c:idx val="129"/>
        <c:spPr>
          <a:solidFill>
            <a:schemeClr val="accent1"/>
          </a:solidFill>
          <a:ln w="19050">
            <a:solidFill>
              <a:schemeClr val="lt1"/>
            </a:solidFill>
          </a:ln>
          <a:effectLst/>
        </c:spPr>
      </c:pivotFmt>
      <c:pivotFmt>
        <c:idx val="130"/>
        <c:spPr>
          <a:solidFill>
            <a:schemeClr val="accent1"/>
          </a:solidFill>
          <a:ln w="19050">
            <a:solidFill>
              <a:schemeClr val="lt1"/>
            </a:solidFill>
          </a:ln>
          <a:effectLst/>
        </c:spPr>
      </c:pivotFmt>
      <c:pivotFmt>
        <c:idx val="131"/>
        <c:spPr>
          <a:solidFill>
            <a:schemeClr val="accent1"/>
          </a:solidFill>
          <a:ln w="19050">
            <a:solidFill>
              <a:schemeClr val="lt1"/>
            </a:solidFill>
          </a:ln>
          <a:effectLst/>
        </c:spPr>
      </c:pivotFmt>
      <c:pivotFmt>
        <c:idx val="132"/>
        <c:spPr>
          <a:solidFill>
            <a:schemeClr val="accent1"/>
          </a:solidFill>
          <a:ln w="19050">
            <a:solidFill>
              <a:schemeClr val="lt1"/>
            </a:solidFill>
          </a:ln>
          <a:effectLst/>
        </c:spPr>
      </c:pivotFmt>
      <c:pivotFmt>
        <c:idx val="133"/>
        <c:spPr>
          <a:solidFill>
            <a:schemeClr val="accent1"/>
          </a:solidFill>
          <a:ln w="19050">
            <a:solidFill>
              <a:schemeClr val="lt1"/>
            </a:solidFill>
          </a:ln>
          <a:effectLst/>
        </c:spPr>
      </c:pivotFmt>
      <c:pivotFmt>
        <c:idx val="134"/>
        <c:spPr>
          <a:solidFill>
            <a:schemeClr val="accent1"/>
          </a:solidFill>
          <a:ln w="19050">
            <a:solidFill>
              <a:schemeClr val="lt1"/>
            </a:solidFill>
          </a:ln>
          <a:effectLst/>
        </c:spPr>
      </c:pivotFmt>
      <c:pivotFmt>
        <c:idx val="135"/>
        <c:spPr>
          <a:solidFill>
            <a:schemeClr val="accent1"/>
          </a:solidFill>
          <a:ln w="19050">
            <a:solidFill>
              <a:schemeClr val="lt1"/>
            </a:solidFill>
          </a:ln>
          <a:effectLst/>
        </c:spPr>
      </c:pivotFmt>
      <c:pivotFmt>
        <c:idx val="136"/>
        <c:spPr>
          <a:solidFill>
            <a:schemeClr val="accent1"/>
          </a:solidFill>
          <a:ln w="19050">
            <a:solidFill>
              <a:schemeClr val="lt1"/>
            </a:solidFill>
          </a:ln>
          <a:effectLst/>
        </c:spPr>
      </c:pivotFmt>
      <c:pivotFmt>
        <c:idx val="137"/>
        <c:spPr>
          <a:solidFill>
            <a:schemeClr val="accent1"/>
          </a:solidFill>
          <a:ln w="19050">
            <a:solidFill>
              <a:schemeClr val="lt1"/>
            </a:solidFill>
          </a:ln>
          <a:effectLst/>
        </c:spPr>
      </c:pivotFmt>
      <c:pivotFmt>
        <c:idx val="138"/>
        <c:spPr>
          <a:solidFill>
            <a:schemeClr val="accent1"/>
          </a:solidFill>
          <a:ln w="19050">
            <a:solidFill>
              <a:schemeClr val="lt1"/>
            </a:solidFill>
          </a:ln>
          <a:effectLst/>
        </c:spPr>
      </c:pivotFmt>
      <c:pivotFmt>
        <c:idx val="139"/>
        <c:spPr>
          <a:solidFill>
            <a:schemeClr val="accent1"/>
          </a:solidFill>
          <a:ln w="19050">
            <a:solidFill>
              <a:schemeClr val="lt1"/>
            </a:solidFill>
          </a:ln>
          <a:effectLst/>
        </c:spPr>
      </c:pivotFmt>
      <c:pivotFmt>
        <c:idx val="140"/>
        <c:spPr>
          <a:solidFill>
            <a:schemeClr val="accent1"/>
          </a:solidFill>
          <a:ln w="19050">
            <a:solidFill>
              <a:schemeClr val="lt1"/>
            </a:solidFill>
          </a:ln>
          <a:effectLst/>
        </c:spPr>
      </c:pivotFmt>
      <c:pivotFmt>
        <c:idx val="141"/>
        <c:spPr>
          <a:solidFill>
            <a:schemeClr val="accent1"/>
          </a:solidFill>
          <a:ln w="19050">
            <a:solidFill>
              <a:schemeClr val="lt1"/>
            </a:solidFill>
          </a:ln>
          <a:effectLst/>
        </c:spPr>
      </c:pivotFmt>
      <c:pivotFmt>
        <c:idx val="142"/>
        <c:spPr>
          <a:solidFill>
            <a:schemeClr val="accent1"/>
          </a:solidFill>
          <a:ln w="19050">
            <a:solidFill>
              <a:schemeClr val="lt1"/>
            </a:solidFill>
          </a:ln>
          <a:effectLst/>
        </c:spPr>
      </c:pivotFmt>
      <c:pivotFmt>
        <c:idx val="143"/>
        <c:spPr>
          <a:solidFill>
            <a:schemeClr val="accent1"/>
          </a:solidFill>
          <a:ln w="19050">
            <a:solidFill>
              <a:schemeClr val="lt1"/>
            </a:solidFill>
          </a:ln>
          <a:effectLst/>
        </c:spPr>
      </c:pivotFmt>
      <c:pivotFmt>
        <c:idx val="144"/>
        <c:spPr>
          <a:solidFill>
            <a:schemeClr val="accent1"/>
          </a:solidFill>
          <a:ln w="19050">
            <a:solidFill>
              <a:schemeClr val="lt1"/>
            </a:solidFill>
          </a:ln>
          <a:effectLst/>
        </c:spPr>
      </c:pivotFmt>
      <c:pivotFmt>
        <c:idx val="145"/>
        <c:spPr>
          <a:solidFill>
            <a:schemeClr val="accent1"/>
          </a:solidFill>
          <a:ln w="19050">
            <a:solidFill>
              <a:schemeClr val="lt1"/>
            </a:solidFill>
          </a:ln>
          <a:effectLst/>
        </c:spPr>
      </c:pivotFmt>
      <c:pivotFmt>
        <c:idx val="146"/>
        <c:spPr>
          <a:solidFill>
            <a:schemeClr val="accent1"/>
          </a:solidFill>
          <a:ln w="19050">
            <a:solidFill>
              <a:schemeClr val="lt1"/>
            </a:solidFill>
          </a:ln>
          <a:effectLst/>
        </c:spPr>
      </c:pivotFmt>
      <c:pivotFmt>
        <c:idx val="147"/>
        <c:spPr>
          <a:solidFill>
            <a:schemeClr val="accent1"/>
          </a:solidFill>
          <a:ln w="19050">
            <a:solidFill>
              <a:schemeClr val="lt1"/>
            </a:solidFill>
          </a:ln>
          <a:effectLst/>
        </c:spPr>
      </c:pivotFmt>
      <c:pivotFmt>
        <c:idx val="148"/>
        <c:spPr>
          <a:solidFill>
            <a:schemeClr val="accent1"/>
          </a:solidFill>
          <a:ln w="19050">
            <a:solidFill>
              <a:schemeClr val="lt1"/>
            </a:solidFill>
          </a:ln>
          <a:effectLst/>
        </c:spPr>
      </c:pivotFmt>
      <c:pivotFmt>
        <c:idx val="149"/>
        <c:spPr>
          <a:solidFill>
            <a:schemeClr val="accent1"/>
          </a:solidFill>
          <a:ln w="19050">
            <a:solidFill>
              <a:schemeClr val="lt1"/>
            </a:solidFill>
          </a:ln>
          <a:effectLst/>
        </c:spPr>
      </c:pivotFmt>
      <c:pivotFmt>
        <c:idx val="150"/>
        <c:spPr>
          <a:solidFill>
            <a:schemeClr val="accent1"/>
          </a:solidFill>
          <a:ln w="19050">
            <a:solidFill>
              <a:schemeClr val="lt1"/>
            </a:solidFill>
          </a:ln>
          <a:effectLst/>
        </c:spPr>
      </c:pivotFmt>
      <c:pivotFmt>
        <c:idx val="151"/>
        <c:spPr>
          <a:solidFill>
            <a:schemeClr val="accent1"/>
          </a:solidFill>
          <a:ln w="19050">
            <a:solidFill>
              <a:schemeClr val="lt1"/>
            </a:solidFill>
          </a:ln>
          <a:effectLst/>
        </c:spPr>
      </c:pivotFmt>
    </c:pivotFmts>
    <c:plotArea>
      <c:layout/>
      <c:pieChart>
        <c:varyColors val="1"/>
        <c:ser>
          <c:idx val="0"/>
          <c:order val="0"/>
          <c:tx>
            <c:strRef>
              <c:f>'pivot tables + pie'!$B$5:$B$6</c:f>
              <c:strCache>
                <c:ptCount val="1"/>
                <c:pt idx="0">
                  <c:v>Patients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1F-4FA3-A9E7-D1D8366BE3D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1F-4FA3-A9E7-D1D8366BE3D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01F-4FA3-A9E7-D1D8366BE3D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01F-4FA3-A9E7-D1D8366BE3D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01F-4FA3-A9E7-D1D8366BE3D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01F-4FA3-A9E7-D1D8366BE3D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01F-4FA3-A9E7-D1D8366BE3D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01F-4FA3-A9E7-D1D8366BE3D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01F-4FA3-A9E7-D1D8366BE3D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C01F-4FA3-A9E7-D1D8366BE3D8}"/>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C01F-4FA3-A9E7-D1D8366BE3D8}"/>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C01F-4FA3-A9E7-D1D8366BE3D8}"/>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C01F-4FA3-A9E7-D1D8366BE3D8}"/>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C01F-4FA3-A9E7-D1D8366BE3D8}"/>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C01F-4FA3-A9E7-D1D8366BE3D8}"/>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C01F-4FA3-A9E7-D1D8366BE3D8}"/>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C01F-4FA3-A9E7-D1D8366BE3D8}"/>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C01F-4FA3-A9E7-D1D8366BE3D8}"/>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C01F-4FA3-A9E7-D1D8366BE3D8}"/>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27-C01F-4FA3-A9E7-D1D8366BE3D8}"/>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9-C01F-4FA3-A9E7-D1D8366BE3D8}"/>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2B-C01F-4FA3-A9E7-D1D8366BE3D8}"/>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D-C01F-4FA3-A9E7-D1D8366BE3D8}"/>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F-C01F-4FA3-A9E7-D1D8366BE3D8}"/>
              </c:ext>
            </c:extLst>
          </c:dPt>
          <c:cat>
            <c:strRef>
              <c:f>'pivot tables + pie'!$A$7:$A$31</c:f>
              <c:strCache>
                <c:ptCount val="24"/>
                <c:pt idx="0">
                  <c:v>standard</c:v>
                </c:pt>
                <c:pt idx="1">
                  <c:v>high</c:v>
                </c:pt>
                <c:pt idx="2">
                  <c:v>low</c:v>
                </c:pt>
                <c:pt idx="3">
                  <c:v>high-&gt;standard</c:v>
                </c:pt>
                <c:pt idx="4">
                  <c:v>standard-&gt;high</c:v>
                </c:pt>
                <c:pt idx="5">
                  <c:v>standard-&gt;low</c:v>
                </c:pt>
                <c:pt idx="6">
                  <c:v>low-&gt;standard</c:v>
                </c:pt>
                <c:pt idx="7">
                  <c:v>low-&gt;high</c:v>
                </c:pt>
                <c:pt idx="8">
                  <c:v>high-&gt;low</c:v>
                </c:pt>
                <c:pt idx="9">
                  <c:v>high-&gt;standard-&gt;low</c:v>
                </c:pt>
                <c:pt idx="10">
                  <c:v>high-&gt;standard(sd)</c:v>
                </c:pt>
                <c:pt idx="11">
                  <c:v>low-&gt;high-&gt;standard</c:v>
                </c:pt>
                <c:pt idx="12">
                  <c:v>low-&gt;standard-&gt;high</c:v>
                </c:pt>
                <c:pt idx="13">
                  <c:v>standard-&gt;low-&gt;high</c:v>
                </c:pt>
                <c:pt idx="14">
                  <c:v>standard-&gt;high-&gt;low</c:v>
                </c:pt>
                <c:pt idx="15">
                  <c:v>high-&gt;low-&gt;standard</c:v>
                </c:pt>
                <c:pt idx="16">
                  <c:v>low-&gt;standard(sd)</c:v>
                </c:pt>
                <c:pt idx="17">
                  <c:v>high-&gt;low-&gt;standard(sd)</c:v>
                </c:pt>
                <c:pt idx="18">
                  <c:v>high-&gt;standard(sd)-&gt;low</c:v>
                </c:pt>
                <c:pt idx="19">
                  <c:v>low-&gt;high-&gt;standard(sd)</c:v>
                </c:pt>
                <c:pt idx="20">
                  <c:v>high-&gt;low(sd)</c:v>
                </c:pt>
                <c:pt idx="21">
                  <c:v>low-&gt;standard(sd)-&gt;high</c:v>
                </c:pt>
                <c:pt idx="22">
                  <c:v>standard-&gt;high-&gt;low(sd)</c:v>
                </c:pt>
                <c:pt idx="23">
                  <c:v>high-&gt;low(sd)-&gt;standard</c:v>
                </c:pt>
              </c:strCache>
            </c:strRef>
          </c:cat>
          <c:val>
            <c:numRef>
              <c:f>'pivot tables + pie'!$B$7:$B$31</c:f>
              <c:numCache>
                <c:formatCode>_-* #,##0_-;\-* #,##0_-;_-* "-"??_-;_-@_-</c:formatCode>
                <c:ptCount val="24"/>
                <c:pt idx="0">
                  <c:v>346822</c:v>
                </c:pt>
                <c:pt idx="1">
                  <c:v>145903</c:v>
                </c:pt>
                <c:pt idx="2">
                  <c:v>47598</c:v>
                </c:pt>
                <c:pt idx="3">
                  <c:v>29774</c:v>
                </c:pt>
                <c:pt idx="4">
                  <c:v>20309</c:v>
                </c:pt>
                <c:pt idx="5">
                  <c:v>9824</c:v>
                </c:pt>
                <c:pt idx="6">
                  <c:v>6334</c:v>
                </c:pt>
                <c:pt idx="7">
                  <c:v>1173</c:v>
                </c:pt>
                <c:pt idx="8">
                  <c:v>1083</c:v>
                </c:pt>
                <c:pt idx="9">
                  <c:v>451</c:v>
                </c:pt>
                <c:pt idx="10">
                  <c:v>427</c:v>
                </c:pt>
                <c:pt idx="11">
                  <c:v>283</c:v>
                </c:pt>
                <c:pt idx="12">
                  <c:v>281</c:v>
                </c:pt>
                <c:pt idx="13">
                  <c:v>267</c:v>
                </c:pt>
                <c:pt idx="14">
                  <c:v>260</c:v>
                </c:pt>
                <c:pt idx="15">
                  <c:v>214</c:v>
                </c:pt>
                <c:pt idx="16">
                  <c:v>118</c:v>
                </c:pt>
                <c:pt idx="17">
                  <c:v>8</c:v>
                </c:pt>
                <c:pt idx="18">
                  <c:v>7</c:v>
                </c:pt>
                <c:pt idx="19">
                  <c:v>6</c:v>
                </c:pt>
                <c:pt idx="20">
                  <c:v>6</c:v>
                </c:pt>
                <c:pt idx="21">
                  <c:v>4</c:v>
                </c:pt>
                <c:pt idx="22">
                  <c:v>1</c:v>
                </c:pt>
                <c:pt idx="23">
                  <c:v>1</c:v>
                </c:pt>
              </c:numCache>
            </c:numRef>
          </c:val>
          <c:extLst>
            <c:ext xmlns:c16="http://schemas.microsoft.com/office/drawing/2014/chart" uri="{C3380CC4-5D6E-409C-BE32-E72D297353CC}">
              <c16:uniqueId val="{00000030-C01F-4FA3-A9E7-D1D8366BE3D8}"/>
            </c:ext>
          </c:extLst>
        </c:ser>
        <c:ser>
          <c:idx val="1"/>
          <c:order val="1"/>
          <c:tx>
            <c:strRef>
              <c:f>'pivot tables + pie'!$C$5:$C$6</c:f>
              <c:strCache>
                <c:ptCount val="1"/>
                <c:pt idx="0">
                  <c:v>% Patients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32-C01F-4FA3-A9E7-D1D8366BE3D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34-C01F-4FA3-A9E7-D1D8366BE3D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36-C01F-4FA3-A9E7-D1D8366BE3D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38-C01F-4FA3-A9E7-D1D8366BE3D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3A-C01F-4FA3-A9E7-D1D8366BE3D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3C-C01F-4FA3-A9E7-D1D8366BE3D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3E-C01F-4FA3-A9E7-D1D8366BE3D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40-C01F-4FA3-A9E7-D1D8366BE3D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42-C01F-4FA3-A9E7-D1D8366BE3D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44-C01F-4FA3-A9E7-D1D8366BE3D8}"/>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46-C01F-4FA3-A9E7-D1D8366BE3D8}"/>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48-C01F-4FA3-A9E7-D1D8366BE3D8}"/>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4A-C01F-4FA3-A9E7-D1D8366BE3D8}"/>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4C-C01F-4FA3-A9E7-D1D8366BE3D8}"/>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4E-C01F-4FA3-A9E7-D1D8366BE3D8}"/>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50-C01F-4FA3-A9E7-D1D8366BE3D8}"/>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52-C01F-4FA3-A9E7-D1D8366BE3D8}"/>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54-C01F-4FA3-A9E7-D1D8366BE3D8}"/>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56-C01F-4FA3-A9E7-D1D8366BE3D8}"/>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58-C01F-4FA3-A9E7-D1D8366BE3D8}"/>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5A-C01F-4FA3-A9E7-D1D8366BE3D8}"/>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5C-C01F-4FA3-A9E7-D1D8366BE3D8}"/>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5E-C01F-4FA3-A9E7-D1D8366BE3D8}"/>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60-C01F-4FA3-A9E7-D1D8366BE3D8}"/>
              </c:ext>
            </c:extLst>
          </c:dPt>
          <c:cat>
            <c:strRef>
              <c:f>'pivot tables + pie'!$A$7:$A$31</c:f>
              <c:strCache>
                <c:ptCount val="24"/>
                <c:pt idx="0">
                  <c:v>standard</c:v>
                </c:pt>
                <c:pt idx="1">
                  <c:v>high</c:v>
                </c:pt>
                <c:pt idx="2">
                  <c:v>low</c:v>
                </c:pt>
                <c:pt idx="3">
                  <c:v>high-&gt;standard</c:v>
                </c:pt>
                <c:pt idx="4">
                  <c:v>standard-&gt;high</c:v>
                </c:pt>
                <c:pt idx="5">
                  <c:v>standard-&gt;low</c:v>
                </c:pt>
                <c:pt idx="6">
                  <c:v>low-&gt;standard</c:v>
                </c:pt>
                <c:pt idx="7">
                  <c:v>low-&gt;high</c:v>
                </c:pt>
                <c:pt idx="8">
                  <c:v>high-&gt;low</c:v>
                </c:pt>
                <c:pt idx="9">
                  <c:v>high-&gt;standard-&gt;low</c:v>
                </c:pt>
                <c:pt idx="10">
                  <c:v>high-&gt;standard(sd)</c:v>
                </c:pt>
                <c:pt idx="11">
                  <c:v>low-&gt;high-&gt;standard</c:v>
                </c:pt>
                <c:pt idx="12">
                  <c:v>low-&gt;standard-&gt;high</c:v>
                </c:pt>
                <c:pt idx="13">
                  <c:v>standard-&gt;low-&gt;high</c:v>
                </c:pt>
                <c:pt idx="14">
                  <c:v>standard-&gt;high-&gt;low</c:v>
                </c:pt>
                <c:pt idx="15">
                  <c:v>high-&gt;low-&gt;standard</c:v>
                </c:pt>
                <c:pt idx="16">
                  <c:v>low-&gt;standard(sd)</c:v>
                </c:pt>
                <c:pt idx="17">
                  <c:v>high-&gt;low-&gt;standard(sd)</c:v>
                </c:pt>
                <c:pt idx="18">
                  <c:v>high-&gt;standard(sd)-&gt;low</c:v>
                </c:pt>
                <c:pt idx="19">
                  <c:v>low-&gt;high-&gt;standard(sd)</c:v>
                </c:pt>
                <c:pt idx="20">
                  <c:v>high-&gt;low(sd)</c:v>
                </c:pt>
                <c:pt idx="21">
                  <c:v>low-&gt;standard(sd)-&gt;high</c:v>
                </c:pt>
                <c:pt idx="22">
                  <c:v>standard-&gt;high-&gt;low(sd)</c:v>
                </c:pt>
                <c:pt idx="23">
                  <c:v>high-&gt;low(sd)-&gt;standard</c:v>
                </c:pt>
              </c:strCache>
            </c:strRef>
          </c:cat>
          <c:val>
            <c:numRef>
              <c:f>'pivot tables + pie'!$C$7:$C$31</c:f>
              <c:numCache>
                <c:formatCode>0.0%</c:formatCode>
                <c:ptCount val="24"/>
                <c:pt idx="0">
                  <c:v>0.56748708181571261</c:v>
                </c:pt>
                <c:pt idx="1">
                  <c:v>0.23873360887763151</c:v>
                </c:pt>
                <c:pt idx="2">
                  <c:v>7.7882170451310143E-2</c:v>
                </c:pt>
                <c:pt idx="3">
                  <c:v>4.8717671814305398E-2</c:v>
                </c:pt>
                <c:pt idx="4">
                  <c:v>3.3230576908602413E-2</c:v>
                </c:pt>
                <c:pt idx="5">
                  <c:v>1.6074508225422723E-2</c:v>
                </c:pt>
                <c:pt idx="6">
                  <c:v>1.0363999908370067E-2</c:v>
                </c:pt>
                <c:pt idx="7">
                  <c:v>1.9193198440982141E-3</c:v>
                </c:pt>
                <c:pt idx="8">
                  <c:v>1.7720574519679165E-3</c:v>
                </c:pt>
                <c:pt idx="9">
                  <c:v>7.3794820945293654E-4</c:v>
                </c:pt>
                <c:pt idx="10">
                  <c:v>6.986782382181905E-4</c:v>
                </c:pt>
                <c:pt idx="11">
                  <c:v>4.6305841080971407E-4</c:v>
                </c:pt>
                <c:pt idx="12">
                  <c:v>4.5978591320681859E-4</c:v>
                </c:pt>
                <c:pt idx="13">
                  <c:v>4.3687842998655003E-4</c:v>
                </c:pt>
                <c:pt idx="14">
                  <c:v>4.2542468837641575E-4</c:v>
                </c:pt>
                <c:pt idx="15">
                  <c:v>3.5015724350981911E-4</c:v>
                </c:pt>
                <c:pt idx="16">
                  <c:v>1.9307735857083486E-4</c:v>
                </c:pt>
                <c:pt idx="17">
                  <c:v>1.3089990411582023E-5</c:v>
                </c:pt>
                <c:pt idx="18">
                  <c:v>1.145374161013427E-5</c:v>
                </c:pt>
                <c:pt idx="19">
                  <c:v>9.8174928086865174E-6</c:v>
                </c:pt>
                <c:pt idx="20">
                  <c:v>9.8174928086865174E-6</c:v>
                </c:pt>
                <c:pt idx="21">
                  <c:v>6.5449952057910113E-6</c:v>
                </c:pt>
                <c:pt idx="22">
                  <c:v>1.6362488014477528E-6</c:v>
                </c:pt>
                <c:pt idx="23">
                  <c:v>1.6362488014477528E-6</c:v>
                </c:pt>
              </c:numCache>
            </c:numRef>
          </c:val>
          <c:extLst>
            <c:ext xmlns:c16="http://schemas.microsoft.com/office/drawing/2014/chart" uri="{C3380CC4-5D6E-409C-BE32-E72D297353CC}">
              <c16:uniqueId val="{00000061-C01F-4FA3-A9E7-D1D8366BE3D8}"/>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7264449277087879"/>
          <c:y val="0.18738330435968231"/>
          <c:w val="0.24765155764290048"/>
          <c:h val="0.67326611446296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[D1393 - SEQ_INIT_FREQ relative dose- 100%.xlsx]pivot tables + pie!PivotTable4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Patients in 2020</a:t>
            </a:r>
          </a:p>
        </c:rich>
      </c:tx>
      <c:layout>
        <c:manualLayout>
          <c:xMode val="edge"/>
          <c:yMode val="edge"/>
          <c:x val="0.46314198539967233"/>
          <c:y val="4.43307901448503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pivotFmt>
      <c:pivotFmt>
        <c:idx val="29"/>
        <c:spPr>
          <a:solidFill>
            <a:schemeClr val="accent1"/>
          </a:solidFill>
          <a:ln w="19050">
            <a:solidFill>
              <a:schemeClr val="lt1"/>
            </a:solidFill>
          </a:ln>
          <a:effectLst/>
        </c:spPr>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
        <c:idx val="60"/>
        <c:spPr>
          <a:solidFill>
            <a:schemeClr val="accent1"/>
          </a:solidFill>
          <a:ln w="19050">
            <a:solidFill>
              <a:schemeClr val="lt1"/>
            </a:solidFill>
          </a:ln>
          <a:effectLst/>
        </c:spPr>
      </c:pivotFmt>
      <c:pivotFmt>
        <c:idx val="61"/>
        <c:spPr>
          <a:solidFill>
            <a:schemeClr val="accent1"/>
          </a:solidFill>
          <a:ln w="19050">
            <a:solidFill>
              <a:schemeClr val="lt1"/>
            </a:solidFill>
          </a:ln>
          <a:effectLst/>
        </c:spPr>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pivotFmt>
      <c:pivotFmt>
        <c:idx val="64"/>
        <c:spPr>
          <a:solidFill>
            <a:schemeClr val="accent1"/>
          </a:solidFill>
          <a:ln w="19050">
            <a:solidFill>
              <a:schemeClr val="lt1"/>
            </a:solidFill>
          </a:ln>
          <a:effectLst/>
        </c:spPr>
      </c:pivotFmt>
      <c:pivotFmt>
        <c:idx val="65"/>
        <c:spPr>
          <a:solidFill>
            <a:schemeClr val="accent1"/>
          </a:solidFill>
          <a:ln w="19050">
            <a:solidFill>
              <a:schemeClr val="lt1"/>
            </a:solidFill>
          </a:ln>
          <a:effectLst/>
        </c:spPr>
      </c:pivotFmt>
      <c:pivotFmt>
        <c:idx val="66"/>
        <c:spPr>
          <a:solidFill>
            <a:schemeClr val="accent1"/>
          </a:solidFill>
          <a:ln w="19050">
            <a:solidFill>
              <a:schemeClr val="lt1"/>
            </a:solidFill>
          </a:ln>
          <a:effectLst/>
        </c:spPr>
      </c:pivotFmt>
      <c:pivotFmt>
        <c:idx val="67"/>
        <c:spPr>
          <a:solidFill>
            <a:schemeClr val="accent1"/>
          </a:solidFill>
          <a:ln w="19050">
            <a:solidFill>
              <a:schemeClr val="lt1"/>
            </a:solidFill>
          </a:ln>
          <a:effectLst/>
        </c:spPr>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pivotFmt>
      <c:pivotFmt>
        <c:idx val="72"/>
        <c:spPr>
          <a:solidFill>
            <a:schemeClr val="accent1"/>
          </a:solidFill>
          <a:ln w="19050">
            <a:solidFill>
              <a:schemeClr val="lt1"/>
            </a:solidFill>
          </a:ln>
          <a:effectLst/>
        </c:spPr>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
        <c:idx val="75"/>
        <c:spPr>
          <a:solidFill>
            <a:schemeClr val="accent1"/>
          </a:solidFill>
          <a:ln w="19050">
            <a:solidFill>
              <a:schemeClr val="lt1"/>
            </a:solidFill>
          </a:ln>
          <a:effectLst/>
        </c:spPr>
      </c:pivotFmt>
      <c:pivotFmt>
        <c:idx val="76"/>
        <c:spPr>
          <a:solidFill>
            <a:schemeClr val="accent1"/>
          </a:solidFill>
          <a:ln w="19050">
            <a:solidFill>
              <a:schemeClr val="lt1"/>
            </a:solidFill>
          </a:ln>
          <a:effectLst/>
        </c:spPr>
      </c:pivotFmt>
      <c:pivotFmt>
        <c:idx val="77"/>
        <c:spPr>
          <a:solidFill>
            <a:schemeClr val="accent1"/>
          </a:solidFill>
          <a:ln w="19050">
            <a:solidFill>
              <a:schemeClr val="lt1"/>
            </a:solidFill>
          </a:ln>
          <a:effectLst/>
        </c:spPr>
      </c:pivotFmt>
      <c:pivotFmt>
        <c:idx val="7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19050">
            <a:solidFill>
              <a:schemeClr val="lt1"/>
            </a:solidFill>
          </a:ln>
          <a:effectLst/>
        </c:spPr>
      </c:pivotFmt>
      <c:pivotFmt>
        <c:idx val="80"/>
        <c:spPr>
          <a:solidFill>
            <a:schemeClr val="accent1"/>
          </a:solidFill>
          <a:ln w="19050">
            <a:solidFill>
              <a:schemeClr val="lt1"/>
            </a:solidFill>
          </a:ln>
          <a:effectLst/>
        </c:spPr>
      </c:pivotFmt>
      <c:pivotFmt>
        <c:idx val="81"/>
        <c:spPr>
          <a:solidFill>
            <a:schemeClr val="accent1"/>
          </a:solidFill>
          <a:ln w="19050">
            <a:solidFill>
              <a:schemeClr val="lt1"/>
            </a:solidFill>
          </a:ln>
          <a:effectLst/>
        </c:spPr>
      </c:pivotFmt>
      <c:pivotFmt>
        <c:idx val="82"/>
        <c:spPr>
          <a:solidFill>
            <a:schemeClr val="accent1"/>
          </a:solidFill>
          <a:ln w="19050">
            <a:solidFill>
              <a:schemeClr val="lt1"/>
            </a:solidFill>
          </a:ln>
          <a:effectLst/>
        </c:spPr>
      </c:pivotFmt>
      <c:pivotFmt>
        <c:idx val="83"/>
        <c:spPr>
          <a:solidFill>
            <a:schemeClr val="accent1"/>
          </a:solidFill>
          <a:ln w="19050">
            <a:solidFill>
              <a:schemeClr val="lt1"/>
            </a:solidFill>
          </a:ln>
          <a:effectLst/>
        </c:spPr>
      </c:pivotFmt>
      <c:pivotFmt>
        <c:idx val="84"/>
        <c:spPr>
          <a:solidFill>
            <a:schemeClr val="accent1"/>
          </a:solidFill>
          <a:ln w="19050">
            <a:solidFill>
              <a:schemeClr val="lt1"/>
            </a:solidFill>
          </a:ln>
          <a:effectLst/>
        </c:spPr>
      </c:pivotFmt>
      <c:pivotFmt>
        <c:idx val="85"/>
        <c:spPr>
          <a:solidFill>
            <a:schemeClr val="accent1"/>
          </a:solidFill>
          <a:ln w="19050">
            <a:solidFill>
              <a:schemeClr val="lt1"/>
            </a:solidFill>
          </a:ln>
          <a:effectLst/>
        </c:spPr>
      </c:pivotFmt>
      <c:pivotFmt>
        <c:idx val="86"/>
        <c:spPr>
          <a:solidFill>
            <a:schemeClr val="accent1"/>
          </a:solidFill>
          <a:ln w="19050">
            <a:solidFill>
              <a:schemeClr val="lt1"/>
            </a:solidFill>
          </a:ln>
          <a:effectLst/>
        </c:spPr>
      </c:pivotFmt>
      <c:pivotFmt>
        <c:idx val="87"/>
        <c:spPr>
          <a:solidFill>
            <a:schemeClr val="accent1"/>
          </a:solidFill>
          <a:ln w="19050">
            <a:solidFill>
              <a:schemeClr val="lt1"/>
            </a:solidFill>
          </a:ln>
          <a:effectLst/>
        </c:spPr>
      </c:pivotFmt>
      <c:pivotFmt>
        <c:idx val="88"/>
        <c:spPr>
          <a:solidFill>
            <a:schemeClr val="accent1"/>
          </a:solidFill>
          <a:ln w="19050">
            <a:solidFill>
              <a:schemeClr val="lt1"/>
            </a:solidFill>
          </a:ln>
          <a:effectLst/>
        </c:spPr>
      </c:pivotFmt>
      <c:pivotFmt>
        <c:idx val="89"/>
        <c:spPr>
          <a:solidFill>
            <a:schemeClr val="accent1"/>
          </a:solidFill>
          <a:ln w="19050">
            <a:solidFill>
              <a:schemeClr val="lt1"/>
            </a:solidFill>
          </a:ln>
          <a:effectLst/>
        </c:spPr>
      </c:pivotFmt>
      <c:pivotFmt>
        <c:idx val="90"/>
        <c:spPr>
          <a:solidFill>
            <a:schemeClr val="accent1"/>
          </a:solidFill>
          <a:ln w="19050">
            <a:solidFill>
              <a:schemeClr val="lt1"/>
            </a:solidFill>
          </a:ln>
          <a:effectLst/>
        </c:spPr>
      </c:pivotFmt>
      <c:pivotFmt>
        <c:idx val="91"/>
        <c:spPr>
          <a:solidFill>
            <a:schemeClr val="accent1"/>
          </a:solidFill>
          <a:ln w="19050">
            <a:solidFill>
              <a:schemeClr val="lt1"/>
            </a:solidFill>
          </a:ln>
          <a:effectLst/>
        </c:spPr>
      </c:pivotFmt>
      <c:pivotFmt>
        <c:idx val="92"/>
        <c:spPr>
          <a:solidFill>
            <a:schemeClr val="accent1"/>
          </a:solidFill>
          <a:ln w="19050">
            <a:solidFill>
              <a:schemeClr val="lt1"/>
            </a:solidFill>
          </a:ln>
          <a:effectLst/>
        </c:spPr>
      </c:pivotFmt>
      <c:pivotFmt>
        <c:idx val="93"/>
        <c:spPr>
          <a:solidFill>
            <a:schemeClr val="accent1"/>
          </a:solidFill>
          <a:ln w="19050">
            <a:solidFill>
              <a:schemeClr val="lt1"/>
            </a:solidFill>
          </a:ln>
          <a:effectLst/>
        </c:spPr>
      </c:pivotFmt>
      <c:pivotFmt>
        <c:idx val="94"/>
        <c:spPr>
          <a:solidFill>
            <a:schemeClr val="accent1"/>
          </a:solidFill>
          <a:ln w="19050">
            <a:solidFill>
              <a:schemeClr val="lt1"/>
            </a:solidFill>
          </a:ln>
          <a:effectLst/>
        </c:spPr>
      </c:pivotFmt>
      <c:pivotFmt>
        <c:idx val="95"/>
        <c:spPr>
          <a:solidFill>
            <a:schemeClr val="accent1"/>
          </a:solidFill>
          <a:ln w="19050">
            <a:solidFill>
              <a:schemeClr val="lt1"/>
            </a:solidFill>
          </a:ln>
          <a:effectLst/>
        </c:spPr>
      </c:pivotFmt>
      <c:pivotFmt>
        <c:idx val="96"/>
        <c:spPr>
          <a:solidFill>
            <a:schemeClr val="accent1"/>
          </a:solidFill>
          <a:ln w="19050">
            <a:solidFill>
              <a:schemeClr val="lt1"/>
            </a:solidFill>
          </a:ln>
          <a:effectLst/>
        </c:spPr>
      </c:pivotFmt>
      <c:pivotFmt>
        <c:idx val="97"/>
        <c:spPr>
          <a:solidFill>
            <a:schemeClr val="accent1"/>
          </a:solidFill>
          <a:ln w="19050">
            <a:solidFill>
              <a:schemeClr val="lt1"/>
            </a:solidFill>
          </a:ln>
          <a:effectLst/>
        </c:spPr>
      </c:pivotFmt>
      <c:pivotFmt>
        <c:idx val="98"/>
        <c:spPr>
          <a:solidFill>
            <a:schemeClr val="accent1"/>
          </a:solidFill>
          <a:ln w="19050">
            <a:solidFill>
              <a:schemeClr val="lt1"/>
            </a:solidFill>
          </a:ln>
          <a:effectLst/>
        </c:spPr>
      </c:pivotFmt>
      <c:pivotFmt>
        <c:idx val="99"/>
        <c:spPr>
          <a:solidFill>
            <a:schemeClr val="accent1"/>
          </a:solidFill>
          <a:ln w="19050">
            <a:solidFill>
              <a:schemeClr val="lt1"/>
            </a:solidFill>
          </a:ln>
          <a:effectLst/>
        </c:spPr>
      </c:pivotFmt>
      <c:pivotFmt>
        <c:idx val="100"/>
        <c:spPr>
          <a:solidFill>
            <a:schemeClr val="accent1"/>
          </a:solidFill>
          <a:ln w="19050">
            <a:solidFill>
              <a:schemeClr val="lt1"/>
            </a:solidFill>
          </a:ln>
          <a:effectLst/>
        </c:spPr>
      </c:pivotFmt>
      <c:pivotFmt>
        <c:idx val="101"/>
        <c:spPr>
          <a:solidFill>
            <a:schemeClr val="accent1"/>
          </a:solidFill>
          <a:ln w="19050">
            <a:solidFill>
              <a:schemeClr val="lt1"/>
            </a:solidFill>
          </a:ln>
          <a:effectLst/>
        </c:spPr>
      </c:pivotFmt>
      <c:pivotFmt>
        <c:idx val="102"/>
        <c:spPr>
          <a:solidFill>
            <a:schemeClr val="accent1"/>
          </a:solidFill>
          <a:ln w="19050">
            <a:solidFill>
              <a:schemeClr val="lt1"/>
            </a:solidFill>
          </a:ln>
          <a:effectLst/>
        </c:spPr>
      </c:pivotFmt>
      <c:pivotFmt>
        <c:idx val="103"/>
        <c:spPr>
          <a:solidFill>
            <a:schemeClr val="accent1"/>
          </a:solidFill>
          <a:ln w="19050">
            <a:solidFill>
              <a:schemeClr val="lt1"/>
            </a:solidFill>
          </a:ln>
          <a:effectLst/>
        </c:spPr>
      </c:pivotFmt>
      <c:pivotFmt>
        <c:idx val="104"/>
        <c:spPr>
          <a:solidFill>
            <a:schemeClr val="accent1"/>
          </a:solidFill>
          <a:ln w="19050">
            <a:solidFill>
              <a:schemeClr val="lt1"/>
            </a:solidFill>
          </a:ln>
          <a:effectLst/>
        </c:spPr>
      </c:pivotFmt>
      <c:pivotFmt>
        <c:idx val="105"/>
        <c:spPr>
          <a:solidFill>
            <a:schemeClr val="accent1"/>
          </a:solidFill>
          <a:ln w="19050">
            <a:solidFill>
              <a:schemeClr val="lt1"/>
            </a:solidFill>
          </a:ln>
          <a:effectLst/>
        </c:spPr>
      </c:pivotFmt>
      <c:pivotFmt>
        <c:idx val="106"/>
        <c:spPr>
          <a:solidFill>
            <a:schemeClr val="accent1"/>
          </a:solidFill>
          <a:ln w="19050">
            <a:solidFill>
              <a:schemeClr val="lt1"/>
            </a:solidFill>
          </a:ln>
          <a:effectLst/>
        </c:spPr>
      </c:pivotFmt>
      <c:pivotFmt>
        <c:idx val="107"/>
        <c:spPr>
          <a:solidFill>
            <a:schemeClr val="accent1"/>
          </a:solidFill>
          <a:ln w="19050">
            <a:solidFill>
              <a:schemeClr val="lt1"/>
            </a:solidFill>
          </a:ln>
          <a:effectLst/>
        </c:spPr>
      </c:pivotFmt>
      <c:pivotFmt>
        <c:idx val="108"/>
        <c:spPr>
          <a:solidFill>
            <a:schemeClr val="accent1"/>
          </a:solidFill>
          <a:ln w="19050">
            <a:solidFill>
              <a:schemeClr val="lt1"/>
            </a:solidFill>
          </a:ln>
          <a:effectLst/>
        </c:spPr>
      </c:pivotFmt>
      <c:pivotFmt>
        <c:idx val="109"/>
        <c:spPr>
          <a:solidFill>
            <a:schemeClr val="accent1"/>
          </a:solidFill>
          <a:ln w="19050">
            <a:solidFill>
              <a:schemeClr val="lt1"/>
            </a:solidFill>
          </a:ln>
          <a:effectLst/>
        </c:spPr>
      </c:pivotFmt>
      <c:pivotFmt>
        <c:idx val="110"/>
        <c:spPr>
          <a:solidFill>
            <a:schemeClr val="accent1"/>
          </a:solidFill>
          <a:ln w="19050">
            <a:solidFill>
              <a:schemeClr val="lt1"/>
            </a:solidFill>
          </a:ln>
          <a:effectLst/>
        </c:spPr>
      </c:pivotFmt>
      <c:pivotFmt>
        <c:idx val="111"/>
        <c:spPr>
          <a:solidFill>
            <a:schemeClr val="accent1"/>
          </a:solidFill>
          <a:ln w="19050">
            <a:solidFill>
              <a:schemeClr val="lt1"/>
            </a:solidFill>
          </a:ln>
          <a:effectLst/>
        </c:spPr>
      </c:pivotFmt>
      <c:pivotFmt>
        <c:idx val="112"/>
        <c:spPr>
          <a:solidFill>
            <a:schemeClr val="accent1"/>
          </a:solidFill>
          <a:ln w="19050">
            <a:solidFill>
              <a:schemeClr val="lt1"/>
            </a:solidFill>
          </a:ln>
          <a:effectLst/>
        </c:spPr>
      </c:pivotFmt>
      <c:pivotFmt>
        <c:idx val="113"/>
        <c:spPr>
          <a:solidFill>
            <a:schemeClr val="accent1"/>
          </a:solidFill>
          <a:ln w="19050">
            <a:solidFill>
              <a:schemeClr val="lt1"/>
            </a:solidFill>
          </a:ln>
          <a:effectLst/>
        </c:spPr>
      </c:pivotFmt>
      <c:pivotFmt>
        <c:idx val="114"/>
        <c:spPr>
          <a:solidFill>
            <a:schemeClr val="accent1"/>
          </a:solidFill>
          <a:ln w="19050">
            <a:solidFill>
              <a:schemeClr val="lt1"/>
            </a:solidFill>
          </a:ln>
          <a:effectLst/>
        </c:spPr>
      </c:pivotFmt>
      <c:pivotFmt>
        <c:idx val="115"/>
        <c:spPr>
          <a:solidFill>
            <a:schemeClr val="accent1"/>
          </a:solidFill>
          <a:ln w="19050">
            <a:solidFill>
              <a:schemeClr val="lt1"/>
            </a:solidFill>
          </a:ln>
          <a:effectLst/>
        </c:spPr>
      </c:pivotFmt>
      <c:pivotFmt>
        <c:idx val="116"/>
        <c:spPr>
          <a:solidFill>
            <a:schemeClr val="accent1"/>
          </a:solidFill>
          <a:ln w="19050">
            <a:solidFill>
              <a:schemeClr val="lt1"/>
            </a:solidFill>
          </a:ln>
          <a:effectLst/>
        </c:spPr>
      </c:pivotFmt>
      <c:pivotFmt>
        <c:idx val="11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w="19050">
            <a:solidFill>
              <a:schemeClr val="lt1"/>
            </a:solidFill>
          </a:ln>
          <a:effectLst/>
        </c:spPr>
      </c:pivotFmt>
      <c:pivotFmt>
        <c:idx val="119"/>
        <c:spPr>
          <a:solidFill>
            <a:schemeClr val="accent1"/>
          </a:solidFill>
          <a:ln w="19050">
            <a:solidFill>
              <a:schemeClr val="lt1"/>
            </a:solidFill>
          </a:ln>
          <a:effectLst/>
        </c:spPr>
      </c:pivotFmt>
      <c:pivotFmt>
        <c:idx val="120"/>
        <c:spPr>
          <a:solidFill>
            <a:schemeClr val="accent1"/>
          </a:solidFill>
          <a:ln w="19050">
            <a:solidFill>
              <a:schemeClr val="lt1"/>
            </a:solidFill>
          </a:ln>
          <a:effectLst/>
        </c:spPr>
      </c:pivotFmt>
      <c:pivotFmt>
        <c:idx val="121"/>
        <c:spPr>
          <a:solidFill>
            <a:schemeClr val="accent1"/>
          </a:solidFill>
          <a:ln w="19050">
            <a:solidFill>
              <a:schemeClr val="lt1"/>
            </a:solidFill>
          </a:ln>
          <a:effectLst/>
        </c:spPr>
      </c:pivotFmt>
      <c:pivotFmt>
        <c:idx val="122"/>
        <c:spPr>
          <a:solidFill>
            <a:schemeClr val="accent1"/>
          </a:solidFill>
          <a:ln w="19050">
            <a:solidFill>
              <a:schemeClr val="lt1"/>
            </a:solidFill>
          </a:ln>
          <a:effectLst/>
        </c:spPr>
      </c:pivotFmt>
      <c:pivotFmt>
        <c:idx val="123"/>
        <c:spPr>
          <a:solidFill>
            <a:schemeClr val="accent1"/>
          </a:solidFill>
          <a:ln w="19050">
            <a:solidFill>
              <a:schemeClr val="lt1"/>
            </a:solidFill>
          </a:ln>
          <a:effectLst/>
        </c:spPr>
      </c:pivotFmt>
      <c:pivotFmt>
        <c:idx val="124"/>
        <c:spPr>
          <a:solidFill>
            <a:schemeClr val="accent1"/>
          </a:solidFill>
          <a:ln w="19050">
            <a:solidFill>
              <a:schemeClr val="lt1"/>
            </a:solidFill>
          </a:ln>
          <a:effectLst/>
        </c:spPr>
      </c:pivotFmt>
      <c:pivotFmt>
        <c:idx val="125"/>
        <c:spPr>
          <a:solidFill>
            <a:schemeClr val="accent1"/>
          </a:solidFill>
          <a:ln w="19050">
            <a:solidFill>
              <a:schemeClr val="lt1"/>
            </a:solidFill>
          </a:ln>
          <a:effectLst/>
        </c:spPr>
      </c:pivotFmt>
      <c:pivotFmt>
        <c:idx val="126"/>
        <c:spPr>
          <a:solidFill>
            <a:schemeClr val="accent1"/>
          </a:solidFill>
          <a:ln w="19050">
            <a:solidFill>
              <a:schemeClr val="lt1"/>
            </a:solidFill>
          </a:ln>
          <a:effectLst/>
        </c:spPr>
      </c:pivotFmt>
      <c:pivotFmt>
        <c:idx val="127"/>
        <c:spPr>
          <a:solidFill>
            <a:schemeClr val="accent1"/>
          </a:solidFill>
          <a:ln w="19050">
            <a:solidFill>
              <a:schemeClr val="lt1"/>
            </a:solidFill>
          </a:ln>
          <a:effectLst/>
        </c:spPr>
      </c:pivotFmt>
      <c:pivotFmt>
        <c:idx val="128"/>
        <c:spPr>
          <a:solidFill>
            <a:schemeClr val="accent1"/>
          </a:solidFill>
          <a:ln w="19050">
            <a:solidFill>
              <a:schemeClr val="lt1"/>
            </a:solidFill>
          </a:ln>
          <a:effectLst/>
        </c:spPr>
      </c:pivotFmt>
      <c:pivotFmt>
        <c:idx val="129"/>
        <c:spPr>
          <a:solidFill>
            <a:schemeClr val="accent1"/>
          </a:solidFill>
          <a:ln w="19050">
            <a:solidFill>
              <a:schemeClr val="lt1"/>
            </a:solidFill>
          </a:ln>
          <a:effectLst/>
        </c:spPr>
      </c:pivotFmt>
      <c:pivotFmt>
        <c:idx val="130"/>
        <c:spPr>
          <a:solidFill>
            <a:schemeClr val="accent1"/>
          </a:solidFill>
          <a:ln w="19050">
            <a:solidFill>
              <a:schemeClr val="lt1"/>
            </a:solidFill>
          </a:ln>
          <a:effectLst/>
        </c:spPr>
      </c:pivotFmt>
      <c:pivotFmt>
        <c:idx val="131"/>
        <c:spPr>
          <a:solidFill>
            <a:schemeClr val="accent1"/>
          </a:solidFill>
          <a:ln w="19050">
            <a:solidFill>
              <a:schemeClr val="lt1"/>
            </a:solidFill>
          </a:ln>
          <a:effectLst/>
        </c:spPr>
      </c:pivotFmt>
      <c:pivotFmt>
        <c:idx val="132"/>
        <c:spPr>
          <a:solidFill>
            <a:schemeClr val="accent1"/>
          </a:solidFill>
          <a:ln w="19050">
            <a:solidFill>
              <a:schemeClr val="lt1"/>
            </a:solidFill>
          </a:ln>
          <a:effectLst/>
        </c:spPr>
      </c:pivotFmt>
      <c:pivotFmt>
        <c:idx val="133"/>
        <c:spPr>
          <a:solidFill>
            <a:schemeClr val="accent1"/>
          </a:solidFill>
          <a:ln w="19050">
            <a:solidFill>
              <a:schemeClr val="lt1"/>
            </a:solidFill>
          </a:ln>
          <a:effectLst/>
        </c:spPr>
      </c:pivotFmt>
      <c:pivotFmt>
        <c:idx val="134"/>
        <c:spPr>
          <a:solidFill>
            <a:schemeClr val="accent1"/>
          </a:solidFill>
          <a:ln w="19050">
            <a:solidFill>
              <a:schemeClr val="lt1"/>
            </a:solidFill>
          </a:ln>
          <a:effectLst/>
        </c:spPr>
      </c:pivotFmt>
      <c:pivotFmt>
        <c:idx val="135"/>
        <c:spPr>
          <a:solidFill>
            <a:schemeClr val="accent1"/>
          </a:solidFill>
          <a:ln w="19050">
            <a:solidFill>
              <a:schemeClr val="lt1"/>
            </a:solidFill>
          </a:ln>
          <a:effectLst/>
        </c:spPr>
      </c:pivotFmt>
      <c:pivotFmt>
        <c:idx val="136"/>
        <c:spPr>
          <a:solidFill>
            <a:schemeClr val="accent1"/>
          </a:solidFill>
          <a:ln w="19050">
            <a:solidFill>
              <a:schemeClr val="lt1"/>
            </a:solidFill>
          </a:ln>
          <a:effectLst/>
        </c:spPr>
      </c:pivotFmt>
      <c:pivotFmt>
        <c:idx val="137"/>
        <c:spPr>
          <a:solidFill>
            <a:schemeClr val="accent1"/>
          </a:solidFill>
          <a:ln w="19050">
            <a:solidFill>
              <a:schemeClr val="lt1"/>
            </a:solidFill>
          </a:ln>
          <a:effectLst/>
        </c:spPr>
      </c:pivotFmt>
      <c:pivotFmt>
        <c:idx val="138"/>
        <c:spPr>
          <a:solidFill>
            <a:schemeClr val="accent1"/>
          </a:solidFill>
          <a:ln w="19050">
            <a:solidFill>
              <a:schemeClr val="lt1"/>
            </a:solidFill>
          </a:ln>
          <a:effectLst/>
        </c:spPr>
      </c:pivotFmt>
      <c:pivotFmt>
        <c:idx val="139"/>
        <c:spPr>
          <a:solidFill>
            <a:schemeClr val="accent1"/>
          </a:solidFill>
          <a:ln w="19050">
            <a:solidFill>
              <a:schemeClr val="lt1"/>
            </a:solidFill>
          </a:ln>
          <a:effectLst/>
        </c:spPr>
      </c:pivotFmt>
      <c:pivotFmt>
        <c:idx val="140"/>
        <c:spPr>
          <a:solidFill>
            <a:schemeClr val="accent1"/>
          </a:solidFill>
          <a:ln w="19050">
            <a:solidFill>
              <a:schemeClr val="lt1"/>
            </a:solidFill>
          </a:ln>
          <a:effectLst/>
        </c:spPr>
      </c:pivotFmt>
      <c:pivotFmt>
        <c:idx val="141"/>
        <c:spPr>
          <a:solidFill>
            <a:schemeClr val="accent1"/>
          </a:solidFill>
          <a:ln w="19050">
            <a:solidFill>
              <a:schemeClr val="lt1"/>
            </a:solidFill>
          </a:ln>
          <a:effectLst/>
        </c:spPr>
      </c:pivotFmt>
      <c:pivotFmt>
        <c:idx val="142"/>
        <c:spPr>
          <a:solidFill>
            <a:schemeClr val="accent1"/>
          </a:solidFill>
          <a:ln w="19050">
            <a:solidFill>
              <a:schemeClr val="lt1"/>
            </a:solidFill>
          </a:ln>
          <a:effectLst/>
        </c:spPr>
      </c:pivotFmt>
      <c:pivotFmt>
        <c:idx val="143"/>
        <c:spPr>
          <a:solidFill>
            <a:schemeClr val="accent1"/>
          </a:solidFill>
          <a:ln w="19050">
            <a:solidFill>
              <a:schemeClr val="lt1"/>
            </a:solidFill>
          </a:ln>
          <a:effectLst/>
        </c:spPr>
      </c:pivotFmt>
      <c:pivotFmt>
        <c:idx val="144"/>
        <c:spPr>
          <a:solidFill>
            <a:schemeClr val="accent1"/>
          </a:solidFill>
          <a:ln w="19050">
            <a:solidFill>
              <a:schemeClr val="lt1"/>
            </a:solidFill>
          </a:ln>
          <a:effectLst/>
        </c:spPr>
      </c:pivotFmt>
      <c:pivotFmt>
        <c:idx val="145"/>
        <c:spPr>
          <a:solidFill>
            <a:schemeClr val="accent1"/>
          </a:solidFill>
          <a:ln w="19050">
            <a:solidFill>
              <a:schemeClr val="lt1"/>
            </a:solidFill>
          </a:ln>
          <a:effectLst/>
        </c:spPr>
      </c:pivotFmt>
      <c:pivotFmt>
        <c:idx val="146"/>
        <c:spPr>
          <a:solidFill>
            <a:schemeClr val="accent1"/>
          </a:solidFill>
          <a:ln w="19050">
            <a:solidFill>
              <a:schemeClr val="lt1"/>
            </a:solidFill>
          </a:ln>
          <a:effectLst/>
        </c:spPr>
      </c:pivotFmt>
      <c:pivotFmt>
        <c:idx val="147"/>
        <c:spPr>
          <a:solidFill>
            <a:schemeClr val="accent1"/>
          </a:solidFill>
          <a:ln w="19050">
            <a:solidFill>
              <a:schemeClr val="lt1"/>
            </a:solidFill>
          </a:ln>
          <a:effectLst/>
        </c:spPr>
      </c:pivotFmt>
      <c:pivotFmt>
        <c:idx val="148"/>
        <c:spPr>
          <a:solidFill>
            <a:schemeClr val="accent1"/>
          </a:solidFill>
          <a:ln w="19050">
            <a:solidFill>
              <a:schemeClr val="lt1"/>
            </a:solidFill>
          </a:ln>
          <a:effectLst/>
        </c:spPr>
      </c:pivotFmt>
      <c:pivotFmt>
        <c:idx val="149"/>
        <c:spPr>
          <a:solidFill>
            <a:schemeClr val="accent1"/>
          </a:solidFill>
          <a:ln w="19050">
            <a:solidFill>
              <a:schemeClr val="lt1"/>
            </a:solidFill>
          </a:ln>
          <a:effectLst/>
        </c:spPr>
      </c:pivotFmt>
      <c:pivotFmt>
        <c:idx val="150"/>
        <c:spPr>
          <a:solidFill>
            <a:schemeClr val="accent1"/>
          </a:solidFill>
          <a:ln w="19050">
            <a:solidFill>
              <a:schemeClr val="lt1"/>
            </a:solidFill>
          </a:ln>
          <a:effectLst/>
        </c:spPr>
      </c:pivotFmt>
      <c:pivotFmt>
        <c:idx val="151"/>
        <c:spPr>
          <a:solidFill>
            <a:schemeClr val="accent1"/>
          </a:solidFill>
          <a:ln w="19050">
            <a:solidFill>
              <a:schemeClr val="lt1"/>
            </a:solidFill>
          </a:ln>
          <a:effectLst/>
        </c:spPr>
      </c:pivotFmt>
      <c:pivotFmt>
        <c:idx val="152"/>
        <c:spPr>
          <a:solidFill>
            <a:schemeClr val="accent1"/>
          </a:solidFill>
          <a:ln w="19050">
            <a:solidFill>
              <a:schemeClr val="lt1"/>
            </a:solidFill>
          </a:ln>
          <a:effectLst/>
        </c:spPr>
      </c:pivotFmt>
      <c:pivotFmt>
        <c:idx val="153"/>
        <c:spPr>
          <a:solidFill>
            <a:schemeClr val="accent1"/>
          </a:solidFill>
          <a:ln w="19050">
            <a:solidFill>
              <a:schemeClr val="lt1"/>
            </a:solidFill>
          </a:ln>
          <a:effectLst/>
        </c:spPr>
      </c:pivotFmt>
      <c:pivotFmt>
        <c:idx val="154"/>
        <c:spPr>
          <a:solidFill>
            <a:schemeClr val="accent1"/>
          </a:solidFill>
          <a:ln w="19050">
            <a:solidFill>
              <a:schemeClr val="lt1"/>
            </a:solidFill>
          </a:ln>
          <a:effectLst/>
        </c:spPr>
      </c:pivotFmt>
      <c:pivotFmt>
        <c:idx val="155"/>
        <c:spPr>
          <a:solidFill>
            <a:schemeClr val="accent1"/>
          </a:solidFill>
          <a:ln w="19050">
            <a:solidFill>
              <a:schemeClr val="lt1"/>
            </a:solidFill>
          </a:ln>
          <a:effectLst/>
        </c:spPr>
      </c:pivotFmt>
      <c:pivotFmt>
        <c:idx val="15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w="19050">
            <a:solidFill>
              <a:schemeClr val="lt1"/>
            </a:solidFill>
          </a:ln>
          <a:effectLst/>
        </c:spPr>
      </c:pivotFmt>
      <c:pivotFmt>
        <c:idx val="158"/>
        <c:spPr>
          <a:solidFill>
            <a:schemeClr val="accent1"/>
          </a:solidFill>
          <a:ln w="19050">
            <a:solidFill>
              <a:schemeClr val="lt1"/>
            </a:solidFill>
          </a:ln>
          <a:effectLst/>
        </c:spPr>
      </c:pivotFmt>
      <c:pivotFmt>
        <c:idx val="159"/>
        <c:spPr>
          <a:solidFill>
            <a:schemeClr val="accent1"/>
          </a:solidFill>
          <a:ln w="19050">
            <a:solidFill>
              <a:schemeClr val="lt1"/>
            </a:solidFill>
          </a:ln>
          <a:effectLst/>
        </c:spPr>
      </c:pivotFmt>
      <c:pivotFmt>
        <c:idx val="160"/>
        <c:spPr>
          <a:solidFill>
            <a:schemeClr val="accent1"/>
          </a:solidFill>
          <a:ln w="19050">
            <a:solidFill>
              <a:schemeClr val="lt1"/>
            </a:solidFill>
          </a:ln>
          <a:effectLst/>
        </c:spPr>
      </c:pivotFmt>
      <c:pivotFmt>
        <c:idx val="161"/>
        <c:spPr>
          <a:solidFill>
            <a:schemeClr val="accent1"/>
          </a:solidFill>
          <a:ln w="19050">
            <a:solidFill>
              <a:schemeClr val="lt1"/>
            </a:solidFill>
          </a:ln>
          <a:effectLst/>
        </c:spPr>
      </c:pivotFmt>
      <c:pivotFmt>
        <c:idx val="162"/>
        <c:spPr>
          <a:solidFill>
            <a:schemeClr val="accent1"/>
          </a:solidFill>
          <a:ln w="19050">
            <a:solidFill>
              <a:schemeClr val="lt1"/>
            </a:solidFill>
          </a:ln>
          <a:effectLst/>
        </c:spPr>
      </c:pivotFmt>
      <c:pivotFmt>
        <c:idx val="163"/>
        <c:spPr>
          <a:solidFill>
            <a:schemeClr val="accent1"/>
          </a:solidFill>
          <a:ln w="19050">
            <a:solidFill>
              <a:schemeClr val="lt1"/>
            </a:solidFill>
          </a:ln>
          <a:effectLst/>
        </c:spPr>
      </c:pivotFmt>
      <c:pivotFmt>
        <c:idx val="164"/>
        <c:spPr>
          <a:solidFill>
            <a:schemeClr val="accent1"/>
          </a:solidFill>
          <a:ln w="19050">
            <a:solidFill>
              <a:schemeClr val="lt1"/>
            </a:solidFill>
          </a:ln>
          <a:effectLst/>
        </c:spPr>
      </c:pivotFmt>
      <c:pivotFmt>
        <c:idx val="165"/>
        <c:spPr>
          <a:solidFill>
            <a:schemeClr val="accent1"/>
          </a:solidFill>
          <a:ln w="19050">
            <a:solidFill>
              <a:schemeClr val="lt1"/>
            </a:solidFill>
          </a:ln>
          <a:effectLst/>
        </c:spPr>
      </c:pivotFmt>
      <c:pivotFmt>
        <c:idx val="166"/>
        <c:spPr>
          <a:solidFill>
            <a:schemeClr val="accent1"/>
          </a:solidFill>
          <a:ln w="19050">
            <a:solidFill>
              <a:schemeClr val="lt1"/>
            </a:solidFill>
          </a:ln>
          <a:effectLst/>
        </c:spPr>
      </c:pivotFmt>
      <c:pivotFmt>
        <c:idx val="167"/>
        <c:spPr>
          <a:solidFill>
            <a:schemeClr val="accent1"/>
          </a:solidFill>
          <a:ln w="19050">
            <a:solidFill>
              <a:schemeClr val="lt1"/>
            </a:solidFill>
          </a:ln>
          <a:effectLst/>
        </c:spPr>
      </c:pivotFmt>
      <c:pivotFmt>
        <c:idx val="168"/>
        <c:spPr>
          <a:solidFill>
            <a:schemeClr val="accent1"/>
          </a:solidFill>
          <a:ln w="19050">
            <a:solidFill>
              <a:schemeClr val="lt1"/>
            </a:solidFill>
          </a:ln>
          <a:effectLst/>
        </c:spPr>
      </c:pivotFmt>
      <c:pivotFmt>
        <c:idx val="169"/>
        <c:spPr>
          <a:solidFill>
            <a:schemeClr val="accent1"/>
          </a:solidFill>
          <a:ln w="19050">
            <a:solidFill>
              <a:schemeClr val="lt1"/>
            </a:solidFill>
          </a:ln>
          <a:effectLst/>
        </c:spPr>
      </c:pivotFmt>
      <c:pivotFmt>
        <c:idx val="170"/>
        <c:spPr>
          <a:solidFill>
            <a:schemeClr val="accent1"/>
          </a:solidFill>
          <a:ln w="19050">
            <a:solidFill>
              <a:schemeClr val="lt1"/>
            </a:solidFill>
          </a:ln>
          <a:effectLst/>
        </c:spPr>
      </c:pivotFmt>
      <c:pivotFmt>
        <c:idx val="171"/>
        <c:spPr>
          <a:solidFill>
            <a:schemeClr val="accent1"/>
          </a:solidFill>
          <a:ln w="19050">
            <a:solidFill>
              <a:schemeClr val="lt1"/>
            </a:solidFill>
          </a:ln>
          <a:effectLst/>
        </c:spPr>
      </c:pivotFmt>
      <c:pivotFmt>
        <c:idx val="172"/>
        <c:spPr>
          <a:solidFill>
            <a:schemeClr val="accent1"/>
          </a:solidFill>
          <a:ln w="19050">
            <a:solidFill>
              <a:schemeClr val="lt1"/>
            </a:solidFill>
          </a:ln>
          <a:effectLst/>
        </c:spPr>
      </c:pivotFmt>
      <c:pivotFmt>
        <c:idx val="173"/>
        <c:spPr>
          <a:solidFill>
            <a:schemeClr val="accent1"/>
          </a:solidFill>
          <a:ln w="19050">
            <a:solidFill>
              <a:schemeClr val="lt1"/>
            </a:solidFill>
          </a:ln>
          <a:effectLst/>
        </c:spPr>
      </c:pivotFmt>
      <c:pivotFmt>
        <c:idx val="174"/>
        <c:spPr>
          <a:solidFill>
            <a:schemeClr val="accent1"/>
          </a:solidFill>
          <a:ln w="19050">
            <a:solidFill>
              <a:schemeClr val="lt1"/>
            </a:solidFill>
          </a:ln>
          <a:effectLst/>
        </c:spPr>
      </c:pivotFmt>
      <c:pivotFmt>
        <c:idx val="175"/>
        <c:spPr>
          <a:solidFill>
            <a:schemeClr val="accent1"/>
          </a:solidFill>
          <a:ln w="19050">
            <a:solidFill>
              <a:schemeClr val="lt1"/>
            </a:solidFill>
          </a:ln>
          <a:effectLst/>
        </c:spPr>
      </c:pivotFmt>
      <c:pivotFmt>
        <c:idx val="176"/>
        <c:spPr>
          <a:solidFill>
            <a:schemeClr val="accent1"/>
          </a:solidFill>
          <a:ln w="19050">
            <a:solidFill>
              <a:schemeClr val="lt1"/>
            </a:solidFill>
          </a:ln>
          <a:effectLst/>
        </c:spPr>
      </c:pivotFmt>
      <c:pivotFmt>
        <c:idx val="177"/>
        <c:spPr>
          <a:solidFill>
            <a:schemeClr val="accent1"/>
          </a:solidFill>
          <a:ln w="19050">
            <a:solidFill>
              <a:schemeClr val="lt1"/>
            </a:solidFill>
          </a:ln>
          <a:effectLst/>
        </c:spPr>
      </c:pivotFmt>
      <c:pivotFmt>
        <c:idx val="178"/>
        <c:spPr>
          <a:solidFill>
            <a:schemeClr val="accent1"/>
          </a:solidFill>
          <a:ln w="19050">
            <a:solidFill>
              <a:schemeClr val="lt1"/>
            </a:solidFill>
          </a:ln>
          <a:effectLst/>
        </c:spPr>
      </c:pivotFmt>
      <c:pivotFmt>
        <c:idx val="179"/>
        <c:spPr>
          <a:solidFill>
            <a:schemeClr val="accent1"/>
          </a:solidFill>
          <a:ln w="19050">
            <a:solidFill>
              <a:schemeClr val="lt1"/>
            </a:solidFill>
          </a:ln>
          <a:effectLst/>
        </c:spPr>
      </c:pivotFmt>
      <c:pivotFmt>
        <c:idx val="180"/>
        <c:spPr>
          <a:solidFill>
            <a:schemeClr val="accent1"/>
          </a:solidFill>
          <a:ln w="19050">
            <a:solidFill>
              <a:schemeClr val="lt1"/>
            </a:solidFill>
          </a:ln>
          <a:effectLst/>
        </c:spPr>
      </c:pivotFmt>
      <c:pivotFmt>
        <c:idx val="181"/>
        <c:spPr>
          <a:solidFill>
            <a:schemeClr val="accent1"/>
          </a:solidFill>
          <a:ln w="19050">
            <a:solidFill>
              <a:schemeClr val="lt1"/>
            </a:solidFill>
          </a:ln>
          <a:effectLst/>
        </c:spPr>
      </c:pivotFmt>
      <c:pivotFmt>
        <c:idx val="182"/>
        <c:spPr>
          <a:solidFill>
            <a:schemeClr val="accent1"/>
          </a:solidFill>
          <a:ln w="19050">
            <a:solidFill>
              <a:schemeClr val="lt1"/>
            </a:solidFill>
          </a:ln>
          <a:effectLst/>
        </c:spPr>
      </c:pivotFmt>
      <c:pivotFmt>
        <c:idx val="183"/>
        <c:spPr>
          <a:solidFill>
            <a:schemeClr val="accent1"/>
          </a:solidFill>
          <a:ln w="19050">
            <a:solidFill>
              <a:schemeClr val="lt1"/>
            </a:solidFill>
          </a:ln>
          <a:effectLst/>
        </c:spPr>
      </c:pivotFmt>
      <c:pivotFmt>
        <c:idx val="184"/>
        <c:spPr>
          <a:solidFill>
            <a:schemeClr val="accent1"/>
          </a:solidFill>
          <a:ln w="19050">
            <a:solidFill>
              <a:schemeClr val="lt1"/>
            </a:solidFill>
          </a:ln>
          <a:effectLst/>
        </c:spPr>
      </c:pivotFmt>
      <c:pivotFmt>
        <c:idx val="185"/>
        <c:spPr>
          <a:solidFill>
            <a:schemeClr val="accent1"/>
          </a:solidFill>
          <a:ln w="19050">
            <a:solidFill>
              <a:schemeClr val="lt1"/>
            </a:solidFill>
          </a:ln>
          <a:effectLst/>
        </c:spPr>
      </c:pivotFmt>
      <c:pivotFmt>
        <c:idx val="186"/>
        <c:spPr>
          <a:solidFill>
            <a:schemeClr val="accent1"/>
          </a:solidFill>
          <a:ln w="19050">
            <a:solidFill>
              <a:schemeClr val="lt1"/>
            </a:solidFill>
          </a:ln>
          <a:effectLst/>
        </c:spPr>
      </c:pivotFmt>
      <c:pivotFmt>
        <c:idx val="187"/>
        <c:spPr>
          <a:solidFill>
            <a:schemeClr val="accent1"/>
          </a:solidFill>
          <a:ln w="19050">
            <a:solidFill>
              <a:schemeClr val="lt1"/>
            </a:solidFill>
          </a:ln>
          <a:effectLst/>
        </c:spPr>
      </c:pivotFmt>
      <c:pivotFmt>
        <c:idx val="188"/>
        <c:spPr>
          <a:solidFill>
            <a:schemeClr val="accent1"/>
          </a:solidFill>
          <a:ln w="19050">
            <a:solidFill>
              <a:schemeClr val="lt1"/>
            </a:solidFill>
          </a:ln>
          <a:effectLst/>
        </c:spPr>
      </c:pivotFmt>
      <c:pivotFmt>
        <c:idx val="189"/>
        <c:spPr>
          <a:solidFill>
            <a:schemeClr val="accent1"/>
          </a:solidFill>
          <a:ln w="19050">
            <a:solidFill>
              <a:schemeClr val="lt1"/>
            </a:solidFill>
          </a:ln>
          <a:effectLst/>
        </c:spPr>
      </c:pivotFmt>
      <c:pivotFmt>
        <c:idx val="190"/>
        <c:spPr>
          <a:solidFill>
            <a:schemeClr val="accent1"/>
          </a:solidFill>
          <a:ln w="19050">
            <a:solidFill>
              <a:schemeClr val="lt1"/>
            </a:solidFill>
          </a:ln>
          <a:effectLst/>
        </c:spPr>
      </c:pivotFmt>
      <c:pivotFmt>
        <c:idx val="191"/>
        <c:spPr>
          <a:solidFill>
            <a:schemeClr val="accent1"/>
          </a:solidFill>
          <a:ln w="19050">
            <a:solidFill>
              <a:schemeClr val="lt1"/>
            </a:solidFill>
          </a:ln>
          <a:effectLst/>
        </c:spPr>
      </c:pivotFmt>
      <c:pivotFmt>
        <c:idx val="192"/>
        <c:spPr>
          <a:solidFill>
            <a:schemeClr val="accent1"/>
          </a:solidFill>
          <a:ln w="19050">
            <a:solidFill>
              <a:schemeClr val="lt1"/>
            </a:solidFill>
          </a:ln>
          <a:effectLst/>
        </c:spPr>
      </c:pivotFmt>
      <c:pivotFmt>
        <c:idx val="193"/>
        <c:spPr>
          <a:solidFill>
            <a:schemeClr val="accent1"/>
          </a:solidFill>
          <a:ln w="19050">
            <a:solidFill>
              <a:schemeClr val="lt1"/>
            </a:solidFill>
          </a:ln>
          <a:effectLst/>
        </c:spPr>
      </c:pivotFmt>
      <c:pivotFmt>
        <c:idx val="194"/>
        <c:spPr>
          <a:solidFill>
            <a:schemeClr val="accent1"/>
          </a:solidFill>
          <a:ln w="19050">
            <a:solidFill>
              <a:schemeClr val="lt1"/>
            </a:solidFill>
          </a:ln>
          <a:effectLst/>
        </c:spPr>
      </c:pivotFmt>
      <c:pivotFmt>
        <c:idx val="19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6"/>
        <c:spPr>
          <a:solidFill>
            <a:schemeClr val="accent1"/>
          </a:solidFill>
          <a:ln w="19050">
            <a:solidFill>
              <a:schemeClr val="lt1"/>
            </a:solidFill>
          </a:ln>
          <a:effectLst/>
        </c:spPr>
      </c:pivotFmt>
      <c:pivotFmt>
        <c:idx val="197"/>
        <c:spPr>
          <a:solidFill>
            <a:schemeClr val="accent1"/>
          </a:solidFill>
          <a:ln w="19050">
            <a:solidFill>
              <a:schemeClr val="lt1"/>
            </a:solidFill>
          </a:ln>
          <a:effectLst/>
        </c:spPr>
      </c:pivotFmt>
      <c:pivotFmt>
        <c:idx val="198"/>
        <c:spPr>
          <a:solidFill>
            <a:schemeClr val="accent1"/>
          </a:solidFill>
          <a:ln w="19050">
            <a:solidFill>
              <a:schemeClr val="lt1"/>
            </a:solidFill>
          </a:ln>
          <a:effectLst/>
        </c:spPr>
      </c:pivotFmt>
      <c:pivotFmt>
        <c:idx val="199"/>
        <c:spPr>
          <a:solidFill>
            <a:schemeClr val="accent1"/>
          </a:solidFill>
          <a:ln w="19050">
            <a:solidFill>
              <a:schemeClr val="lt1"/>
            </a:solidFill>
          </a:ln>
          <a:effectLst/>
        </c:spPr>
      </c:pivotFmt>
      <c:pivotFmt>
        <c:idx val="200"/>
        <c:spPr>
          <a:solidFill>
            <a:schemeClr val="accent1"/>
          </a:solidFill>
          <a:ln w="19050">
            <a:solidFill>
              <a:schemeClr val="lt1"/>
            </a:solidFill>
          </a:ln>
          <a:effectLst/>
        </c:spPr>
      </c:pivotFmt>
      <c:pivotFmt>
        <c:idx val="201"/>
        <c:spPr>
          <a:solidFill>
            <a:schemeClr val="accent1"/>
          </a:solidFill>
          <a:ln w="19050">
            <a:solidFill>
              <a:schemeClr val="lt1"/>
            </a:solidFill>
          </a:ln>
          <a:effectLst/>
        </c:spPr>
      </c:pivotFmt>
      <c:pivotFmt>
        <c:idx val="202"/>
        <c:spPr>
          <a:solidFill>
            <a:schemeClr val="accent1"/>
          </a:solidFill>
          <a:ln w="19050">
            <a:solidFill>
              <a:schemeClr val="lt1"/>
            </a:solidFill>
          </a:ln>
          <a:effectLst/>
        </c:spPr>
      </c:pivotFmt>
      <c:pivotFmt>
        <c:idx val="203"/>
        <c:spPr>
          <a:solidFill>
            <a:schemeClr val="accent1"/>
          </a:solidFill>
          <a:ln w="19050">
            <a:solidFill>
              <a:schemeClr val="lt1"/>
            </a:solidFill>
          </a:ln>
          <a:effectLst/>
        </c:spPr>
      </c:pivotFmt>
      <c:pivotFmt>
        <c:idx val="204"/>
        <c:spPr>
          <a:solidFill>
            <a:schemeClr val="accent1"/>
          </a:solidFill>
          <a:ln w="19050">
            <a:solidFill>
              <a:schemeClr val="lt1"/>
            </a:solidFill>
          </a:ln>
          <a:effectLst/>
        </c:spPr>
      </c:pivotFmt>
      <c:pivotFmt>
        <c:idx val="205"/>
        <c:spPr>
          <a:solidFill>
            <a:schemeClr val="accent1"/>
          </a:solidFill>
          <a:ln w="19050">
            <a:solidFill>
              <a:schemeClr val="lt1"/>
            </a:solidFill>
          </a:ln>
          <a:effectLst/>
        </c:spPr>
      </c:pivotFmt>
      <c:pivotFmt>
        <c:idx val="206"/>
        <c:spPr>
          <a:solidFill>
            <a:schemeClr val="accent1"/>
          </a:solidFill>
          <a:ln w="19050">
            <a:solidFill>
              <a:schemeClr val="lt1"/>
            </a:solidFill>
          </a:ln>
          <a:effectLst/>
        </c:spPr>
      </c:pivotFmt>
      <c:pivotFmt>
        <c:idx val="207"/>
        <c:spPr>
          <a:solidFill>
            <a:schemeClr val="accent1"/>
          </a:solidFill>
          <a:ln w="19050">
            <a:solidFill>
              <a:schemeClr val="lt1"/>
            </a:solidFill>
          </a:ln>
          <a:effectLst/>
        </c:spPr>
      </c:pivotFmt>
      <c:pivotFmt>
        <c:idx val="208"/>
        <c:spPr>
          <a:solidFill>
            <a:schemeClr val="accent1"/>
          </a:solidFill>
          <a:ln w="19050">
            <a:solidFill>
              <a:schemeClr val="lt1"/>
            </a:solidFill>
          </a:ln>
          <a:effectLst/>
        </c:spPr>
      </c:pivotFmt>
      <c:pivotFmt>
        <c:idx val="209"/>
        <c:spPr>
          <a:solidFill>
            <a:schemeClr val="accent1"/>
          </a:solidFill>
          <a:ln w="19050">
            <a:solidFill>
              <a:schemeClr val="lt1"/>
            </a:solidFill>
          </a:ln>
          <a:effectLst/>
        </c:spPr>
      </c:pivotFmt>
      <c:pivotFmt>
        <c:idx val="210"/>
        <c:spPr>
          <a:solidFill>
            <a:schemeClr val="accent1"/>
          </a:solidFill>
          <a:ln w="19050">
            <a:solidFill>
              <a:schemeClr val="lt1"/>
            </a:solidFill>
          </a:ln>
          <a:effectLst/>
        </c:spPr>
      </c:pivotFmt>
      <c:pivotFmt>
        <c:idx val="211"/>
        <c:spPr>
          <a:solidFill>
            <a:schemeClr val="accent1"/>
          </a:solidFill>
          <a:ln w="19050">
            <a:solidFill>
              <a:schemeClr val="lt1"/>
            </a:solidFill>
          </a:ln>
          <a:effectLst/>
        </c:spPr>
      </c:pivotFmt>
      <c:pivotFmt>
        <c:idx val="212"/>
        <c:spPr>
          <a:solidFill>
            <a:schemeClr val="accent1"/>
          </a:solidFill>
          <a:ln w="19050">
            <a:solidFill>
              <a:schemeClr val="lt1"/>
            </a:solidFill>
          </a:ln>
          <a:effectLst/>
        </c:spPr>
      </c:pivotFmt>
      <c:pivotFmt>
        <c:idx val="213"/>
        <c:spPr>
          <a:solidFill>
            <a:schemeClr val="accent1"/>
          </a:solidFill>
          <a:ln w="19050">
            <a:solidFill>
              <a:schemeClr val="lt1"/>
            </a:solidFill>
          </a:ln>
          <a:effectLst/>
        </c:spPr>
      </c:pivotFmt>
      <c:pivotFmt>
        <c:idx val="214"/>
        <c:spPr>
          <a:solidFill>
            <a:schemeClr val="accent1"/>
          </a:solidFill>
          <a:ln w="19050">
            <a:solidFill>
              <a:schemeClr val="lt1"/>
            </a:solidFill>
          </a:ln>
          <a:effectLst/>
        </c:spPr>
      </c:pivotFmt>
      <c:pivotFmt>
        <c:idx val="215"/>
        <c:spPr>
          <a:solidFill>
            <a:schemeClr val="accent1"/>
          </a:solidFill>
          <a:ln w="19050">
            <a:solidFill>
              <a:schemeClr val="lt1"/>
            </a:solidFill>
          </a:ln>
          <a:effectLst/>
        </c:spPr>
      </c:pivotFmt>
      <c:pivotFmt>
        <c:idx val="216"/>
        <c:spPr>
          <a:solidFill>
            <a:schemeClr val="accent1"/>
          </a:solidFill>
          <a:ln w="19050">
            <a:solidFill>
              <a:schemeClr val="lt1"/>
            </a:solidFill>
          </a:ln>
          <a:effectLst/>
        </c:spPr>
      </c:pivotFmt>
      <c:pivotFmt>
        <c:idx val="217"/>
        <c:spPr>
          <a:solidFill>
            <a:schemeClr val="accent1"/>
          </a:solidFill>
          <a:ln w="19050">
            <a:solidFill>
              <a:schemeClr val="lt1"/>
            </a:solidFill>
          </a:ln>
          <a:effectLst/>
        </c:spPr>
      </c:pivotFmt>
      <c:pivotFmt>
        <c:idx val="218"/>
        <c:spPr>
          <a:solidFill>
            <a:schemeClr val="accent1"/>
          </a:solidFill>
          <a:ln w="19050">
            <a:solidFill>
              <a:schemeClr val="lt1"/>
            </a:solidFill>
          </a:ln>
          <a:effectLst/>
        </c:spPr>
      </c:pivotFmt>
      <c:pivotFmt>
        <c:idx val="219"/>
        <c:spPr>
          <a:solidFill>
            <a:schemeClr val="accent1"/>
          </a:solidFill>
          <a:ln w="19050">
            <a:solidFill>
              <a:schemeClr val="lt1"/>
            </a:solidFill>
          </a:ln>
          <a:effectLst/>
        </c:spPr>
      </c:pivotFmt>
      <c:pivotFmt>
        <c:idx val="220"/>
        <c:spPr>
          <a:solidFill>
            <a:schemeClr val="accent1"/>
          </a:solidFill>
          <a:ln w="19050">
            <a:solidFill>
              <a:schemeClr val="lt1"/>
            </a:solidFill>
          </a:ln>
          <a:effectLst/>
        </c:spPr>
      </c:pivotFmt>
      <c:pivotFmt>
        <c:idx val="221"/>
        <c:spPr>
          <a:solidFill>
            <a:schemeClr val="accent1"/>
          </a:solidFill>
          <a:ln w="19050">
            <a:solidFill>
              <a:schemeClr val="lt1"/>
            </a:solidFill>
          </a:ln>
          <a:effectLst/>
        </c:spPr>
      </c:pivotFmt>
      <c:pivotFmt>
        <c:idx val="222"/>
        <c:spPr>
          <a:solidFill>
            <a:schemeClr val="accent1"/>
          </a:solidFill>
          <a:ln w="19050">
            <a:solidFill>
              <a:schemeClr val="lt1"/>
            </a:solidFill>
          </a:ln>
          <a:effectLst/>
        </c:spPr>
      </c:pivotFmt>
      <c:pivotFmt>
        <c:idx val="223"/>
        <c:spPr>
          <a:solidFill>
            <a:schemeClr val="accent1"/>
          </a:solidFill>
          <a:ln w="19050">
            <a:solidFill>
              <a:schemeClr val="lt1"/>
            </a:solidFill>
          </a:ln>
          <a:effectLst/>
        </c:spPr>
      </c:pivotFmt>
      <c:pivotFmt>
        <c:idx val="224"/>
        <c:spPr>
          <a:solidFill>
            <a:schemeClr val="accent1"/>
          </a:solidFill>
          <a:ln w="19050">
            <a:solidFill>
              <a:schemeClr val="lt1"/>
            </a:solidFill>
          </a:ln>
          <a:effectLst/>
        </c:spPr>
      </c:pivotFmt>
      <c:pivotFmt>
        <c:idx val="225"/>
        <c:spPr>
          <a:solidFill>
            <a:schemeClr val="accent1"/>
          </a:solidFill>
          <a:ln w="19050">
            <a:solidFill>
              <a:schemeClr val="lt1"/>
            </a:solidFill>
          </a:ln>
          <a:effectLst/>
        </c:spPr>
      </c:pivotFmt>
      <c:pivotFmt>
        <c:idx val="226"/>
        <c:spPr>
          <a:solidFill>
            <a:schemeClr val="accent1"/>
          </a:solidFill>
          <a:ln w="19050">
            <a:solidFill>
              <a:schemeClr val="lt1"/>
            </a:solidFill>
          </a:ln>
          <a:effectLst/>
        </c:spPr>
      </c:pivotFmt>
      <c:pivotFmt>
        <c:idx val="227"/>
        <c:spPr>
          <a:solidFill>
            <a:schemeClr val="accent1"/>
          </a:solidFill>
          <a:ln w="19050">
            <a:solidFill>
              <a:schemeClr val="lt1"/>
            </a:solidFill>
          </a:ln>
          <a:effectLst/>
        </c:spPr>
      </c:pivotFmt>
      <c:pivotFmt>
        <c:idx val="228"/>
        <c:spPr>
          <a:solidFill>
            <a:schemeClr val="accent1"/>
          </a:solidFill>
          <a:ln w="19050">
            <a:solidFill>
              <a:schemeClr val="lt1"/>
            </a:solidFill>
          </a:ln>
          <a:effectLst/>
        </c:spPr>
      </c:pivotFmt>
      <c:pivotFmt>
        <c:idx val="229"/>
        <c:spPr>
          <a:solidFill>
            <a:schemeClr val="accent1"/>
          </a:solidFill>
          <a:ln w="19050">
            <a:solidFill>
              <a:schemeClr val="lt1"/>
            </a:solidFill>
          </a:ln>
          <a:effectLst/>
        </c:spPr>
      </c:pivotFmt>
      <c:pivotFmt>
        <c:idx val="230"/>
        <c:spPr>
          <a:solidFill>
            <a:schemeClr val="accent1"/>
          </a:solidFill>
          <a:ln w="19050">
            <a:solidFill>
              <a:schemeClr val="lt1"/>
            </a:solidFill>
          </a:ln>
          <a:effectLst/>
        </c:spPr>
      </c:pivotFmt>
      <c:pivotFmt>
        <c:idx val="231"/>
        <c:spPr>
          <a:solidFill>
            <a:schemeClr val="accent1"/>
          </a:solidFill>
          <a:ln w="19050">
            <a:solidFill>
              <a:schemeClr val="lt1"/>
            </a:solidFill>
          </a:ln>
          <a:effectLst/>
        </c:spPr>
      </c:pivotFmt>
      <c:pivotFmt>
        <c:idx val="232"/>
        <c:spPr>
          <a:solidFill>
            <a:schemeClr val="accent1"/>
          </a:solidFill>
          <a:ln w="19050">
            <a:solidFill>
              <a:schemeClr val="lt1"/>
            </a:solidFill>
          </a:ln>
          <a:effectLst/>
        </c:spPr>
      </c:pivotFmt>
      <c:pivotFmt>
        <c:idx val="233"/>
        <c:spPr>
          <a:solidFill>
            <a:schemeClr val="accent1"/>
          </a:solidFill>
          <a:ln w="19050">
            <a:solidFill>
              <a:schemeClr val="lt1"/>
            </a:solidFill>
          </a:ln>
          <a:effectLst/>
        </c:spPr>
      </c:pivotFmt>
    </c:pivotFmts>
    <c:plotArea>
      <c:layout/>
      <c:pieChart>
        <c:varyColors val="1"/>
        <c:ser>
          <c:idx val="0"/>
          <c:order val="0"/>
          <c:tx>
            <c:strRef>
              <c:f>'pivot tables + pie'!$F$5:$F$6</c:f>
              <c:strCache>
                <c:ptCount val="1"/>
                <c:pt idx="0">
                  <c:v>Patients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46-477E-9A4D-8CB14E10A38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46-477E-9A4D-8CB14E10A38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46-477E-9A4D-8CB14E10A38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746-477E-9A4D-8CB14E10A38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746-477E-9A4D-8CB14E10A38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746-477E-9A4D-8CB14E10A38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746-477E-9A4D-8CB14E10A38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746-477E-9A4D-8CB14E10A38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746-477E-9A4D-8CB14E10A38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2746-477E-9A4D-8CB14E10A38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2746-477E-9A4D-8CB14E10A38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2746-477E-9A4D-8CB14E10A38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2746-477E-9A4D-8CB14E10A38A}"/>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2746-477E-9A4D-8CB14E10A38A}"/>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2746-477E-9A4D-8CB14E10A38A}"/>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2746-477E-9A4D-8CB14E10A38A}"/>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2746-477E-9A4D-8CB14E10A38A}"/>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2746-477E-9A4D-8CB14E10A38A}"/>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2746-477E-9A4D-8CB14E10A38A}"/>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27-2746-477E-9A4D-8CB14E10A38A}"/>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29-2746-477E-9A4D-8CB14E10A38A}"/>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2B-2746-477E-9A4D-8CB14E10A38A}"/>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2D-2746-477E-9A4D-8CB14E10A38A}"/>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2F-2746-477E-9A4D-8CB14E10A38A}"/>
              </c:ext>
            </c:extLst>
          </c:dPt>
          <c:dPt>
            <c:idx val="2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31-2746-477E-9A4D-8CB14E10A38A}"/>
              </c:ext>
            </c:extLst>
          </c:dPt>
          <c:dPt>
            <c:idx val="2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33-2746-477E-9A4D-8CB14E10A38A}"/>
              </c:ext>
            </c:extLst>
          </c:dPt>
          <c:dPt>
            <c:idx val="2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35-2746-477E-9A4D-8CB14E10A38A}"/>
              </c:ext>
            </c:extLst>
          </c:dPt>
          <c:dPt>
            <c:idx val="27"/>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37-2746-477E-9A4D-8CB14E10A38A}"/>
              </c:ext>
            </c:extLst>
          </c:dPt>
          <c:dPt>
            <c:idx val="28"/>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39-2746-477E-9A4D-8CB14E10A38A}"/>
              </c:ext>
            </c:extLst>
          </c:dPt>
          <c:dPt>
            <c:idx val="29"/>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3B-2746-477E-9A4D-8CB14E10A38A}"/>
              </c:ext>
            </c:extLst>
          </c:dPt>
          <c:dPt>
            <c:idx val="3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3D-2746-477E-9A4D-8CB14E10A38A}"/>
              </c:ext>
            </c:extLst>
          </c:dPt>
          <c:dPt>
            <c:idx val="31"/>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3F-2746-477E-9A4D-8CB14E10A38A}"/>
              </c:ext>
            </c:extLst>
          </c:dPt>
          <c:dPt>
            <c:idx val="3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41-2746-477E-9A4D-8CB14E10A38A}"/>
              </c:ext>
            </c:extLst>
          </c:dPt>
          <c:dPt>
            <c:idx val="33"/>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43-2746-477E-9A4D-8CB14E10A38A}"/>
              </c:ext>
            </c:extLst>
          </c:dPt>
          <c:dPt>
            <c:idx val="34"/>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45-2746-477E-9A4D-8CB14E10A38A}"/>
              </c:ext>
            </c:extLst>
          </c:dPt>
          <c:dPt>
            <c:idx val="35"/>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47-2746-477E-9A4D-8CB14E10A38A}"/>
              </c:ext>
            </c:extLst>
          </c:dPt>
          <c:dPt>
            <c:idx val="36"/>
            <c:bubble3D val="0"/>
            <c:spPr>
              <a:solidFill>
                <a:schemeClr val="accent1">
                  <a:lumMod val="70000"/>
                  <a:lumOff val="30000"/>
                </a:schemeClr>
              </a:solidFill>
              <a:ln w="19050">
                <a:solidFill>
                  <a:schemeClr val="lt1"/>
                </a:solidFill>
              </a:ln>
              <a:effectLst/>
            </c:spPr>
            <c:extLst>
              <c:ext xmlns:c16="http://schemas.microsoft.com/office/drawing/2014/chart" uri="{C3380CC4-5D6E-409C-BE32-E72D297353CC}">
                <c16:uniqueId val="{00000049-2746-477E-9A4D-8CB14E10A38A}"/>
              </c:ext>
            </c:extLst>
          </c:dPt>
          <c:dPt>
            <c:idx val="37"/>
            <c:bubble3D val="0"/>
            <c:spPr>
              <a:solidFill>
                <a:schemeClr val="accent2">
                  <a:lumMod val="70000"/>
                  <a:lumOff val="30000"/>
                </a:schemeClr>
              </a:solidFill>
              <a:ln w="19050">
                <a:solidFill>
                  <a:schemeClr val="lt1"/>
                </a:solidFill>
              </a:ln>
              <a:effectLst/>
            </c:spPr>
            <c:extLst>
              <c:ext xmlns:c16="http://schemas.microsoft.com/office/drawing/2014/chart" uri="{C3380CC4-5D6E-409C-BE32-E72D297353CC}">
                <c16:uniqueId val="{0000004B-2746-477E-9A4D-8CB14E10A38A}"/>
              </c:ext>
            </c:extLst>
          </c:dPt>
          <c:cat>
            <c:strRef>
              <c:f>'pivot tables + pie'!$E$7:$E$45</c:f>
              <c:strCache>
                <c:ptCount val="38"/>
                <c:pt idx="0">
                  <c:v>standard</c:v>
                </c:pt>
                <c:pt idx="1">
                  <c:v>high</c:v>
                </c:pt>
                <c:pt idx="2">
                  <c:v>low</c:v>
                </c:pt>
                <c:pt idx="3">
                  <c:v>high-&gt;standard</c:v>
                </c:pt>
                <c:pt idx="4">
                  <c:v>standard-&gt;high</c:v>
                </c:pt>
                <c:pt idx="5">
                  <c:v>standard-&gt;low</c:v>
                </c:pt>
                <c:pt idx="6">
                  <c:v>low-&gt;standard</c:v>
                </c:pt>
                <c:pt idx="7">
                  <c:v>low-&gt;high</c:v>
                </c:pt>
                <c:pt idx="8">
                  <c:v>high-&gt;low</c:v>
                </c:pt>
                <c:pt idx="9">
                  <c:v>high-&gt;low(sd)</c:v>
                </c:pt>
                <c:pt idx="10">
                  <c:v>high-&gt;low-&gt;standard</c:v>
                </c:pt>
                <c:pt idx="11">
                  <c:v>high-&gt;low-&gt;standard(sd)</c:v>
                </c:pt>
                <c:pt idx="12">
                  <c:v>high-&gt;standard(sd)</c:v>
                </c:pt>
                <c:pt idx="13">
                  <c:v>high-&gt;standard(sd)-&gt;low</c:v>
                </c:pt>
                <c:pt idx="14">
                  <c:v>high-&gt;standard-&gt;low</c:v>
                </c:pt>
                <c:pt idx="15">
                  <c:v>low-&gt;high-&gt;standard</c:v>
                </c:pt>
                <c:pt idx="16">
                  <c:v>low-&gt;high-&gt;standard(sd)</c:v>
                </c:pt>
                <c:pt idx="17">
                  <c:v>low-&gt;standard(sd)</c:v>
                </c:pt>
                <c:pt idx="18">
                  <c:v>low-&gt;standard(sd)-&gt;high</c:v>
                </c:pt>
                <c:pt idx="19">
                  <c:v>low-&gt;standard-&gt;high</c:v>
                </c:pt>
                <c:pt idx="20">
                  <c:v>standard-&gt;high-&gt;low</c:v>
                </c:pt>
                <c:pt idx="21">
                  <c:v>standard-&gt;low-&gt;high</c:v>
                </c:pt>
                <c:pt idx="22">
                  <c:v>high-&gt;low(sd)-&gt;standard</c:v>
                </c:pt>
                <c:pt idx="23">
                  <c:v>standard-&gt;high-&gt;low(sd)</c:v>
                </c:pt>
                <c:pt idx="24">
                  <c:v>high-&gt;low-&gt;veryhigh(sd)</c:v>
                </c:pt>
                <c:pt idx="25">
                  <c:v>high-&gt;standard(sd)-&gt;veryhigh</c:v>
                </c:pt>
                <c:pt idx="26">
                  <c:v>high-&gt;standard-&gt;veryhigh</c:v>
                </c:pt>
                <c:pt idx="27">
                  <c:v>high-&gt;veryhigh</c:v>
                </c:pt>
                <c:pt idx="28">
                  <c:v>high-&gt;veryhigh-&gt;standard</c:v>
                </c:pt>
                <c:pt idx="29">
                  <c:v>low-&gt;high-&gt;veryhigh</c:v>
                </c:pt>
                <c:pt idx="30">
                  <c:v>low-&gt;standard-&gt;high-&gt;veryhigh</c:v>
                </c:pt>
                <c:pt idx="31">
                  <c:v>low-&gt;standard-&gt;veryhigh</c:v>
                </c:pt>
                <c:pt idx="32">
                  <c:v>low-&gt;veryhigh</c:v>
                </c:pt>
                <c:pt idx="33">
                  <c:v>standard-&gt;high-&gt;veryhigh</c:v>
                </c:pt>
                <c:pt idx="34">
                  <c:v>standard-&gt;high-&gt;veryhigh-&gt;low</c:v>
                </c:pt>
                <c:pt idx="35">
                  <c:v>standard-&gt;low-&gt;high-&gt;veryhigh</c:v>
                </c:pt>
                <c:pt idx="36">
                  <c:v>standard-&gt;low-&gt;veryhigh</c:v>
                </c:pt>
                <c:pt idx="37">
                  <c:v>standard-&gt;veryhigh</c:v>
                </c:pt>
              </c:strCache>
            </c:strRef>
          </c:cat>
          <c:val>
            <c:numRef>
              <c:f>'pivot tables + pie'!$F$7:$F$45</c:f>
              <c:numCache>
                <c:formatCode>_-* #,##0_-;\-* #,##0_-;_-* "-"??_-;_-@_-</c:formatCode>
                <c:ptCount val="38"/>
                <c:pt idx="0">
                  <c:v>331685</c:v>
                </c:pt>
                <c:pt idx="1">
                  <c:v>8001</c:v>
                </c:pt>
                <c:pt idx="2">
                  <c:v>108873</c:v>
                </c:pt>
                <c:pt idx="3">
                  <c:v>3550</c:v>
                </c:pt>
                <c:pt idx="4">
                  <c:v>6535</c:v>
                </c:pt>
                <c:pt idx="5">
                  <c:v>18050</c:v>
                </c:pt>
                <c:pt idx="6">
                  <c:v>15524</c:v>
                </c:pt>
                <c:pt idx="7">
                  <c:v>466</c:v>
                </c:pt>
                <c:pt idx="8">
                  <c:v>216</c:v>
                </c:pt>
                <c:pt idx="9">
                  <c:v>1</c:v>
                </c:pt>
                <c:pt idx="10">
                  <c:v>54</c:v>
                </c:pt>
                <c:pt idx="11">
                  <c:v>2</c:v>
                </c:pt>
                <c:pt idx="12">
                  <c:v>52</c:v>
                </c:pt>
                <c:pt idx="13">
                  <c:v>3</c:v>
                </c:pt>
                <c:pt idx="14">
                  <c:v>106</c:v>
                </c:pt>
                <c:pt idx="15">
                  <c:v>202</c:v>
                </c:pt>
                <c:pt idx="16">
                  <c:v>3</c:v>
                </c:pt>
                <c:pt idx="17">
                  <c:v>119</c:v>
                </c:pt>
                <c:pt idx="18">
                  <c:v>2</c:v>
                </c:pt>
                <c:pt idx="19">
                  <c:v>351</c:v>
                </c:pt>
                <c:pt idx="20">
                  <c:v>173</c:v>
                </c:pt>
                <c:pt idx="21">
                  <c:v>209</c:v>
                </c:pt>
                <c:pt idx="22">
                  <c:v>4</c:v>
                </c:pt>
                <c:pt idx="23">
                  <c:v>1</c:v>
                </c:pt>
                <c:pt idx="24">
                  <c:v>1</c:v>
                </c:pt>
                <c:pt idx="25">
                  <c:v>1</c:v>
                </c:pt>
                <c:pt idx="26">
                  <c:v>12</c:v>
                </c:pt>
                <c:pt idx="27">
                  <c:v>32</c:v>
                </c:pt>
                <c:pt idx="28">
                  <c:v>1</c:v>
                </c:pt>
                <c:pt idx="29">
                  <c:v>2</c:v>
                </c:pt>
                <c:pt idx="30">
                  <c:v>5</c:v>
                </c:pt>
                <c:pt idx="31">
                  <c:v>3</c:v>
                </c:pt>
                <c:pt idx="32">
                  <c:v>3</c:v>
                </c:pt>
                <c:pt idx="33">
                  <c:v>58</c:v>
                </c:pt>
                <c:pt idx="34">
                  <c:v>1</c:v>
                </c:pt>
                <c:pt idx="35">
                  <c:v>3</c:v>
                </c:pt>
                <c:pt idx="36">
                  <c:v>2</c:v>
                </c:pt>
                <c:pt idx="37">
                  <c:v>41</c:v>
                </c:pt>
              </c:numCache>
            </c:numRef>
          </c:val>
          <c:extLst>
            <c:ext xmlns:c16="http://schemas.microsoft.com/office/drawing/2014/chart" uri="{C3380CC4-5D6E-409C-BE32-E72D297353CC}">
              <c16:uniqueId val="{0000004C-2746-477E-9A4D-8CB14E10A38A}"/>
            </c:ext>
          </c:extLst>
        </c:ser>
        <c:ser>
          <c:idx val="1"/>
          <c:order val="1"/>
          <c:tx>
            <c:strRef>
              <c:f>'pivot tables + pie'!$G$5:$G$6</c:f>
              <c:strCache>
                <c:ptCount val="1"/>
                <c:pt idx="0">
                  <c:v>% Patients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4E-2746-477E-9A4D-8CB14E10A38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50-2746-477E-9A4D-8CB14E10A38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52-2746-477E-9A4D-8CB14E10A38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54-2746-477E-9A4D-8CB14E10A38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56-2746-477E-9A4D-8CB14E10A38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58-2746-477E-9A4D-8CB14E10A38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5A-2746-477E-9A4D-8CB14E10A38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5C-2746-477E-9A4D-8CB14E10A38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5E-2746-477E-9A4D-8CB14E10A38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60-2746-477E-9A4D-8CB14E10A38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62-2746-477E-9A4D-8CB14E10A38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64-2746-477E-9A4D-8CB14E10A38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66-2746-477E-9A4D-8CB14E10A38A}"/>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68-2746-477E-9A4D-8CB14E10A38A}"/>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6A-2746-477E-9A4D-8CB14E10A38A}"/>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6C-2746-477E-9A4D-8CB14E10A38A}"/>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6E-2746-477E-9A4D-8CB14E10A38A}"/>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70-2746-477E-9A4D-8CB14E10A38A}"/>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72-2746-477E-9A4D-8CB14E10A38A}"/>
              </c:ext>
            </c:extLst>
          </c:dPt>
          <c:dPt>
            <c:idx val="19"/>
            <c:bubble3D val="0"/>
            <c:spPr>
              <a:solidFill>
                <a:schemeClr val="accent2">
                  <a:lumMod val="80000"/>
                </a:schemeClr>
              </a:solidFill>
              <a:ln w="19050">
                <a:solidFill>
                  <a:schemeClr val="lt1"/>
                </a:solidFill>
              </a:ln>
              <a:effectLst/>
            </c:spPr>
            <c:extLst>
              <c:ext xmlns:c16="http://schemas.microsoft.com/office/drawing/2014/chart" uri="{C3380CC4-5D6E-409C-BE32-E72D297353CC}">
                <c16:uniqueId val="{00000074-2746-477E-9A4D-8CB14E10A38A}"/>
              </c:ext>
            </c:extLst>
          </c:dPt>
          <c:dPt>
            <c:idx val="2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76-2746-477E-9A4D-8CB14E10A38A}"/>
              </c:ext>
            </c:extLst>
          </c:dPt>
          <c:dPt>
            <c:idx val="2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78-2746-477E-9A4D-8CB14E10A38A}"/>
              </c:ext>
            </c:extLst>
          </c:dPt>
          <c:dPt>
            <c:idx val="22"/>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7A-2746-477E-9A4D-8CB14E10A38A}"/>
              </c:ext>
            </c:extLst>
          </c:dPt>
          <c:dPt>
            <c:idx val="23"/>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7C-2746-477E-9A4D-8CB14E10A38A}"/>
              </c:ext>
            </c:extLst>
          </c:dPt>
          <c:dPt>
            <c:idx val="24"/>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7E-2746-477E-9A4D-8CB14E10A38A}"/>
              </c:ext>
            </c:extLst>
          </c:dPt>
          <c:dPt>
            <c:idx val="25"/>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80-2746-477E-9A4D-8CB14E10A38A}"/>
              </c:ext>
            </c:extLst>
          </c:dPt>
          <c:dPt>
            <c:idx val="26"/>
            <c:bubble3D val="0"/>
            <c:spPr>
              <a:solidFill>
                <a:schemeClr val="accent3">
                  <a:lumMod val="60000"/>
                  <a:lumOff val="40000"/>
                </a:schemeClr>
              </a:solidFill>
              <a:ln w="19050">
                <a:solidFill>
                  <a:schemeClr val="lt1"/>
                </a:solidFill>
              </a:ln>
              <a:effectLst/>
            </c:spPr>
            <c:extLst>
              <c:ext xmlns:c16="http://schemas.microsoft.com/office/drawing/2014/chart" uri="{C3380CC4-5D6E-409C-BE32-E72D297353CC}">
                <c16:uniqueId val="{00000082-2746-477E-9A4D-8CB14E10A38A}"/>
              </c:ext>
            </c:extLst>
          </c:dPt>
          <c:dPt>
            <c:idx val="27"/>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84-2746-477E-9A4D-8CB14E10A38A}"/>
              </c:ext>
            </c:extLst>
          </c:dPt>
          <c:dPt>
            <c:idx val="28"/>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86-2746-477E-9A4D-8CB14E10A38A}"/>
              </c:ext>
            </c:extLst>
          </c:dPt>
          <c:dPt>
            <c:idx val="29"/>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88-2746-477E-9A4D-8CB14E10A38A}"/>
              </c:ext>
            </c:extLst>
          </c:dPt>
          <c:dPt>
            <c:idx val="3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8A-2746-477E-9A4D-8CB14E10A38A}"/>
              </c:ext>
            </c:extLst>
          </c:dPt>
          <c:dPt>
            <c:idx val="31"/>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8C-2746-477E-9A4D-8CB14E10A38A}"/>
              </c:ext>
            </c:extLst>
          </c:dPt>
          <c:dPt>
            <c:idx val="32"/>
            <c:bubble3D val="0"/>
            <c:spPr>
              <a:solidFill>
                <a:schemeClr val="accent3">
                  <a:lumMod val="50000"/>
                </a:schemeClr>
              </a:solidFill>
              <a:ln w="19050">
                <a:solidFill>
                  <a:schemeClr val="lt1"/>
                </a:solidFill>
              </a:ln>
              <a:effectLst/>
            </c:spPr>
            <c:extLst>
              <c:ext xmlns:c16="http://schemas.microsoft.com/office/drawing/2014/chart" uri="{C3380CC4-5D6E-409C-BE32-E72D297353CC}">
                <c16:uniqueId val="{0000008E-2746-477E-9A4D-8CB14E10A38A}"/>
              </c:ext>
            </c:extLst>
          </c:dPt>
          <c:dPt>
            <c:idx val="33"/>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90-2746-477E-9A4D-8CB14E10A38A}"/>
              </c:ext>
            </c:extLst>
          </c:dPt>
          <c:dPt>
            <c:idx val="34"/>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92-2746-477E-9A4D-8CB14E10A38A}"/>
              </c:ext>
            </c:extLst>
          </c:dPt>
          <c:dPt>
            <c:idx val="35"/>
            <c:bubble3D val="0"/>
            <c:spPr>
              <a:solidFill>
                <a:schemeClr val="accent6">
                  <a:lumMod val="50000"/>
                </a:schemeClr>
              </a:solidFill>
              <a:ln w="19050">
                <a:solidFill>
                  <a:schemeClr val="lt1"/>
                </a:solidFill>
              </a:ln>
              <a:effectLst/>
            </c:spPr>
            <c:extLst>
              <c:ext xmlns:c16="http://schemas.microsoft.com/office/drawing/2014/chart" uri="{C3380CC4-5D6E-409C-BE32-E72D297353CC}">
                <c16:uniqueId val="{00000094-2746-477E-9A4D-8CB14E10A38A}"/>
              </c:ext>
            </c:extLst>
          </c:dPt>
          <c:dPt>
            <c:idx val="36"/>
            <c:bubble3D val="0"/>
            <c:spPr>
              <a:solidFill>
                <a:schemeClr val="accent1">
                  <a:lumMod val="70000"/>
                  <a:lumOff val="30000"/>
                </a:schemeClr>
              </a:solidFill>
              <a:ln w="19050">
                <a:solidFill>
                  <a:schemeClr val="lt1"/>
                </a:solidFill>
              </a:ln>
              <a:effectLst/>
            </c:spPr>
            <c:extLst>
              <c:ext xmlns:c16="http://schemas.microsoft.com/office/drawing/2014/chart" uri="{C3380CC4-5D6E-409C-BE32-E72D297353CC}">
                <c16:uniqueId val="{00000096-2746-477E-9A4D-8CB14E10A38A}"/>
              </c:ext>
            </c:extLst>
          </c:dPt>
          <c:dPt>
            <c:idx val="37"/>
            <c:bubble3D val="0"/>
            <c:spPr>
              <a:solidFill>
                <a:schemeClr val="accent2">
                  <a:lumMod val="70000"/>
                  <a:lumOff val="30000"/>
                </a:schemeClr>
              </a:solidFill>
              <a:ln w="19050">
                <a:solidFill>
                  <a:schemeClr val="lt1"/>
                </a:solidFill>
              </a:ln>
              <a:effectLst/>
            </c:spPr>
            <c:extLst>
              <c:ext xmlns:c16="http://schemas.microsoft.com/office/drawing/2014/chart" uri="{C3380CC4-5D6E-409C-BE32-E72D297353CC}">
                <c16:uniqueId val="{00000098-2746-477E-9A4D-8CB14E10A38A}"/>
              </c:ext>
            </c:extLst>
          </c:dPt>
          <c:cat>
            <c:strRef>
              <c:f>'pivot tables + pie'!$E$7:$E$45</c:f>
              <c:strCache>
                <c:ptCount val="38"/>
                <c:pt idx="0">
                  <c:v>standard</c:v>
                </c:pt>
                <c:pt idx="1">
                  <c:v>high</c:v>
                </c:pt>
                <c:pt idx="2">
                  <c:v>low</c:v>
                </c:pt>
                <c:pt idx="3">
                  <c:v>high-&gt;standard</c:v>
                </c:pt>
                <c:pt idx="4">
                  <c:v>standard-&gt;high</c:v>
                </c:pt>
                <c:pt idx="5">
                  <c:v>standard-&gt;low</c:v>
                </c:pt>
                <c:pt idx="6">
                  <c:v>low-&gt;standard</c:v>
                </c:pt>
                <c:pt idx="7">
                  <c:v>low-&gt;high</c:v>
                </c:pt>
                <c:pt idx="8">
                  <c:v>high-&gt;low</c:v>
                </c:pt>
                <c:pt idx="9">
                  <c:v>high-&gt;low(sd)</c:v>
                </c:pt>
                <c:pt idx="10">
                  <c:v>high-&gt;low-&gt;standard</c:v>
                </c:pt>
                <c:pt idx="11">
                  <c:v>high-&gt;low-&gt;standard(sd)</c:v>
                </c:pt>
                <c:pt idx="12">
                  <c:v>high-&gt;standard(sd)</c:v>
                </c:pt>
                <c:pt idx="13">
                  <c:v>high-&gt;standard(sd)-&gt;low</c:v>
                </c:pt>
                <c:pt idx="14">
                  <c:v>high-&gt;standard-&gt;low</c:v>
                </c:pt>
                <c:pt idx="15">
                  <c:v>low-&gt;high-&gt;standard</c:v>
                </c:pt>
                <c:pt idx="16">
                  <c:v>low-&gt;high-&gt;standard(sd)</c:v>
                </c:pt>
                <c:pt idx="17">
                  <c:v>low-&gt;standard(sd)</c:v>
                </c:pt>
                <c:pt idx="18">
                  <c:v>low-&gt;standard(sd)-&gt;high</c:v>
                </c:pt>
                <c:pt idx="19">
                  <c:v>low-&gt;standard-&gt;high</c:v>
                </c:pt>
                <c:pt idx="20">
                  <c:v>standard-&gt;high-&gt;low</c:v>
                </c:pt>
                <c:pt idx="21">
                  <c:v>standard-&gt;low-&gt;high</c:v>
                </c:pt>
                <c:pt idx="22">
                  <c:v>high-&gt;low(sd)-&gt;standard</c:v>
                </c:pt>
                <c:pt idx="23">
                  <c:v>standard-&gt;high-&gt;low(sd)</c:v>
                </c:pt>
                <c:pt idx="24">
                  <c:v>high-&gt;low-&gt;veryhigh(sd)</c:v>
                </c:pt>
                <c:pt idx="25">
                  <c:v>high-&gt;standard(sd)-&gt;veryhigh</c:v>
                </c:pt>
                <c:pt idx="26">
                  <c:v>high-&gt;standard-&gt;veryhigh</c:v>
                </c:pt>
                <c:pt idx="27">
                  <c:v>high-&gt;veryhigh</c:v>
                </c:pt>
                <c:pt idx="28">
                  <c:v>high-&gt;veryhigh-&gt;standard</c:v>
                </c:pt>
                <c:pt idx="29">
                  <c:v>low-&gt;high-&gt;veryhigh</c:v>
                </c:pt>
                <c:pt idx="30">
                  <c:v>low-&gt;standard-&gt;high-&gt;veryhigh</c:v>
                </c:pt>
                <c:pt idx="31">
                  <c:v>low-&gt;standard-&gt;veryhigh</c:v>
                </c:pt>
                <c:pt idx="32">
                  <c:v>low-&gt;veryhigh</c:v>
                </c:pt>
                <c:pt idx="33">
                  <c:v>standard-&gt;high-&gt;veryhigh</c:v>
                </c:pt>
                <c:pt idx="34">
                  <c:v>standard-&gt;high-&gt;veryhigh-&gt;low</c:v>
                </c:pt>
                <c:pt idx="35">
                  <c:v>standard-&gt;low-&gt;high-&gt;veryhigh</c:v>
                </c:pt>
                <c:pt idx="36">
                  <c:v>standard-&gt;low-&gt;veryhigh</c:v>
                </c:pt>
                <c:pt idx="37">
                  <c:v>standard-&gt;veryhigh</c:v>
                </c:pt>
              </c:strCache>
            </c:strRef>
          </c:cat>
          <c:val>
            <c:numRef>
              <c:f>'pivot tables + pie'!$G$7:$G$45</c:f>
              <c:numCache>
                <c:formatCode>0.0%</c:formatCode>
                <c:ptCount val="38"/>
                <c:pt idx="0">
                  <c:v>0.67095582657525987</c:v>
                </c:pt>
                <c:pt idx="1">
                  <c:v>1.6184987468316789E-2</c:v>
                </c:pt>
                <c:pt idx="2">
                  <c:v>0.22023598808124659</c:v>
                </c:pt>
                <c:pt idx="3">
                  <c:v>7.1811905402480447E-3</c:v>
                </c:pt>
                <c:pt idx="4">
                  <c:v>1.3219459205780555E-2</c:v>
                </c:pt>
                <c:pt idx="5">
                  <c:v>3.6512813873655549E-2</c:v>
                </c:pt>
                <c:pt idx="6">
                  <c:v>3.1403042801918489E-2</c:v>
                </c:pt>
                <c:pt idx="7">
                  <c:v>9.4265768781847563E-4</c:v>
                </c:pt>
                <c:pt idx="8">
                  <c:v>4.3694004413903593E-4</c:v>
                </c:pt>
                <c:pt idx="9">
                  <c:v>2.0228705747177591E-6</c:v>
                </c:pt>
                <c:pt idx="10">
                  <c:v>1.0923501103475898E-4</c:v>
                </c:pt>
                <c:pt idx="11">
                  <c:v>4.0457411494355182E-6</c:v>
                </c:pt>
                <c:pt idx="12">
                  <c:v>1.0518926988532347E-4</c:v>
                </c:pt>
                <c:pt idx="13">
                  <c:v>6.0686117241532769E-6</c:v>
                </c:pt>
                <c:pt idx="14">
                  <c:v>2.1442428092008245E-4</c:v>
                </c:pt>
                <c:pt idx="15">
                  <c:v>4.0861985609298734E-4</c:v>
                </c:pt>
                <c:pt idx="16">
                  <c:v>6.0686117241532769E-6</c:v>
                </c:pt>
                <c:pt idx="17">
                  <c:v>2.4072159839141333E-4</c:v>
                </c:pt>
                <c:pt idx="18">
                  <c:v>4.0457411494355182E-6</c:v>
                </c:pt>
                <c:pt idx="19">
                  <c:v>7.1002757172593343E-4</c:v>
                </c:pt>
                <c:pt idx="20">
                  <c:v>3.499566094261723E-4</c:v>
                </c:pt>
                <c:pt idx="21">
                  <c:v>4.2277995011601161E-4</c:v>
                </c:pt>
                <c:pt idx="22">
                  <c:v>8.0914822988710365E-6</c:v>
                </c:pt>
                <c:pt idx="23">
                  <c:v>2.0228705747177591E-6</c:v>
                </c:pt>
                <c:pt idx="24">
                  <c:v>2.0228705747177591E-6</c:v>
                </c:pt>
                <c:pt idx="25">
                  <c:v>2.0228705747177591E-6</c:v>
                </c:pt>
                <c:pt idx="26">
                  <c:v>2.4274446896613108E-5</c:v>
                </c:pt>
                <c:pt idx="27">
                  <c:v>6.4731858390968292E-5</c:v>
                </c:pt>
                <c:pt idx="28">
                  <c:v>2.0228705747177591E-6</c:v>
                </c:pt>
                <c:pt idx="29">
                  <c:v>4.0457411494355182E-6</c:v>
                </c:pt>
                <c:pt idx="30">
                  <c:v>1.0114352873588795E-5</c:v>
                </c:pt>
                <c:pt idx="31">
                  <c:v>6.0686117241532769E-6</c:v>
                </c:pt>
                <c:pt idx="32">
                  <c:v>6.0686117241532769E-6</c:v>
                </c:pt>
                <c:pt idx="33">
                  <c:v>1.1732649333363002E-4</c:v>
                </c:pt>
                <c:pt idx="34">
                  <c:v>2.0228705747177591E-6</c:v>
                </c:pt>
                <c:pt idx="35">
                  <c:v>6.0686117241532769E-6</c:v>
                </c:pt>
                <c:pt idx="36">
                  <c:v>4.0457411494355182E-6</c:v>
                </c:pt>
                <c:pt idx="37">
                  <c:v>8.293769356342812E-5</c:v>
                </c:pt>
              </c:numCache>
            </c:numRef>
          </c:val>
          <c:extLst>
            <c:ext xmlns:c16="http://schemas.microsoft.com/office/drawing/2014/chart" uri="{C3380CC4-5D6E-409C-BE32-E72D297353CC}">
              <c16:uniqueId val="{00000099-2746-477E-9A4D-8CB14E10A38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467181141909902"/>
          <c:y val="0.194244450599454"/>
          <c:w val="0.30659015996197447"/>
          <c:h val="0.64792492646961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EE123-00EA-4F91-BED3-5C9DAA1F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8832</Words>
  <Characters>50344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2022-10-19T05:20:00Z</dcterms:created>
  <dcterms:modified xsi:type="dcterms:W3CDTF">2022-10-19T05:30:00Z</dcterms:modified>
</cp:coreProperties>
</file>