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DFCD5" w14:textId="77777777" w:rsidR="000F7218" w:rsidRDefault="000F7218" w:rsidP="000F7218">
      <w:pPr>
        <w:pStyle w:val="Title"/>
      </w:pPr>
      <w:r>
        <w:t>Golimumab for n</w:t>
      </w:r>
      <w:r w:rsidRPr="00F712DE">
        <w:t xml:space="preserve">on-radiographic axial </w:t>
      </w:r>
      <w:proofErr w:type="spellStart"/>
      <w:r w:rsidRPr="00F712DE">
        <w:t>spondyloarthritis</w:t>
      </w:r>
      <w:proofErr w:type="spellEnd"/>
      <w:r>
        <w:t>: analysis of predicted versus actual utilisation</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43B1797E" w:rsidR="009053D3" w:rsidRPr="00F73113" w:rsidRDefault="000F7218" w:rsidP="00F73113">
      <w:pPr>
        <w:pStyle w:val="Meetingdate"/>
      </w:pPr>
      <w:r>
        <w:t>October</w:t>
      </w:r>
      <w:r w:rsidR="00D151EB" w:rsidRPr="00F73113">
        <w:t xml:space="preserve"> 20</w:t>
      </w:r>
      <w:r>
        <w:t>2</w:t>
      </w:r>
      <w:r w:rsidR="00A83AC3">
        <w:t>1</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1D655C5E" w14:textId="77777777" w:rsidR="00A83AC3" w:rsidRDefault="00A83AC3" w:rsidP="00A83AC3">
      <w:r w:rsidRPr="0008581F">
        <w:t xml:space="preserve">To compare the predicted and actual utilisation of </w:t>
      </w:r>
      <w:r>
        <w:t>golimumab</w:t>
      </w:r>
      <w:r w:rsidRPr="0008581F">
        <w:t xml:space="preserve"> for the treatment of </w:t>
      </w:r>
      <w:r>
        <w:t>n</w:t>
      </w:r>
      <w:r w:rsidRPr="00F712DE">
        <w:t xml:space="preserve">on-radiographic axial </w:t>
      </w:r>
      <w:proofErr w:type="spellStart"/>
      <w:r w:rsidRPr="00F712DE">
        <w:t>spondyloarthritis</w:t>
      </w:r>
      <w:proofErr w:type="spellEnd"/>
      <w:r>
        <w:t xml:space="preserve"> </w:t>
      </w:r>
      <w:r w:rsidRPr="00F712DE">
        <w:t>(nr-</w:t>
      </w:r>
      <w:proofErr w:type="spellStart"/>
      <w:r w:rsidRPr="00F712DE">
        <w:t>axSpA</w:t>
      </w:r>
      <w:proofErr w:type="spellEnd"/>
      <w:r w:rsidRPr="00F712DE">
        <w:t>)</w:t>
      </w:r>
      <w:r w:rsidRPr="0008581F">
        <w:t xml:space="preserve"> in the first 24 months of Pharmaceutical Benefits Scheme (PBS) listing.</w:t>
      </w:r>
      <w:r>
        <w:rPr>
          <w:highlight w:val="yellow"/>
        </w:rPr>
        <w:t xml:space="preserve">  </w:t>
      </w:r>
    </w:p>
    <w:p w14:paraId="03538E7F" w14:textId="582708A6"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6C839FF8" w14:textId="2B369619" w:rsidR="00A83AC3" w:rsidRPr="00A83AC3" w:rsidRDefault="00A83AC3" w:rsidP="00A83AC3">
      <w:r w:rsidRPr="00077C42">
        <w:t>Golimumab was first listed on the PBS 1 August 2010, and first listed for nr-</w:t>
      </w:r>
      <w:proofErr w:type="spellStart"/>
      <w:r w:rsidRPr="00077C42">
        <w:t>axSpA</w:t>
      </w:r>
      <w:proofErr w:type="spellEnd"/>
      <w:r w:rsidRPr="00077C42">
        <w:t xml:space="preserve"> on</w:t>
      </w:r>
      <w:r>
        <w:t xml:space="preserve"> 1 December 2018.</w:t>
      </w:r>
    </w:p>
    <w:p w14:paraId="526743BB" w14:textId="77777777" w:rsidR="005C6661" w:rsidRDefault="005C6661" w:rsidP="00CF5E22">
      <w:pPr>
        <w:pStyle w:val="Heading3"/>
      </w:pPr>
      <w:r>
        <w:t>Data Source / methodology</w:t>
      </w:r>
    </w:p>
    <w:p w14:paraId="06EC00C1" w14:textId="77777777" w:rsidR="00A83AC3" w:rsidRDefault="00A83AC3" w:rsidP="00A83AC3">
      <w:pPr>
        <w:pStyle w:val="NoSpacing"/>
      </w:pPr>
      <w:r w:rsidRPr="00F712DE">
        <w:t>Data were extracted from the Services Australia Supplied Prescription database</w:t>
      </w:r>
      <w:r>
        <w:t>.</w:t>
      </w:r>
    </w:p>
    <w:p w14:paraId="7599E7C1" w14:textId="77777777" w:rsidR="005C6661" w:rsidRDefault="005C6661" w:rsidP="00CF5E22">
      <w:pPr>
        <w:pStyle w:val="Heading3"/>
      </w:pPr>
      <w:r>
        <w:t>Key Findings</w:t>
      </w:r>
    </w:p>
    <w:p w14:paraId="5F34F11B" w14:textId="77777777" w:rsidR="00A83AC3" w:rsidRPr="00FA6582" w:rsidRDefault="00A83AC3" w:rsidP="00A83AC3">
      <w:pPr>
        <w:pStyle w:val="NoSpacing"/>
        <w:numPr>
          <w:ilvl w:val="0"/>
          <w:numId w:val="1"/>
        </w:numPr>
      </w:pPr>
      <w:r w:rsidRPr="00FA6582">
        <w:t>There were 225 and 413 patients treated with golimumab for nr-</w:t>
      </w:r>
      <w:proofErr w:type="spellStart"/>
      <w:r w:rsidRPr="00FA6582">
        <w:t>axSpA</w:t>
      </w:r>
      <w:proofErr w:type="spellEnd"/>
      <w:r w:rsidRPr="00FA6582">
        <w:t xml:space="preserve"> during the first and second year of listing respectively, which was lower than predicted.</w:t>
      </w:r>
    </w:p>
    <w:p w14:paraId="0D128D53" w14:textId="77777777" w:rsidR="00A83AC3" w:rsidRPr="00FA6582" w:rsidRDefault="00A83AC3" w:rsidP="00A83AC3">
      <w:pPr>
        <w:pStyle w:val="NoSpacing"/>
        <w:numPr>
          <w:ilvl w:val="0"/>
          <w:numId w:val="1"/>
        </w:numPr>
      </w:pPr>
      <w:r w:rsidRPr="00FA6582">
        <w:t>There were 1,013 and 2,331 prescriptions dispensed for golimumab for nr-</w:t>
      </w:r>
      <w:proofErr w:type="spellStart"/>
      <w:r w:rsidRPr="00FA6582">
        <w:t>axSpA</w:t>
      </w:r>
      <w:proofErr w:type="spellEnd"/>
      <w:r w:rsidRPr="00FA6582">
        <w:t xml:space="preserve"> during the first and second year of listing respectively, which was lower than predicted.</w:t>
      </w:r>
    </w:p>
    <w:p w14:paraId="1BC46DF0" w14:textId="77777777" w:rsidR="00A83AC3" w:rsidRPr="00AD6C0F" w:rsidRDefault="00A83AC3" w:rsidP="00A83AC3">
      <w:pPr>
        <w:pStyle w:val="NoSpacing"/>
        <w:numPr>
          <w:ilvl w:val="0"/>
          <w:numId w:val="1"/>
        </w:numPr>
      </w:pPr>
      <w:r w:rsidRPr="00AD6C0F">
        <w:t>The most common age group in patients beginning golimumab treatment for nr-</w:t>
      </w:r>
      <w:proofErr w:type="spellStart"/>
      <w:r w:rsidRPr="00AD6C0F">
        <w:t>axSpA</w:t>
      </w:r>
      <w:proofErr w:type="spellEnd"/>
      <w:r w:rsidRPr="00AD6C0F">
        <w:t xml:space="preserve"> treatment were those aged between 30-35 years old with 54% of initiating patients being female.</w:t>
      </w:r>
    </w:p>
    <w:p w14:paraId="59BA6049" w14:textId="77777777" w:rsidR="00A83AC3" w:rsidRPr="00AD6C0F" w:rsidRDefault="00A83AC3" w:rsidP="00A83AC3">
      <w:pPr>
        <w:pStyle w:val="NoSpacing"/>
        <w:numPr>
          <w:ilvl w:val="0"/>
          <w:numId w:val="1"/>
        </w:numPr>
      </w:pPr>
      <w:r w:rsidRPr="00AD6C0F">
        <w:t>Other biologic therapies for nr-</w:t>
      </w:r>
      <w:proofErr w:type="spellStart"/>
      <w:r w:rsidRPr="00AD6C0F">
        <w:t>axSpA</w:t>
      </w:r>
      <w:proofErr w:type="spellEnd"/>
      <w:r w:rsidRPr="00AD6C0F">
        <w:t>, such as certolizumab pegol</w:t>
      </w:r>
      <w:r>
        <w:t xml:space="preserve"> and </w:t>
      </w:r>
      <w:proofErr w:type="spellStart"/>
      <w:r>
        <w:t>secukinumab</w:t>
      </w:r>
      <w:proofErr w:type="spellEnd"/>
      <w:r w:rsidRPr="00AD6C0F">
        <w:t>, are gaining market share.</w:t>
      </w:r>
    </w:p>
    <w:p w14:paraId="7076AA94" w14:textId="77777777" w:rsidR="00486AD6" w:rsidRDefault="00486AD6">
      <w:pPr>
        <w:spacing w:line="276" w:lineRule="auto"/>
        <w:rPr>
          <w:rFonts w:eastAsiaTheme="majorEastAsia" w:cstheme="majorBidi"/>
          <w:b/>
          <w:bCs/>
          <w:sz w:val="32"/>
          <w:szCs w:val="32"/>
        </w:rPr>
      </w:pPr>
      <w:r>
        <w:br w:type="page"/>
      </w:r>
    </w:p>
    <w:p w14:paraId="5B262047" w14:textId="203D7322" w:rsidR="00E677DD" w:rsidRPr="00CF5E22" w:rsidRDefault="00E677DD" w:rsidP="00CF5E22">
      <w:pPr>
        <w:pStyle w:val="Heading1"/>
      </w:pPr>
      <w:r w:rsidRPr="00CF5E22">
        <w:lastRenderedPageBreak/>
        <w:t xml:space="preserve">Purpose of </w:t>
      </w:r>
      <w:r w:rsidR="00D151EB" w:rsidRPr="00CF5E22">
        <w:t>analysis</w:t>
      </w:r>
    </w:p>
    <w:p w14:paraId="4FAEC2AE" w14:textId="77777777" w:rsidR="00A83AC3" w:rsidRDefault="00A83AC3" w:rsidP="00A83AC3">
      <w:r w:rsidRPr="00815379">
        <w:t xml:space="preserve">To compare the predicted and actual utilisation of golimumab for the treatment of </w:t>
      </w:r>
      <w:r>
        <w:t>n</w:t>
      </w:r>
      <w:r w:rsidRPr="00815379">
        <w:t xml:space="preserve">on-radiographic axial </w:t>
      </w:r>
      <w:proofErr w:type="spellStart"/>
      <w:r w:rsidRPr="00815379">
        <w:t>spondyloarthritis</w:t>
      </w:r>
      <w:proofErr w:type="spellEnd"/>
      <w:r w:rsidRPr="00815379">
        <w:t xml:space="preserve"> (nr-</w:t>
      </w:r>
      <w:proofErr w:type="spellStart"/>
      <w:r w:rsidRPr="00815379">
        <w:t>axSpA</w:t>
      </w:r>
      <w:proofErr w:type="spellEnd"/>
      <w:r w:rsidRPr="00815379">
        <w:t xml:space="preserve">) in the first 24 months of Pharmaceutical Benefits Scheme (PBS) listing.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1EE588F2" w14:textId="77777777" w:rsidR="00A83AC3" w:rsidRDefault="00A83AC3" w:rsidP="00A83AC3">
      <w:pPr>
        <w:rPr>
          <w:vertAlign w:val="superscript"/>
        </w:rPr>
      </w:pPr>
      <w:r>
        <w:t xml:space="preserve">Axial </w:t>
      </w:r>
      <w:proofErr w:type="spellStart"/>
      <w:r>
        <w:t>spondyloarthritis</w:t>
      </w:r>
      <w:proofErr w:type="spellEnd"/>
      <w:r>
        <w:t xml:space="preserve"> (</w:t>
      </w:r>
      <w:proofErr w:type="spellStart"/>
      <w:r>
        <w:t>axSpA</w:t>
      </w:r>
      <w:proofErr w:type="spellEnd"/>
      <w:r>
        <w:t xml:space="preserve">) includes types of inflammatory arthritis that primarily affect the spine and the sacroiliac joints in the pelvis. It is comprised of patients with both radiographic features (also known as </w:t>
      </w:r>
      <w:r w:rsidRPr="00D41E76">
        <w:t>ankylosing spondylitis</w:t>
      </w:r>
      <w:r>
        <w:t>) and non-radiographic features (nr-</w:t>
      </w:r>
      <w:proofErr w:type="spellStart"/>
      <w:r>
        <w:t>axSpA</w:t>
      </w:r>
      <w:proofErr w:type="spellEnd"/>
      <w:r>
        <w:t>).</w:t>
      </w:r>
      <w:r>
        <w:rPr>
          <w:rStyle w:val="FootnoteReference"/>
        </w:rPr>
        <w:footnoteReference w:id="1"/>
      </w:r>
      <w:r>
        <w:t xml:space="preserve"> </w:t>
      </w:r>
      <w:r w:rsidRPr="00D41E76">
        <w:t xml:space="preserve">The Assessment of </w:t>
      </w:r>
      <w:proofErr w:type="spellStart"/>
      <w:r w:rsidRPr="00D41E76">
        <w:t>SpondyloArthritis</w:t>
      </w:r>
      <w:proofErr w:type="spellEnd"/>
      <w:r w:rsidRPr="00D41E76">
        <w:t xml:space="preserve"> international Society (ASAS) classification system for </w:t>
      </w:r>
      <w:proofErr w:type="spellStart"/>
      <w:r w:rsidRPr="00D41E76">
        <w:t>axSpA</w:t>
      </w:r>
      <w:proofErr w:type="spellEnd"/>
      <w:r w:rsidRPr="00D41E76">
        <w:t xml:space="preserve"> is based on whether patients meet clinical criteria or imaging criteria.</w:t>
      </w:r>
      <w:bookmarkStart w:id="0" w:name="_Ref79578935"/>
      <w:r>
        <w:rPr>
          <w:rStyle w:val="FootnoteReference"/>
        </w:rPr>
        <w:footnoteReference w:id="2"/>
      </w:r>
      <w:bookmarkEnd w:id="0"/>
      <w:r w:rsidRPr="00D41E76">
        <w:t xml:space="preserve"> Patients who meet the ASAS criteria for </w:t>
      </w:r>
      <w:proofErr w:type="spellStart"/>
      <w:r w:rsidRPr="00D41E76">
        <w:t>axSpA</w:t>
      </w:r>
      <w:proofErr w:type="spellEnd"/>
      <w:r w:rsidRPr="00D41E76">
        <w:t xml:space="preserve"> and do not meet the modified New York criteria for radiographic sacroiliitis are considered to have non-radiographic </w:t>
      </w:r>
      <w:proofErr w:type="spellStart"/>
      <w:r w:rsidRPr="00D41E76">
        <w:t>axSpA</w:t>
      </w:r>
      <w:proofErr w:type="spellEnd"/>
      <w:r w:rsidRPr="00D41E76">
        <w:t xml:space="preserve"> (nr-</w:t>
      </w:r>
      <w:proofErr w:type="spellStart"/>
      <w:r w:rsidRPr="00D41E76">
        <w:t>axSpA</w:t>
      </w:r>
      <w:proofErr w:type="spellEnd"/>
      <w:r w:rsidRPr="00D41E76">
        <w:t>).</w:t>
      </w:r>
      <w:r w:rsidRPr="00D50934">
        <w:rPr>
          <w:vertAlign w:val="superscript"/>
        </w:rPr>
        <w:fldChar w:fldCharType="begin"/>
      </w:r>
      <w:r w:rsidRPr="00D50934">
        <w:rPr>
          <w:vertAlign w:val="superscript"/>
        </w:rPr>
        <w:instrText xml:space="preserve"> NOTEREF _Ref79578935 \h </w:instrText>
      </w:r>
      <w:r>
        <w:rPr>
          <w:vertAlign w:val="superscript"/>
        </w:rPr>
        <w:instrText xml:space="preserve"> \* MERGEFORMAT </w:instrText>
      </w:r>
      <w:r w:rsidRPr="00D50934">
        <w:rPr>
          <w:vertAlign w:val="superscript"/>
        </w:rPr>
      </w:r>
      <w:r w:rsidRPr="00D50934">
        <w:rPr>
          <w:vertAlign w:val="superscript"/>
        </w:rPr>
        <w:fldChar w:fldCharType="separate"/>
      </w:r>
      <w:r w:rsidRPr="00D50934">
        <w:rPr>
          <w:vertAlign w:val="superscript"/>
        </w:rPr>
        <w:t>2</w:t>
      </w:r>
      <w:r w:rsidRPr="00D50934">
        <w:rPr>
          <w:vertAlign w:val="superscript"/>
        </w:rPr>
        <w:fldChar w:fldCharType="end"/>
      </w:r>
    </w:p>
    <w:p w14:paraId="66C36BAD" w14:textId="77777777" w:rsidR="00A83AC3" w:rsidRPr="00AD6C0F" w:rsidRDefault="00A83AC3" w:rsidP="00A83AC3">
      <w:r w:rsidRPr="00AD6C0F">
        <w:t>It is estimated that nr-</w:t>
      </w:r>
      <w:proofErr w:type="spellStart"/>
      <w:r w:rsidRPr="00AD6C0F">
        <w:t>axSpA</w:t>
      </w:r>
      <w:proofErr w:type="spellEnd"/>
      <w:r w:rsidRPr="00AD6C0F">
        <w:t xml:space="preserve"> affects around 30,000 Australians.</w:t>
      </w:r>
      <w:r w:rsidRPr="00AD6C0F">
        <w:rPr>
          <w:rStyle w:val="FootnoteReference"/>
        </w:rPr>
        <w:footnoteReference w:id="3"/>
      </w:r>
    </w:p>
    <w:p w14:paraId="0183A567" w14:textId="413DF87B" w:rsidR="007247B9" w:rsidRDefault="007247B9" w:rsidP="00CF5E22">
      <w:pPr>
        <w:pStyle w:val="Heading2"/>
      </w:pPr>
      <w:r>
        <w:t>Pharmacology</w:t>
      </w:r>
    </w:p>
    <w:p w14:paraId="65BEF8C0" w14:textId="77777777" w:rsidR="00A83AC3" w:rsidRDefault="00A83AC3" w:rsidP="00A83AC3">
      <w:pPr>
        <w:rPr>
          <w:highlight w:val="yellow"/>
        </w:rPr>
      </w:pPr>
      <w:r>
        <w:t>Golimumab is a human IgG1κ monoclonal antibody produced by a murine hybridoma cell line with recombinant DNA technology.</w:t>
      </w:r>
      <w:bookmarkStart w:id="1" w:name="_Ref79573722"/>
      <w:r>
        <w:rPr>
          <w:rStyle w:val="FootnoteReference"/>
        </w:rPr>
        <w:footnoteReference w:id="4"/>
      </w:r>
      <w:bookmarkEnd w:id="1"/>
      <w:r>
        <w:t xml:space="preserve"> Monoclonal antibodies are proteins that recognise and bind to other specific proteins in the body. Golimumab acts by binding to a specific protein in the body called tumour necrosis factor (TNF) alpha. In people with diseases such as rheumatoid arthritis, psoriatic arthritis and ankylosing spondylitis, the body produces too much TNF, which can cause the body's immune system to attack normal healthy parts of the body. Golimumab can block the damage caused by too much TNF.</w:t>
      </w:r>
      <w:bookmarkStart w:id="2" w:name="_Ref79574943"/>
      <w:r w:rsidRPr="00584DC2">
        <w:rPr>
          <w:rStyle w:val="FootnoteReference"/>
        </w:rPr>
        <w:t xml:space="preserve"> </w:t>
      </w:r>
      <w:r>
        <w:rPr>
          <w:rStyle w:val="FootnoteReference"/>
        </w:rPr>
        <w:footnoteReference w:id="5"/>
      </w:r>
      <w:bookmarkEnd w:id="2"/>
    </w:p>
    <w:p w14:paraId="6AC18C88" w14:textId="7A398934" w:rsidR="001420B3" w:rsidRPr="005E22C2" w:rsidRDefault="00A52918" w:rsidP="00486AD6">
      <w:pPr>
        <w:pStyle w:val="Heading2"/>
        <w:keepNext/>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3137AF86" w14:textId="77777777" w:rsidR="00A83AC3" w:rsidRDefault="00A83AC3" w:rsidP="00A83AC3">
      <w:r>
        <w:t xml:space="preserve">Golimumab is indicated for the treatment of adults with active non-radiographic axial </w:t>
      </w:r>
      <w:proofErr w:type="spellStart"/>
      <w:r>
        <w:t>spondyloarthritis</w:t>
      </w:r>
      <w:proofErr w:type="spellEnd"/>
      <w:r>
        <w:t xml:space="preserve"> with objective signs of inflammation as indicated by elevated C-reactive protein (CRP) and/or magnetic resonance imaging (MRI) evidence, who have had an inadequate response to, or are intolerant to, nonsteroidal anti-inflammatory drugs (NSAIDs).</w:t>
      </w:r>
      <w:r w:rsidRPr="002E1849">
        <w:rPr>
          <w:highlight w:val="cyan"/>
          <w:vertAlign w:val="superscript"/>
        </w:rPr>
        <w:fldChar w:fldCharType="begin"/>
      </w:r>
      <w:r w:rsidRPr="002E1849">
        <w:rPr>
          <w:vertAlign w:val="superscript"/>
        </w:rPr>
        <w:instrText xml:space="preserve"> NOTEREF _Ref79573722 \h </w:instrText>
      </w:r>
      <w:r>
        <w:rPr>
          <w:highlight w:val="cyan"/>
          <w:vertAlign w:val="superscript"/>
        </w:rPr>
        <w:instrText xml:space="preserve"> \* MERGEFORMAT </w:instrText>
      </w:r>
      <w:r w:rsidRPr="002E1849">
        <w:rPr>
          <w:highlight w:val="cyan"/>
          <w:vertAlign w:val="superscript"/>
        </w:rPr>
      </w:r>
      <w:r w:rsidRPr="002E1849">
        <w:rPr>
          <w:highlight w:val="cyan"/>
          <w:vertAlign w:val="superscript"/>
        </w:rPr>
        <w:fldChar w:fldCharType="separate"/>
      </w:r>
      <w:r w:rsidRPr="002E1849">
        <w:rPr>
          <w:vertAlign w:val="superscript"/>
        </w:rPr>
        <w:t>2</w:t>
      </w:r>
      <w:r w:rsidRPr="002E1849">
        <w:rPr>
          <w:highlight w:val="cyan"/>
          <w:vertAlign w:val="superscript"/>
        </w:rPr>
        <w:fldChar w:fldCharType="end"/>
      </w:r>
    </w:p>
    <w:p w14:paraId="40556F50" w14:textId="77777777" w:rsidR="00A83AC3" w:rsidRDefault="00A83AC3" w:rsidP="002664CC">
      <w:pPr>
        <w:keepNext/>
      </w:pPr>
      <w:r>
        <w:t>Golimumab is also indicated for</w:t>
      </w:r>
    </w:p>
    <w:p w14:paraId="289C1C6B" w14:textId="77777777" w:rsidR="00A83AC3" w:rsidRDefault="00A83AC3" w:rsidP="00A83AC3">
      <w:pPr>
        <w:pStyle w:val="ListParagraph"/>
        <w:numPr>
          <w:ilvl w:val="0"/>
          <w:numId w:val="4"/>
        </w:numPr>
      </w:pPr>
      <w:r w:rsidRPr="00F50307">
        <w:t>Rheumatoid arthritis</w:t>
      </w:r>
      <w:r>
        <w:t>,</w:t>
      </w:r>
    </w:p>
    <w:p w14:paraId="07FAEBDF" w14:textId="77777777" w:rsidR="00A83AC3" w:rsidRDefault="00A83AC3" w:rsidP="00A83AC3">
      <w:pPr>
        <w:pStyle w:val="ListParagraph"/>
        <w:numPr>
          <w:ilvl w:val="0"/>
          <w:numId w:val="4"/>
        </w:numPr>
      </w:pPr>
      <w:r w:rsidRPr="00F50307">
        <w:t>Psoriatic arthritis</w:t>
      </w:r>
      <w:r>
        <w:t>,</w:t>
      </w:r>
    </w:p>
    <w:p w14:paraId="403789ED" w14:textId="77777777" w:rsidR="00A83AC3" w:rsidRDefault="00A83AC3" w:rsidP="00A83AC3">
      <w:pPr>
        <w:pStyle w:val="ListParagraph"/>
        <w:numPr>
          <w:ilvl w:val="0"/>
          <w:numId w:val="4"/>
        </w:numPr>
      </w:pPr>
      <w:r w:rsidRPr="00F50307">
        <w:t>Ankylosing spondylitis</w:t>
      </w:r>
      <w:r>
        <w:t>, and</w:t>
      </w:r>
    </w:p>
    <w:p w14:paraId="2DB3209E" w14:textId="77777777" w:rsidR="00A83AC3" w:rsidRDefault="00A83AC3" w:rsidP="00A83AC3">
      <w:pPr>
        <w:pStyle w:val="ListParagraph"/>
        <w:numPr>
          <w:ilvl w:val="0"/>
          <w:numId w:val="4"/>
        </w:numPr>
      </w:pPr>
      <w:r w:rsidRPr="00F50307">
        <w:t>Ulcerative colitis</w:t>
      </w:r>
      <w:r>
        <w:t>.</w:t>
      </w:r>
    </w:p>
    <w:p w14:paraId="15E919C1" w14:textId="1B3BA560" w:rsidR="006B709B" w:rsidRDefault="006B709B" w:rsidP="00CF5E22">
      <w:pPr>
        <w:pStyle w:val="Heading2"/>
      </w:pPr>
      <w:r>
        <w:t>Dosage and administration</w:t>
      </w:r>
    </w:p>
    <w:p w14:paraId="65291A44" w14:textId="77777777" w:rsidR="00A83AC3" w:rsidRPr="00324DAB" w:rsidRDefault="00A83AC3" w:rsidP="00A83AC3">
      <w:pPr>
        <w:pStyle w:val="Tabletitle"/>
      </w:pPr>
      <w:r w:rsidRPr="00324DAB">
        <w:t xml:space="preserve">Table </w:t>
      </w:r>
      <w:r>
        <w:t>1</w:t>
      </w:r>
      <w:r w:rsidRPr="00324DAB">
        <w:t xml:space="preserve">: Dosage and administration of </w:t>
      </w:r>
      <w:r>
        <w:t>golimumab for nr-</w:t>
      </w:r>
      <w:proofErr w:type="spellStart"/>
      <w:r>
        <w:t>axSpA</w:t>
      </w:r>
      <w:proofErr w:type="spellEnd"/>
    </w:p>
    <w:tbl>
      <w:tblPr>
        <w:tblStyle w:val="TableGrid"/>
        <w:tblW w:w="9180" w:type="dxa"/>
        <w:tblLook w:val="04A0" w:firstRow="1" w:lastRow="0" w:firstColumn="1" w:lastColumn="0" w:noHBand="0" w:noVBand="1"/>
      </w:tblPr>
      <w:tblGrid>
        <w:gridCol w:w="1980"/>
        <w:gridCol w:w="2693"/>
        <w:gridCol w:w="4507"/>
      </w:tblGrid>
      <w:tr w:rsidR="00A83AC3" w:rsidRPr="00A35800" w14:paraId="12799AFB" w14:textId="77777777" w:rsidTr="002664CC">
        <w:trPr>
          <w:tblHeader/>
        </w:trPr>
        <w:tc>
          <w:tcPr>
            <w:tcW w:w="1980" w:type="dxa"/>
            <w:shd w:val="clear" w:color="auto" w:fill="BFBFBF" w:themeFill="background1" w:themeFillShade="BF"/>
          </w:tcPr>
          <w:p w14:paraId="74E19770" w14:textId="77777777" w:rsidR="00A83AC3" w:rsidRPr="00A35800" w:rsidRDefault="00A83AC3" w:rsidP="002664CC">
            <w:pPr>
              <w:pStyle w:val="Tableheading"/>
              <w:rPr>
                <w:sz w:val="20"/>
                <w:szCs w:val="20"/>
              </w:rPr>
            </w:pPr>
            <w:r w:rsidRPr="00A35800">
              <w:rPr>
                <w:sz w:val="20"/>
                <w:szCs w:val="20"/>
              </w:rPr>
              <w:t>Brand name and sponsor</w:t>
            </w:r>
          </w:p>
        </w:tc>
        <w:tc>
          <w:tcPr>
            <w:tcW w:w="2693" w:type="dxa"/>
            <w:shd w:val="clear" w:color="auto" w:fill="BFBFBF" w:themeFill="background1" w:themeFillShade="BF"/>
          </w:tcPr>
          <w:p w14:paraId="0D7BA3BE" w14:textId="77777777" w:rsidR="00A83AC3" w:rsidRPr="00A35800" w:rsidRDefault="00A83AC3" w:rsidP="002664CC">
            <w:pPr>
              <w:pStyle w:val="Tableheading"/>
              <w:rPr>
                <w:sz w:val="20"/>
                <w:szCs w:val="20"/>
              </w:rPr>
            </w:pPr>
            <w:r w:rsidRPr="00A35800">
              <w:rPr>
                <w:sz w:val="20"/>
                <w:szCs w:val="20"/>
              </w:rPr>
              <w:t>Product</w:t>
            </w:r>
          </w:p>
        </w:tc>
        <w:tc>
          <w:tcPr>
            <w:tcW w:w="4507" w:type="dxa"/>
            <w:shd w:val="clear" w:color="auto" w:fill="BFBFBF" w:themeFill="background1" w:themeFillShade="BF"/>
          </w:tcPr>
          <w:p w14:paraId="5B4573D5" w14:textId="77777777" w:rsidR="00A83AC3" w:rsidRPr="00A35800" w:rsidRDefault="00A83AC3" w:rsidP="002664CC">
            <w:pPr>
              <w:pStyle w:val="Tableheading"/>
              <w:rPr>
                <w:sz w:val="20"/>
                <w:szCs w:val="20"/>
              </w:rPr>
            </w:pPr>
            <w:r w:rsidRPr="00A35800">
              <w:rPr>
                <w:sz w:val="20"/>
                <w:szCs w:val="20"/>
              </w:rPr>
              <w:t xml:space="preserve">Dose and frequency of administration </w:t>
            </w:r>
          </w:p>
        </w:tc>
      </w:tr>
      <w:tr w:rsidR="00A83AC3" w:rsidRPr="00A35800" w14:paraId="61C5C9A1" w14:textId="77777777" w:rsidTr="002664CC">
        <w:tc>
          <w:tcPr>
            <w:tcW w:w="1980" w:type="dxa"/>
          </w:tcPr>
          <w:p w14:paraId="5E3B5889" w14:textId="77777777" w:rsidR="00A83AC3" w:rsidRDefault="00A83AC3" w:rsidP="002664CC">
            <w:pPr>
              <w:pStyle w:val="Tablewriting"/>
            </w:pPr>
            <w:r>
              <w:t xml:space="preserve">Simponi® </w:t>
            </w:r>
          </w:p>
          <w:p w14:paraId="25C0794E" w14:textId="77777777" w:rsidR="00A83AC3" w:rsidRPr="00A35800" w:rsidRDefault="00A83AC3" w:rsidP="002664CC">
            <w:pPr>
              <w:pStyle w:val="Tablewriting"/>
            </w:pPr>
            <w:r>
              <w:t>Janssen-</w:t>
            </w:r>
            <w:proofErr w:type="spellStart"/>
            <w:r>
              <w:t>Cilag</w:t>
            </w:r>
            <w:proofErr w:type="spellEnd"/>
            <w:r>
              <w:t xml:space="preserve"> Pty Ltd</w:t>
            </w:r>
          </w:p>
        </w:tc>
        <w:tc>
          <w:tcPr>
            <w:tcW w:w="2693" w:type="dxa"/>
          </w:tcPr>
          <w:p w14:paraId="63FA70A3" w14:textId="77777777" w:rsidR="00A83AC3" w:rsidRDefault="00A83AC3" w:rsidP="002664CC">
            <w:pPr>
              <w:pStyle w:val="Tablewriting"/>
            </w:pPr>
            <w:r>
              <w:t>G</w:t>
            </w:r>
            <w:r w:rsidRPr="00324DAB">
              <w:t>olimumab 50 mg/0.5 mL injection, 0.5 mL syringe</w:t>
            </w:r>
          </w:p>
          <w:p w14:paraId="19C00C1D" w14:textId="77777777" w:rsidR="00A83AC3" w:rsidRPr="00A35800" w:rsidRDefault="00A83AC3" w:rsidP="002664CC">
            <w:pPr>
              <w:pStyle w:val="Tablewriting"/>
            </w:pPr>
            <w:r>
              <w:t>G</w:t>
            </w:r>
            <w:r w:rsidRPr="00324DAB">
              <w:t>olimumab 50 mg/0.5 mL injection, 0.5 mL pen device</w:t>
            </w:r>
          </w:p>
        </w:tc>
        <w:tc>
          <w:tcPr>
            <w:tcW w:w="4507" w:type="dxa"/>
          </w:tcPr>
          <w:p w14:paraId="779D616A" w14:textId="77777777" w:rsidR="00A83AC3" w:rsidRDefault="00A83AC3" w:rsidP="002664CC">
            <w:pPr>
              <w:pStyle w:val="Tablewriting"/>
            </w:pPr>
            <w:r>
              <w:t>Golimumab 50 mg given as a subcutaneous injection once a month, on the same date each month.</w:t>
            </w:r>
          </w:p>
          <w:p w14:paraId="6BAF1824" w14:textId="77777777" w:rsidR="00A83AC3" w:rsidRDefault="00A83AC3" w:rsidP="002664CC">
            <w:pPr>
              <w:pStyle w:val="Tablewriting"/>
            </w:pPr>
            <w:r>
              <w:t>Available data in nr-</w:t>
            </w:r>
            <w:proofErr w:type="spellStart"/>
            <w:r>
              <w:t>axSpA</w:t>
            </w:r>
            <w:proofErr w:type="spellEnd"/>
            <w:r>
              <w:t xml:space="preserve"> suggest that clinical response is usually achieved within 12 to 14 weeks of treatment (after 3-4 doses).</w:t>
            </w:r>
          </w:p>
          <w:p w14:paraId="373E0800" w14:textId="77777777" w:rsidR="00A83AC3" w:rsidRPr="00A35800" w:rsidRDefault="00A83AC3" w:rsidP="002664CC">
            <w:pPr>
              <w:pStyle w:val="Tablewriting"/>
            </w:pPr>
            <w:r>
              <w:t>Continued therapy should be reconsidered in patients who show no evidence of therapeutic benefit within this time period.</w:t>
            </w:r>
          </w:p>
        </w:tc>
      </w:tr>
    </w:tbl>
    <w:p w14:paraId="7BD51953" w14:textId="77777777" w:rsidR="00A83AC3" w:rsidRPr="00D50934" w:rsidRDefault="00A83AC3" w:rsidP="00A83AC3">
      <w:pPr>
        <w:pStyle w:val="Notes"/>
      </w:pPr>
      <w:r w:rsidRPr="00D50934">
        <w:t>Source: Product Information</w:t>
      </w:r>
      <w:r w:rsidRPr="00D50934">
        <w:rPr>
          <w:vertAlign w:val="superscript"/>
        </w:rPr>
        <w:fldChar w:fldCharType="begin"/>
      </w:r>
      <w:r w:rsidRPr="00D50934">
        <w:rPr>
          <w:vertAlign w:val="superscript"/>
        </w:rPr>
        <w:instrText xml:space="preserve"> NOTEREF _Ref79573722 \h  \* MERGEFORMAT </w:instrText>
      </w:r>
      <w:r w:rsidRPr="00D50934">
        <w:rPr>
          <w:vertAlign w:val="superscript"/>
        </w:rPr>
      </w:r>
      <w:r w:rsidRPr="00D50934">
        <w:rPr>
          <w:vertAlign w:val="superscript"/>
        </w:rPr>
        <w:fldChar w:fldCharType="separate"/>
      </w:r>
      <w:r w:rsidRPr="00D50934">
        <w:rPr>
          <w:vertAlign w:val="superscript"/>
        </w:rPr>
        <w:t>3</w:t>
      </w:r>
      <w:r w:rsidRPr="00D50934">
        <w:rPr>
          <w:vertAlign w:val="superscript"/>
        </w:rPr>
        <w:fldChar w:fldCharType="end"/>
      </w:r>
    </w:p>
    <w:p w14:paraId="39397E50" w14:textId="77777777" w:rsidR="00A83AC3" w:rsidRPr="002F61CA" w:rsidRDefault="00A83AC3" w:rsidP="00A83AC3">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67D5B91B" w14:textId="77777777" w:rsidR="00A83AC3" w:rsidRPr="007247B9" w:rsidDel="00EE2BBB" w:rsidRDefault="00A83AC3" w:rsidP="00A83AC3">
      <w:pPr>
        <w:pStyle w:val="Heading2"/>
        <w:keepNext/>
      </w:pPr>
      <w:r w:rsidRPr="007247B9" w:rsidDel="00EE2BBB">
        <w:lastRenderedPageBreak/>
        <w:t>PBS listing details</w:t>
      </w:r>
      <w:r w:rsidDel="00EE2BBB">
        <w:t xml:space="preserve"> </w:t>
      </w:r>
    </w:p>
    <w:p w14:paraId="0D2B2DFC" w14:textId="77777777" w:rsidR="00A83AC3" w:rsidRPr="001420B3" w:rsidDel="00EE2BBB" w:rsidRDefault="00A83AC3" w:rsidP="00A83AC3">
      <w:pPr>
        <w:pStyle w:val="Tabletitle"/>
        <w:keepNext/>
      </w:pPr>
      <w:r w:rsidRPr="001420B3" w:rsidDel="00EE2BBB">
        <w:t xml:space="preserve">Table </w:t>
      </w:r>
      <w:r>
        <w:t>2</w:t>
      </w:r>
      <w:r w:rsidRPr="001420B3" w:rsidDel="00EE2BBB">
        <w:t xml:space="preserve">: </w:t>
      </w:r>
      <w:r w:rsidDel="00EE2BBB">
        <w:t xml:space="preserve">PBS listing of </w:t>
      </w:r>
      <w:r>
        <w:t xml:space="preserve">golimumab </w:t>
      </w:r>
      <w:r w:rsidRPr="00D50934">
        <w:t xml:space="preserve">(as </w:t>
      </w:r>
      <w:proofErr w:type="gramStart"/>
      <w:r w:rsidRPr="00D50934">
        <w:t>at</w:t>
      </w:r>
      <w:proofErr w:type="gramEnd"/>
      <w:r w:rsidRPr="00D50934">
        <w:t xml:space="preserve"> 1 July 2021)</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A83AC3" w:rsidRPr="00A35800" w:rsidDel="00EE2BBB" w14:paraId="4A7EDD42" w14:textId="77777777" w:rsidTr="002664CC">
        <w:trPr>
          <w:trHeight w:val="694"/>
          <w:tblHeader/>
        </w:trPr>
        <w:tc>
          <w:tcPr>
            <w:tcW w:w="969" w:type="dxa"/>
            <w:shd w:val="clear" w:color="auto" w:fill="BFBFBF" w:themeFill="background1" w:themeFillShade="BF"/>
          </w:tcPr>
          <w:p w14:paraId="4C8FC29C" w14:textId="77777777" w:rsidR="00A83AC3" w:rsidRPr="00A35800" w:rsidDel="00EE2BBB" w:rsidRDefault="00A83AC3" w:rsidP="002664CC">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4229BF00" w14:textId="77777777" w:rsidR="00A83AC3" w:rsidRPr="00A35800" w:rsidDel="00EE2BBB" w:rsidRDefault="00A83AC3" w:rsidP="002664CC">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56914528" w14:textId="77777777" w:rsidR="00A83AC3" w:rsidRPr="00A35800" w:rsidDel="00EE2BBB" w:rsidRDefault="00A83AC3" w:rsidP="002664CC">
            <w:pPr>
              <w:pStyle w:val="Tableheading"/>
              <w:rPr>
                <w:sz w:val="20"/>
                <w:szCs w:val="20"/>
              </w:rPr>
            </w:pPr>
            <w:r w:rsidRPr="00A35800" w:rsidDel="00EE2BBB">
              <w:rPr>
                <w:sz w:val="20"/>
                <w:szCs w:val="20"/>
              </w:rPr>
              <w:t xml:space="preserve">Max. quant. </w:t>
            </w:r>
          </w:p>
        </w:tc>
        <w:tc>
          <w:tcPr>
            <w:tcW w:w="850" w:type="dxa"/>
            <w:shd w:val="clear" w:color="auto" w:fill="BFBFBF" w:themeFill="background1" w:themeFillShade="BF"/>
          </w:tcPr>
          <w:p w14:paraId="1E16E76D" w14:textId="77777777" w:rsidR="00A83AC3" w:rsidRPr="00A35800" w:rsidDel="00EE2BBB" w:rsidRDefault="00A83AC3" w:rsidP="002664CC">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6FB8F68B" w14:textId="77777777" w:rsidR="00A83AC3" w:rsidRPr="00A35800" w:rsidDel="00EE2BBB" w:rsidRDefault="00A83AC3" w:rsidP="002664CC">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25D72A4F" w14:textId="77777777" w:rsidR="00A83AC3" w:rsidRPr="00A35800" w:rsidDel="00EE2BBB" w:rsidRDefault="00A83AC3" w:rsidP="002664CC">
            <w:pPr>
              <w:pStyle w:val="Tableheading"/>
              <w:rPr>
                <w:sz w:val="20"/>
                <w:szCs w:val="20"/>
              </w:rPr>
            </w:pPr>
            <w:r w:rsidRPr="00A35800" w:rsidDel="00EE2BBB">
              <w:rPr>
                <w:sz w:val="20"/>
                <w:szCs w:val="20"/>
              </w:rPr>
              <w:t>Brand name and manufacturer</w:t>
            </w:r>
          </w:p>
        </w:tc>
      </w:tr>
      <w:tr w:rsidR="00A83AC3" w:rsidRPr="00A35800" w:rsidDel="00EE2BBB" w14:paraId="436FA9EF" w14:textId="77777777" w:rsidTr="002664CC">
        <w:trPr>
          <w:trHeight w:val="552"/>
          <w:tblHeader/>
        </w:trPr>
        <w:tc>
          <w:tcPr>
            <w:tcW w:w="969" w:type="dxa"/>
            <w:shd w:val="clear" w:color="auto" w:fill="auto"/>
          </w:tcPr>
          <w:p w14:paraId="7FFB0E88" w14:textId="77777777" w:rsidR="00A83AC3" w:rsidRPr="00A35800" w:rsidDel="00EE2BBB" w:rsidRDefault="00A83AC3" w:rsidP="002664CC">
            <w:pPr>
              <w:pStyle w:val="Tablewriting"/>
            </w:pPr>
            <w:r w:rsidRPr="00CD1C75">
              <w:t>11516D</w:t>
            </w:r>
          </w:p>
        </w:tc>
        <w:tc>
          <w:tcPr>
            <w:tcW w:w="2400" w:type="dxa"/>
            <w:shd w:val="clear" w:color="auto" w:fill="auto"/>
          </w:tcPr>
          <w:p w14:paraId="5D696447" w14:textId="77777777" w:rsidR="00A83AC3" w:rsidRPr="00A35800" w:rsidDel="00EE2BBB" w:rsidRDefault="00A83AC3" w:rsidP="002664CC">
            <w:pPr>
              <w:pStyle w:val="Tablewriting"/>
            </w:pPr>
            <w:r w:rsidRPr="00CD1C75">
              <w:t>golimumab 50 mg/0.5 mL injection, 0.5 mL syringe</w:t>
            </w:r>
          </w:p>
        </w:tc>
        <w:tc>
          <w:tcPr>
            <w:tcW w:w="1701" w:type="dxa"/>
            <w:shd w:val="clear" w:color="auto" w:fill="auto"/>
          </w:tcPr>
          <w:p w14:paraId="2F38CEC9" w14:textId="77777777" w:rsidR="00A83AC3" w:rsidRPr="00A35800" w:rsidDel="00EE2BBB" w:rsidRDefault="00A83AC3" w:rsidP="002664CC">
            <w:pPr>
              <w:pStyle w:val="Tablewriting"/>
            </w:pPr>
            <w:r>
              <w:t>1</w:t>
            </w:r>
          </w:p>
        </w:tc>
        <w:tc>
          <w:tcPr>
            <w:tcW w:w="850" w:type="dxa"/>
            <w:shd w:val="clear" w:color="auto" w:fill="auto"/>
          </w:tcPr>
          <w:p w14:paraId="3161CA70" w14:textId="77777777" w:rsidR="00A83AC3" w:rsidRPr="00A35800" w:rsidDel="00EE2BBB" w:rsidRDefault="00A83AC3" w:rsidP="002664CC">
            <w:pPr>
              <w:pStyle w:val="Tablewriting"/>
            </w:pPr>
            <w:r>
              <w:t>5</w:t>
            </w:r>
          </w:p>
        </w:tc>
        <w:tc>
          <w:tcPr>
            <w:tcW w:w="1040" w:type="dxa"/>
            <w:shd w:val="clear" w:color="auto" w:fill="auto"/>
          </w:tcPr>
          <w:p w14:paraId="0FA0073A" w14:textId="77777777" w:rsidR="00A83AC3" w:rsidRPr="00A35800" w:rsidDel="00EE2BBB" w:rsidRDefault="00A83AC3" w:rsidP="002664CC">
            <w:pPr>
              <w:pStyle w:val="Tablewriting"/>
            </w:pPr>
            <w:r>
              <w:t>$1,160.58</w:t>
            </w:r>
          </w:p>
        </w:tc>
        <w:tc>
          <w:tcPr>
            <w:tcW w:w="2104" w:type="dxa"/>
            <w:vMerge w:val="restart"/>
            <w:shd w:val="clear" w:color="auto" w:fill="auto"/>
          </w:tcPr>
          <w:p w14:paraId="0941FC10" w14:textId="77777777" w:rsidR="00A83AC3" w:rsidRPr="00A35800" w:rsidDel="00EE2BBB" w:rsidRDefault="00A83AC3" w:rsidP="002664CC">
            <w:pPr>
              <w:pStyle w:val="Tablewriting"/>
            </w:pPr>
            <w:r>
              <w:t xml:space="preserve">Simponi® </w:t>
            </w:r>
            <w:r>
              <w:br/>
            </w:r>
            <w:r w:rsidRPr="00CD1C75">
              <w:t>Janssen-</w:t>
            </w:r>
            <w:proofErr w:type="spellStart"/>
            <w:r w:rsidRPr="00CD1C75">
              <w:t>Cilag</w:t>
            </w:r>
            <w:proofErr w:type="spellEnd"/>
            <w:r w:rsidRPr="00CD1C75">
              <w:t xml:space="preserve"> Pty Ltd</w:t>
            </w:r>
          </w:p>
        </w:tc>
      </w:tr>
      <w:tr w:rsidR="00A83AC3" w:rsidRPr="00A35800" w:rsidDel="00EE2BBB" w14:paraId="02E673CA" w14:textId="77777777" w:rsidTr="002664CC">
        <w:trPr>
          <w:trHeight w:val="546"/>
          <w:tblHeader/>
        </w:trPr>
        <w:tc>
          <w:tcPr>
            <w:tcW w:w="969" w:type="dxa"/>
            <w:shd w:val="clear" w:color="auto" w:fill="auto"/>
          </w:tcPr>
          <w:p w14:paraId="2DD7118A" w14:textId="77777777" w:rsidR="00A83AC3" w:rsidRPr="00A35800" w:rsidDel="00EE2BBB" w:rsidRDefault="00A83AC3" w:rsidP="002664CC">
            <w:pPr>
              <w:pStyle w:val="Tablewriting"/>
            </w:pPr>
            <w:r w:rsidRPr="00CD1C75">
              <w:t>11560K</w:t>
            </w:r>
          </w:p>
        </w:tc>
        <w:tc>
          <w:tcPr>
            <w:tcW w:w="2400" w:type="dxa"/>
            <w:shd w:val="clear" w:color="auto" w:fill="auto"/>
          </w:tcPr>
          <w:p w14:paraId="2EC89B33" w14:textId="77777777" w:rsidR="00A83AC3" w:rsidRPr="00A35800" w:rsidDel="00EE2BBB" w:rsidRDefault="00A83AC3" w:rsidP="002664CC">
            <w:pPr>
              <w:pStyle w:val="Tablewriting"/>
            </w:pPr>
            <w:r w:rsidRPr="00CD1C75">
              <w:t>golimumab 50 mg/0.5 mL injection, 0.5 mL syringe</w:t>
            </w:r>
          </w:p>
        </w:tc>
        <w:tc>
          <w:tcPr>
            <w:tcW w:w="1701" w:type="dxa"/>
            <w:shd w:val="clear" w:color="auto" w:fill="auto"/>
          </w:tcPr>
          <w:p w14:paraId="60F6B29E" w14:textId="77777777" w:rsidR="00A83AC3" w:rsidRPr="00A35800" w:rsidDel="00EE2BBB" w:rsidRDefault="00A83AC3" w:rsidP="002664CC">
            <w:pPr>
              <w:pStyle w:val="Tablewriting"/>
            </w:pPr>
            <w:r>
              <w:t>1</w:t>
            </w:r>
          </w:p>
        </w:tc>
        <w:tc>
          <w:tcPr>
            <w:tcW w:w="850" w:type="dxa"/>
            <w:shd w:val="clear" w:color="auto" w:fill="auto"/>
          </w:tcPr>
          <w:p w14:paraId="732F2EFD" w14:textId="77777777" w:rsidR="00A83AC3" w:rsidRPr="00A35800" w:rsidDel="00EE2BBB" w:rsidRDefault="00A83AC3" w:rsidP="002664CC">
            <w:pPr>
              <w:pStyle w:val="Tablewriting"/>
            </w:pPr>
            <w:r>
              <w:t>5</w:t>
            </w:r>
          </w:p>
        </w:tc>
        <w:tc>
          <w:tcPr>
            <w:tcW w:w="1040" w:type="dxa"/>
            <w:shd w:val="clear" w:color="auto" w:fill="auto"/>
          </w:tcPr>
          <w:p w14:paraId="742A86B5" w14:textId="77777777" w:rsidR="00A83AC3" w:rsidRPr="00A35800" w:rsidDel="00EE2BBB" w:rsidRDefault="00A83AC3" w:rsidP="002664CC">
            <w:pPr>
              <w:pStyle w:val="Tablewriting"/>
            </w:pPr>
            <w:r>
              <w:t>$1,160.58</w:t>
            </w:r>
          </w:p>
        </w:tc>
        <w:tc>
          <w:tcPr>
            <w:tcW w:w="2104" w:type="dxa"/>
            <w:vMerge/>
            <w:shd w:val="clear" w:color="auto" w:fill="auto"/>
          </w:tcPr>
          <w:p w14:paraId="1E7ED60D" w14:textId="77777777" w:rsidR="00A83AC3" w:rsidRPr="00A35800" w:rsidDel="00EE2BBB" w:rsidRDefault="00A83AC3" w:rsidP="002664CC">
            <w:pPr>
              <w:pStyle w:val="Tablewriting"/>
            </w:pPr>
          </w:p>
        </w:tc>
      </w:tr>
      <w:tr w:rsidR="00A83AC3" w:rsidRPr="00A35800" w:rsidDel="00EE2BBB" w14:paraId="63E3C8BF" w14:textId="77777777" w:rsidTr="002664CC">
        <w:trPr>
          <w:trHeight w:val="552"/>
          <w:tblHeader/>
        </w:trPr>
        <w:tc>
          <w:tcPr>
            <w:tcW w:w="969" w:type="dxa"/>
            <w:shd w:val="clear" w:color="auto" w:fill="auto"/>
          </w:tcPr>
          <w:p w14:paraId="5DF4AF4C" w14:textId="77777777" w:rsidR="00A83AC3" w:rsidRPr="00A35800" w:rsidDel="00EE2BBB" w:rsidRDefault="00A83AC3" w:rsidP="002664CC">
            <w:pPr>
              <w:pStyle w:val="Tablewriting"/>
            </w:pPr>
            <w:r w:rsidRPr="00CD1C75">
              <w:t>11521J</w:t>
            </w:r>
          </w:p>
        </w:tc>
        <w:tc>
          <w:tcPr>
            <w:tcW w:w="2400" w:type="dxa"/>
            <w:shd w:val="clear" w:color="auto" w:fill="auto"/>
          </w:tcPr>
          <w:p w14:paraId="0EF5E92E" w14:textId="77777777" w:rsidR="00A83AC3" w:rsidRPr="00A35800" w:rsidDel="00EE2BBB" w:rsidRDefault="00A83AC3" w:rsidP="002664CC">
            <w:pPr>
              <w:pStyle w:val="Tablewriting"/>
            </w:pPr>
            <w:r w:rsidRPr="00CD1C75">
              <w:t>golimumab 50 mg/0.5 mL injection, 0.5 mL pen device</w:t>
            </w:r>
          </w:p>
        </w:tc>
        <w:tc>
          <w:tcPr>
            <w:tcW w:w="1701" w:type="dxa"/>
            <w:shd w:val="clear" w:color="auto" w:fill="auto"/>
          </w:tcPr>
          <w:p w14:paraId="0AFF49C7" w14:textId="77777777" w:rsidR="00A83AC3" w:rsidRPr="00A35800" w:rsidDel="00EE2BBB" w:rsidRDefault="00A83AC3" w:rsidP="002664CC">
            <w:pPr>
              <w:pStyle w:val="Tablewriting"/>
            </w:pPr>
            <w:r>
              <w:t>1</w:t>
            </w:r>
          </w:p>
        </w:tc>
        <w:tc>
          <w:tcPr>
            <w:tcW w:w="850" w:type="dxa"/>
            <w:shd w:val="clear" w:color="auto" w:fill="auto"/>
          </w:tcPr>
          <w:p w14:paraId="7EBE1661" w14:textId="77777777" w:rsidR="00A83AC3" w:rsidRPr="00A35800" w:rsidDel="00EE2BBB" w:rsidRDefault="00A83AC3" w:rsidP="002664CC">
            <w:pPr>
              <w:pStyle w:val="Tablewriting"/>
            </w:pPr>
            <w:r>
              <w:t>5</w:t>
            </w:r>
          </w:p>
        </w:tc>
        <w:tc>
          <w:tcPr>
            <w:tcW w:w="1040" w:type="dxa"/>
            <w:shd w:val="clear" w:color="auto" w:fill="auto"/>
          </w:tcPr>
          <w:p w14:paraId="5D6D8531" w14:textId="77777777" w:rsidR="00A83AC3" w:rsidRPr="00A35800" w:rsidDel="00EE2BBB" w:rsidRDefault="00A83AC3" w:rsidP="002664CC">
            <w:pPr>
              <w:pStyle w:val="Tablewriting"/>
            </w:pPr>
            <w:r>
              <w:t>$1,160.58</w:t>
            </w:r>
          </w:p>
        </w:tc>
        <w:tc>
          <w:tcPr>
            <w:tcW w:w="2104" w:type="dxa"/>
            <w:vMerge/>
            <w:shd w:val="clear" w:color="auto" w:fill="auto"/>
          </w:tcPr>
          <w:p w14:paraId="4D9B8FAD" w14:textId="77777777" w:rsidR="00A83AC3" w:rsidRPr="00A35800" w:rsidDel="00EE2BBB" w:rsidRDefault="00A83AC3" w:rsidP="002664CC">
            <w:pPr>
              <w:pStyle w:val="Tablewriting"/>
            </w:pPr>
          </w:p>
        </w:tc>
      </w:tr>
      <w:tr w:rsidR="00A83AC3" w:rsidRPr="00A35800" w:rsidDel="00EE2BBB" w14:paraId="4C86CE97" w14:textId="77777777" w:rsidTr="002664CC">
        <w:trPr>
          <w:trHeight w:val="552"/>
          <w:tblHeader/>
        </w:trPr>
        <w:tc>
          <w:tcPr>
            <w:tcW w:w="969" w:type="dxa"/>
            <w:shd w:val="clear" w:color="auto" w:fill="auto"/>
          </w:tcPr>
          <w:p w14:paraId="34992C9E" w14:textId="77777777" w:rsidR="00A83AC3" w:rsidRPr="00A35800" w:rsidDel="00EE2BBB" w:rsidRDefault="00A83AC3" w:rsidP="002664CC">
            <w:pPr>
              <w:pStyle w:val="Tablewriting"/>
            </w:pPr>
            <w:r w:rsidRPr="00CD1C75">
              <w:t>11538G</w:t>
            </w:r>
          </w:p>
        </w:tc>
        <w:tc>
          <w:tcPr>
            <w:tcW w:w="2400" w:type="dxa"/>
            <w:shd w:val="clear" w:color="auto" w:fill="auto"/>
          </w:tcPr>
          <w:p w14:paraId="73516C15" w14:textId="77777777" w:rsidR="00A83AC3" w:rsidRPr="00A35800" w:rsidDel="00EE2BBB" w:rsidRDefault="00A83AC3" w:rsidP="002664CC">
            <w:pPr>
              <w:pStyle w:val="Tablewriting"/>
            </w:pPr>
            <w:r w:rsidRPr="00CD1C75">
              <w:t>golimumab 50 mg/0.5 mL injection, 0.5 mL pen device</w:t>
            </w:r>
          </w:p>
        </w:tc>
        <w:tc>
          <w:tcPr>
            <w:tcW w:w="1701" w:type="dxa"/>
            <w:shd w:val="clear" w:color="auto" w:fill="auto"/>
          </w:tcPr>
          <w:p w14:paraId="15AC54CC" w14:textId="77777777" w:rsidR="00A83AC3" w:rsidRPr="00A35800" w:rsidDel="00EE2BBB" w:rsidRDefault="00A83AC3" w:rsidP="002664CC">
            <w:pPr>
              <w:pStyle w:val="Tablewriting"/>
            </w:pPr>
            <w:r>
              <w:t>1</w:t>
            </w:r>
          </w:p>
        </w:tc>
        <w:tc>
          <w:tcPr>
            <w:tcW w:w="850" w:type="dxa"/>
            <w:shd w:val="clear" w:color="auto" w:fill="auto"/>
          </w:tcPr>
          <w:p w14:paraId="0F3DD0A2" w14:textId="77777777" w:rsidR="00A83AC3" w:rsidRPr="00A35800" w:rsidDel="00EE2BBB" w:rsidRDefault="00A83AC3" w:rsidP="002664CC">
            <w:pPr>
              <w:pStyle w:val="Tablewriting"/>
            </w:pPr>
            <w:r>
              <w:t>5</w:t>
            </w:r>
          </w:p>
        </w:tc>
        <w:tc>
          <w:tcPr>
            <w:tcW w:w="1040" w:type="dxa"/>
            <w:shd w:val="clear" w:color="auto" w:fill="auto"/>
          </w:tcPr>
          <w:p w14:paraId="51798502" w14:textId="77777777" w:rsidR="00A83AC3" w:rsidRPr="00A35800" w:rsidDel="00EE2BBB" w:rsidRDefault="00A83AC3" w:rsidP="002664CC">
            <w:pPr>
              <w:pStyle w:val="Tablewriting"/>
            </w:pPr>
            <w:r>
              <w:t>$1,160.58</w:t>
            </w:r>
          </w:p>
        </w:tc>
        <w:tc>
          <w:tcPr>
            <w:tcW w:w="2104" w:type="dxa"/>
            <w:vMerge/>
            <w:shd w:val="clear" w:color="auto" w:fill="auto"/>
          </w:tcPr>
          <w:p w14:paraId="3DF0735F" w14:textId="77777777" w:rsidR="00A83AC3" w:rsidRPr="00A35800" w:rsidDel="00EE2BBB" w:rsidRDefault="00A83AC3" w:rsidP="002664CC">
            <w:pPr>
              <w:pStyle w:val="Tablewriting"/>
            </w:pPr>
          </w:p>
        </w:tc>
      </w:tr>
    </w:tbl>
    <w:p w14:paraId="6AB050D8" w14:textId="77777777" w:rsidR="00A83AC3" w:rsidRPr="00A35800" w:rsidDel="00EE2BBB" w:rsidRDefault="00A83AC3" w:rsidP="00A83AC3">
      <w:pPr>
        <w:pStyle w:val="Notes"/>
      </w:pPr>
      <w:r w:rsidRPr="00A35800" w:rsidDel="00EE2BBB">
        <w:t xml:space="preserve">Source: </w:t>
      </w:r>
      <w:r w:rsidDel="00EE2BBB">
        <w:t xml:space="preserve">the </w:t>
      </w:r>
      <w:hyperlink r:id="rId10" w:history="1">
        <w:r w:rsidRPr="001624D7" w:rsidDel="00EE2BBB">
          <w:rPr>
            <w:rStyle w:val="Hyperlink"/>
          </w:rPr>
          <w:t>PBS website</w:t>
        </w:r>
      </w:hyperlink>
      <w:r w:rsidDel="00EE2BBB">
        <w:t xml:space="preserve">.  </w:t>
      </w:r>
      <w:r w:rsidRPr="0080485E" w:rsidDel="00EE2BBB">
        <w:t>Special Pricing Arrangemen</w:t>
      </w:r>
      <w:r>
        <w:t>ts apply</w:t>
      </w:r>
      <w:r w:rsidRPr="0080485E" w:rsidDel="00EE2BBB">
        <w:t>.</w:t>
      </w:r>
    </w:p>
    <w:p w14:paraId="2C61A262" w14:textId="77777777" w:rsidR="00A83AC3" w:rsidDel="00EE2BBB" w:rsidRDefault="00A83AC3" w:rsidP="002664CC">
      <w:pPr>
        <w:pStyle w:val="Heading3"/>
        <w:keepNext/>
      </w:pPr>
      <w:r w:rsidDel="00EE2BBB">
        <w:t>Restriction</w:t>
      </w:r>
    </w:p>
    <w:p w14:paraId="6B65B9E7" w14:textId="77777777" w:rsidR="00A83AC3" w:rsidRDefault="00A83AC3" w:rsidP="002664CC">
      <w:pPr>
        <w:keepNext/>
      </w:pPr>
      <w:r>
        <w:t>Clinical criteria:</w:t>
      </w:r>
    </w:p>
    <w:p w14:paraId="3899C09D" w14:textId="77777777" w:rsidR="00A83AC3" w:rsidRDefault="00A83AC3" w:rsidP="00A83AC3">
      <w:r>
        <w:t>Patient must not have received PBS-subsidised treatment with a biological medicine for this condition,</w:t>
      </w:r>
    </w:p>
    <w:p w14:paraId="7D7F1DE0" w14:textId="77777777" w:rsidR="00A83AC3" w:rsidRDefault="00A83AC3" w:rsidP="00A83AC3">
      <w:r>
        <w:t>AND</w:t>
      </w:r>
    </w:p>
    <w:p w14:paraId="10AA0839" w14:textId="77777777" w:rsidR="00A83AC3" w:rsidRDefault="00A83AC3" w:rsidP="00A83AC3">
      <w:r>
        <w:t>Patient must have had chronic lower back pain and stiffness for 3 or more months that is relieved by exercise but not rest,</w:t>
      </w:r>
    </w:p>
    <w:p w14:paraId="660A3145" w14:textId="77777777" w:rsidR="00A83AC3" w:rsidRDefault="00A83AC3" w:rsidP="00A83AC3">
      <w:r>
        <w:t>AND</w:t>
      </w:r>
    </w:p>
    <w:p w14:paraId="3011179B" w14:textId="77777777" w:rsidR="00A83AC3" w:rsidRDefault="00A83AC3" w:rsidP="00A83AC3">
      <w:r>
        <w:t>Patient must have failed to achieve an adequate response following treatment with at least 2 non-steroidal anti-inflammatory drugs (NSAIDs), whilst completing an appropriate exercise program, for a total period of 3 months,</w:t>
      </w:r>
    </w:p>
    <w:p w14:paraId="1AC37299" w14:textId="77777777" w:rsidR="00A83AC3" w:rsidRDefault="00A83AC3" w:rsidP="00A83AC3">
      <w:r>
        <w:t>AND</w:t>
      </w:r>
    </w:p>
    <w:p w14:paraId="57101087" w14:textId="77777777" w:rsidR="00A83AC3" w:rsidRDefault="00A83AC3" w:rsidP="00A83AC3">
      <w:r>
        <w:t xml:space="preserve">Patient must have one or more of the following: (a) </w:t>
      </w:r>
      <w:proofErr w:type="spellStart"/>
      <w:r>
        <w:t>enthesitis</w:t>
      </w:r>
      <w:proofErr w:type="spellEnd"/>
      <w:r>
        <w:t xml:space="preserve"> (heel); (b) uveitis; (c) dactylitis; (d) psoriasis; (e) inflammatory bowel disease; or (f) positive for Human Leukocyte Antigen B27 (HLA-B27),</w:t>
      </w:r>
    </w:p>
    <w:p w14:paraId="1E56E6AF" w14:textId="77777777" w:rsidR="00A83AC3" w:rsidRDefault="00A83AC3" w:rsidP="00A83AC3">
      <w:r>
        <w:t>AND</w:t>
      </w:r>
    </w:p>
    <w:p w14:paraId="06DC80AC" w14:textId="77777777" w:rsidR="00A83AC3" w:rsidRDefault="00A83AC3" w:rsidP="00A83AC3">
      <w:r>
        <w:t>The condition must not be radiographically evidenced on plain x-ray of Grade II bilateral sacroiliitis or Grade III or IV unilateral sacroiliitis,</w:t>
      </w:r>
    </w:p>
    <w:p w14:paraId="544109B2" w14:textId="77777777" w:rsidR="00A83AC3" w:rsidRDefault="00A83AC3" w:rsidP="00A83AC3">
      <w:r>
        <w:t>AND</w:t>
      </w:r>
    </w:p>
    <w:p w14:paraId="5E1DC8E1" w14:textId="77777777" w:rsidR="00A83AC3" w:rsidRDefault="00A83AC3" w:rsidP="00A83AC3">
      <w:r>
        <w:lastRenderedPageBreak/>
        <w:t xml:space="preserve">The condition must be non-radiographic axial </w:t>
      </w:r>
      <w:proofErr w:type="spellStart"/>
      <w:r>
        <w:t>spondyloarthritis</w:t>
      </w:r>
      <w:proofErr w:type="spellEnd"/>
      <w:r>
        <w:t xml:space="preserve">, as defined by Assessment of </w:t>
      </w:r>
      <w:proofErr w:type="spellStart"/>
      <w:r>
        <w:t>Spondyloarthritis</w:t>
      </w:r>
      <w:proofErr w:type="spellEnd"/>
      <w:r>
        <w:t xml:space="preserve"> International Society (ASAS) criteria,</w:t>
      </w:r>
    </w:p>
    <w:p w14:paraId="37B04A10" w14:textId="77777777" w:rsidR="00A83AC3" w:rsidRDefault="00A83AC3" w:rsidP="00A83AC3">
      <w:r>
        <w:t>AND</w:t>
      </w:r>
    </w:p>
    <w:p w14:paraId="011617FD" w14:textId="77777777" w:rsidR="00A83AC3" w:rsidRDefault="00A83AC3" w:rsidP="00A83AC3">
      <w:r>
        <w:t>The condition must be sacroiliitis with active inflammation and/or oedema on non-contrast Magnetic Resonance Imaging (MRI),</w:t>
      </w:r>
    </w:p>
    <w:p w14:paraId="47A30606" w14:textId="77777777" w:rsidR="00A83AC3" w:rsidRDefault="00A83AC3" w:rsidP="00A83AC3">
      <w:r>
        <w:t>AND</w:t>
      </w:r>
    </w:p>
    <w:p w14:paraId="542AE81A" w14:textId="77777777" w:rsidR="00A83AC3" w:rsidRDefault="00A83AC3" w:rsidP="00A83AC3">
      <w:r>
        <w:t>The condition must have presence of Bone Marrow Oedema (BMO) depicted as a hyperintense signal on a Short Tau Inversion Recovery (STIR) image (or equivalent),</w:t>
      </w:r>
    </w:p>
    <w:p w14:paraId="0D16FD2C" w14:textId="77777777" w:rsidR="00A83AC3" w:rsidRDefault="00A83AC3" w:rsidP="00A83AC3">
      <w:r>
        <w:t>AND</w:t>
      </w:r>
    </w:p>
    <w:p w14:paraId="45FB3EA6" w14:textId="77777777" w:rsidR="00A83AC3" w:rsidRDefault="00A83AC3" w:rsidP="00A83AC3">
      <w:r>
        <w:t>The condition must have BMO depicted as a hypointense signal on a T1 weighted image (without gadolinium),</w:t>
      </w:r>
    </w:p>
    <w:p w14:paraId="529F52F3" w14:textId="77777777" w:rsidR="00A83AC3" w:rsidRDefault="00A83AC3" w:rsidP="00A83AC3">
      <w:r>
        <w:t>AND</w:t>
      </w:r>
    </w:p>
    <w:p w14:paraId="453E1CA7" w14:textId="77777777" w:rsidR="00A83AC3" w:rsidRDefault="00A83AC3" w:rsidP="00A83AC3">
      <w:r>
        <w:t>The treatment must not exceed a maximum of 16 weeks with this drug under this restriction.</w:t>
      </w:r>
    </w:p>
    <w:p w14:paraId="7ADE0D7A" w14:textId="77777777" w:rsidR="00A83AC3" w:rsidRDefault="00A83AC3" w:rsidP="00A83AC3">
      <w:r>
        <w:t>Population criteria:</w:t>
      </w:r>
    </w:p>
    <w:p w14:paraId="33B80738" w14:textId="77777777" w:rsidR="00A83AC3" w:rsidRDefault="00A83AC3" w:rsidP="00A83AC3">
      <w:r>
        <w:t>Patient must be aged 18 years or older.</w:t>
      </w:r>
    </w:p>
    <w:p w14:paraId="35F9B999" w14:textId="77777777" w:rsidR="00A83AC3" w:rsidRDefault="00A83AC3" w:rsidP="00A83AC3">
      <w:r>
        <w:t>Treatment criteria:</w:t>
      </w:r>
    </w:p>
    <w:p w14:paraId="4851FCA5" w14:textId="77777777" w:rsidR="00A83AC3" w:rsidRDefault="00A83AC3" w:rsidP="00A83AC3">
      <w:r>
        <w:t>Must be treated by a rheumatologist; OR</w:t>
      </w:r>
    </w:p>
    <w:p w14:paraId="0C562C86" w14:textId="77777777" w:rsidR="00A83AC3" w:rsidDel="00EE2BBB" w:rsidRDefault="00A83AC3" w:rsidP="00A83AC3">
      <w:pPr>
        <w:rPr>
          <w:highlight w:val="yellow"/>
        </w:rPr>
      </w:pPr>
      <w:r>
        <w:t xml:space="preserve">Must be treated by a clinical immunologist with expertise in the management of non-radiographic axial </w:t>
      </w:r>
      <w:proofErr w:type="spellStart"/>
      <w:r>
        <w:t>spondyloarthritis</w:t>
      </w:r>
      <w:proofErr w:type="spellEnd"/>
      <w:r>
        <w:t>.</w:t>
      </w:r>
    </w:p>
    <w:p w14:paraId="60F6B757" w14:textId="77777777" w:rsidR="00A83AC3" w:rsidRPr="006775F1" w:rsidDel="00EE2BBB" w:rsidRDefault="00A83AC3" w:rsidP="00A83AC3">
      <w:r w:rsidRPr="006775F1" w:rsidDel="00EE2BBB">
        <w:t xml:space="preserve">For </w:t>
      </w:r>
      <w:r w:rsidDel="00EE2BBB">
        <w:t xml:space="preserve">details of the current PBS listing </w:t>
      </w:r>
      <w:r>
        <w:t xml:space="preserve">and related notes, </w:t>
      </w:r>
      <w:r w:rsidDel="00EE2BBB">
        <w:t xml:space="preserve">refer to the </w:t>
      </w:r>
      <w:hyperlink r:id="rId11" w:history="1">
        <w:r w:rsidRPr="00645D51" w:rsidDel="00EE2BBB">
          <w:rPr>
            <w:rStyle w:val="Hyperlink"/>
          </w:rPr>
          <w:t>PBS website</w:t>
        </w:r>
      </w:hyperlink>
      <w:r w:rsidDel="00EE2BBB">
        <w:rPr>
          <w:rStyle w:val="Hyperlink"/>
        </w:rPr>
        <w:t>.</w:t>
      </w:r>
    </w:p>
    <w:p w14:paraId="509ADFEB" w14:textId="201634E9" w:rsidR="009C35F2" w:rsidRDefault="009C35F2" w:rsidP="00CF5E22">
      <w:pPr>
        <w:pStyle w:val="Heading3"/>
      </w:pPr>
      <w:r w:rsidRPr="00675BB1" w:rsidDel="00EE2BBB">
        <w:t>Date of listing on PBS</w:t>
      </w:r>
    </w:p>
    <w:p w14:paraId="63888832" w14:textId="77777777" w:rsidR="00A83AC3" w:rsidRDefault="00A83AC3" w:rsidP="00A83AC3">
      <w:pPr>
        <w:pStyle w:val="Heading3"/>
        <w:rPr>
          <w:b w:val="0"/>
          <w:i w:val="0"/>
          <w:szCs w:val="24"/>
        </w:rPr>
      </w:pPr>
      <w:r w:rsidRPr="00815379">
        <w:rPr>
          <w:b w:val="0"/>
          <w:i w:val="0"/>
          <w:szCs w:val="24"/>
        </w:rPr>
        <w:t xml:space="preserve">Golimumab was first listed on the PBS </w:t>
      </w:r>
      <w:r>
        <w:rPr>
          <w:b w:val="0"/>
          <w:i w:val="0"/>
          <w:szCs w:val="24"/>
        </w:rPr>
        <w:t>1 August 2010</w:t>
      </w:r>
      <w:r w:rsidRPr="00815379">
        <w:rPr>
          <w:b w:val="0"/>
          <w:i w:val="0"/>
          <w:szCs w:val="24"/>
        </w:rPr>
        <w:t>, and first listed for nr-</w:t>
      </w:r>
      <w:proofErr w:type="spellStart"/>
      <w:r w:rsidRPr="00815379">
        <w:rPr>
          <w:b w:val="0"/>
          <w:i w:val="0"/>
          <w:szCs w:val="24"/>
        </w:rPr>
        <w:t>axSpA</w:t>
      </w:r>
      <w:proofErr w:type="spellEnd"/>
      <w:r w:rsidRPr="00815379">
        <w:rPr>
          <w:b w:val="0"/>
          <w:i w:val="0"/>
          <w:szCs w:val="24"/>
        </w:rPr>
        <w:t xml:space="preserve"> on 1</w:t>
      </w:r>
      <w:r>
        <w:rPr>
          <w:b w:val="0"/>
          <w:i w:val="0"/>
          <w:szCs w:val="24"/>
        </w:rPr>
        <w:t> </w:t>
      </w:r>
      <w:r w:rsidRPr="00815379">
        <w:rPr>
          <w:b w:val="0"/>
          <w:i w:val="0"/>
          <w:szCs w:val="24"/>
        </w:rPr>
        <w:t>December 2018.</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5E8E5D82" w14:textId="77777777" w:rsidR="00A83AC3" w:rsidRPr="00511C7D" w:rsidRDefault="00A83AC3" w:rsidP="00A83AC3">
      <w:pPr>
        <w:keepNext/>
        <w:rPr>
          <w:b/>
          <w:bCs/>
        </w:rPr>
      </w:pPr>
      <w:r w:rsidRPr="00511C7D">
        <w:rPr>
          <w:b/>
          <w:bCs/>
        </w:rPr>
        <w:t>PBAC November 2017</w:t>
      </w:r>
    </w:p>
    <w:p w14:paraId="16A638AB" w14:textId="77777777" w:rsidR="00A83AC3" w:rsidRDefault="00A83AC3" w:rsidP="00A83AC3">
      <w:r w:rsidRPr="00511C7D">
        <w:t xml:space="preserve">Golimumab was </w:t>
      </w:r>
      <w:r>
        <w:t>rejected</w:t>
      </w:r>
      <w:r w:rsidRPr="00511C7D">
        <w:t xml:space="preserve"> for nr-</w:t>
      </w:r>
      <w:proofErr w:type="spellStart"/>
      <w:r w:rsidRPr="00511C7D">
        <w:t>axSpA</w:t>
      </w:r>
      <w:proofErr w:type="spellEnd"/>
      <w:r w:rsidRPr="00511C7D">
        <w:t xml:space="preserve"> at the </w:t>
      </w:r>
      <w:r>
        <w:t>November 2017</w:t>
      </w:r>
      <w:r w:rsidRPr="00511C7D">
        <w:t xml:space="preserve"> PBAC meeting. </w:t>
      </w:r>
      <w:r>
        <w:t>The submission requested an Authority Required listing for golimumab for the treatment of nr-</w:t>
      </w:r>
      <w:proofErr w:type="spellStart"/>
      <w:r>
        <w:t>axSpA</w:t>
      </w:r>
      <w:proofErr w:type="spellEnd"/>
      <w:r>
        <w:t>. The requested basis for listing was a cost-utility analysis of golimumab and background non-steroidal anti-inflammatory drugs (NSAIDs) versus conventional care (as represented by placebo plus background NSAIDs).</w:t>
      </w:r>
    </w:p>
    <w:p w14:paraId="01D8B5F1" w14:textId="77777777" w:rsidR="00A83AC3" w:rsidRDefault="00A83AC3" w:rsidP="00A83AC3">
      <w:r>
        <w:lastRenderedPageBreak/>
        <w:t>The submission appropriately used an epidemiological approach to estimate the financial implications of listing golimumab on the PBS for patients with nr-</w:t>
      </w:r>
      <w:proofErr w:type="spellStart"/>
      <w:r>
        <w:t>axSpA</w:t>
      </w:r>
      <w:proofErr w:type="spellEnd"/>
      <w:r>
        <w:t xml:space="preserve"> with </w:t>
      </w:r>
      <w:r w:rsidRPr="008E52E7">
        <w:t>objective signs of inflammation</w:t>
      </w:r>
      <w:r>
        <w:t xml:space="preserve"> (OSI).</w:t>
      </w:r>
    </w:p>
    <w:p w14:paraId="71C88C67" w14:textId="77777777" w:rsidR="00A83AC3" w:rsidRDefault="00A83AC3" w:rsidP="00A83AC3">
      <w:r>
        <w:t>The evaluation considered that the accuracy of the estimates was unclear due to:</w:t>
      </w:r>
    </w:p>
    <w:p w14:paraId="35BF51EB" w14:textId="77777777" w:rsidR="00A83AC3" w:rsidRDefault="00A83AC3" w:rsidP="00A83AC3">
      <w:pPr>
        <w:pStyle w:val="ListParagraph"/>
        <w:numPr>
          <w:ilvl w:val="0"/>
          <w:numId w:val="7"/>
        </w:numPr>
      </w:pPr>
      <w:r>
        <w:t xml:space="preserve">only </w:t>
      </w:r>
      <w:proofErr w:type="gramStart"/>
      <w:r>
        <w:t xml:space="preserve">18-44 year </w:t>
      </w:r>
      <w:proofErr w:type="spellStart"/>
      <w:r>
        <w:t>olds</w:t>
      </w:r>
      <w:proofErr w:type="spellEnd"/>
      <w:proofErr w:type="gramEnd"/>
      <w:r>
        <w:t xml:space="preserve"> were considered; with no consideration of use in patients 45 years or older who may have been diagnosed aged &lt;45 years (under-estimate). DUSC agreed with the evaluation and considered that patients 45 years or older who were diagnosed before the age of 45 should be included in the estimated patient numbers. DUSC considered that the magnitude of this was unclear but likely sizeable;</w:t>
      </w:r>
    </w:p>
    <w:p w14:paraId="07B67094" w14:textId="77777777" w:rsidR="00A83AC3" w:rsidRDefault="00A83AC3" w:rsidP="00A83AC3">
      <w:pPr>
        <w:pStyle w:val="ListParagraph"/>
        <w:numPr>
          <w:ilvl w:val="0"/>
          <w:numId w:val="6"/>
        </w:numPr>
      </w:pPr>
      <w:r>
        <w:t xml:space="preserve">many of the assumptions (the prevalence of </w:t>
      </w:r>
      <w:proofErr w:type="spellStart"/>
      <w:r>
        <w:t>axSpA</w:t>
      </w:r>
      <w:proofErr w:type="spellEnd"/>
      <w:r>
        <w:t xml:space="preserve"> (0.70%), </w:t>
      </w:r>
      <w:proofErr w:type="spellStart"/>
      <w:r>
        <w:t>axSpA</w:t>
      </w:r>
      <w:proofErr w:type="spellEnd"/>
      <w:r>
        <w:t xml:space="preserve"> cases diagnosed (76%), prevalence of nr-</w:t>
      </w:r>
      <w:proofErr w:type="spellStart"/>
      <w:r>
        <w:t>axSpA</w:t>
      </w:r>
      <w:proofErr w:type="spellEnd"/>
      <w:r>
        <w:t xml:space="preserve"> (50%), prevalence nr-</w:t>
      </w:r>
      <w:proofErr w:type="spellStart"/>
      <w:r>
        <w:t>axSpA</w:t>
      </w:r>
      <w:proofErr w:type="spellEnd"/>
      <w:r>
        <w:t xml:space="preserve"> cases diagnosed with  complete radiographic data (88.6%)) were derived from a US study, and it was unclear whether these estimates were relevant to the Australian population;</w:t>
      </w:r>
    </w:p>
    <w:p w14:paraId="7D0986D3" w14:textId="77777777" w:rsidR="00A83AC3" w:rsidRDefault="00A83AC3" w:rsidP="00A83AC3">
      <w:pPr>
        <w:pStyle w:val="ListParagraph"/>
        <w:numPr>
          <w:ilvl w:val="0"/>
          <w:numId w:val="6"/>
        </w:numPr>
      </w:pPr>
      <w:r>
        <w:t>the assumption of the proportion of nr-</w:t>
      </w:r>
      <w:proofErr w:type="spellStart"/>
      <w:r>
        <w:t>axSpA</w:t>
      </w:r>
      <w:proofErr w:type="spellEnd"/>
      <w:r>
        <w:t xml:space="preserve"> patients that would be eligible for treatment may not have been accurate as the value was derived from countries where nr-</w:t>
      </w:r>
      <w:proofErr w:type="spellStart"/>
      <w:r>
        <w:t>axSpA</w:t>
      </w:r>
      <w:proofErr w:type="spellEnd"/>
      <w:r>
        <w:t xml:space="preserve"> is classified without formal criteria. DUSC agreed with the evaluation that the applicability of this rate to the likely Australian population was unclear;</w:t>
      </w:r>
    </w:p>
    <w:p w14:paraId="71863B2B" w14:textId="77777777" w:rsidR="00A83AC3" w:rsidRDefault="00A83AC3" w:rsidP="00A83AC3">
      <w:pPr>
        <w:pStyle w:val="ListParagraph"/>
        <w:numPr>
          <w:ilvl w:val="0"/>
          <w:numId w:val="6"/>
        </w:numPr>
      </w:pPr>
      <w:r>
        <w:t>the submission provided no details as to how the uptake rates were derived. Further, the DUSC noted that two separate uptake rates were included and considered that this likely underestimated the number of treated patients;</w:t>
      </w:r>
    </w:p>
    <w:p w14:paraId="4598DDD4" w14:textId="77777777" w:rsidR="00A83AC3" w:rsidRDefault="00A83AC3" w:rsidP="00A83AC3">
      <w:pPr>
        <w:pStyle w:val="ListParagraph"/>
        <w:numPr>
          <w:ilvl w:val="0"/>
          <w:numId w:val="6"/>
        </w:numPr>
      </w:pPr>
      <w:r>
        <w:t>the estimates only account for 16 weeks of initial treatment which was inconsistent with the requested listing of 20 weeks (under-estimate);</w:t>
      </w:r>
    </w:p>
    <w:p w14:paraId="1482D593" w14:textId="77777777" w:rsidR="00A83AC3" w:rsidRDefault="00A83AC3" w:rsidP="00A83AC3">
      <w:pPr>
        <w:pStyle w:val="ListParagraph"/>
        <w:numPr>
          <w:ilvl w:val="0"/>
          <w:numId w:val="6"/>
        </w:numPr>
      </w:pPr>
      <w:r>
        <w:t>the estimated cost-offsets to the PBS in terms of nr-</w:t>
      </w:r>
      <w:proofErr w:type="spellStart"/>
      <w:r>
        <w:t>axSpA</w:t>
      </w:r>
      <w:proofErr w:type="spellEnd"/>
      <w:r>
        <w:t xml:space="preserve"> treatment medications are derived from an Australian cost of illness study (Tilden 2004) for AS. The publication provided no detailed information on the methodology of the study (for example, the healthcare resource-use questions included in the survey, the characteristics of the sample population and whether any eligibility criteria were applied) nor details of the specific costs included. The costs were applied based on BASFI scores and its associated regression equation within the ‘responder’ and ‘non-responder’ health states of the modelled economic evaluation to estimate costs;</w:t>
      </w:r>
    </w:p>
    <w:p w14:paraId="7A482DC8" w14:textId="77777777" w:rsidR="00A83AC3" w:rsidRDefault="00A83AC3" w:rsidP="00A83AC3">
      <w:pPr>
        <w:pStyle w:val="ListParagraph"/>
        <w:numPr>
          <w:ilvl w:val="0"/>
          <w:numId w:val="6"/>
        </w:numPr>
      </w:pPr>
      <w:r>
        <w:t>whether any costs applicable to hospitals represent a real cost-offset (may lead to under-estimate of net cost to Government); and</w:t>
      </w:r>
    </w:p>
    <w:p w14:paraId="3E115980" w14:textId="77777777" w:rsidR="00A83AC3" w:rsidRDefault="00A83AC3" w:rsidP="00A83AC3">
      <w:pPr>
        <w:pStyle w:val="ListParagraph"/>
        <w:numPr>
          <w:ilvl w:val="0"/>
          <w:numId w:val="6"/>
        </w:numPr>
      </w:pPr>
      <w:r>
        <w:t>there was potential for considerable use outside of the proposed PBS indication, in particular in patients with non-specific back pain without OSI.</w:t>
      </w:r>
    </w:p>
    <w:p w14:paraId="3AA3697A" w14:textId="77777777" w:rsidR="00A83AC3" w:rsidRDefault="00A83AC3" w:rsidP="00A83AC3">
      <w:r>
        <w:t>DUSC considered the estimates presented in the submission to be underestimated. The main issues were:</w:t>
      </w:r>
    </w:p>
    <w:p w14:paraId="2A124F54" w14:textId="77777777" w:rsidR="00A83AC3" w:rsidRDefault="00A83AC3" w:rsidP="00A83AC3">
      <w:pPr>
        <w:pStyle w:val="ListParagraph"/>
        <w:numPr>
          <w:ilvl w:val="0"/>
          <w:numId w:val="5"/>
        </w:numPr>
      </w:pPr>
      <w:r>
        <w:t>The prevalence of nr-</w:t>
      </w:r>
      <w:proofErr w:type="spellStart"/>
      <w:r>
        <w:t>axSpA</w:t>
      </w:r>
      <w:proofErr w:type="spellEnd"/>
      <w:r>
        <w:t xml:space="preserve"> in Australia is unknown and the use of US prevalence data introduces uncertainty to the estimates.</w:t>
      </w:r>
    </w:p>
    <w:p w14:paraId="1B7A1379" w14:textId="77777777" w:rsidR="00A83AC3" w:rsidRDefault="00A83AC3" w:rsidP="00A83AC3">
      <w:pPr>
        <w:pStyle w:val="ListParagraph"/>
        <w:numPr>
          <w:ilvl w:val="0"/>
          <w:numId w:val="5"/>
        </w:numPr>
      </w:pPr>
      <w:r>
        <w:t>The submission estimates were unnecessarily complicated, mainly due to the linkage to and from the economic evaluation provided in the submission.</w:t>
      </w:r>
    </w:p>
    <w:p w14:paraId="3549C726" w14:textId="77777777" w:rsidR="00A83AC3" w:rsidRDefault="00A83AC3" w:rsidP="00A83AC3">
      <w:pPr>
        <w:pStyle w:val="ListParagraph"/>
        <w:numPr>
          <w:ilvl w:val="0"/>
          <w:numId w:val="5"/>
        </w:numPr>
      </w:pPr>
      <w:r>
        <w:lastRenderedPageBreak/>
        <w:t xml:space="preserve">The estimates were artificially reduced through the inclusion of several unnecessary modelling steps, including applying diagnosis rates and separate prevalence rates for </w:t>
      </w:r>
      <w:proofErr w:type="spellStart"/>
      <w:r>
        <w:t>axSpA</w:t>
      </w:r>
      <w:proofErr w:type="spellEnd"/>
      <w:r>
        <w:t xml:space="preserve"> and nr-</w:t>
      </w:r>
      <w:proofErr w:type="spellStart"/>
      <w:r>
        <w:t>axSpA</w:t>
      </w:r>
      <w:proofErr w:type="spellEnd"/>
      <w:r>
        <w:t>.</w:t>
      </w:r>
    </w:p>
    <w:p w14:paraId="6A69CD80" w14:textId="77777777" w:rsidR="00A83AC3" w:rsidRDefault="00A83AC3" w:rsidP="00A83AC3">
      <w:r w:rsidRPr="00815379">
        <w:t xml:space="preserve">For further details refer to the </w:t>
      </w:r>
      <w:hyperlink r:id="rId12" w:history="1">
        <w:r w:rsidRPr="00815379">
          <w:rPr>
            <w:rStyle w:val="Hyperlink"/>
          </w:rPr>
          <w:t>Public Summary Document</w:t>
        </w:r>
      </w:hyperlink>
      <w:r w:rsidRPr="00815379">
        <w:t xml:space="preserve"> from the </w:t>
      </w:r>
      <w:r>
        <w:t xml:space="preserve">November 2017 </w:t>
      </w:r>
      <w:r w:rsidRPr="00815379">
        <w:t>PBAC meeting.</w:t>
      </w:r>
    </w:p>
    <w:p w14:paraId="77FD9963" w14:textId="77777777" w:rsidR="00A83AC3" w:rsidRPr="00511C7D" w:rsidRDefault="00A83AC3" w:rsidP="00A83AC3">
      <w:pPr>
        <w:rPr>
          <w:b/>
          <w:bCs/>
        </w:rPr>
      </w:pPr>
      <w:r w:rsidRPr="00511C7D">
        <w:rPr>
          <w:b/>
          <w:bCs/>
        </w:rPr>
        <w:t>PBAC July 2018</w:t>
      </w:r>
    </w:p>
    <w:p w14:paraId="56F26EC3" w14:textId="77777777" w:rsidR="00A83AC3" w:rsidRDefault="00A83AC3" w:rsidP="00A83AC3">
      <w:r>
        <w:t>Golimumab was recommended for</w:t>
      </w:r>
      <w:r w:rsidRPr="00511C7D">
        <w:t xml:space="preserve"> nr-</w:t>
      </w:r>
      <w:proofErr w:type="spellStart"/>
      <w:r w:rsidRPr="00511C7D">
        <w:t>axSpA</w:t>
      </w:r>
      <w:proofErr w:type="spellEnd"/>
      <w:r>
        <w:t xml:space="preserve"> at the July 2018 PBAC meeting. The resubmission requested an Authority Required listing for golimumab for the treatment of nr-</w:t>
      </w:r>
      <w:proofErr w:type="spellStart"/>
      <w:r>
        <w:t>axSpA</w:t>
      </w:r>
      <w:proofErr w:type="spellEnd"/>
      <w:r>
        <w:t>.</w:t>
      </w:r>
    </w:p>
    <w:p w14:paraId="2D901C29" w14:textId="77777777" w:rsidR="00A83AC3" w:rsidRDefault="00A83AC3" w:rsidP="00A83AC3">
      <w:r>
        <w:t>The requested basis for listing was a cost-utility analysis of golimumab and background non-steroidal anti-inflammatory drugs (NSAIDs) versus conventional care (as represented by placebo plus background NSAIDs).</w:t>
      </w:r>
    </w:p>
    <w:p w14:paraId="0C952B43" w14:textId="77777777" w:rsidR="00A83AC3" w:rsidRDefault="00A83AC3" w:rsidP="00A83AC3">
      <w:r>
        <w:t>Numerous changes were made to the financial estimates provided in the resubmission:</w:t>
      </w:r>
    </w:p>
    <w:p w14:paraId="51A95F10" w14:textId="77777777" w:rsidR="00A83AC3" w:rsidRDefault="00A83AC3" w:rsidP="00A83AC3">
      <w:pPr>
        <w:pStyle w:val="ListParagraph"/>
        <w:numPr>
          <w:ilvl w:val="0"/>
          <w:numId w:val="8"/>
        </w:numPr>
      </w:pPr>
      <w:r>
        <w:t>increased the estimated prevalent population with nr-</w:t>
      </w:r>
      <w:proofErr w:type="spellStart"/>
      <w:r>
        <w:t>axSpA</w:t>
      </w:r>
      <w:proofErr w:type="spellEnd"/>
      <w:r>
        <w:t xml:space="preserve"> in Australia by 5% in acknowledgement that some patients treated with golimumab may be aged over 45 years</w:t>
      </w:r>
    </w:p>
    <w:p w14:paraId="69B0CBB7" w14:textId="77777777" w:rsidR="00A83AC3" w:rsidRDefault="00A83AC3" w:rsidP="00A83AC3">
      <w:pPr>
        <w:pStyle w:val="ListParagraph"/>
        <w:numPr>
          <w:ilvl w:val="0"/>
          <w:numId w:val="8"/>
        </w:numPr>
      </w:pPr>
      <w:r>
        <w:t>estimated the eligibility of the prevalent patient pool for golimumab from the OSI population in the GO-AHEAD trial who had elevated CRP, positive evidence of sacroiliitis on MRI, one or more SPA features (other than arthritis and family history), and who were positive for the HLA-B27 gene</w:t>
      </w:r>
    </w:p>
    <w:p w14:paraId="3E8422B1" w14:textId="77777777" w:rsidR="00A83AC3" w:rsidRDefault="00A83AC3" w:rsidP="00A83AC3">
      <w:pPr>
        <w:pStyle w:val="ListParagraph"/>
        <w:numPr>
          <w:ilvl w:val="0"/>
          <w:numId w:val="8"/>
        </w:numPr>
      </w:pPr>
      <w:r>
        <w:t>removed the previous subtraction of patients from the prevalent patient pool who had progressed to AS</w:t>
      </w:r>
    </w:p>
    <w:p w14:paraId="6E33B9C3" w14:textId="77777777" w:rsidR="00A83AC3" w:rsidRDefault="00A83AC3" w:rsidP="00A83AC3">
      <w:pPr>
        <w:pStyle w:val="ListParagraph"/>
        <w:numPr>
          <w:ilvl w:val="0"/>
          <w:numId w:val="8"/>
        </w:numPr>
      </w:pPr>
      <w:r>
        <w:t>based the estimated continuation rate of golimumab on estimates from the GOAHEAD trial rather than from Wang 2016</w:t>
      </w:r>
    </w:p>
    <w:p w14:paraId="516A6965" w14:textId="77777777" w:rsidR="00A83AC3" w:rsidRDefault="00A83AC3" w:rsidP="00A83AC3">
      <w:pPr>
        <w:pStyle w:val="ListParagraph"/>
        <w:numPr>
          <w:ilvl w:val="0"/>
          <w:numId w:val="8"/>
        </w:numPr>
      </w:pPr>
      <w:r>
        <w:t xml:space="preserve">increased the market uptake rate due to the more specific </w:t>
      </w:r>
      <w:proofErr w:type="gramStart"/>
      <w:r>
        <w:t>at risk</w:t>
      </w:r>
      <w:proofErr w:type="gramEnd"/>
      <w:r>
        <w:t xml:space="preserve"> population requested in the PBS listing, and removed the previous ‘patients electing to receive treatment rate’ based on the </w:t>
      </w:r>
      <w:proofErr w:type="spellStart"/>
      <w:r>
        <w:t>Sieper</w:t>
      </w:r>
      <w:proofErr w:type="spellEnd"/>
      <w:r>
        <w:t xml:space="preserve"> 2016 study</w:t>
      </w:r>
    </w:p>
    <w:p w14:paraId="7A5A35C2" w14:textId="77777777" w:rsidR="00A83AC3" w:rsidRDefault="00A83AC3" w:rsidP="00A83AC3">
      <w:pPr>
        <w:pStyle w:val="ListParagraph"/>
        <w:numPr>
          <w:ilvl w:val="0"/>
          <w:numId w:val="8"/>
        </w:numPr>
      </w:pPr>
      <w:r>
        <w:t>removed the cost savings associated with changes in the use of other PBS medicines assumed in the previous submission (based on Tilden 2004)</w:t>
      </w:r>
    </w:p>
    <w:p w14:paraId="71CD4D28" w14:textId="77777777" w:rsidR="00A83AC3" w:rsidRDefault="00A83AC3" w:rsidP="00A83AC3">
      <w:pPr>
        <w:pStyle w:val="ListParagraph"/>
        <w:numPr>
          <w:ilvl w:val="0"/>
          <w:numId w:val="8"/>
        </w:numPr>
      </w:pPr>
      <w:r>
        <w:t>no longer subtracted the cost of conventional care (in regard to ‘other PBS’ or MBS items) from the financial estimates</w:t>
      </w:r>
    </w:p>
    <w:p w14:paraId="6C15F722" w14:textId="77777777" w:rsidR="00A83AC3" w:rsidRDefault="00A83AC3" w:rsidP="00A83AC3">
      <w:pPr>
        <w:pStyle w:val="ListParagraph"/>
        <w:numPr>
          <w:ilvl w:val="0"/>
          <w:numId w:val="8"/>
        </w:numPr>
      </w:pPr>
      <w:r>
        <w:t>did not include any costs for inpatient hospital costs for golimumab or conventional care</w:t>
      </w:r>
    </w:p>
    <w:p w14:paraId="21B6BA15" w14:textId="77777777" w:rsidR="00A83AC3" w:rsidRDefault="00A83AC3" w:rsidP="00A83AC3">
      <w:pPr>
        <w:pStyle w:val="ListParagraph"/>
        <w:numPr>
          <w:ilvl w:val="0"/>
          <w:numId w:val="8"/>
        </w:numPr>
      </w:pPr>
      <w:r>
        <w:t>included an annual Group A GP consultation MBS fee for women</w:t>
      </w:r>
    </w:p>
    <w:p w14:paraId="7A0D6C4D" w14:textId="629C2652" w:rsidR="00A83AC3" w:rsidRDefault="00A83AC3" w:rsidP="00A83AC3">
      <w:pPr>
        <w:pStyle w:val="ListParagraph"/>
        <w:numPr>
          <w:ilvl w:val="0"/>
          <w:numId w:val="8"/>
        </w:numPr>
      </w:pPr>
      <w:r>
        <w:t xml:space="preserve">used the reduced DPMQ of </w:t>
      </w:r>
      <w:proofErr w:type="spellStart"/>
      <w:r w:rsidR="00EF713B" w:rsidRPr="00EF713B">
        <w:rPr>
          <w:highlight w:val="black"/>
        </w:rPr>
        <w:t>xxxxxxxx</w:t>
      </w:r>
      <w:proofErr w:type="spellEnd"/>
      <w:r w:rsidRPr="00EF713B">
        <w:t xml:space="preserve"> </w:t>
      </w:r>
      <w:r>
        <w:t>and an updated weighted average co-payment to calculate revised financial estimates</w:t>
      </w:r>
    </w:p>
    <w:p w14:paraId="7000BA69" w14:textId="77777777" w:rsidR="00A83AC3" w:rsidRDefault="00A83AC3" w:rsidP="00A83AC3">
      <w:pPr>
        <w:pStyle w:val="ListParagraph"/>
        <w:numPr>
          <w:ilvl w:val="0"/>
          <w:numId w:val="8"/>
        </w:numPr>
      </w:pPr>
      <w:r>
        <w:t>no longer specifically requested a special pricing arrangement, although in Section 1 the resubmission stated that the Sponsor proposed to work with the Department to incorporate the final negotiated price for patients with nr-</w:t>
      </w:r>
      <w:proofErr w:type="spellStart"/>
      <w:r>
        <w:t>axSpA</w:t>
      </w:r>
      <w:proofErr w:type="spellEnd"/>
      <w:r>
        <w:t xml:space="preserve"> into the weighted price calculation that currently exists for golimumab across the PBS listed indications.</w:t>
      </w:r>
    </w:p>
    <w:p w14:paraId="66FC3279" w14:textId="77777777" w:rsidR="00A83AC3" w:rsidRDefault="00A83AC3" w:rsidP="00A83AC3">
      <w:r>
        <w:lastRenderedPageBreak/>
        <w:t xml:space="preserve">The resubmission also underestimated the number of patients who would be eligible for treatment under the proposed restriction by assuming that all eligible patients must have the HLA-B27 gene. That is, the eligible patient population was calculated from the GO-AHEAD trial by estimating the proportion of patients in the OSI population who had elevated CRP, positive sacroiliitis on MRI, one or more SPA features (excluding family history and arthritis) and HLA-B27 gene positivity. The evaluation considered that the resubmission’s approach was inappropriate, as positivity for the gene was not an absolute requirement under the proposed restriction. </w:t>
      </w:r>
      <w:r w:rsidRPr="003C2B1C">
        <w:t>This reduced the proportion of OSI patients eligible for golimumab</w:t>
      </w:r>
      <w:r>
        <w:t>.</w:t>
      </w:r>
    </w:p>
    <w:p w14:paraId="74292E2F" w14:textId="77777777" w:rsidR="00A83AC3" w:rsidRDefault="00A83AC3" w:rsidP="00A83AC3">
      <w:r>
        <w:t>The resubmission stated that it anticipated that there would be patients enrolled in a patient familiarisation program and that these patients were expected to continue golimumab should it be listed on the PBS. The resubmission stated that grandfathered patients were assumed to be part of the Year 1 initiating cohort estimated through the epidemiological approach, and thus were not separately added into the number of treated patients.</w:t>
      </w:r>
    </w:p>
    <w:p w14:paraId="6ADDC64B" w14:textId="77777777" w:rsidR="00A83AC3" w:rsidRDefault="00A83AC3" w:rsidP="00A83AC3">
      <w:r>
        <w:t>Overall, the financial estimates were considered to be highly uncertain given the lack of certainty surrounding the prevalence of nr-</w:t>
      </w:r>
      <w:proofErr w:type="spellStart"/>
      <w:r>
        <w:t>axSpA</w:t>
      </w:r>
      <w:proofErr w:type="spellEnd"/>
      <w:r>
        <w:t xml:space="preserve"> and the likely uptake of golimumab. The ESC considered that the estimated patient numbers and prescription volumes were overestimated compared with the population intended by the PBAC in its November 2017 consideration and if a stopping rule were applied.</w:t>
      </w:r>
    </w:p>
    <w:p w14:paraId="590D29F3" w14:textId="77777777" w:rsidR="00A83AC3" w:rsidRDefault="00A83AC3" w:rsidP="00A83AC3">
      <w:r>
        <w:t>The ESC considered there to be a continued risk of golimumab use beyond the proposed population in patients with chronic back pain. While the proposed restriction narrowed the patient population compared to the previously proposed restriction, it may not sufficiently restrict use to the patient population likely to benefit the most.</w:t>
      </w:r>
    </w:p>
    <w:p w14:paraId="690F2F1C" w14:textId="77777777" w:rsidR="00A83AC3" w:rsidRDefault="00A83AC3" w:rsidP="00A83AC3">
      <w:r>
        <w:t>The pre-PBAC response acknowledged that there was uncertainty in the financial estimates given the lack of reliable data to estimate the size of the patient population intended by the PBAC in its previous consideration. To address this, the pre-PBAC response proposed an RSA.</w:t>
      </w:r>
    </w:p>
    <w:p w14:paraId="068F2B3A" w14:textId="77777777" w:rsidR="00A83AC3" w:rsidRDefault="00A83AC3" w:rsidP="00A83AC3">
      <w:r>
        <w:t>The PBAC noted that the financial estimates did not include the increased number of MRIs that would be required to determine patient eligibility for PBS subsidy (PBS eligibility).</w:t>
      </w:r>
    </w:p>
    <w:p w14:paraId="3D7A12AF" w14:textId="77777777" w:rsidR="00A83AC3" w:rsidRDefault="00A83AC3" w:rsidP="00A83AC3">
      <w:r>
        <w:t xml:space="preserve">The PBAC noted the DUSC report for ankylosing spondylitis showed an increase in the number of scripts for </w:t>
      </w:r>
      <w:proofErr w:type="spellStart"/>
      <w:r>
        <w:t>bDMARDs</w:t>
      </w:r>
      <w:proofErr w:type="spellEnd"/>
      <w:r>
        <w:t xml:space="preserve"> for </w:t>
      </w:r>
      <w:r w:rsidRPr="003C2B1C">
        <w:t>ankylosing spondylitis</w:t>
      </w:r>
      <w:r>
        <w:t>, and that there may already be usage across indications.</w:t>
      </w:r>
    </w:p>
    <w:p w14:paraId="0F2B8969" w14:textId="77777777" w:rsidR="00A83AC3" w:rsidRDefault="00A83AC3" w:rsidP="00A83AC3">
      <w:r w:rsidRPr="00815379">
        <w:t xml:space="preserve">For further details refer to the </w:t>
      </w:r>
      <w:hyperlink r:id="rId13" w:history="1">
        <w:r w:rsidRPr="00815379">
          <w:rPr>
            <w:rStyle w:val="Hyperlink"/>
          </w:rPr>
          <w:t>Public Summary Document</w:t>
        </w:r>
      </w:hyperlink>
      <w:r w:rsidRPr="00815379">
        <w:t xml:space="preserve"> from the </w:t>
      </w:r>
      <w:r>
        <w:t>July 2018</w:t>
      </w:r>
      <w:r w:rsidRPr="00815379">
        <w:t xml:space="preserve"> PBAC meeting.</w:t>
      </w:r>
    </w:p>
    <w:p w14:paraId="4182431A" w14:textId="77777777" w:rsidR="00486AD6" w:rsidRDefault="00486AD6">
      <w:pPr>
        <w:spacing w:line="276" w:lineRule="auto"/>
        <w:rPr>
          <w:b/>
          <w:sz w:val="28"/>
        </w:rPr>
      </w:pPr>
      <w:r>
        <w:br w:type="page"/>
      </w:r>
    </w:p>
    <w:p w14:paraId="72C2CA24" w14:textId="423D3760" w:rsidR="000F2F51" w:rsidRDefault="00ED633B" w:rsidP="00CF5E22">
      <w:pPr>
        <w:pStyle w:val="Heading2"/>
      </w:pPr>
      <w:r>
        <w:lastRenderedPageBreak/>
        <w:t>A</w:t>
      </w:r>
      <w:r w:rsidR="000F2F51">
        <w:t xml:space="preserve">pproach </w:t>
      </w:r>
      <w:r>
        <w:t xml:space="preserve">taken to </w:t>
      </w:r>
      <w:r w:rsidR="000F2F51">
        <w:t>estimat</w:t>
      </w:r>
      <w:r>
        <w:t>e</w:t>
      </w:r>
      <w:r w:rsidR="000F2F51">
        <w:t xml:space="preserve"> utilisation</w:t>
      </w:r>
    </w:p>
    <w:p w14:paraId="7257A185" w14:textId="77777777" w:rsidR="00A83AC3" w:rsidRDefault="00A83AC3" w:rsidP="00A83AC3">
      <w:r w:rsidRPr="00796180">
        <w:t xml:space="preserve">The </w:t>
      </w:r>
      <w:r>
        <w:t>re</w:t>
      </w:r>
      <w:r w:rsidRPr="00796180">
        <w:t>submission took an epidemiological approach to estimate utilisation. It noted that there were no studies published on the incidence or prevalence of nr-</w:t>
      </w:r>
      <w:proofErr w:type="spellStart"/>
      <w:r w:rsidRPr="00796180">
        <w:t>axSpA</w:t>
      </w:r>
      <w:proofErr w:type="spellEnd"/>
      <w:r w:rsidRPr="00796180">
        <w:t xml:space="preserve"> in Australia, and that the prevalence of nr-</w:t>
      </w:r>
      <w:proofErr w:type="spellStart"/>
      <w:r w:rsidRPr="00796180">
        <w:t>axSpA</w:t>
      </w:r>
      <w:proofErr w:type="spellEnd"/>
      <w:r w:rsidRPr="00796180">
        <w:t xml:space="preserve"> was difficult to estimate due to the multifactorial aetiology and recently established clinical definitions of the condition.</w:t>
      </w:r>
    </w:p>
    <w:p w14:paraId="26DC6407" w14:textId="77777777" w:rsidR="00A83AC3" w:rsidRDefault="00A83AC3" w:rsidP="00A83AC3">
      <w:r>
        <w:t>The prior submission had assumed patients would be aged 18 to 45, but the resubmission followed the advice of PBAC and allowed 5% of patients to be aged over 45 years.</w:t>
      </w:r>
    </w:p>
    <w:p w14:paraId="6FF62BFE" w14:textId="049EAD97" w:rsidR="00A83AC3" w:rsidRDefault="00A83AC3" w:rsidP="00A83AC3">
      <w:r>
        <w:t xml:space="preserve">Overall, the resubmission estimated there were approximately 30,000 to 35,000 </w:t>
      </w:r>
      <w:r w:rsidR="00486AD6">
        <w:t>nr-</w:t>
      </w:r>
      <w:proofErr w:type="spellStart"/>
      <w:r w:rsidR="00486AD6">
        <w:t>axSpA</w:t>
      </w:r>
      <w:proofErr w:type="spellEnd"/>
      <w:r>
        <w:t xml:space="preserve"> prevalent patients per year, and that 18.9% of these would be eligible under the PBS restriction (71.5% would be candidates for biologic therapy as they have objective signs of disease and 26.4% would have both elevated C reactive protein (CRP) and sacroiliitis on magnetic resonance imaging (MRI)).</w:t>
      </w:r>
    </w:p>
    <w:p w14:paraId="5202AC1A" w14:textId="77777777" w:rsidR="00A83AC3" w:rsidRDefault="00A83AC3" w:rsidP="00A83AC3">
      <w:r>
        <w:t xml:space="preserve">The resubmission applied an uptake rate to the estimated eligible prevalent patients to predict the number of treated patients of 50% in year 1, increasing to 70% in years 4 to 6. The number of initiating patients was calculated by subtracting the treated patients in that year from the number of treated patients in the previous year. </w:t>
      </w:r>
    </w:p>
    <w:p w14:paraId="0DEBD50F" w14:textId="21B26C1A" w:rsidR="00094DCF" w:rsidRDefault="00ED633B" w:rsidP="001270A7">
      <w:pPr>
        <w:pStyle w:val="Heading2"/>
        <w:keepNext/>
      </w:pPr>
      <w:r>
        <w:t xml:space="preserve">Previous reviews by </w:t>
      </w:r>
      <w:r w:rsidR="00177B86">
        <w:t xml:space="preserve">the </w:t>
      </w:r>
      <w:r>
        <w:t>DUSC</w:t>
      </w:r>
    </w:p>
    <w:p w14:paraId="406D1289" w14:textId="519A2875" w:rsidR="00ED633B" w:rsidRPr="001270A7" w:rsidRDefault="00A83AC3" w:rsidP="00A35800">
      <w:r w:rsidRPr="00511C7D">
        <w:t>This is the first DUSC review of nr-</w:t>
      </w:r>
      <w:proofErr w:type="spellStart"/>
      <w:r w:rsidRPr="00511C7D">
        <w:t>axSpA</w:t>
      </w:r>
      <w:proofErr w:type="spellEnd"/>
      <w:r w:rsidRPr="00511C7D">
        <w:t>.</w:t>
      </w:r>
    </w:p>
    <w:p w14:paraId="0312FFEC" w14:textId="5C6A9662" w:rsidR="00E677DD" w:rsidRPr="005E22C2" w:rsidRDefault="00E677DD" w:rsidP="00CF5E22">
      <w:pPr>
        <w:pStyle w:val="Heading1"/>
      </w:pPr>
      <w:r w:rsidRPr="005E22C2">
        <w:t>Method</w:t>
      </w:r>
      <w:r w:rsidR="001B5D37" w:rsidRPr="005E22C2">
        <w:t>s</w:t>
      </w:r>
    </w:p>
    <w:p w14:paraId="786039E4" w14:textId="77777777" w:rsidR="00A83AC3" w:rsidRDefault="00A83AC3" w:rsidP="00A83AC3">
      <w:r w:rsidRPr="00297CA7">
        <w:t xml:space="preserve">Data extracted from the PBS claims database maintained by the Department of Health and processed by Services Australia </w:t>
      </w:r>
      <w:r>
        <w:t>were</w:t>
      </w:r>
      <w:r w:rsidRPr="00297CA7">
        <w:t xml:space="preserve"> used for the analyses. Prescription data </w:t>
      </w:r>
      <w:r>
        <w:t>were</w:t>
      </w:r>
      <w:r w:rsidRPr="00297CA7">
        <w:t xml:space="preserve"> extracted from </w:t>
      </w:r>
      <w:r>
        <w:t>the PBS listing of golimumab on 1 December 2018</w:t>
      </w:r>
      <w:r w:rsidRPr="00297CA7">
        <w:t xml:space="preserve"> up to and including 30 June 2021. </w:t>
      </w:r>
      <w:r>
        <w:t xml:space="preserve">Additional data of golimumab, </w:t>
      </w:r>
      <w:proofErr w:type="spellStart"/>
      <w:r>
        <w:t>secukinumab</w:t>
      </w:r>
      <w:proofErr w:type="spellEnd"/>
      <w:r>
        <w:t xml:space="preserve"> and certolizumab pegol were extracted from </w:t>
      </w:r>
      <w:r w:rsidRPr="00E61607">
        <w:t>1 December 201</w:t>
      </w:r>
      <w:r>
        <w:t>6</w:t>
      </w:r>
      <w:r w:rsidRPr="00E61607">
        <w:t xml:space="preserve"> up to and including 30 June 2021</w:t>
      </w:r>
      <w:r>
        <w:t xml:space="preserve">. </w:t>
      </w:r>
      <w:r w:rsidRPr="00297CA7">
        <w:t xml:space="preserve">Data </w:t>
      </w:r>
      <w:r>
        <w:t>were</w:t>
      </w:r>
      <w:r w:rsidRPr="00297CA7">
        <w:t xml:space="preserve"> extracted on </w:t>
      </w:r>
      <w:r>
        <w:t>9</w:t>
      </w:r>
      <w:r w:rsidRPr="00297CA7">
        <w:t xml:space="preserve"> August 2021.</w:t>
      </w:r>
    </w:p>
    <w:p w14:paraId="1E99C92E" w14:textId="77777777" w:rsidR="00A83AC3" w:rsidRDefault="00A83AC3" w:rsidP="00A83AC3">
      <w:r>
        <w:t>These</w:t>
      </w:r>
      <w:r w:rsidRPr="00E61607">
        <w:t xml:space="preserve"> data </w:t>
      </w:r>
      <w:r>
        <w:t>were</w:t>
      </w:r>
      <w:r w:rsidRPr="00E61607">
        <w:t xml:space="preserve"> used to determine the number of incident and prevalent patients, number of prescriptions supplied and to analyse patient demographics such </w:t>
      </w:r>
      <w:r w:rsidRPr="005B6F88">
        <w:t>as age and gender.</w:t>
      </w:r>
      <w:r w:rsidRPr="00E61607">
        <w:t xml:space="preserve"> Initiating and prevalent patients were counted by quarter of supply. An initiating patient was defined based on their first date of supply of </w:t>
      </w:r>
      <w:r>
        <w:t xml:space="preserve">golimumab (or </w:t>
      </w:r>
      <w:proofErr w:type="spellStart"/>
      <w:r w:rsidRPr="00E61607">
        <w:t>secukinumab</w:t>
      </w:r>
      <w:proofErr w:type="spellEnd"/>
      <w:r>
        <w:t>/</w:t>
      </w:r>
      <w:r w:rsidRPr="00E61607">
        <w:t>certolizumab pegol</w:t>
      </w:r>
      <w:r>
        <w:t>).</w:t>
      </w:r>
    </w:p>
    <w:p w14:paraId="0CC7AC2D" w14:textId="77777777" w:rsidR="00A83AC3" w:rsidRDefault="00A83AC3" w:rsidP="00A83AC3">
      <w:r>
        <w:t>The length of treatment was estimated using a Kaplan Meier method for patients who were only supplied golimumab for nr-</w:t>
      </w:r>
      <w:proofErr w:type="spellStart"/>
      <w:r>
        <w:t>axSpA</w:t>
      </w:r>
      <w:proofErr w:type="spellEnd"/>
      <w:r>
        <w:t>. A patient was deemed to be continuing treatment (classified as censored in the Kaplan Meier analysis) at the end of the data period (i.e. the end of June 2021) if their last prescription was within three times the median time to resupply of this end date. Otherwise the patient was deemed to have ceased treatment with the treatment coverage end date being the supply date of their last prescription plus a median time to resupply.</w:t>
      </w:r>
    </w:p>
    <w:p w14:paraId="6324F23E" w14:textId="77777777" w:rsidR="00A83AC3" w:rsidRDefault="00A83AC3" w:rsidP="00A83AC3">
      <w:r>
        <w:lastRenderedPageBreak/>
        <w:t>As this analysis uses date of supply prescription data, there may be small differences compared with publicly available Department of Human Services (DHS) Medicare date of processing data.</w:t>
      </w:r>
      <w:r>
        <w:rPr>
          <w:rStyle w:val="FootnoteReference"/>
        </w:rPr>
        <w:footnoteReference w:id="6"/>
      </w:r>
      <w:r>
        <w:t xml:space="preserve"> The publicly available DHS Medicare data only includes subsidised R/PBS prescriptions with prescriptions under the patient co-payment not included. The DHS Medicare data used in this report includes under co-payment prescriptions from 1 April 2012.</w:t>
      </w:r>
    </w:p>
    <w:p w14:paraId="4F91A98A" w14:textId="00180E30" w:rsidR="00C714D0" w:rsidRPr="005E22C2" w:rsidRDefault="00C714D0" w:rsidP="001270A7">
      <w:pPr>
        <w:pStyle w:val="Heading1"/>
      </w:pPr>
      <w:r w:rsidRPr="005E22C2">
        <w:t>Results</w:t>
      </w:r>
    </w:p>
    <w:p w14:paraId="6F1BD63B" w14:textId="77777777" w:rsidR="005665C4" w:rsidRPr="005E22C2" w:rsidRDefault="005665C4" w:rsidP="005665C4">
      <w:pPr>
        <w:pStyle w:val="Heading2"/>
        <w:keepNext/>
      </w:pPr>
      <w:r w:rsidRPr="005E22C2">
        <w:t xml:space="preserve">Analysis of </w:t>
      </w:r>
      <w:r>
        <w:t>d</w:t>
      </w:r>
      <w:r w:rsidRPr="005E22C2">
        <w:t xml:space="preserve">rug </w:t>
      </w:r>
      <w:r>
        <w:t>u</w:t>
      </w:r>
      <w:r w:rsidRPr="005E22C2">
        <w:t>tilisation</w:t>
      </w:r>
    </w:p>
    <w:p w14:paraId="19F69989" w14:textId="77777777" w:rsidR="005665C4" w:rsidRDefault="005665C4" w:rsidP="005665C4">
      <w:pPr>
        <w:pStyle w:val="Heading3"/>
        <w:keepNext/>
      </w:pPr>
      <w:r w:rsidRPr="005E22C2">
        <w:t>Overall utilisation</w:t>
      </w:r>
    </w:p>
    <w:p w14:paraId="246CD93D" w14:textId="77777777" w:rsidR="005665C4" w:rsidRDefault="005665C4" w:rsidP="005665C4">
      <w:r>
        <w:rPr>
          <w:noProof/>
        </w:rPr>
        <w:drawing>
          <wp:inline distT="0" distB="0" distL="0" distR="0" wp14:anchorId="6A984780" wp14:editId="4E535E45">
            <wp:extent cx="5687695" cy="3000375"/>
            <wp:effectExtent l="0" t="0" r="8255" b="9525"/>
            <wp:docPr id="1" name="Chart 1" descr="Prescriptions supplied for certolizumab and golimumab for nr-axSpA medicines have increased since listing">
              <a:extLst xmlns:a="http://schemas.openxmlformats.org/drawingml/2006/main">
                <a:ext uri="{FF2B5EF4-FFF2-40B4-BE49-F238E27FC236}">
                  <a16:creationId xmlns:a16="http://schemas.microsoft.com/office/drawing/2014/main" id="{2A79CF63-840F-4085-8390-EFBB561E17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D6C309" w14:textId="77777777" w:rsidR="005665C4" w:rsidRDefault="005665C4" w:rsidP="005665C4">
      <w:pPr>
        <w:pStyle w:val="Figuretitle"/>
      </w:pPr>
      <w:r>
        <w:t>Figure 1: Prescriptions supplied for nr-</w:t>
      </w:r>
      <w:proofErr w:type="spellStart"/>
      <w:r>
        <w:t>axSpA</w:t>
      </w:r>
      <w:proofErr w:type="spellEnd"/>
      <w:r>
        <w:t xml:space="preserve"> medicines</w:t>
      </w:r>
    </w:p>
    <w:p w14:paraId="10053439" w14:textId="77777777" w:rsidR="005665C4" w:rsidRDefault="005665C4" w:rsidP="005665C4"/>
    <w:p w14:paraId="32B11D3D" w14:textId="77777777" w:rsidR="005665C4" w:rsidRDefault="005665C4" w:rsidP="005665C4">
      <w:r>
        <w:t xml:space="preserve">Figure 1 shows the number of supplied prescriptions for golimumab for </w:t>
      </w:r>
      <w:r w:rsidRPr="00543029">
        <w:t>nr-</w:t>
      </w:r>
      <w:proofErr w:type="spellStart"/>
      <w:r w:rsidRPr="00543029">
        <w:t>axSpA</w:t>
      </w:r>
      <w:proofErr w:type="spellEnd"/>
      <w:r>
        <w:t xml:space="preserve">, and the use of </w:t>
      </w:r>
      <w:r w:rsidRPr="00B44B0C">
        <w:t>certolizumab pegol</w:t>
      </w:r>
      <w:r>
        <w:t xml:space="preserve"> and </w:t>
      </w:r>
      <w:proofErr w:type="spellStart"/>
      <w:r>
        <w:t>secukinumab</w:t>
      </w:r>
      <w:proofErr w:type="spellEnd"/>
      <w:r>
        <w:t xml:space="preserve"> supplied </w:t>
      </w:r>
      <w:r w:rsidRPr="00B44B0C">
        <w:t>for nr-</w:t>
      </w:r>
      <w:proofErr w:type="spellStart"/>
      <w:r w:rsidRPr="00B44B0C">
        <w:t>axSpA</w:t>
      </w:r>
      <w:proofErr w:type="spellEnd"/>
      <w:r w:rsidRPr="00B44B0C">
        <w:t xml:space="preserve"> </w:t>
      </w:r>
      <w:r>
        <w:t xml:space="preserve">for comparison. The number of supplied prescriptions of golimumab has increased each quarter since PBS listing, although the increases in quarters one and two of 2020 were relatively small. This may be due to the listing of certolizumab pegol in quarter two of 2020, and it is possible the beginning of the COVID-19 pandemic in Australia may have also affected utilisation. </w:t>
      </w:r>
    </w:p>
    <w:p w14:paraId="4FBB7F48" w14:textId="77777777" w:rsidR="005665C4" w:rsidRDefault="005665C4" w:rsidP="005665C4">
      <w:r>
        <w:rPr>
          <w:noProof/>
        </w:rPr>
        <w:lastRenderedPageBreak/>
        <w:drawing>
          <wp:inline distT="0" distB="0" distL="0" distR="0" wp14:anchorId="508DE3C1" wp14:editId="7BAE7A59">
            <wp:extent cx="5547815" cy="3234519"/>
            <wp:effectExtent l="0" t="0" r="15240" b="4445"/>
            <wp:docPr id="4" name="Chart 4" descr="Initiating and treated patients supplied nr-axSpA medicines, treated patients have increased while initiating patients were between 0 and 100 each quarter&#10;">
              <a:extLst xmlns:a="http://schemas.openxmlformats.org/drawingml/2006/main">
                <a:ext uri="{FF2B5EF4-FFF2-40B4-BE49-F238E27FC236}">
                  <a16:creationId xmlns:a16="http://schemas.microsoft.com/office/drawing/2014/main" id="{9E555DD1-C550-41BE-B77F-BB2A2ECEEF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0EC9FE" w14:textId="77777777" w:rsidR="005665C4" w:rsidRDefault="005665C4" w:rsidP="005665C4">
      <w:pPr>
        <w:pStyle w:val="Figuretitle"/>
      </w:pPr>
      <w:r w:rsidRPr="00CB20D7">
        <w:t xml:space="preserve">Figure </w:t>
      </w:r>
      <w:r>
        <w:t>2</w:t>
      </w:r>
      <w:r w:rsidRPr="00CB20D7">
        <w:t xml:space="preserve">: </w:t>
      </w:r>
      <w:r>
        <w:t>Initiating and treated patients</w:t>
      </w:r>
      <w:r w:rsidRPr="00CB20D7">
        <w:t xml:space="preserve"> supplied nr-</w:t>
      </w:r>
      <w:proofErr w:type="spellStart"/>
      <w:r w:rsidRPr="00CB20D7">
        <w:t>axSpA</w:t>
      </w:r>
      <w:proofErr w:type="spellEnd"/>
      <w:r w:rsidRPr="00CB20D7">
        <w:t xml:space="preserve"> medicines</w:t>
      </w:r>
    </w:p>
    <w:p w14:paraId="3D67F123" w14:textId="77777777" w:rsidR="005665C4" w:rsidRDefault="005665C4" w:rsidP="005665C4"/>
    <w:p w14:paraId="579A99B7" w14:textId="77777777" w:rsidR="005665C4" w:rsidRDefault="005665C4" w:rsidP="005665C4">
      <w:r>
        <w:t xml:space="preserve">Figure 2 shows </w:t>
      </w:r>
      <w:proofErr w:type="gramStart"/>
      <w:r>
        <w:t>i</w:t>
      </w:r>
      <w:r w:rsidRPr="00543029">
        <w:t>nitiating</w:t>
      </w:r>
      <w:proofErr w:type="gramEnd"/>
      <w:r w:rsidRPr="00543029">
        <w:t xml:space="preserve"> and treated patients supplied nr-</w:t>
      </w:r>
      <w:proofErr w:type="spellStart"/>
      <w:r w:rsidRPr="00543029">
        <w:t>axSpA</w:t>
      </w:r>
      <w:proofErr w:type="spellEnd"/>
      <w:r w:rsidRPr="00543029">
        <w:t xml:space="preserve"> medicines</w:t>
      </w:r>
      <w:r>
        <w:t xml:space="preserve">. Patients are counted as initiating the first time they receive a prescription for any of the three included </w:t>
      </w:r>
      <w:proofErr w:type="gramStart"/>
      <w:r>
        <w:t>medicines, and</w:t>
      </w:r>
      <w:proofErr w:type="gramEnd"/>
      <w:r>
        <w:t xml:space="preserve"> are only counted once. Patients may be counted more than once as treated patients. Figure 2 may suggest that the majority of patients have not switched to </w:t>
      </w:r>
      <w:r w:rsidRPr="00543029">
        <w:t xml:space="preserve">certolizumab pegol </w:t>
      </w:r>
      <w:r>
        <w:t xml:space="preserve">from </w:t>
      </w:r>
      <w:proofErr w:type="gramStart"/>
      <w:r>
        <w:t>golimumab, but</w:t>
      </w:r>
      <w:proofErr w:type="gramEnd"/>
      <w:r>
        <w:t xml:space="preserve"> are a new group of patients. The PBS restrictions state that the p</w:t>
      </w:r>
      <w:r w:rsidRPr="009C163F">
        <w:t>atient must not have received PBS-subsidised treatment with a biological medicine for this condition</w:t>
      </w:r>
      <w:r>
        <w:t>.</w:t>
      </w:r>
    </w:p>
    <w:p w14:paraId="6107DEB1" w14:textId="77777777" w:rsidR="005665C4" w:rsidRDefault="005665C4" w:rsidP="005665C4"/>
    <w:p w14:paraId="05F704A5" w14:textId="77777777" w:rsidR="005665C4" w:rsidRDefault="005665C4" w:rsidP="005665C4">
      <w:r>
        <w:rPr>
          <w:noProof/>
        </w:rPr>
        <w:lastRenderedPageBreak/>
        <w:drawing>
          <wp:inline distT="0" distB="0" distL="0" distR="0" wp14:anchorId="0D4903E6" wp14:editId="0AEEB8A7">
            <wp:extent cx="5369442" cy="3593804"/>
            <wp:effectExtent l="0" t="0" r="3175" b="6985"/>
            <wp:docPr id="6" name="Chart 6" descr="Age and sex of golimumab nr-axSpA patients at initiation, starts at 15-19 years old and goes to 75-79 years old. Males and females are quite similar with the highest bar at 35 to 39 years old.">
              <a:extLst xmlns:a="http://schemas.openxmlformats.org/drawingml/2006/main">
                <a:ext uri="{FF2B5EF4-FFF2-40B4-BE49-F238E27FC236}">
                  <a16:creationId xmlns:a16="http://schemas.microsoft.com/office/drawing/2014/main" id="{7BA7AA45-8C12-4267-94E6-D10B8C8EE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79E755" w14:textId="77777777" w:rsidR="005665C4" w:rsidRDefault="005665C4" w:rsidP="005665C4">
      <w:pPr>
        <w:pStyle w:val="Figuretitle"/>
      </w:pPr>
      <w:r>
        <w:t xml:space="preserve">Figure 3: Age and sex of </w:t>
      </w:r>
      <w:r w:rsidRPr="008E3142">
        <w:t>golimumab nr-</w:t>
      </w:r>
      <w:proofErr w:type="spellStart"/>
      <w:r w:rsidRPr="008E3142">
        <w:t>axSpA</w:t>
      </w:r>
      <w:proofErr w:type="spellEnd"/>
      <w:r w:rsidRPr="008E3142">
        <w:t xml:space="preserve"> </w:t>
      </w:r>
      <w:r>
        <w:t>patients at initiation</w:t>
      </w:r>
    </w:p>
    <w:p w14:paraId="0FACAD54" w14:textId="77777777" w:rsidR="005665C4" w:rsidRDefault="005665C4" w:rsidP="005665C4"/>
    <w:p w14:paraId="6E823652" w14:textId="77777777" w:rsidR="005665C4" w:rsidRDefault="005665C4" w:rsidP="005665C4">
      <w:r>
        <w:t xml:space="preserve">Figure 3 shows there were similar numbers of male and female patients who have initiated </w:t>
      </w:r>
      <w:r w:rsidRPr="008E3142">
        <w:t xml:space="preserve">golimumab </w:t>
      </w:r>
      <w:r>
        <w:t xml:space="preserve">for </w:t>
      </w:r>
      <w:r w:rsidRPr="008E3142">
        <w:t>nr-</w:t>
      </w:r>
      <w:proofErr w:type="spellStart"/>
      <w:r w:rsidRPr="008E3142">
        <w:t>axSpA</w:t>
      </w:r>
      <w:proofErr w:type="spellEnd"/>
      <w:r w:rsidRPr="008E3142">
        <w:t xml:space="preserve"> </w:t>
      </w:r>
      <w:r>
        <w:t>across age groups. There are fewer patients younger than 20 and older than 64, and the age groups with the highest number of initiating patients are 35</w:t>
      </w:r>
      <w:r>
        <w:noBreakHyphen/>
        <w:t>39 years, 45</w:t>
      </w:r>
      <w:r>
        <w:noBreakHyphen/>
        <w:t>49 years and 30</w:t>
      </w:r>
      <w:r>
        <w:noBreakHyphen/>
        <w:t>34 years, with 86, 83 and 79 patients respectively.</w:t>
      </w:r>
      <w:r w:rsidRPr="009C163F">
        <w:t xml:space="preserve"> </w:t>
      </w:r>
    </w:p>
    <w:p w14:paraId="146ADA95" w14:textId="77777777" w:rsidR="005665C4" w:rsidRDefault="005665C4" w:rsidP="005665C4">
      <w:r>
        <w:t>The youngest patient across all of these is 18, in line with the PBS population restriction that patients must be aged 18 years or older. However, more older patients may have initiated golimumab for nr-</w:t>
      </w:r>
      <w:proofErr w:type="spellStart"/>
      <w:r>
        <w:t>axSpA</w:t>
      </w:r>
      <w:proofErr w:type="spellEnd"/>
      <w:r>
        <w:t xml:space="preserve"> than was predicted by the submission.</w:t>
      </w:r>
    </w:p>
    <w:p w14:paraId="62504418" w14:textId="0FA75CB1" w:rsidR="005665C4" w:rsidRDefault="005665C4" w:rsidP="005665C4">
      <w:r>
        <w:t xml:space="preserve">The mean and median age of patients who received golimumab for </w:t>
      </w:r>
      <w:r w:rsidR="00486AD6">
        <w:t>nr-</w:t>
      </w:r>
      <w:proofErr w:type="spellStart"/>
      <w:r w:rsidR="00486AD6">
        <w:t>axSpA</w:t>
      </w:r>
      <w:proofErr w:type="spellEnd"/>
      <w:r>
        <w:t xml:space="preserve"> are summarised in Table 3, and the patients who received golimumab for nr-</w:t>
      </w:r>
      <w:proofErr w:type="spellStart"/>
      <w:r>
        <w:t>axSpA</w:t>
      </w:r>
      <w:proofErr w:type="spellEnd"/>
      <w:r>
        <w:t xml:space="preserve"> only are summarised in Table 4. </w:t>
      </w:r>
    </w:p>
    <w:p w14:paraId="3C512EE0" w14:textId="47FFD74B" w:rsidR="005665C4" w:rsidRDefault="005665C4" w:rsidP="005665C4">
      <w:pPr>
        <w:pStyle w:val="Tabletitle"/>
      </w:pPr>
      <w:r>
        <w:t xml:space="preserve">Table 3: Mean and median </w:t>
      </w:r>
      <w:r w:rsidRPr="009A2134">
        <w:t xml:space="preserve">age of patients who received golimumab for </w:t>
      </w:r>
      <w:r w:rsidR="00486AD6">
        <w:t>nr-</w:t>
      </w:r>
      <w:proofErr w:type="spellStart"/>
      <w:r w:rsidR="00486AD6">
        <w:t>axSpA</w:t>
      </w:r>
      <w:proofErr w:type="spellEnd"/>
    </w:p>
    <w:tbl>
      <w:tblPr>
        <w:tblW w:w="6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60"/>
        <w:gridCol w:w="1053"/>
        <w:gridCol w:w="960"/>
        <w:gridCol w:w="1044"/>
        <w:gridCol w:w="960"/>
      </w:tblGrid>
      <w:tr w:rsidR="005665C4" w:rsidRPr="009A2134" w14:paraId="1516C2CE" w14:textId="77777777" w:rsidTr="002664CC">
        <w:trPr>
          <w:trHeight w:val="300"/>
        </w:trPr>
        <w:tc>
          <w:tcPr>
            <w:tcW w:w="1380" w:type="dxa"/>
            <w:shd w:val="clear" w:color="auto" w:fill="BFBFBF" w:themeFill="background1" w:themeFillShade="BF"/>
            <w:noWrap/>
            <w:vAlign w:val="bottom"/>
            <w:hideMark/>
          </w:tcPr>
          <w:p w14:paraId="11801F45" w14:textId="77777777" w:rsidR="005665C4" w:rsidRPr="009A2134" w:rsidRDefault="005665C4" w:rsidP="002664CC">
            <w:pPr>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Patient sex</w:t>
            </w:r>
          </w:p>
        </w:tc>
        <w:tc>
          <w:tcPr>
            <w:tcW w:w="960" w:type="dxa"/>
            <w:shd w:val="clear" w:color="auto" w:fill="BFBFBF" w:themeFill="background1" w:themeFillShade="BF"/>
            <w:noWrap/>
            <w:vAlign w:val="bottom"/>
            <w:hideMark/>
          </w:tcPr>
          <w:p w14:paraId="7B3C5003" w14:textId="77777777" w:rsidR="005665C4" w:rsidRPr="009A2134" w:rsidRDefault="005665C4" w:rsidP="002664CC">
            <w:pPr>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Number</w:t>
            </w:r>
          </w:p>
        </w:tc>
        <w:tc>
          <w:tcPr>
            <w:tcW w:w="1053" w:type="dxa"/>
            <w:shd w:val="clear" w:color="auto" w:fill="BFBFBF" w:themeFill="background1" w:themeFillShade="BF"/>
            <w:noWrap/>
            <w:vAlign w:val="bottom"/>
            <w:hideMark/>
          </w:tcPr>
          <w:p w14:paraId="53D67AE6" w14:textId="77777777" w:rsidR="005665C4" w:rsidRPr="009A2134" w:rsidRDefault="005665C4" w:rsidP="002664CC">
            <w:pPr>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Mean</w:t>
            </w:r>
          </w:p>
        </w:tc>
        <w:tc>
          <w:tcPr>
            <w:tcW w:w="960" w:type="dxa"/>
            <w:shd w:val="clear" w:color="auto" w:fill="BFBFBF" w:themeFill="background1" w:themeFillShade="BF"/>
            <w:noWrap/>
            <w:vAlign w:val="bottom"/>
            <w:hideMark/>
          </w:tcPr>
          <w:p w14:paraId="6635B47A" w14:textId="77777777" w:rsidR="005665C4" w:rsidRPr="009A2134" w:rsidRDefault="005665C4" w:rsidP="002664CC">
            <w:pPr>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Median</w:t>
            </w:r>
          </w:p>
        </w:tc>
        <w:tc>
          <w:tcPr>
            <w:tcW w:w="1044" w:type="dxa"/>
            <w:shd w:val="clear" w:color="auto" w:fill="BFBFBF" w:themeFill="background1" w:themeFillShade="BF"/>
            <w:noWrap/>
            <w:vAlign w:val="bottom"/>
            <w:hideMark/>
          </w:tcPr>
          <w:p w14:paraId="35598DE1" w14:textId="77777777" w:rsidR="005665C4" w:rsidRPr="009A2134" w:rsidRDefault="005665C4" w:rsidP="002664CC">
            <w:pPr>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Youngest</w:t>
            </w:r>
          </w:p>
        </w:tc>
        <w:tc>
          <w:tcPr>
            <w:tcW w:w="960" w:type="dxa"/>
            <w:shd w:val="clear" w:color="auto" w:fill="BFBFBF" w:themeFill="background1" w:themeFillShade="BF"/>
            <w:noWrap/>
            <w:vAlign w:val="bottom"/>
            <w:hideMark/>
          </w:tcPr>
          <w:p w14:paraId="47A4B73F" w14:textId="77777777" w:rsidR="005665C4" w:rsidRPr="009A2134" w:rsidRDefault="005665C4" w:rsidP="002664CC">
            <w:pPr>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Oldest</w:t>
            </w:r>
          </w:p>
        </w:tc>
      </w:tr>
      <w:tr w:rsidR="005665C4" w:rsidRPr="009A2134" w14:paraId="536F8AAA" w14:textId="77777777" w:rsidTr="002664CC">
        <w:trPr>
          <w:trHeight w:val="300"/>
        </w:trPr>
        <w:tc>
          <w:tcPr>
            <w:tcW w:w="1380" w:type="dxa"/>
            <w:shd w:val="clear" w:color="auto" w:fill="auto"/>
            <w:noWrap/>
            <w:vAlign w:val="bottom"/>
            <w:hideMark/>
          </w:tcPr>
          <w:p w14:paraId="253C274A" w14:textId="77777777" w:rsidR="005665C4" w:rsidRPr="009A2134" w:rsidRDefault="005665C4" w:rsidP="002664CC">
            <w:pPr>
              <w:spacing w:after="0"/>
              <w:rPr>
                <w:rFonts w:ascii="Calibri" w:eastAsia="Times New Roman" w:hAnsi="Calibri" w:cs="Calibri"/>
                <w:color w:val="000000"/>
                <w:sz w:val="20"/>
                <w:szCs w:val="20"/>
              </w:rPr>
            </w:pPr>
            <w:r w:rsidRPr="009A2134">
              <w:rPr>
                <w:rFonts w:ascii="Calibri" w:eastAsia="Times New Roman" w:hAnsi="Calibri" w:cs="Calibri"/>
                <w:color w:val="000000"/>
                <w:sz w:val="20"/>
                <w:szCs w:val="20"/>
              </w:rPr>
              <w:t>Female</w:t>
            </w:r>
          </w:p>
        </w:tc>
        <w:tc>
          <w:tcPr>
            <w:tcW w:w="960" w:type="dxa"/>
            <w:shd w:val="clear" w:color="auto" w:fill="auto"/>
            <w:noWrap/>
            <w:vAlign w:val="bottom"/>
            <w:hideMark/>
          </w:tcPr>
          <w:p w14:paraId="0FBBFC2E"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376</w:t>
            </w:r>
          </w:p>
        </w:tc>
        <w:tc>
          <w:tcPr>
            <w:tcW w:w="1053" w:type="dxa"/>
            <w:shd w:val="clear" w:color="auto" w:fill="auto"/>
            <w:noWrap/>
            <w:vAlign w:val="bottom"/>
            <w:hideMark/>
          </w:tcPr>
          <w:p w14:paraId="39C63053"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46.</w:t>
            </w:r>
            <w:r w:rsidRPr="008E02AC">
              <w:rPr>
                <w:rFonts w:ascii="Calibri" w:eastAsia="Times New Roman" w:hAnsi="Calibri" w:cs="Calibri"/>
                <w:color w:val="000000"/>
                <w:sz w:val="20"/>
                <w:szCs w:val="20"/>
              </w:rPr>
              <w:t>5</w:t>
            </w:r>
          </w:p>
        </w:tc>
        <w:tc>
          <w:tcPr>
            <w:tcW w:w="960" w:type="dxa"/>
            <w:shd w:val="clear" w:color="auto" w:fill="auto"/>
            <w:noWrap/>
            <w:vAlign w:val="bottom"/>
            <w:hideMark/>
          </w:tcPr>
          <w:p w14:paraId="0338C22A"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46</w:t>
            </w:r>
          </w:p>
        </w:tc>
        <w:tc>
          <w:tcPr>
            <w:tcW w:w="1044" w:type="dxa"/>
            <w:shd w:val="clear" w:color="auto" w:fill="auto"/>
            <w:noWrap/>
            <w:vAlign w:val="bottom"/>
            <w:hideMark/>
          </w:tcPr>
          <w:p w14:paraId="337D68DA"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18</w:t>
            </w:r>
          </w:p>
        </w:tc>
        <w:tc>
          <w:tcPr>
            <w:tcW w:w="960" w:type="dxa"/>
            <w:shd w:val="clear" w:color="auto" w:fill="auto"/>
            <w:noWrap/>
            <w:vAlign w:val="bottom"/>
            <w:hideMark/>
          </w:tcPr>
          <w:p w14:paraId="6D2C3163"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87</w:t>
            </w:r>
          </w:p>
        </w:tc>
      </w:tr>
      <w:tr w:rsidR="005665C4" w:rsidRPr="009A2134" w14:paraId="3BC15BE9" w14:textId="77777777" w:rsidTr="002664CC">
        <w:trPr>
          <w:trHeight w:val="300"/>
        </w:trPr>
        <w:tc>
          <w:tcPr>
            <w:tcW w:w="1380" w:type="dxa"/>
            <w:shd w:val="clear" w:color="auto" w:fill="auto"/>
            <w:noWrap/>
            <w:vAlign w:val="bottom"/>
            <w:hideMark/>
          </w:tcPr>
          <w:p w14:paraId="79278494" w14:textId="77777777" w:rsidR="005665C4" w:rsidRPr="009A2134" w:rsidRDefault="005665C4" w:rsidP="002664CC">
            <w:pPr>
              <w:spacing w:after="0"/>
              <w:rPr>
                <w:rFonts w:ascii="Calibri" w:eastAsia="Times New Roman" w:hAnsi="Calibri" w:cs="Calibri"/>
                <w:color w:val="000000"/>
                <w:sz w:val="20"/>
                <w:szCs w:val="20"/>
              </w:rPr>
            </w:pPr>
            <w:r w:rsidRPr="009A2134">
              <w:rPr>
                <w:rFonts w:ascii="Calibri" w:eastAsia="Times New Roman" w:hAnsi="Calibri" w:cs="Calibri"/>
                <w:color w:val="000000"/>
                <w:sz w:val="20"/>
                <w:szCs w:val="20"/>
              </w:rPr>
              <w:t>Male</w:t>
            </w:r>
          </w:p>
        </w:tc>
        <w:tc>
          <w:tcPr>
            <w:tcW w:w="960" w:type="dxa"/>
            <w:shd w:val="clear" w:color="auto" w:fill="auto"/>
            <w:noWrap/>
            <w:vAlign w:val="bottom"/>
            <w:hideMark/>
          </w:tcPr>
          <w:p w14:paraId="7C162663"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320</w:t>
            </w:r>
          </w:p>
        </w:tc>
        <w:tc>
          <w:tcPr>
            <w:tcW w:w="1053" w:type="dxa"/>
            <w:shd w:val="clear" w:color="auto" w:fill="auto"/>
            <w:noWrap/>
            <w:vAlign w:val="bottom"/>
            <w:hideMark/>
          </w:tcPr>
          <w:p w14:paraId="78CB9148"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43.</w:t>
            </w:r>
            <w:r w:rsidRPr="008E02AC">
              <w:rPr>
                <w:rFonts w:ascii="Calibri" w:eastAsia="Times New Roman" w:hAnsi="Calibri" w:cs="Calibri"/>
                <w:color w:val="000000"/>
                <w:sz w:val="20"/>
                <w:szCs w:val="20"/>
              </w:rPr>
              <w:t>2</w:t>
            </w:r>
          </w:p>
        </w:tc>
        <w:tc>
          <w:tcPr>
            <w:tcW w:w="960" w:type="dxa"/>
            <w:shd w:val="clear" w:color="auto" w:fill="auto"/>
            <w:noWrap/>
            <w:vAlign w:val="bottom"/>
            <w:hideMark/>
          </w:tcPr>
          <w:p w14:paraId="349177F6"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40.5</w:t>
            </w:r>
          </w:p>
        </w:tc>
        <w:tc>
          <w:tcPr>
            <w:tcW w:w="1044" w:type="dxa"/>
            <w:shd w:val="clear" w:color="auto" w:fill="auto"/>
            <w:noWrap/>
            <w:vAlign w:val="bottom"/>
            <w:hideMark/>
          </w:tcPr>
          <w:p w14:paraId="4BB3D522"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18</w:t>
            </w:r>
          </w:p>
        </w:tc>
        <w:tc>
          <w:tcPr>
            <w:tcW w:w="960" w:type="dxa"/>
            <w:shd w:val="clear" w:color="auto" w:fill="auto"/>
            <w:noWrap/>
            <w:vAlign w:val="bottom"/>
            <w:hideMark/>
          </w:tcPr>
          <w:p w14:paraId="4D045F1B"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88</w:t>
            </w:r>
          </w:p>
        </w:tc>
      </w:tr>
      <w:tr w:rsidR="005665C4" w:rsidRPr="009A2134" w14:paraId="6EF691FC" w14:textId="77777777" w:rsidTr="002664CC">
        <w:trPr>
          <w:trHeight w:val="300"/>
        </w:trPr>
        <w:tc>
          <w:tcPr>
            <w:tcW w:w="1380" w:type="dxa"/>
            <w:shd w:val="clear" w:color="auto" w:fill="auto"/>
            <w:noWrap/>
            <w:vAlign w:val="bottom"/>
            <w:hideMark/>
          </w:tcPr>
          <w:p w14:paraId="03EFCFF7" w14:textId="77777777" w:rsidR="005665C4" w:rsidRPr="009A2134" w:rsidRDefault="005665C4" w:rsidP="002664CC">
            <w:pPr>
              <w:spacing w:after="0"/>
              <w:rPr>
                <w:rFonts w:ascii="Calibri" w:eastAsia="Times New Roman" w:hAnsi="Calibri" w:cs="Calibri"/>
                <w:color w:val="000000"/>
                <w:sz w:val="20"/>
                <w:szCs w:val="20"/>
              </w:rPr>
            </w:pPr>
            <w:r w:rsidRPr="009A2134">
              <w:rPr>
                <w:rFonts w:ascii="Calibri" w:eastAsia="Times New Roman" w:hAnsi="Calibri" w:cs="Calibri"/>
                <w:color w:val="000000"/>
                <w:sz w:val="20"/>
                <w:szCs w:val="20"/>
              </w:rPr>
              <w:t>Total</w:t>
            </w:r>
          </w:p>
        </w:tc>
        <w:tc>
          <w:tcPr>
            <w:tcW w:w="960" w:type="dxa"/>
            <w:shd w:val="clear" w:color="auto" w:fill="auto"/>
            <w:noWrap/>
            <w:vAlign w:val="bottom"/>
            <w:hideMark/>
          </w:tcPr>
          <w:p w14:paraId="2209F3CD"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696</w:t>
            </w:r>
          </w:p>
        </w:tc>
        <w:tc>
          <w:tcPr>
            <w:tcW w:w="1053" w:type="dxa"/>
            <w:shd w:val="clear" w:color="auto" w:fill="auto"/>
            <w:noWrap/>
            <w:vAlign w:val="bottom"/>
            <w:hideMark/>
          </w:tcPr>
          <w:p w14:paraId="72DAB45F" w14:textId="77777777" w:rsidR="005665C4" w:rsidRPr="009A2134" w:rsidRDefault="005665C4" w:rsidP="002664CC">
            <w:pPr>
              <w:spacing w:after="0"/>
              <w:jc w:val="right"/>
              <w:rPr>
                <w:rFonts w:ascii="Calibri" w:eastAsia="Times New Roman" w:hAnsi="Calibri" w:cs="Calibri"/>
                <w:color w:val="000000"/>
                <w:sz w:val="20"/>
                <w:szCs w:val="20"/>
              </w:rPr>
            </w:pPr>
            <w:r w:rsidRPr="008E02AC">
              <w:rPr>
                <w:rFonts w:ascii="Calibri" w:eastAsia="Times New Roman" w:hAnsi="Calibri" w:cs="Calibri"/>
                <w:color w:val="000000"/>
                <w:sz w:val="20"/>
                <w:szCs w:val="20"/>
              </w:rPr>
              <w:t>45.0</w:t>
            </w:r>
          </w:p>
        </w:tc>
        <w:tc>
          <w:tcPr>
            <w:tcW w:w="960" w:type="dxa"/>
            <w:shd w:val="clear" w:color="auto" w:fill="auto"/>
            <w:noWrap/>
            <w:vAlign w:val="bottom"/>
            <w:hideMark/>
          </w:tcPr>
          <w:p w14:paraId="4B46837E"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44</w:t>
            </w:r>
          </w:p>
        </w:tc>
        <w:tc>
          <w:tcPr>
            <w:tcW w:w="1044" w:type="dxa"/>
            <w:shd w:val="clear" w:color="auto" w:fill="auto"/>
            <w:noWrap/>
            <w:vAlign w:val="bottom"/>
            <w:hideMark/>
          </w:tcPr>
          <w:p w14:paraId="6B2F50A9"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18</w:t>
            </w:r>
          </w:p>
        </w:tc>
        <w:tc>
          <w:tcPr>
            <w:tcW w:w="960" w:type="dxa"/>
            <w:shd w:val="clear" w:color="auto" w:fill="auto"/>
            <w:noWrap/>
            <w:vAlign w:val="bottom"/>
            <w:hideMark/>
          </w:tcPr>
          <w:p w14:paraId="11366613"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88</w:t>
            </w:r>
          </w:p>
        </w:tc>
      </w:tr>
    </w:tbl>
    <w:p w14:paraId="044B5B66" w14:textId="77777777" w:rsidR="005665C4" w:rsidRPr="009A2134" w:rsidRDefault="005665C4" w:rsidP="005665C4"/>
    <w:p w14:paraId="59FE0C6E" w14:textId="58624CD6" w:rsidR="005665C4" w:rsidRPr="009A2134" w:rsidRDefault="005665C4" w:rsidP="005665C4">
      <w:pPr>
        <w:pStyle w:val="Tabletitle"/>
        <w:keepNext/>
      </w:pPr>
      <w:r>
        <w:lastRenderedPageBreak/>
        <w:t xml:space="preserve">Table 4: </w:t>
      </w:r>
      <w:r w:rsidRPr="009A2134">
        <w:t xml:space="preserve">Mean and median age of patients who received golimumab for </w:t>
      </w:r>
      <w:r w:rsidR="00486AD6">
        <w:t>nr-</w:t>
      </w:r>
      <w:proofErr w:type="spellStart"/>
      <w:r w:rsidR="00486AD6">
        <w:t>axSpA</w:t>
      </w:r>
      <w:proofErr w:type="spellEnd"/>
      <w:r>
        <w:t xml:space="preserve"> only</w:t>
      </w:r>
    </w:p>
    <w:tbl>
      <w:tblPr>
        <w:tblW w:w="6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60"/>
        <w:gridCol w:w="1053"/>
        <w:gridCol w:w="960"/>
        <w:gridCol w:w="1044"/>
        <w:gridCol w:w="960"/>
      </w:tblGrid>
      <w:tr w:rsidR="005665C4" w:rsidRPr="009A2134" w14:paraId="29E2B118" w14:textId="77777777" w:rsidTr="002664CC">
        <w:trPr>
          <w:trHeight w:val="300"/>
        </w:trPr>
        <w:tc>
          <w:tcPr>
            <w:tcW w:w="1380" w:type="dxa"/>
            <w:shd w:val="clear" w:color="auto" w:fill="BFBFBF" w:themeFill="background1" w:themeFillShade="BF"/>
            <w:noWrap/>
            <w:vAlign w:val="bottom"/>
            <w:hideMark/>
          </w:tcPr>
          <w:p w14:paraId="022FB088" w14:textId="77777777" w:rsidR="005665C4" w:rsidRPr="009A2134" w:rsidRDefault="005665C4" w:rsidP="002664CC">
            <w:pPr>
              <w:keepNext/>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Patient sex</w:t>
            </w:r>
          </w:p>
        </w:tc>
        <w:tc>
          <w:tcPr>
            <w:tcW w:w="960" w:type="dxa"/>
            <w:shd w:val="clear" w:color="auto" w:fill="BFBFBF" w:themeFill="background1" w:themeFillShade="BF"/>
            <w:noWrap/>
            <w:vAlign w:val="bottom"/>
            <w:hideMark/>
          </w:tcPr>
          <w:p w14:paraId="7A93F957" w14:textId="77777777" w:rsidR="005665C4" w:rsidRPr="009A2134" w:rsidRDefault="005665C4" w:rsidP="002664CC">
            <w:pPr>
              <w:keepNext/>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Number</w:t>
            </w:r>
          </w:p>
        </w:tc>
        <w:tc>
          <w:tcPr>
            <w:tcW w:w="1053" w:type="dxa"/>
            <w:shd w:val="clear" w:color="auto" w:fill="BFBFBF" w:themeFill="background1" w:themeFillShade="BF"/>
            <w:noWrap/>
            <w:vAlign w:val="bottom"/>
            <w:hideMark/>
          </w:tcPr>
          <w:p w14:paraId="19D177B2" w14:textId="77777777" w:rsidR="005665C4" w:rsidRPr="009A2134" w:rsidRDefault="005665C4" w:rsidP="002664CC">
            <w:pPr>
              <w:keepNext/>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Mean</w:t>
            </w:r>
          </w:p>
        </w:tc>
        <w:tc>
          <w:tcPr>
            <w:tcW w:w="960" w:type="dxa"/>
            <w:shd w:val="clear" w:color="auto" w:fill="BFBFBF" w:themeFill="background1" w:themeFillShade="BF"/>
            <w:noWrap/>
            <w:vAlign w:val="bottom"/>
            <w:hideMark/>
          </w:tcPr>
          <w:p w14:paraId="13E9A03D" w14:textId="77777777" w:rsidR="005665C4" w:rsidRPr="009A2134" w:rsidRDefault="005665C4" w:rsidP="002664CC">
            <w:pPr>
              <w:keepNext/>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Median</w:t>
            </w:r>
          </w:p>
        </w:tc>
        <w:tc>
          <w:tcPr>
            <w:tcW w:w="1044" w:type="dxa"/>
            <w:shd w:val="clear" w:color="auto" w:fill="BFBFBF" w:themeFill="background1" w:themeFillShade="BF"/>
            <w:noWrap/>
            <w:vAlign w:val="bottom"/>
            <w:hideMark/>
          </w:tcPr>
          <w:p w14:paraId="04B4FCF6" w14:textId="77777777" w:rsidR="005665C4" w:rsidRPr="009A2134" w:rsidRDefault="005665C4" w:rsidP="002664CC">
            <w:pPr>
              <w:keepNext/>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Youngest</w:t>
            </w:r>
          </w:p>
        </w:tc>
        <w:tc>
          <w:tcPr>
            <w:tcW w:w="960" w:type="dxa"/>
            <w:shd w:val="clear" w:color="auto" w:fill="BFBFBF" w:themeFill="background1" w:themeFillShade="BF"/>
            <w:noWrap/>
            <w:vAlign w:val="bottom"/>
            <w:hideMark/>
          </w:tcPr>
          <w:p w14:paraId="2E5910B5" w14:textId="77777777" w:rsidR="005665C4" w:rsidRPr="009A2134" w:rsidRDefault="005665C4" w:rsidP="002664CC">
            <w:pPr>
              <w:keepNext/>
              <w:spacing w:after="0"/>
              <w:rPr>
                <w:rFonts w:ascii="Calibri" w:eastAsia="Times New Roman" w:hAnsi="Calibri" w:cs="Calibri"/>
                <w:b/>
                <w:bCs/>
                <w:color w:val="000000"/>
                <w:sz w:val="20"/>
                <w:szCs w:val="20"/>
              </w:rPr>
            </w:pPr>
            <w:r w:rsidRPr="009A2134">
              <w:rPr>
                <w:rFonts w:ascii="Calibri" w:eastAsia="Times New Roman" w:hAnsi="Calibri" w:cs="Calibri"/>
                <w:b/>
                <w:bCs/>
                <w:color w:val="000000"/>
                <w:sz w:val="20"/>
                <w:szCs w:val="20"/>
              </w:rPr>
              <w:t>Oldest</w:t>
            </w:r>
          </w:p>
        </w:tc>
      </w:tr>
      <w:tr w:rsidR="005665C4" w:rsidRPr="009A2134" w14:paraId="15FC6BC3" w14:textId="77777777" w:rsidTr="002664CC">
        <w:trPr>
          <w:trHeight w:val="300"/>
        </w:trPr>
        <w:tc>
          <w:tcPr>
            <w:tcW w:w="1380" w:type="dxa"/>
            <w:shd w:val="clear" w:color="auto" w:fill="auto"/>
            <w:noWrap/>
            <w:vAlign w:val="bottom"/>
            <w:hideMark/>
          </w:tcPr>
          <w:p w14:paraId="78B0A82D" w14:textId="77777777" w:rsidR="005665C4" w:rsidRPr="009A2134" w:rsidRDefault="005665C4" w:rsidP="002664CC">
            <w:pPr>
              <w:keepNext/>
              <w:spacing w:after="0"/>
              <w:rPr>
                <w:rFonts w:ascii="Calibri" w:eastAsia="Times New Roman" w:hAnsi="Calibri" w:cs="Calibri"/>
                <w:color w:val="000000"/>
                <w:sz w:val="20"/>
                <w:szCs w:val="20"/>
              </w:rPr>
            </w:pPr>
            <w:r w:rsidRPr="009A2134">
              <w:rPr>
                <w:rFonts w:ascii="Calibri" w:eastAsia="Times New Roman" w:hAnsi="Calibri" w:cs="Calibri"/>
                <w:color w:val="000000"/>
                <w:sz w:val="20"/>
                <w:szCs w:val="20"/>
              </w:rPr>
              <w:t>Female</w:t>
            </w:r>
          </w:p>
        </w:tc>
        <w:tc>
          <w:tcPr>
            <w:tcW w:w="960" w:type="dxa"/>
            <w:shd w:val="clear" w:color="auto" w:fill="auto"/>
            <w:noWrap/>
            <w:vAlign w:val="bottom"/>
            <w:hideMark/>
          </w:tcPr>
          <w:p w14:paraId="2C30CAF9"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211</w:t>
            </w:r>
          </w:p>
        </w:tc>
        <w:tc>
          <w:tcPr>
            <w:tcW w:w="1053" w:type="dxa"/>
            <w:shd w:val="clear" w:color="auto" w:fill="auto"/>
            <w:noWrap/>
            <w:vAlign w:val="bottom"/>
            <w:hideMark/>
          </w:tcPr>
          <w:p w14:paraId="66E77969"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40.0</w:t>
            </w:r>
          </w:p>
        </w:tc>
        <w:tc>
          <w:tcPr>
            <w:tcW w:w="960" w:type="dxa"/>
            <w:shd w:val="clear" w:color="auto" w:fill="auto"/>
            <w:noWrap/>
            <w:vAlign w:val="bottom"/>
            <w:hideMark/>
          </w:tcPr>
          <w:p w14:paraId="5929B1DF"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40</w:t>
            </w:r>
          </w:p>
        </w:tc>
        <w:tc>
          <w:tcPr>
            <w:tcW w:w="1044" w:type="dxa"/>
            <w:shd w:val="clear" w:color="auto" w:fill="auto"/>
            <w:noWrap/>
            <w:vAlign w:val="bottom"/>
            <w:hideMark/>
          </w:tcPr>
          <w:p w14:paraId="2F99941A"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18</w:t>
            </w:r>
          </w:p>
        </w:tc>
        <w:tc>
          <w:tcPr>
            <w:tcW w:w="960" w:type="dxa"/>
            <w:shd w:val="clear" w:color="auto" w:fill="auto"/>
            <w:noWrap/>
            <w:vAlign w:val="bottom"/>
            <w:hideMark/>
          </w:tcPr>
          <w:p w14:paraId="31D365FD"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72</w:t>
            </w:r>
          </w:p>
        </w:tc>
      </w:tr>
      <w:tr w:rsidR="005665C4" w:rsidRPr="009A2134" w14:paraId="00540964" w14:textId="77777777" w:rsidTr="002664CC">
        <w:trPr>
          <w:trHeight w:val="300"/>
        </w:trPr>
        <w:tc>
          <w:tcPr>
            <w:tcW w:w="1380" w:type="dxa"/>
            <w:shd w:val="clear" w:color="auto" w:fill="auto"/>
            <w:noWrap/>
            <w:vAlign w:val="bottom"/>
            <w:hideMark/>
          </w:tcPr>
          <w:p w14:paraId="0FBECAF2" w14:textId="77777777" w:rsidR="005665C4" w:rsidRPr="009A2134" w:rsidRDefault="005665C4" w:rsidP="002664CC">
            <w:pPr>
              <w:keepNext/>
              <w:spacing w:after="0"/>
              <w:rPr>
                <w:rFonts w:ascii="Calibri" w:eastAsia="Times New Roman" w:hAnsi="Calibri" w:cs="Calibri"/>
                <w:color w:val="000000"/>
                <w:sz w:val="20"/>
                <w:szCs w:val="20"/>
              </w:rPr>
            </w:pPr>
            <w:r w:rsidRPr="009A2134">
              <w:rPr>
                <w:rFonts w:ascii="Calibri" w:eastAsia="Times New Roman" w:hAnsi="Calibri" w:cs="Calibri"/>
                <w:color w:val="000000"/>
                <w:sz w:val="20"/>
                <w:szCs w:val="20"/>
              </w:rPr>
              <w:t>Male</w:t>
            </w:r>
          </w:p>
        </w:tc>
        <w:tc>
          <w:tcPr>
            <w:tcW w:w="960" w:type="dxa"/>
            <w:shd w:val="clear" w:color="auto" w:fill="auto"/>
            <w:noWrap/>
            <w:vAlign w:val="bottom"/>
            <w:hideMark/>
          </w:tcPr>
          <w:p w14:paraId="257C54BF"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166</w:t>
            </w:r>
          </w:p>
        </w:tc>
        <w:tc>
          <w:tcPr>
            <w:tcW w:w="1053" w:type="dxa"/>
            <w:shd w:val="clear" w:color="auto" w:fill="auto"/>
            <w:noWrap/>
            <w:vAlign w:val="bottom"/>
            <w:hideMark/>
          </w:tcPr>
          <w:p w14:paraId="2DCBEB05" w14:textId="77777777" w:rsidR="005665C4" w:rsidRPr="009A2134" w:rsidRDefault="005665C4" w:rsidP="002664CC">
            <w:pPr>
              <w:keepNext/>
              <w:spacing w:after="0"/>
              <w:jc w:val="right"/>
              <w:rPr>
                <w:rFonts w:ascii="Calibri" w:eastAsia="Times New Roman" w:hAnsi="Calibri" w:cs="Calibri"/>
                <w:color w:val="000000"/>
                <w:sz w:val="20"/>
                <w:szCs w:val="20"/>
              </w:rPr>
            </w:pPr>
            <w:r w:rsidRPr="008E02AC">
              <w:rPr>
                <w:rFonts w:ascii="Calibri" w:eastAsia="Times New Roman" w:hAnsi="Calibri" w:cs="Calibri"/>
                <w:color w:val="000000"/>
                <w:sz w:val="20"/>
                <w:szCs w:val="20"/>
              </w:rPr>
              <w:t>37.0</w:t>
            </w:r>
          </w:p>
        </w:tc>
        <w:tc>
          <w:tcPr>
            <w:tcW w:w="960" w:type="dxa"/>
            <w:shd w:val="clear" w:color="auto" w:fill="auto"/>
            <w:noWrap/>
            <w:vAlign w:val="bottom"/>
            <w:hideMark/>
          </w:tcPr>
          <w:p w14:paraId="0303EB2C"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36</w:t>
            </w:r>
          </w:p>
        </w:tc>
        <w:tc>
          <w:tcPr>
            <w:tcW w:w="1044" w:type="dxa"/>
            <w:shd w:val="clear" w:color="auto" w:fill="auto"/>
            <w:noWrap/>
            <w:vAlign w:val="bottom"/>
            <w:hideMark/>
          </w:tcPr>
          <w:p w14:paraId="4861ADFB"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18</w:t>
            </w:r>
          </w:p>
        </w:tc>
        <w:tc>
          <w:tcPr>
            <w:tcW w:w="960" w:type="dxa"/>
            <w:shd w:val="clear" w:color="auto" w:fill="auto"/>
            <w:noWrap/>
            <w:vAlign w:val="bottom"/>
            <w:hideMark/>
          </w:tcPr>
          <w:p w14:paraId="665C5C76" w14:textId="77777777" w:rsidR="005665C4" w:rsidRPr="009A2134" w:rsidRDefault="005665C4" w:rsidP="002664CC">
            <w:pPr>
              <w:keepNext/>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80</w:t>
            </w:r>
          </w:p>
        </w:tc>
      </w:tr>
      <w:tr w:rsidR="005665C4" w:rsidRPr="009A2134" w14:paraId="065F10E2" w14:textId="77777777" w:rsidTr="002664CC">
        <w:trPr>
          <w:trHeight w:val="300"/>
        </w:trPr>
        <w:tc>
          <w:tcPr>
            <w:tcW w:w="1380" w:type="dxa"/>
            <w:shd w:val="clear" w:color="auto" w:fill="auto"/>
            <w:noWrap/>
            <w:vAlign w:val="bottom"/>
            <w:hideMark/>
          </w:tcPr>
          <w:p w14:paraId="32F8F1BC" w14:textId="77777777" w:rsidR="005665C4" w:rsidRPr="009A2134" w:rsidRDefault="005665C4" w:rsidP="002664CC">
            <w:pPr>
              <w:spacing w:after="0"/>
              <w:rPr>
                <w:rFonts w:ascii="Calibri" w:eastAsia="Times New Roman" w:hAnsi="Calibri" w:cs="Calibri"/>
                <w:color w:val="000000"/>
                <w:sz w:val="20"/>
                <w:szCs w:val="20"/>
              </w:rPr>
            </w:pPr>
            <w:r w:rsidRPr="009A2134">
              <w:rPr>
                <w:rFonts w:ascii="Calibri" w:eastAsia="Times New Roman" w:hAnsi="Calibri" w:cs="Calibri"/>
                <w:color w:val="000000"/>
                <w:sz w:val="20"/>
                <w:szCs w:val="20"/>
              </w:rPr>
              <w:t>Total</w:t>
            </w:r>
          </w:p>
        </w:tc>
        <w:tc>
          <w:tcPr>
            <w:tcW w:w="960" w:type="dxa"/>
            <w:shd w:val="clear" w:color="auto" w:fill="auto"/>
            <w:noWrap/>
            <w:vAlign w:val="bottom"/>
            <w:hideMark/>
          </w:tcPr>
          <w:p w14:paraId="135E79D1"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377</w:t>
            </w:r>
          </w:p>
        </w:tc>
        <w:tc>
          <w:tcPr>
            <w:tcW w:w="1053" w:type="dxa"/>
            <w:shd w:val="clear" w:color="auto" w:fill="auto"/>
            <w:noWrap/>
            <w:vAlign w:val="bottom"/>
            <w:hideMark/>
          </w:tcPr>
          <w:p w14:paraId="2A73F17D" w14:textId="77777777" w:rsidR="005665C4" w:rsidRPr="009A2134" w:rsidRDefault="005665C4" w:rsidP="002664CC">
            <w:pPr>
              <w:spacing w:after="0"/>
              <w:jc w:val="right"/>
              <w:rPr>
                <w:rFonts w:ascii="Calibri" w:eastAsia="Times New Roman" w:hAnsi="Calibri" w:cs="Calibri"/>
                <w:color w:val="000000"/>
                <w:sz w:val="20"/>
                <w:szCs w:val="20"/>
              </w:rPr>
            </w:pPr>
            <w:r w:rsidRPr="008E02AC">
              <w:rPr>
                <w:rFonts w:ascii="Calibri" w:eastAsia="Times New Roman" w:hAnsi="Calibri" w:cs="Calibri"/>
                <w:color w:val="000000"/>
                <w:sz w:val="20"/>
                <w:szCs w:val="20"/>
              </w:rPr>
              <w:t>38.7</w:t>
            </w:r>
          </w:p>
        </w:tc>
        <w:tc>
          <w:tcPr>
            <w:tcW w:w="960" w:type="dxa"/>
            <w:shd w:val="clear" w:color="auto" w:fill="auto"/>
            <w:noWrap/>
            <w:vAlign w:val="bottom"/>
            <w:hideMark/>
          </w:tcPr>
          <w:p w14:paraId="3D04027B"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37</w:t>
            </w:r>
          </w:p>
        </w:tc>
        <w:tc>
          <w:tcPr>
            <w:tcW w:w="1044" w:type="dxa"/>
            <w:shd w:val="clear" w:color="auto" w:fill="auto"/>
            <w:noWrap/>
            <w:vAlign w:val="bottom"/>
            <w:hideMark/>
          </w:tcPr>
          <w:p w14:paraId="5DDFF9C1"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18</w:t>
            </w:r>
          </w:p>
        </w:tc>
        <w:tc>
          <w:tcPr>
            <w:tcW w:w="960" w:type="dxa"/>
            <w:shd w:val="clear" w:color="auto" w:fill="auto"/>
            <w:noWrap/>
            <w:vAlign w:val="bottom"/>
            <w:hideMark/>
          </w:tcPr>
          <w:p w14:paraId="747D4F7B" w14:textId="77777777" w:rsidR="005665C4" w:rsidRPr="009A2134" w:rsidRDefault="005665C4" w:rsidP="002664CC">
            <w:pPr>
              <w:spacing w:after="0"/>
              <w:jc w:val="right"/>
              <w:rPr>
                <w:rFonts w:ascii="Calibri" w:eastAsia="Times New Roman" w:hAnsi="Calibri" w:cs="Calibri"/>
                <w:color w:val="000000"/>
                <w:sz w:val="20"/>
                <w:szCs w:val="20"/>
              </w:rPr>
            </w:pPr>
            <w:r w:rsidRPr="009A2134">
              <w:rPr>
                <w:rFonts w:ascii="Calibri" w:eastAsia="Times New Roman" w:hAnsi="Calibri" w:cs="Calibri"/>
                <w:color w:val="000000"/>
                <w:sz w:val="20"/>
                <w:szCs w:val="20"/>
              </w:rPr>
              <w:t>80</w:t>
            </w:r>
          </w:p>
        </w:tc>
      </w:tr>
    </w:tbl>
    <w:p w14:paraId="0817507F" w14:textId="77777777" w:rsidR="005665C4" w:rsidRDefault="005665C4" w:rsidP="005665C4"/>
    <w:p w14:paraId="0177D9EE" w14:textId="77777777" w:rsidR="005665C4" w:rsidRDefault="005665C4" w:rsidP="005665C4">
      <w:pPr>
        <w:pStyle w:val="Heading3"/>
      </w:pPr>
      <w:r>
        <w:t>Prescriber type</w:t>
      </w:r>
    </w:p>
    <w:p w14:paraId="6DF01F01" w14:textId="77777777" w:rsidR="005665C4" w:rsidRPr="00FD4628" w:rsidRDefault="005665C4" w:rsidP="005665C4">
      <w:pPr>
        <w:pStyle w:val="Tabletitle"/>
      </w:pPr>
      <w:r w:rsidRPr="00FD4628">
        <w:t xml:space="preserve">Table </w:t>
      </w:r>
      <w:r>
        <w:t>5</w:t>
      </w:r>
      <w:r w:rsidRPr="00FD4628">
        <w:t xml:space="preserve">: </w:t>
      </w:r>
      <w:r>
        <w:t>Major specialty type of prescribers</w:t>
      </w:r>
    </w:p>
    <w:tbl>
      <w:tblPr>
        <w:tblW w:w="6643" w:type="dxa"/>
        <w:tblLook w:val="04A0" w:firstRow="1" w:lastRow="0" w:firstColumn="1" w:lastColumn="0" w:noHBand="0" w:noVBand="1"/>
      </w:tblPr>
      <w:tblGrid>
        <w:gridCol w:w="2460"/>
        <w:gridCol w:w="964"/>
        <w:gridCol w:w="960"/>
        <w:gridCol w:w="1299"/>
        <w:gridCol w:w="960"/>
      </w:tblGrid>
      <w:tr w:rsidR="005665C4" w:rsidRPr="008E02AC" w14:paraId="618FC74B" w14:textId="77777777" w:rsidTr="002664CC">
        <w:trPr>
          <w:trHeight w:val="300"/>
        </w:trPr>
        <w:tc>
          <w:tcPr>
            <w:tcW w:w="24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FE25543"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 </w:t>
            </w:r>
          </w:p>
        </w:tc>
        <w:tc>
          <w:tcPr>
            <w:tcW w:w="1924"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18EDBFF0"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 xml:space="preserve">Initiating </w:t>
            </w:r>
            <w:r>
              <w:rPr>
                <w:rFonts w:ascii="Calibri" w:eastAsia="Times New Roman" w:hAnsi="Calibri" w:cs="Times New Roman"/>
                <w:b/>
                <w:bCs/>
                <w:color w:val="000000"/>
                <w:sz w:val="20"/>
                <w:szCs w:val="20"/>
              </w:rPr>
              <w:t>prescriptions</w:t>
            </w:r>
          </w:p>
          <w:p w14:paraId="73E9106F"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 </w:t>
            </w:r>
          </w:p>
        </w:tc>
        <w:tc>
          <w:tcPr>
            <w:tcW w:w="225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F285FA5"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Prescriptions</w:t>
            </w:r>
          </w:p>
          <w:p w14:paraId="5AEA1761"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 </w:t>
            </w:r>
          </w:p>
        </w:tc>
      </w:tr>
      <w:tr w:rsidR="005665C4" w:rsidRPr="008E02AC" w14:paraId="50A92B45" w14:textId="77777777" w:rsidTr="002664CC">
        <w:trPr>
          <w:trHeight w:val="300"/>
        </w:trPr>
        <w:tc>
          <w:tcPr>
            <w:tcW w:w="2460" w:type="dxa"/>
            <w:tcBorders>
              <w:top w:val="nil"/>
              <w:left w:val="single" w:sz="4" w:space="0" w:color="auto"/>
              <w:bottom w:val="single" w:sz="4" w:space="0" w:color="auto"/>
              <w:right w:val="single" w:sz="4" w:space="0" w:color="auto"/>
            </w:tcBorders>
            <w:shd w:val="clear" w:color="000000" w:fill="BFBFBF"/>
            <w:noWrap/>
            <w:vAlign w:val="bottom"/>
            <w:hideMark/>
          </w:tcPr>
          <w:p w14:paraId="63DD6707"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Major specialty</w:t>
            </w:r>
          </w:p>
        </w:tc>
        <w:tc>
          <w:tcPr>
            <w:tcW w:w="964" w:type="dxa"/>
            <w:tcBorders>
              <w:top w:val="nil"/>
              <w:left w:val="nil"/>
              <w:bottom w:val="single" w:sz="4" w:space="0" w:color="auto"/>
              <w:right w:val="single" w:sz="4" w:space="0" w:color="auto"/>
            </w:tcBorders>
            <w:shd w:val="clear" w:color="000000" w:fill="BFBFBF"/>
            <w:noWrap/>
            <w:vAlign w:val="bottom"/>
            <w:hideMark/>
          </w:tcPr>
          <w:p w14:paraId="3FC66F21"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Number</w:t>
            </w:r>
          </w:p>
        </w:tc>
        <w:tc>
          <w:tcPr>
            <w:tcW w:w="960" w:type="dxa"/>
            <w:tcBorders>
              <w:top w:val="nil"/>
              <w:left w:val="nil"/>
              <w:bottom w:val="single" w:sz="4" w:space="0" w:color="auto"/>
              <w:right w:val="single" w:sz="4" w:space="0" w:color="auto"/>
            </w:tcBorders>
            <w:shd w:val="clear" w:color="000000" w:fill="BFBFBF"/>
            <w:noWrap/>
            <w:vAlign w:val="bottom"/>
            <w:hideMark/>
          </w:tcPr>
          <w:p w14:paraId="3AA21AEF"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w:t>
            </w:r>
          </w:p>
        </w:tc>
        <w:tc>
          <w:tcPr>
            <w:tcW w:w="1299" w:type="dxa"/>
            <w:tcBorders>
              <w:top w:val="nil"/>
              <w:left w:val="nil"/>
              <w:bottom w:val="single" w:sz="4" w:space="0" w:color="auto"/>
              <w:right w:val="single" w:sz="4" w:space="0" w:color="auto"/>
            </w:tcBorders>
            <w:shd w:val="clear" w:color="000000" w:fill="BFBFBF"/>
            <w:noWrap/>
            <w:vAlign w:val="bottom"/>
            <w:hideMark/>
          </w:tcPr>
          <w:p w14:paraId="77F00369"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Number</w:t>
            </w:r>
          </w:p>
        </w:tc>
        <w:tc>
          <w:tcPr>
            <w:tcW w:w="960" w:type="dxa"/>
            <w:tcBorders>
              <w:top w:val="nil"/>
              <w:left w:val="nil"/>
              <w:bottom w:val="single" w:sz="4" w:space="0" w:color="auto"/>
              <w:right w:val="single" w:sz="4" w:space="0" w:color="auto"/>
            </w:tcBorders>
            <w:shd w:val="clear" w:color="000000" w:fill="BFBFBF"/>
            <w:noWrap/>
            <w:vAlign w:val="bottom"/>
            <w:hideMark/>
          </w:tcPr>
          <w:p w14:paraId="4DBFC303" w14:textId="77777777" w:rsidR="005665C4" w:rsidRPr="008E02AC" w:rsidRDefault="005665C4" w:rsidP="002664CC">
            <w:pPr>
              <w:spacing w:after="0"/>
              <w:rPr>
                <w:rFonts w:ascii="Calibri" w:eastAsia="Times New Roman" w:hAnsi="Calibri" w:cs="Times New Roman"/>
                <w:b/>
                <w:bCs/>
                <w:color w:val="000000"/>
                <w:sz w:val="20"/>
                <w:szCs w:val="20"/>
              </w:rPr>
            </w:pPr>
            <w:r w:rsidRPr="008E02AC">
              <w:rPr>
                <w:rFonts w:ascii="Calibri" w:eastAsia="Times New Roman" w:hAnsi="Calibri" w:cs="Times New Roman"/>
                <w:b/>
                <w:bCs/>
                <w:color w:val="000000"/>
                <w:sz w:val="20"/>
                <w:szCs w:val="20"/>
              </w:rPr>
              <w:t>%</w:t>
            </w:r>
          </w:p>
        </w:tc>
      </w:tr>
      <w:tr w:rsidR="005665C4" w:rsidRPr="008E02AC" w14:paraId="6A20799F" w14:textId="77777777" w:rsidTr="002664CC">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4EDE676"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Rheumatology</w:t>
            </w:r>
          </w:p>
        </w:tc>
        <w:tc>
          <w:tcPr>
            <w:tcW w:w="964" w:type="dxa"/>
            <w:tcBorders>
              <w:top w:val="nil"/>
              <w:left w:val="nil"/>
              <w:bottom w:val="single" w:sz="4" w:space="0" w:color="auto"/>
              <w:right w:val="single" w:sz="4" w:space="0" w:color="auto"/>
            </w:tcBorders>
            <w:shd w:val="clear" w:color="auto" w:fill="auto"/>
            <w:noWrap/>
            <w:vAlign w:val="bottom"/>
            <w:hideMark/>
          </w:tcPr>
          <w:p w14:paraId="35AF0207"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316</w:t>
            </w:r>
          </w:p>
        </w:tc>
        <w:tc>
          <w:tcPr>
            <w:tcW w:w="960" w:type="dxa"/>
            <w:tcBorders>
              <w:top w:val="nil"/>
              <w:left w:val="nil"/>
              <w:bottom w:val="single" w:sz="4" w:space="0" w:color="auto"/>
              <w:right w:val="single" w:sz="4" w:space="0" w:color="auto"/>
            </w:tcBorders>
            <w:shd w:val="clear" w:color="auto" w:fill="auto"/>
            <w:noWrap/>
            <w:vAlign w:val="bottom"/>
            <w:hideMark/>
          </w:tcPr>
          <w:p w14:paraId="15ED931F"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84%</w:t>
            </w:r>
          </w:p>
        </w:tc>
        <w:tc>
          <w:tcPr>
            <w:tcW w:w="1299" w:type="dxa"/>
            <w:tcBorders>
              <w:top w:val="nil"/>
              <w:left w:val="nil"/>
              <w:bottom w:val="single" w:sz="4" w:space="0" w:color="auto"/>
              <w:right w:val="single" w:sz="4" w:space="0" w:color="auto"/>
            </w:tcBorders>
            <w:shd w:val="clear" w:color="auto" w:fill="auto"/>
            <w:noWrap/>
            <w:vAlign w:val="bottom"/>
            <w:hideMark/>
          </w:tcPr>
          <w:p w14:paraId="5631D82A"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3</w:t>
            </w:r>
            <w:r>
              <w:rPr>
                <w:rFonts w:ascii="Calibri" w:eastAsia="Times New Roman" w:hAnsi="Calibri" w:cs="Times New Roman"/>
                <w:color w:val="000000"/>
                <w:sz w:val="20"/>
                <w:szCs w:val="20"/>
              </w:rPr>
              <w:t>,</w:t>
            </w:r>
            <w:r w:rsidRPr="008E02AC">
              <w:rPr>
                <w:rFonts w:ascii="Calibri" w:eastAsia="Times New Roman" w:hAnsi="Calibri" w:cs="Times New Roman"/>
                <w:color w:val="000000"/>
                <w:sz w:val="20"/>
                <w:szCs w:val="20"/>
              </w:rPr>
              <w:t>299</w:t>
            </w:r>
          </w:p>
        </w:tc>
        <w:tc>
          <w:tcPr>
            <w:tcW w:w="960" w:type="dxa"/>
            <w:tcBorders>
              <w:top w:val="nil"/>
              <w:left w:val="nil"/>
              <w:bottom w:val="single" w:sz="4" w:space="0" w:color="auto"/>
              <w:right w:val="single" w:sz="4" w:space="0" w:color="auto"/>
            </w:tcBorders>
            <w:shd w:val="clear" w:color="auto" w:fill="auto"/>
            <w:noWrap/>
            <w:vAlign w:val="bottom"/>
            <w:hideMark/>
          </w:tcPr>
          <w:p w14:paraId="513E9D2C"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85%</w:t>
            </w:r>
          </w:p>
        </w:tc>
      </w:tr>
      <w:tr w:rsidR="005665C4" w:rsidRPr="008E02AC" w14:paraId="35DC3D08" w14:textId="77777777" w:rsidTr="002664CC">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AE6C464"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Internal Medicine</w:t>
            </w:r>
          </w:p>
        </w:tc>
        <w:tc>
          <w:tcPr>
            <w:tcW w:w="964" w:type="dxa"/>
            <w:tcBorders>
              <w:top w:val="nil"/>
              <w:left w:val="nil"/>
              <w:bottom w:val="single" w:sz="4" w:space="0" w:color="auto"/>
              <w:right w:val="single" w:sz="4" w:space="0" w:color="auto"/>
            </w:tcBorders>
            <w:shd w:val="clear" w:color="auto" w:fill="auto"/>
            <w:noWrap/>
            <w:vAlign w:val="bottom"/>
            <w:hideMark/>
          </w:tcPr>
          <w:p w14:paraId="0209254C"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30</w:t>
            </w:r>
          </w:p>
        </w:tc>
        <w:tc>
          <w:tcPr>
            <w:tcW w:w="960" w:type="dxa"/>
            <w:tcBorders>
              <w:top w:val="nil"/>
              <w:left w:val="nil"/>
              <w:bottom w:val="single" w:sz="4" w:space="0" w:color="auto"/>
              <w:right w:val="single" w:sz="4" w:space="0" w:color="auto"/>
            </w:tcBorders>
            <w:shd w:val="clear" w:color="auto" w:fill="auto"/>
            <w:noWrap/>
            <w:vAlign w:val="bottom"/>
            <w:hideMark/>
          </w:tcPr>
          <w:p w14:paraId="33E8768E"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8%</w:t>
            </w:r>
          </w:p>
        </w:tc>
        <w:tc>
          <w:tcPr>
            <w:tcW w:w="1299" w:type="dxa"/>
            <w:tcBorders>
              <w:top w:val="nil"/>
              <w:left w:val="nil"/>
              <w:bottom w:val="single" w:sz="4" w:space="0" w:color="auto"/>
              <w:right w:val="single" w:sz="4" w:space="0" w:color="auto"/>
            </w:tcBorders>
            <w:shd w:val="clear" w:color="auto" w:fill="auto"/>
            <w:noWrap/>
            <w:vAlign w:val="bottom"/>
            <w:hideMark/>
          </w:tcPr>
          <w:p w14:paraId="7818E3ED"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324</w:t>
            </w:r>
          </w:p>
        </w:tc>
        <w:tc>
          <w:tcPr>
            <w:tcW w:w="960" w:type="dxa"/>
            <w:tcBorders>
              <w:top w:val="nil"/>
              <w:left w:val="nil"/>
              <w:bottom w:val="single" w:sz="4" w:space="0" w:color="auto"/>
              <w:right w:val="single" w:sz="4" w:space="0" w:color="auto"/>
            </w:tcBorders>
            <w:shd w:val="clear" w:color="auto" w:fill="auto"/>
            <w:noWrap/>
            <w:vAlign w:val="bottom"/>
            <w:hideMark/>
          </w:tcPr>
          <w:p w14:paraId="6DECF0BC"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8%</w:t>
            </w:r>
          </w:p>
        </w:tc>
      </w:tr>
      <w:tr w:rsidR="005665C4" w:rsidRPr="008E02AC" w14:paraId="625B12C7" w14:textId="77777777" w:rsidTr="002664CC">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D1E2290"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Immunology and Allergy</w:t>
            </w:r>
          </w:p>
        </w:tc>
        <w:tc>
          <w:tcPr>
            <w:tcW w:w="964" w:type="dxa"/>
            <w:tcBorders>
              <w:top w:val="nil"/>
              <w:left w:val="nil"/>
              <w:bottom w:val="single" w:sz="4" w:space="0" w:color="auto"/>
              <w:right w:val="single" w:sz="4" w:space="0" w:color="auto"/>
            </w:tcBorders>
            <w:shd w:val="clear" w:color="auto" w:fill="auto"/>
            <w:noWrap/>
            <w:vAlign w:val="bottom"/>
            <w:hideMark/>
          </w:tcPr>
          <w:p w14:paraId="6820D32A"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14:paraId="4E51DED4"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bottom"/>
            <w:hideMark/>
          </w:tcPr>
          <w:p w14:paraId="35DE4C6C"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68</w:t>
            </w:r>
          </w:p>
        </w:tc>
        <w:tc>
          <w:tcPr>
            <w:tcW w:w="960" w:type="dxa"/>
            <w:tcBorders>
              <w:top w:val="nil"/>
              <w:left w:val="nil"/>
              <w:bottom w:val="single" w:sz="4" w:space="0" w:color="auto"/>
              <w:right w:val="single" w:sz="4" w:space="0" w:color="auto"/>
            </w:tcBorders>
            <w:shd w:val="clear" w:color="auto" w:fill="auto"/>
            <w:noWrap/>
            <w:vAlign w:val="bottom"/>
            <w:hideMark/>
          </w:tcPr>
          <w:p w14:paraId="2C26AA2C"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2%</w:t>
            </w:r>
          </w:p>
        </w:tc>
      </w:tr>
      <w:tr w:rsidR="005665C4" w:rsidRPr="008E02AC" w14:paraId="6ABC4379" w14:textId="77777777" w:rsidTr="002664CC">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AEC505B"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Palliative Medicine</w:t>
            </w:r>
          </w:p>
        </w:tc>
        <w:tc>
          <w:tcPr>
            <w:tcW w:w="964" w:type="dxa"/>
            <w:tcBorders>
              <w:top w:val="nil"/>
              <w:left w:val="nil"/>
              <w:bottom w:val="single" w:sz="4" w:space="0" w:color="auto"/>
              <w:right w:val="single" w:sz="4" w:space="0" w:color="auto"/>
            </w:tcBorders>
            <w:shd w:val="clear" w:color="auto" w:fill="auto"/>
            <w:noWrap/>
            <w:vAlign w:val="bottom"/>
            <w:hideMark/>
          </w:tcPr>
          <w:p w14:paraId="36D39AC3"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14:paraId="6EE4ED4C"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bottom"/>
            <w:hideMark/>
          </w:tcPr>
          <w:p w14:paraId="5F70813B"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72</w:t>
            </w:r>
          </w:p>
        </w:tc>
        <w:tc>
          <w:tcPr>
            <w:tcW w:w="960" w:type="dxa"/>
            <w:tcBorders>
              <w:top w:val="nil"/>
              <w:left w:val="nil"/>
              <w:bottom w:val="single" w:sz="4" w:space="0" w:color="auto"/>
              <w:right w:val="single" w:sz="4" w:space="0" w:color="auto"/>
            </w:tcBorders>
            <w:shd w:val="clear" w:color="auto" w:fill="auto"/>
            <w:noWrap/>
            <w:vAlign w:val="bottom"/>
            <w:hideMark/>
          </w:tcPr>
          <w:p w14:paraId="7A1AA1C0"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2%</w:t>
            </w:r>
          </w:p>
        </w:tc>
      </w:tr>
      <w:tr w:rsidR="005665C4" w:rsidRPr="008E02AC" w14:paraId="35BD990B" w14:textId="77777777" w:rsidTr="002664CC">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3757B8E"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Other (including unknown)</w:t>
            </w:r>
          </w:p>
        </w:tc>
        <w:tc>
          <w:tcPr>
            <w:tcW w:w="964" w:type="dxa"/>
            <w:tcBorders>
              <w:top w:val="nil"/>
              <w:left w:val="nil"/>
              <w:bottom w:val="single" w:sz="4" w:space="0" w:color="auto"/>
              <w:right w:val="single" w:sz="4" w:space="0" w:color="auto"/>
            </w:tcBorders>
            <w:shd w:val="clear" w:color="auto" w:fill="auto"/>
            <w:noWrap/>
            <w:vAlign w:val="bottom"/>
            <w:hideMark/>
          </w:tcPr>
          <w:p w14:paraId="5D11E76D"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15</w:t>
            </w:r>
          </w:p>
        </w:tc>
        <w:tc>
          <w:tcPr>
            <w:tcW w:w="960" w:type="dxa"/>
            <w:tcBorders>
              <w:top w:val="nil"/>
              <w:left w:val="nil"/>
              <w:bottom w:val="single" w:sz="4" w:space="0" w:color="auto"/>
              <w:right w:val="single" w:sz="4" w:space="0" w:color="auto"/>
            </w:tcBorders>
            <w:shd w:val="clear" w:color="auto" w:fill="auto"/>
            <w:noWrap/>
            <w:vAlign w:val="bottom"/>
            <w:hideMark/>
          </w:tcPr>
          <w:p w14:paraId="12E82F92"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4%</w:t>
            </w:r>
          </w:p>
        </w:tc>
        <w:tc>
          <w:tcPr>
            <w:tcW w:w="1299" w:type="dxa"/>
            <w:tcBorders>
              <w:top w:val="nil"/>
              <w:left w:val="nil"/>
              <w:bottom w:val="single" w:sz="4" w:space="0" w:color="auto"/>
              <w:right w:val="single" w:sz="4" w:space="0" w:color="auto"/>
            </w:tcBorders>
            <w:shd w:val="clear" w:color="auto" w:fill="auto"/>
            <w:noWrap/>
            <w:vAlign w:val="bottom"/>
            <w:hideMark/>
          </w:tcPr>
          <w:p w14:paraId="7075A7E3"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129</w:t>
            </w:r>
          </w:p>
        </w:tc>
        <w:tc>
          <w:tcPr>
            <w:tcW w:w="960" w:type="dxa"/>
            <w:tcBorders>
              <w:top w:val="nil"/>
              <w:left w:val="nil"/>
              <w:bottom w:val="single" w:sz="4" w:space="0" w:color="auto"/>
              <w:right w:val="single" w:sz="4" w:space="0" w:color="auto"/>
            </w:tcBorders>
            <w:shd w:val="clear" w:color="auto" w:fill="auto"/>
            <w:noWrap/>
            <w:vAlign w:val="bottom"/>
            <w:hideMark/>
          </w:tcPr>
          <w:p w14:paraId="6CB6A3FA"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3%</w:t>
            </w:r>
          </w:p>
        </w:tc>
      </w:tr>
      <w:tr w:rsidR="005665C4" w:rsidRPr="008E02AC" w14:paraId="638FFE7D" w14:textId="77777777" w:rsidTr="002664CC">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5A51223"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Total</w:t>
            </w:r>
          </w:p>
        </w:tc>
        <w:tc>
          <w:tcPr>
            <w:tcW w:w="964" w:type="dxa"/>
            <w:tcBorders>
              <w:top w:val="nil"/>
              <w:left w:val="nil"/>
              <w:bottom w:val="single" w:sz="4" w:space="0" w:color="auto"/>
              <w:right w:val="single" w:sz="4" w:space="0" w:color="auto"/>
            </w:tcBorders>
            <w:shd w:val="clear" w:color="auto" w:fill="auto"/>
            <w:noWrap/>
            <w:vAlign w:val="bottom"/>
            <w:hideMark/>
          </w:tcPr>
          <w:p w14:paraId="68B5AC11"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377</w:t>
            </w:r>
          </w:p>
        </w:tc>
        <w:tc>
          <w:tcPr>
            <w:tcW w:w="960" w:type="dxa"/>
            <w:tcBorders>
              <w:top w:val="nil"/>
              <w:left w:val="nil"/>
              <w:bottom w:val="single" w:sz="4" w:space="0" w:color="auto"/>
              <w:right w:val="single" w:sz="4" w:space="0" w:color="auto"/>
            </w:tcBorders>
            <w:shd w:val="clear" w:color="auto" w:fill="auto"/>
            <w:noWrap/>
            <w:vAlign w:val="bottom"/>
            <w:hideMark/>
          </w:tcPr>
          <w:p w14:paraId="1C9702D6"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 </w:t>
            </w:r>
          </w:p>
        </w:tc>
        <w:tc>
          <w:tcPr>
            <w:tcW w:w="1299" w:type="dxa"/>
            <w:tcBorders>
              <w:top w:val="nil"/>
              <w:left w:val="nil"/>
              <w:bottom w:val="single" w:sz="4" w:space="0" w:color="auto"/>
              <w:right w:val="single" w:sz="4" w:space="0" w:color="auto"/>
            </w:tcBorders>
            <w:shd w:val="clear" w:color="auto" w:fill="auto"/>
            <w:noWrap/>
            <w:vAlign w:val="bottom"/>
            <w:hideMark/>
          </w:tcPr>
          <w:p w14:paraId="68548C7A" w14:textId="77777777" w:rsidR="005665C4" w:rsidRPr="008E02AC" w:rsidRDefault="005665C4" w:rsidP="002664CC">
            <w:pPr>
              <w:spacing w:after="0"/>
              <w:jc w:val="right"/>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3</w:t>
            </w:r>
            <w:r>
              <w:rPr>
                <w:rFonts w:ascii="Calibri" w:eastAsia="Times New Roman" w:hAnsi="Calibri" w:cs="Times New Roman"/>
                <w:color w:val="000000"/>
                <w:sz w:val="20"/>
                <w:szCs w:val="20"/>
              </w:rPr>
              <w:t>,</w:t>
            </w:r>
            <w:r w:rsidRPr="008E02AC">
              <w:rPr>
                <w:rFonts w:ascii="Calibri" w:eastAsia="Times New Roman" w:hAnsi="Calibri" w:cs="Times New Roman"/>
                <w:color w:val="000000"/>
                <w:sz w:val="20"/>
                <w:szCs w:val="20"/>
              </w:rPr>
              <w:t>892</w:t>
            </w:r>
          </w:p>
        </w:tc>
        <w:tc>
          <w:tcPr>
            <w:tcW w:w="960" w:type="dxa"/>
            <w:tcBorders>
              <w:top w:val="nil"/>
              <w:left w:val="nil"/>
              <w:bottom w:val="single" w:sz="4" w:space="0" w:color="auto"/>
              <w:right w:val="single" w:sz="4" w:space="0" w:color="auto"/>
            </w:tcBorders>
            <w:shd w:val="clear" w:color="auto" w:fill="auto"/>
            <w:noWrap/>
            <w:vAlign w:val="bottom"/>
            <w:hideMark/>
          </w:tcPr>
          <w:p w14:paraId="0E9E2221" w14:textId="77777777" w:rsidR="005665C4" w:rsidRPr="008E02AC" w:rsidRDefault="005665C4" w:rsidP="002664CC">
            <w:pPr>
              <w:spacing w:after="0"/>
              <w:rPr>
                <w:rFonts w:ascii="Calibri" w:eastAsia="Times New Roman" w:hAnsi="Calibri" w:cs="Times New Roman"/>
                <w:color w:val="000000"/>
                <w:sz w:val="20"/>
                <w:szCs w:val="20"/>
              </w:rPr>
            </w:pPr>
            <w:r w:rsidRPr="008E02AC">
              <w:rPr>
                <w:rFonts w:ascii="Calibri" w:eastAsia="Times New Roman" w:hAnsi="Calibri" w:cs="Times New Roman"/>
                <w:color w:val="000000"/>
                <w:sz w:val="20"/>
                <w:szCs w:val="20"/>
              </w:rPr>
              <w:t> </w:t>
            </w:r>
          </w:p>
        </w:tc>
      </w:tr>
    </w:tbl>
    <w:p w14:paraId="2622EB96" w14:textId="77777777" w:rsidR="005665C4" w:rsidRDefault="005665C4" w:rsidP="005665C4"/>
    <w:p w14:paraId="24B49BBB" w14:textId="77777777" w:rsidR="005665C4" w:rsidRDefault="005665C4" w:rsidP="005665C4">
      <w:r>
        <w:t xml:space="preserve">Analysis of prescriber type for the 377 patients </w:t>
      </w:r>
      <w:r w:rsidRPr="008E02AC">
        <w:t>who received golimumab for nr-</w:t>
      </w:r>
      <w:proofErr w:type="spellStart"/>
      <w:r w:rsidRPr="008E02AC">
        <w:t>axSpA</w:t>
      </w:r>
      <w:proofErr w:type="spellEnd"/>
      <w:r w:rsidRPr="008E02AC">
        <w:t xml:space="preserve"> only</w:t>
      </w:r>
      <w:r>
        <w:t xml:space="preserve"> show that 84% of initiating prescriptions and 85% of overall prescriptions were prescribed by rheumatology specialists.</w:t>
      </w:r>
    </w:p>
    <w:p w14:paraId="3FC71E4A" w14:textId="77777777" w:rsidR="005665C4" w:rsidRDefault="005665C4" w:rsidP="005665C4">
      <w:pPr>
        <w:pStyle w:val="Heading3"/>
      </w:pPr>
      <w:r>
        <w:t>Indication switching</w:t>
      </w:r>
    </w:p>
    <w:p w14:paraId="54E1D00D" w14:textId="77777777" w:rsidR="005665C4" w:rsidRDefault="005665C4" w:rsidP="005665C4">
      <w:r>
        <w:t xml:space="preserve">For the patients who were supplied </w:t>
      </w:r>
      <w:r w:rsidRPr="00D37035">
        <w:t>golimumab under a PBS item code for nr-</w:t>
      </w:r>
      <w:proofErr w:type="spellStart"/>
      <w:r w:rsidRPr="00D37035">
        <w:t>axSp</w:t>
      </w:r>
      <w:r>
        <w:t>A</w:t>
      </w:r>
      <w:proofErr w:type="spellEnd"/>
      <w:r>
        <w:t xml:space="preserve">, the top 10 indication sequences, as determined from PBS item code, is below. This is including prescriptions supplied from 1 December 2016, two years prior to golimumab listing for </w:t>
      </w:r>
      <w:r w:rsidRPr="00D37035">
        <w:t>nr</w:t>
      </w:r>
      <w:r>
        <w:noBreakHyphen/>
      </w:r>
      <w:proofErr w:type="spellStart"/>
      <w:r w:rsidRPr="00D37035">
        <w:t>axSpA</w:t>
      </w:r>
      <w:proofErr w:type="spellEnd"/>
      <w:r>
        <w:t xml:space="preserve">. Note that of the 696 patients supplied </w:t>
      </w:r>
      <w:r w:rsidRPr="00D37035">
        <w:t>golimumab for nr-</w:t>
      </w:r>
      <w:proofErr w:type="spellStart"/>
      <w:r w:rsidRPr="00D37035">
        <w:t>axSpA</w:t>
      </w:r>
      <w:proofErr w:type="spellEnd"/>
      <w:r>
        <w:t xml:space="preserve"> between December 2018 and June 2021, 583 patients are included in the top 10 indication sequences.</w:t>
      </w:r>
    </w:p>
    <w:p w14:paraId="75F77463" w14:textId="77777777" w:rsidR="005665C4" w:rsidRDefault="005665C4" w:rsidP="005665C4">
      <w:pPr>
        <w:pStyle w:val="Tabletitle"/>
        <w:keepNext/>
      </w:pPr>
      <w:r w:rsidRPr="00CB20D7">
        <w:lastRenderedPageBreak/>
        <w:t xml:space="preserve">Table </w:t>
      </w:r>
      <w:r>
        <w:t>6</w:t>
      </w:r>
      <w:r w:rsidRPr="00CB20D7">
        <w:t xml:space="preserve">: Top 10 indication sequences for </w:t>
      </w:r>
      <w:r>
        <w:t>golimumab</w:t>
      </w:r>
    </w:p>
    <w:tbl>
      <w:tblPr>
        <w:tblStyle w:val="TableGrid"/>
        <w:tblW w:w="0" w:type="auto"/>
        <w:tblLook w:val="04A0" w:firstRow="1" w:lastRow="0" w:firstColumn="1" w:lastColumn="0" w:noHBand="0" w:noVBand="1"/>
      </w:tblPr>
      <w:tblGrid>
        <w:gridCol w:w="5002"/>
        <w:gridCol w:w="1656"/>
      </w:tblGrid>
      <w:tr w:rsidR="005665C4" w:rsidRPr="00D37035" w14:paraId="07CE2AE5" w14:textId="77777777" w:rsidTr="002664CC">
        <w:trPr>
          <w:trHeight w:val="300"/>
        </w:trPr>
        <w:tc>
          <w:tcPr>
            <w:tcW w:w="5002" w:type="dxa"/>
            <w:shd w:val="clear" w:color="auto" w:fill="BFBFBF" w:themeFill="background1" w:themeFillShade="BF"/>
            <w:noWrap/>
            <w:hideMark/>
          </w:tcPr>
          <w:p w14:paraId="3138E8DC" w14:textId="77777777" w:rsidR="005665C4" w:rsidRPr="00D37035" w:rsidRDefault="005665C4" w:rsidP="002664CC">
            <w:pPr>
              <w:keepNext/>
              <w:rPr>
                <w:b/>
                <w:bCs/>
                <w:sz w:val="20"/>
                <w:szCs w:val="20"/>
              </w:rPr>
            </w:pPr>
            <w:r w:rsidRPr="00D37035">
              <w:rPr>
                <w:b/>
                <w:bCs/>
                <w:sz w:val="20"/>
                <w:szCs w:val="20"/>
              </w:rPr>
              <w:t>Indication sequence</w:t>
            </w:r>
          </w:p>
        </w:tc>
        <w:tc>
          <w:tcPr>
            <w:tcW w:w="1656" w:type="dxa"/>
            <w:shd w:val="clear" w:color="auto" w:fill="BFBFBF" w:themeFill="background1" w:themeFillShade="BF"/>
            <w:noWrap/>
            <w:hideMark/>
          </w:tcPr>
          <w:p w14:paraId="6F4A132A" w14:textId="77777777" w:rsidR="005665C4" w:rsidRPr="00D37035" w:rsidRDefault="005665C4" w:rsidP="002664CC">
            <w:pPr>
              <w:keepNext/>
              <w:rPr>
                <w:b/>
                <w:bCs/>
                <w:sz w:val="20"/>
                <w:szCs w:val="20"/>
              </w:rPr>
            </w:pPr>
            <w:r w:rsidRPr="00D37035">
              <w:rPr>
                <w:b/>
                <w:bCs/>
                <w:sz w:val="20"/>
                <w:szCs w:val="20"/>
              </w:rPr>
              <w:t>Count patients</w:t>
            </w:r>
          </w:p>
        </w:tc>
      </w:tr>
      <w:tr w:rsidR="005665C4" w:rsidRPr="00D37035" w14:paraId="43539735" w14:textId="77777777" w:rsidTr="002664CC">
        <w:trPr>
          <w:trHeight w:val="300"/>
        </w:trPr>
        <w:tc>
          <w:tcPr>
            <w:tcW w:w="5002" w:type="dxa"/>
            <w:noWrap/>
            <w:hideMark/>
          </w:tcPr>
          <w:p w14:paraId="0B5057C1" w14:textId="77777777" w:rsidR="005665C4" w:rsidRPr="00D37035" w:rsidRDefault="005665C4" w:rsidP="002664CC">
            <w:pPr>
              <w:keepNext/>
              <w:rPr>
                <w:sz w:val="20"/>
                <w:szCs w:val="20"/>
              </w:rPr>
            </w:pPr>
            <w:r w:rsidRPr="00D37035">
              <w:rPr>
                <w:sz w:val="20"/>
                <w:szCs w:val="20"/>
              </w:rPr>
              <w:t>nr-</w:t>
            </w:r>
            <w:proofErr w:type="spellStart"/>
            <w:r w:rsidRPr="00D37035">
              <w:rPr>
                <w:sz w:val="20"/>
                <w:szCs w:val="20"/>
              </w:rPr>
              <w:t>axSpA</w:t>
            </w:r>
            <w:proofErr w:type="spellEnd"/>
          </w:p>
        </w:tc>
        <w:tc>
          <w:tcPr>
            <w:tcW w:w="1656" w:type="dxa"/>
            <w:noWrap/>
            <w:hideMark/>
          </w:tcPr>
          <w:p w14:paraId="2443424F" w14:textId="77777777" w:rsidR="005665C4" w:rsidRPr="00D37035" w:rsidRDefault="005665C4" w:rsidP="002664CC">
            <w:pPr>
              <w:keepNext/>
              <w:jc w:val="right"/>
              <w:rPr>
                <w:sz w:val="20"/>
                <w:szCs w:val="20"/>
              </w:rPr>
            </w:pPr>
            <w:r w:rsidRPr="00D37035">
              <w:rPr>
                <w:sz w:val="20"/>
                <w:szCs w:val="20"/>
              </w:rPr>
              <w:t>377</w:t>
            </w:r>
          </w:p>
        </w:tc>
      </w:tr>
      <w:tr w:rsidR="005665C4" w:rsidRPr="00D37035" w14:paraId="38E08C0F" w14:textId="77777777" w:rsidTr="002664CC">
        <w:trPr>
          <w:trHeight w:val="300"/>
        </w:trPr>
        <w:tc>
          <w:tcPr>
            <w:tcW w:w="5002" w:type="dxa"/>
            <w:noWrap/>
            <w:hideMark/>
          </w:tcPr>
          <w:p w14:paraId="78DCA32B" w14:textId="77777777" w:rsidR="005665C4" w:rsidRPr="00D37035" w:rsidRDefault="005665C4" w:rsidP="002664CC">
            <w:pPr>
              <w:keepNext/>
              <w:rPr>
                <w:sz w:val="20"/>
                <w:szCs w:val="20"/>
              </w:rPr>
            </w:pPr>
            <w:r w:rsidRPr="00D37035">
              <w:rPr>
                <w:sz w:val="20"/>
                <w:szCs w:val="20"/>
              </w:rPr>
              <w:t>Ankylosing spondylitis&gt;nr-</w:t>
            </w:r>
            <w:proofErr w:type="spellStart"/>
            <w:r w:rsidRPr="00D37035">
              <w:rPr>
                <w:sz w:val="20"/>
                <w:szCs w:val="20"/>
              </w:rPr>
              <w:t>axSpA</w:t>
            </w:r>
            <w:proofErr w:type="spellEnd"/>
            <w:r w:rsidRPr="00D37035">
              <w:rPr>
                <w:sz w:val="20"/>
                <w:szCs w:val="20"/>
              </w:rPr>
              <w:t>&gt;Ankylosing spondylitis</w:t>
            </w:r>
          </w:p>
        </w:tc>
        <w:tc>
          <w:tcPr>
            <w:tcW w:w="1656" w:type="dxa"/>
            <w:noWrap/>
            <w:hideMark/>
          </w:tcPr>
          <w:p w14:paraId="436C9D6F" w14:textId="77777777" w:rsidR="005665C4" w:rsidRPr="00D37035" w:rsidRDefault="005665C4" w:rsidP="002664CC">
            <w:pPr>
              <w:keepNext/>
              <w:jc w:val="right"/>
              <w:rPr>
                <w:sz w:val="20"/>
                <w:szCs w:val="20"/>
              </w:rPr>
            </w:pPr>
            <w:r w:rsidRPr="00D37035">
              <w:rPr>
                <w:sz w:val="20"/>
                <w:szCs w:val="20"/>
              </w:rPr>
              <w:t>49</w:t>
            </w:r>
          </w:p>
        </w:tc>
      </w:tr>
      <w:tr w:rsidR="005665C4" w:rsidRPr="00D37035" w14:paraId="43A37813" w14:textId="77777777" w:rsidTr="002664CC">
        <w:trPr>
          <w:trHeight w:val="300"/>
        </w:trPr>
        <w:tc>
          <w:tcPr>
            <w:tcW w:w="5002" w:type="dxa"/>
            <w:noWrap/>
            <w:hideMark/>
          </w:tcPr>
          <w:p w14:paraId="1969E209" w14:textId="77777777" w:rsidR="005665C4" w:rsidRPr="00D37035" w:rsidRDefault="005665C4" w:rsidP="002664CC">
            <w:pPr>
              <w:keepNext/>
              <w:rPr>
                <w:sz w:val="20"/>
                <w:szCs w:val="20"/>
              </w:rPr>
            </w:pPr>
            <w:r w:rsidRPr="00D37035">
              <w:rPr>
                <w:sz w:val="20"/>
                <w:szCs w:val="20"/>
              </w:rPr>
              <w:t>Rheumatoid arthritis&gt;nr-</w:t>
            </w:r>
            <w:proofErr w:type="spellStart"/>
            <w:r w:rsidRPr="00D37035">
              <w:rPr>
                <w:sz w:val="20"/>
                <w:szCs w:val="20"/>
              </w:rPr>
              <w:t>axSpA</w:t>
            </w:r>
            <w:proofErr w:type="spellEnd"/>
            <w:r w:rsidRPr="00D37035">
              <w:rPr>
                <w:sz w:val="20"/>
                <w:szCs w:val="20"/>
              </w:rPr>
              <w:t>&gt;Rheumatoid arthritis</w:t>
            </w:r>
          </w:p>
        </w:tc>
        <w:tc>
          <w:tcPr>
            <w:tcW w:w="1656" w:type="dxa"/>
            <w:noWrap/>
            <w:hideMark/>
          </w:tcPr>
          <w:p w14:paraId="0E112ACB" w14:textId="77777777" w:rsidR="005665C4" w:rsidRPr="00D37035" w:rsidRDefault="005665C4" w:rsidP="002664CC">
            <w:pPr>
              <w:keepNext/>
              <w:jc w:val="right"/>
              <w:rPr>
                <w:sz w:val="20"/>
                <w:szCs w:val="20"/>
              </w:rPr>
            </w:pPr>
            <w:r w:rsidRPr="00D37035">
              <w:rPr>
                <w:sz w:val="20"/>
                <w:szCs w:val="20"/>
              </w:rPr>
              <w:t>45</w:t>
            </w:r>
          </w:p>
        </w:tc>
      </w:tr>
      <w:tr w:rsidR="005665C4" w:rsidRPr="00D37035" w14:paraId="083937B6" w14:textId="77777777" w:rsidTr="002664CC">
        <w:trPr>
          <w:trHeight w:val="300"/>
        </w:trPr>
        <w:tc>
          <w:tcPr>
            <w:tcW w:w="5002" w:type="dxa"/>
            <w:noWrap/>
            <w:hideMark/>
          </w:tcPr>
          <w:p w14:paraId="714251EF" w14:textId="77777777" w:rsidR="005665C4" w:rsidRPr="00D37035" w:rsidRDefault="005665C4" w:rsidP="002664CC">
            <w:pPr>
              <w:keepNext/>
              <w:rPr>
                <w:sz w:val="20"/>
                <w:szCs w:val="20"/>
              </w:rPr>
            </w:pPr>
            <w:r w:rsidRPr="00D37035">
              <w:rPr>
                <w:sz w:val="20"/>
                <w:szCs w:val="20"/>
              </w:rPr>
              <w:t>Psoriatic arthritis&gt;nr-</w:t>
            </w:r>
            <w:proofErr w:type="spellStart"/>
            <w:r w:rsidRPr="00D37035">
              <w:rPr>
                <w:sz w:val="20"/>
                <w:szCs w:val="20"/>
              </w:rPr>
              <w:t>axSpA</w:t>
            </w:r>
            <w:proofErr w:type="spellEnd"/>
            <w:r w:rsidRPr="00D37035">
              <w:rPr>
                <w:sz w:val="20"/>
                <w:szCs w:val="20"/>
              </w:rPr>
              <w:t>&gt;Psoriatic arthritis</w:t>
            </w:r>
          </w:p>
        </w:tc>
        <w:tc>
          <w:tcPr>
            <w:tcW w:w="1656" w:type="dxa"/>
            <w:noWrap/>
            <w:hideMark/>
          </w:tcPr>
          <w:p w14:paraId="184E2048" w14:textId="77777777" w:rsidR="005665C4" w:rsidRPr="00D37035" w:rsidRDefault="005665C4" w:rsidP="002664CC">
            <w:pPr>
              <w:keepNext/>
              <w:jc w:val="right"/>
              <w:rPr>
                <w:sz w:val="20"/>
                <w:szCs w:val="20"/>
              </w:rPr>
            </w:pPr>
            <w:r w:rsidRPr="00D37035">
              <w:rPr>
                <w:sz w:val="20"/>
                <w:szCs w:val="20"/>
              </w:rPr>
              <w:t>34</w:t>
            </w:r>
          </w:p>
        </w:tc>
      </w:tr>
      <w:tr w:rsidR="005665C4" w:rsidRPr="00D37035" w14:paraId="1EB46654" w14:textId="77777777" w:rsidTr="002664CC">
        <w:trPr>
          <w:trHeight w:val="300"/>
        </w:trPr>
        <w:tc>
          <w:tcPr>
            <w:tcW w:w="5002" w:type="dxa"/>
            <w:noWrap/>
            <w:hideMark/>
          </w:tcPr>
          <w:p w14:paraId="161AF485" w14:textId="77777777" w:rsidR="005665C4" w:rsidRPr="00D37035" w:rsidRDefault="005665C4" w:rsidP="002664CC">
            <w:pPr>
              <w:keepNext/>
              <w:rPr>
                <w:sz w:val="20"/>
                <w:szCs w:val="20"/>
              </w:rPr>
            </w:pPr>
            <w:r w:rsidRPr="00D37035">
              <w:rPr>
                <w:sz w:val="20"/>
                <w:szCs w:val="20"/>
              </w:rPr>
              <w:t>Ankylosing spondylitis&gt;nr-</w:t>
            </w:r>
            <w:proofErr w:type="spellStart"/>
            <w:r w:rsidRPr="00D37035">
              <w:rPr>
                <w:sz w:val="20"/>
                <w:szCs w:val="20"/>
              </w:rPr>
              <w:t>axSpA</w:t>
            </w:r>
            <w:proofErr w:type="spellEnd"/>
          </w:p>
        </w:tc>
        <w:tc>
          <w:tcPr>
            <w:tcW w:w="1656" w:type="dxa"/>
            <w:noWrap/>
            <w:hideMark/>
          </w:tcPr>
          <w:p w14:paraId="23235D06" w14:textId="77777777" w:rsidR="005665C4" w:rsidRPr="00D37035" w:rsidRDefault="005665C4" w:rsidP="002664CC">
            <w:pPr>
              <w:keepNext/>
              <w:jc w:val="right"/>
              <w:rPr>
                <w:sz w:val="20"/>
                <w:szCs w:val="20"/>
              </w:rPr>
            </w:pPr>
            <w:r w:rsidRPr="00D37035">
              <w:rPr>
                <w:sz w:val="20"/>
                <w:szCs w:val="20"/>
              </w:rPr>
              <w:t>24</w:t>
            </w:r>
          </w:p>
        </w:tc>
      </w:tr>
      <w:tr w:rsidR="005665C4" w:rsidRPr="00D37035" w14:paraId="2ED9C2D1" w14:textId="77777777" w:rsidTr="002664CC">
        <w:trPr>
          <w:trHeight w:val="300"/>
        </w:trPr>
        <w:tc>
          <w:tcPr>
            <w:tcW w:w="5002" w:type="dxa"/>
            <w:noWrap/>
            <w:hideMark/>
          </w:tcPr>
          <w:p w14:paraId="09C6725F" w14:textId="77777777" w:rsidR="005665C4" w:rsidRPr="00D37035" w:rsidRDefault="005665C4" w:rsidP="002664CC">
            <w:pPr>
              <w:keepNext/>
              <w:rPr>
                <w:sz w:val="20"/>
                <w:szCs w:val="20"/>
              </w:rPr>
            </w:pPr>
            <w:r w:rsidRPr="00D37035">
              <w:rPr>
                <w:sz w:val="20"/>
                <w:szCs w:val="20"/>
              </w:rPr>
              <w:t>nr-</w:t>
            </w:r>
            <w:proofErr w:type="spellStart"/>
            <w:r w:rsidRPr="00D37035">
              <w:rPr>
                <w:sz w:val="20"/>
                <w:szCs w:val="20"/>
              </w:rPr>
              <w:t>axSpA</w:t>
            </w:r>
            <w:proofErr w:type="spellEnd"/>
            <w:r w:rsidRPr="00D37035">
              <w:rPr>
                <w:sz w:val="20"/>
                <w:szCs w:val="20"/>
              </w:rPr>
              <w:t>&gt;Ankylosing spondylitis</w:t>
            </w:r>
          </w:p>
        </w:tc>
        <w:tc>
          <w:tcPr>
            <w:tcW w:w="1656" w:type="dxa"/>
            <w:noWrap/>
            <w:hideMark/>
          </w:tcPr>
          <w:p w14:paraId="1D1E4F6D" w14:textId="77777777" w:rsidR="005665C4" w:rsidRPr="00D37035" w:rsidRDefault="005665C4" w:rsidP="002664CC">
            <w:pPr>
              <w:keepNext/>
              <w:jc w:val="right"/>
              <w:rPr>
                <w:sz w:val="20"/>
                <w:szCs w:val="20"/>
              </w:rPr>
            </w:pPr>
            <w:r w:rsidRPr="00D37035">
              <w:rPr>
                <w:sz w:val="20"/>
                <w:szCs w:val="20"/>
              </w:rPr>
              <w:t>14</w:t>
            </w:r>
          </w:p>
        </w:tc>
      </w:tr>
      <w:tr w:rsidR="005665C4" w:rsidRPr="00D37035" w14:paraId="6BD9F24B" w14:textId="77777777" w:rsidTr="002664CC">
        <w:trPr>
          <w:trHeight w:val="300"/>
        </w:trPr>
        <w:tc>
          <w:tcPr>
            <w:tcW w:w="5002" w:type="dxa"/>
            <w:noWrap/>
            <w:hideMark/>
          </w:tcPr>
          <w:p w14:paraId="7313AAEF" w14:textId="77777777" w:rsidR="005665C4" w:rsidRPr="00D37035" w:rsidRDefault="005665C4" w:rsidP="002664CC">
            <w:pPr>
              <w:keepNext/>
              <w:rPr>
                <w:sz w:val="20"/>
                <w:szCs w:val="20"/>
              </w:rPr>
            </w:pPr>
            <w:r w:rsidRPr="00D37035">
              <w:rPr>
                <w:sz w:val="20"/>
                <w:szCs w:val="20"/>
              </w:rPr>
              <w:t>Psoriatic arthritis&gt;nr-</w:t>
            </w:r>
            <w:proofErr w:type="spellStart"/>
            <w:r w:rsidRPr="00D37035">
              <w:rPr>
                <w:sz w:val="20"/>
                <w:szCs w:val="20"/>
              </w:rPr>
              <w:t>axSpA</w:t>
            </w:r>
            <w:proofErr w:type="spellEnd"/>
          </w:p>
        </w:tc>
        <w:tc>
          <w:tcPr>
            <w:tcW w:w="1656" w:type="dxa"/>
            <w:noWrap/>
            <w:hideMark/>
          </w:tcPr>
          <w:p w14:paraId="549178F3" w14:textId="77777777" w:rsidR="005665C4" w:rsidRPr="00D37035" w:rsidRDefault="005665C4" w:rsidP="002664CC">
            <w:pPr>
              <w:keepNext/>
              <w:jc w:val="right"/>
              <w:rPr>
                <w:sz w:val="20"/>
                <w:szCs w:val="20"/>
              </w:rPr>
            </w:pPr>
            <w:r w:rsidRPr="00D37035">
              <w:rPr>
                <w:sz w:val="20"/>
                <w:szCs w:val="20"/>
              </w:rPr>
              <w:t>11</w:t>
            </w:r>
          </w:p>
        </w:tc>
      </w:tr>
      <w:tr w:rsidR="005665C4" w:rsidRPr="00D37035" w14:paraId="4A6273F2" w14:textId="77777777" w:rsidTr="002664CC">
        <w:trPr>
          <w:trHeight w:val="300"/>
        </w:trPr>
        <w:tc>
          <w:tcPr>
            <w:tcW w:w="5002" w:type="dxa"/>
            <w:noWrap/>
            <w:hideMark/>
          </w:tcPr>
          <w:p w14:paraId="2331164B" w14:textId="77777777" w:rsidR="005665C4" w:rsidRPr="00D37035" w:rsidRDefault="005665C4" w:rsidP="002664CC">
            <w:pPr>
              <w:keepNext/>
              <w:rPr>
                <w:sz w:val="20"/>
                <w:szCs w:val="20"/>
              </w:rPr>
            </w:pPr>
            <w:r w:rsidRPr="00D37035">
              <w:rPr>
                <w:sz w:val="20"/>
                <w:szCs w:val="20"/>
              </w:rPr>
              <w:t>Rheumatoid arthritis&gt;nr-</w:t>
            </w:r>
            <w:proofErr w:type="spellStart"/>
            <w:r w:rsidRPr="00D37035">
              <w:rPr>
                <w:sz w:val="20"/>
                <w:szCs w:val="20"/>
              </w:rPr>
              <w:t>axSpA</w:t>
            </w:r>
            <w:proofErr w:type="spellEnd"/>
          </w:p>
        </w:tc>
        <w:tc>
          <w:tcPr>
            <w:tcW w:w="1656" w:type="dxa"/>
            <w:noWrap/>
            <w:hideMark/>
          </w:tcPr>
          <w:p w14:paraId="2D30F637" w14:textId="77777777" w:rsidR="005665C4" w:rsidRPr="00D37035" w:rsidRDefault="005665C4" w:rsidP="002664CC">
            <w:pPr>
              <w:keepNext/>
              <w:jc w:val="right"/>
              <w:rPr>
                <w:sz w:val="20"/>
                <w:szCs w:val="20"/>
              </w:rPr>
            </w:pPr>
            <w:r w:rsidRPr="00D37035">
              <w:rPr>
                <w:sz w:val="20"/>
                <w:szCs w:val="20"/>
              </w:rPr>
              <w:t>10</w:t>
            </w:r>
          </w:p>
        </w:tc>
      </w:tr>
      <w:tr w:rsidR="005665C4" w:rsidRPr="00D37035" w14:paraId="57C7C3A2" w14:textId="77777777" w:rsidTr="002664CC">
        <w:trPr>
          <w:trHeight w:val="300"/>
        </w:trPr>
        <w:tc>
          <w:tcPr>
            <w:tcW w:w="5002" w:type="dxa"/>
            <w:noWrap/>
            <w:hideMark/>
          </w:tcPr>
          <w:p w14:paraId="3E06EE32" w14:textId="77777777" w:rsidR="005665C4" w:rsidRPr="00D37035" w:rsidRDefault="005665C4" w:rsidP="002664CC">
            <w:pPr>
              <w:keepNext/>
              <w:rPr>
                <w:sz w:val="20"/>
                <w:szCs w:val="20"/>
              </w:rPr>
            </w:pPr>
            <w:r w:rsidRPr="00D37035">
              <w:rPr>
                <w:sz w:val="20"/>
                <w:szCs w:val="20"/>
              </w:rPr>
              <w:t>nr-</w:t>
            </w:r>
            <w:proofErr w:type="spellStart"/>
            <w:r w:rsidRPr="00D37035">
              <w:rPr>
                <w:sz w:val="20"/>
                <w:szCs w:val="20"/>
              </w:rPr>
              <w:t>axSpA</w:t>
            </w:r>
            <w:proofErr w:type="spellEnd"/>
            <w:r w:rsidRPr="00D37035">
              <w:rPr>
                <w:sz w:val="20"/>
                <w:szCs w:val="20"/>
              </w:rPr>
              <w:t>&gt;Psoriatic arthritis</w:t>
            </w:r>
          </w:p>
        </w:tc>
        <w:tc>
          <w:tcPr>
            <w:tcW w:w="1656" w:type="dxa"/>
            <w:noWrap/>
            <w:hideMark/>
          </w:tcPr>
          <w:p w14:paraId="2AECC17E" w14:textId="77777777" w:rsidR="005665C4" w:rsidRPr="00D37035" w:rsidRDefault="005665C4" w:rsidP="002664CC">
            <w:pPr>
              <w:keepNext/>
              <w:jc w:val="right"/>
              <w:rPr>
                <w:sz w:val="20"/>
                <w:szCs w:val="20"/>
              </w:rPr>
            </w:pPr>
            <w:r w:rsidRPr="00D37035">
              <w:rPr>
                <w:sz w:val="20"/>
                <w:szCs w:val="20"/>
              </w:rPr>
              <w:t>10</w:t>
            </w:r>
          </w:p>
        </w:tc>
      </w:tr>
      <w:tr w:rsidR="005665C4" w:rsidRPr="00D37035" w14:paraId="783E65E4" w14:textId="77777777" w:rsidTr="002664CC">
        <w:trPr>
          <w:trHeight w:val="300"/>
        </w:trPr>
        <w:tc>
          <w:tcPr>
            <w:tcW w:w="5002" w:type="dxa"/>
            <w:noWrap/>
            <w:hideMark/>
          </w:tcPr>
          <w:p w14:paraId="25A8F4EC" w14:textId="77777777" w:rsidR="005665C4" w:rsidRPr="00D37035" w:rsidRDefault="005665C4" w:rsidP="002664CC">
            <w:pPr>
              <w:rPr>
                <w:sz w:val="20"/>
                <w:szCs w:val="20"/>
              </w:rPr>
            </w:pPr>
            <w:r w:rsidRPr="00D37035">
              <w:rPr>
                <w:sz w:val="20"/>
                <w:szCs w:val="20"/>
              </w:rPr>
              <w:t>nr-</w:t>
            </w:r>
            <w:proofErr w:type="spellStart"/>
            <w:r w:rsidRPr="00D37035">
              <w:rPr>
                <w:sz w:val="20"/>
                <w:szCs w:val="20"/>
              </w:rPr>
              <w:t>axSpA</w:t>
            </w:r>
            <w:proofErr w:type="spellEnd"/>
            <w:r w:rsidRPr="00D37035">
              <w:rPr>
                <w:sz w:val="20"/>
                <w:szCs w:val="20"/>
              </w:rPr>
              <w:t>&gt;Rheumatoid arthritis</w:t>
            </w:r>
          </w:p>
        </w:tc>
        <w:tc>
          <w:tcPr>
            <w:tcW w:w="1656" w:type="dxa"/>
            <w:noWrap/>
            <w:hideMark/>
          </w:tcPr>
          <w:p w14:paraId="5DC8B7C2" w14:textId="77777777" w:rsidR="005665C4" w:rsidRPr="00D37035" w:rsidRDefault="005665C4" w:rsidP="002664CC">
            <w:pPr>
              <w:jc w:val="right"/>
              <w:rPr>
                <w:sz w:val="20"/>
                <w:szCs w:val="20"/>
              </w:rPr>
            </w:pPr>
            <w:r w:rsidRPr="00D37035">
              <w:rPr>
                <w:sz w:val="20"/>
                <w:szCs w:val="20"/>
              </w:rPr>
              <w:t>9</w:t>
            </w:r>
          </w:p>
        </w:tc>
      </w:tr>
    </w:tbl>
    <w:p w14:paraId="0CD7C28F" w14:textId="77777777" w:rsidR="005665C4" w:rsidRDefault="005665C4" w:rsidP="005665C4"/>
    <w:p w14:paraId="4C4F9CA0" w14:textId="77777777" w:rsidR="005665C4" w:rsidRDefault="005665C4" w:rsidP="005665C4">
      <w:r>
        <w:t>For</w:t>
      </w:r>
      <w:r w:rsidRPr="00D37035">
        <w:t xml:space="preserve"> the patients who were supplied golimumab, certolizumab pegol or </w:t>
      </w:r>
      <w:proofErr w:type="spellStart"/>
      <w:r w:rsidRPr="00D37035">
        <w:t>secukinumab</w:t>
      </w:r>
      <w:proofErr w:type="spellEnd"/>
      <w:r w:rsidRPr="00D37035">
        <w:t xml:space="preserve"> under a PBS item code for nr-</w:t>
      </w:r>
      <w:proofErr w:type="spellStart"/>
      <w:r w:rsidRPr="00D37035">
        <w:t>axSpA</w:t>
      </w:r>
      <w:proofErr w:type="spellEnd"/>
      <w:r w:rsidRPr="00D37035">
        <w:t>, the top 10 indication sequences, as determined from PBS item code, is below.</w:t>
      </w:r>
      <w:r>
        <w:t xml:space="preserve"> </w:t>
      </w:r>
      <w:r w:rsidRPr="00FB1101">
        <w:t xml:space="preserve">Note that of the </w:t>
      </w:r>
      <w:r>
        <w:t>960</w:t>
      </w:r>
      <w:r w:rsidRPr="00FB1101">
        <w:t xml:space="preserve"> patients supplied </w:t>
      </w:r>
      <w:r>
        <w:t>one of these three medicines</w:t>
      </w:r>
      <w:r w:rsidRPr="00FB1101">
        <w:t xml:space="preserve"> for nr-</w:t>
      </w:r>
      <w:proofErr w:type="spellStart"/>
      <w:r w:rsidRPr="00FB1101">
        <w:t>axSpA</w:t>
      </w:r>
      <w:proofErr w:type="spellEnd"/>
      <w:r w:rsidRPr="00FB1101">
        <w:t xml:space="preserve"> between December 2018 and June 2021, </w:t>
      </w:r>
      <w:r>
        <w:t>790</w:t>
      </w:r>
      <w:r w:rsidRPr="00FB1101">
        <w:t xml:space="preserve"> patients are included in the top 10 indication sequences.</w:t>
      </w:r>
    </w:p>
    <w:p w14:paraId="25387434" w14:textId="77777777" w:rsidR="005665C4" w:rsidRDefault="005665C4" w:rsidP="005665C4">
      <w:pPr>
        <w:pStyle w:val="Tabletitle"/>
      </w:pPr>
      <w:r w:rsidRPr="00CB20D7">
        <w:t xml:space="preserve">Table </w:t>
      </w:r>
      <w:r>
        <w:t>7</w:t>
      </w:r>
      <w:r w:rsidRPr="00CB20D7">
        <w:t xml:space="preserve">: Top 10 </w:t>
      </w:r>
      <w:r>
        <w:t>indication</w:t>
      </w:r>
      <w:r w:rsidRPr="00CB20D7">
        <w:t xml:space="preserve"> sequences for nr-</w:t>
      </w:r>
      <w:proofErr w:type="spellStart"/>
      <w:r w:rsidRPr="00CB20D7">
        <w:t>axSpA</w:t>
      </w:r>
      <w:proofErr w:type="spellEnd"/>
      <w:r w:rsidRPr="00CB20D7">
        <w:t xml:space="preserve"> medicines</w:t>
      </w:r>
    </w:p>
    <w:tbl>
      <w:tblPr>
        <w:tblW w:w="6360" w:type="dxa"/>
        <w:tblLook w:val="04A0" w:firstRow="1" w:lastRow="0" w:firstColumn="1" w:lastColumn="0" w:noHBand="0" w:noVBand="1"/>
      </w:tblPr>
      <w:tblGrid>
        <w:gridCol w:w="5400"/>
        <w:gridCol w:w="960"/>
      </w:tblGrid>
      <w:tr w:rsidR="005665C4" w:rsidRPr="00D37035" w14:paraId="3B088398" w14:textId="77777777" w:rsidTr="002664CC">
        <w:trPr>
          <w:trHeight w:val="300"/>
        </w:trPr>
        <w:tc>
          <w:tcPr>
            <w:tcW w:w="5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1CEACB6" w14:textId="77777777" w:rsidR="005665C4" w:rsidRPr="00D37035" w:rsidRDefault="005665C4" w:rsidP="002664CC">
            <w:pPr>
              <w:spacing w:after="0"/>
              <w:rPr>
                <w:rFonts w:ascii="Calibri" w:eastAsia="Times New Roman" w:hAnsi="Calibri" w:cs="Calibri"/>
                <w:b/>
                <w:bCs/>
                <w:color w:val="000000"/>
                <w:sz w:val="20"/>
                <w:szCs w:val="20"/>
              </w:rPr>
            </w:pPr>
            <w:r w:rsidRPr="00D37035">
              <w:rPr>
                <w:rFonts w:ascii="Calibri" w:eastAsia="Times New Roman" w:hAnsi="Calibri" w:cs="Calibri"/>
                <w:b/>
                <w:bCs/>
                <w:color w:val="000000"/>
                <w:sz w:val="20"/>
                <w:szCs w:val="20"/>
              </w:rPr>
              <w:t>Indication sequence</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0C46FF8" w14:textId="77777777" w:rsidR="005665C4" w:rsidRPr="00D37035" w:rsidRDefault="005665C4" w:rsidP="002664CC">
            <w:pPr>
              <w:spacing w:after="0"/>
              <w:rPr>
                <w:rFonts w:ascii="Calibri" w:eastAsia="Times New Roman" w:hAnsi="Calibri" w:cs="Calibri"/>
                <w:b/>
                <w:bCs/>
                <w:color w:val="000000"/>
                <w:sz w:val="20"/>
                <w:szCs w:val="20"/>
              </w:rPr>
            </w:pPr>
            <w:r w:rsidRPr="00D37035">
              <w:rPr>
                <w:rFonts w:ascii="Calibri" w:eastAsia="Times New Roman" w:hAnsi="Calibri" w:cs="Calibri"/>
                <w:b/>
                <w:bCs/>
                <w:color w:val="000000"/>
                <w:sz w:val="20"/>
                <w:szCs w:val="20"/>
              </w:rPr>
              <w:t>Count patients</w:t>
            </w:r>
          </w:p>
        </w:tc>
      </w:tr>
      <w:tr w:rsidR="005665C4" w:rsidRPr="00D37035" w14:paraId="485A5B8D"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0AD2A6C"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nr-</w:t>
            </w:r>
            <w:proofErr w:type="spellStart"/>
            <w:r w:rsidRPr="00D37035">
              <w:rPr>
                <w:rFonts w:ascii="Calibri" w:eastAsia="Times New Roman" w:hAnsi="Calibri" w:cs="Calibri"/>
                <w:color w:val="000000"/>
                <w:sz w:val="20"/>
                <w:szCs w:val="20"/>
              </w:rPr>
              <w:t>axSpA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E4140A9"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470</w:t>
            </w:r>
          </w:p>
        </w:tc>
      </w:tr>
      <w:tr w:rsidR="005665C4" w:rsidRPr="00D37035" w14:paraId="33624DEC"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D7706FD"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Rheumatoid arthritis&gt;nr-</w:t>
            </w:r>
            <w:proofErr w:type="spellStart"/>
            <w:r w:rsidRPr="00D37035">
              <w:rPr>
                <w:rFonts w:ascii="Calibri" w:eastAsia="Times New Roman" w:hAnsi="Calibri" w:cs="Calibri"/>
                <w:color w:val="000000"/>
                <w:sz w:val="20"/>
                <w:szCs w:val="20"/>
              </w:rPr>
              <w:t>axSpA</w:t>
            </w:r>
            <w:proofErr w:type="spellEnd"/>
            <w:r w:rsidRPr="00D37035">
              <w:rPr>
                <w:rFonts w:ascii="Calibri" w:eastAsia="Times New Roman" w:hAnsi="Calibri" w:cs="Calibri"/>
                <w:color w:val="000000"/>
                <w:sz w:val="20"/>
                <w:szCs w:val="20"/>
              </w:rPr>
              <w:t>&gt;Rheumatoid arthritis</w:t>
            </w:r>
          </w:p>
        </w:tc>
        <w:tc>
          <w:tcPr>
            <w:tcW w:w="960" w:type="dxa"/>
            <w:tcBorders>
              <w:top w:val="nil"/>
              <w:left w:val="nil"/>
              <w:bottom w:val="single" w:sz="4" w:space="0" w:color="auto"/>
              <w:right w:val="single" w:sz="4" w:space="0" w:color="auto"/>
            </w:tcBorders>
            <w:shd w:val="clear" w:color="auto" w:fill="auto"/>
            <w:noWrap/>
            <w:vAlign w:val="bottom"/>
            <w:hideMark/>
          </w:tcPr>
          <w:p w14:paraId="6A53FEC9"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73</w:t>
            </w:r>
          </w:p>
        </w:tc>
      </w:tr>
      <w:tr w:rsidR="005665C4" w:rsidRPr="00D37035" w14:paraId="4E734EA7"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D541599"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Ankylosing spondylitis&gt;nr-</w:t>
            </w:r>
            <w:proofErr w:type="spellStart"/>
            <w:r w:rsidRPr="00D37035">
              <w:rPr>
                <w:rFonts w:ascii="Calibri" w:eastAsia="Times New Roman" w:hAnsi="Calibri" w:cs="Calibri"/>
                <w:color w:val="000000"/>
                <w:sz w:val="20"/>
                <w:szCs w:val="20"/>
              </w:rPr>
              <w:t>axSpA</w:t>
            </w:r>
            <w:proofErr w:type="spellEnd"/>
            <w:r w:rsidRPr="00D37035">
              <w:rPr>
                <w:rFonts w:ascii="Calibri" w:eastAsia="Times New Roman" w:hAnsi="Calibri" w:cs="Calibri"/>
                <w:color w:val="000000"/>
                <w:sz w:val="20"/>
                <w:szCs w:val="20"/>
              </w:rPr>
              <w:t>&gt;Ankylosing spondylitis</w:t>
            </w:r>
          </w:p>
        </w:tc>
        <w:tc>
          <w:tcPr>
            <w:tcW w:w="960" w:type="dxa"/>
            <w:tcBorders>
              <w:top w:val="nil"/>
              <w:left w:val="nil"/>
              <w:bottom w:val="single" w:sz="4" w:space="0" w:color="auto"/>
              <w:right w:val="single" w:sz="4" w:space="0" w:color="auto"/>
            </w:tcBorders>
            <w:shd w:val="clear" w:color="auto" w:fill="auto"/>
            <w:noWrap/>
            <w:vAlign w:val="bottom"/>
            <w:hideMark/>
          </w:tcPr>
          <w:p w14:paraId="7DCD77A1"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58</w:t>
            </w:r>
          </w:p>
        </w:tc>
      </w:tr>
      <w:tr w:rsidR="005665C4" w:rsidRPr="00D37035" w14:paraId="0D5B34AB"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389D3D8D"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Psoriatic arthritis&gt;nr-</w:t>
            </w:r>
            <w:proofErr w:type="spellStart"/>
            <w:r w:rsidRPr="00D37035">
              <w:rPr>
                <w:rFonts w:ascii="Calibri" w:eastAsia="Times New Roman" w:hAnsi="Calibri" w:cs="Calibri"/>
                <w:color w:val="000000"/>
                <w:sz w:val="20"/>
                <w:szCs w:val="20"/>
              </w:rPr>
              <w:t>axSpA</w:t>
            </w:r>
            <w:proofErr w:type="spellEnd"/>
            <w:r w:rsidRPr="00D37035">
              <w:rPr>
                <w:rFonts w:ascii="Calibri" w:eastAsia="Times New Roman" w:hAnsi="Calibri" w:cs="Calibri"/>
                <w:color w:val="000000"/>
                <w:sz w:val="20"/>
                <w:szCs w:val="20"/>
              </w:rPr>
              <w:t>&gt;Psoriatic arthritis</w:t>
            </w:r>
          </w:p>
        </w:tc>
        <w:tc>
          <w:tcPr>
            <w:tcW w:w="960" w:type="dxa"/>
            <w:tcBorders>
              <w:top w:val="nil"/>
              <w:left w:val="nil"/>
              <w:bottom w:val="single" w:sz="4" w:space="0" w:color="auto"/>
              <w:right w:val="single" w:sz="4" w:space="0" w:color="auto"/>
            </w:tcBorders>
            <w:shd w:val="clear" w:color="auto" w:fill="auto"/>
            <w:noWrap/>
            <w:vAlign w:val="bottom"/>
            <w:hideMark/>
          </w:tcPr>
          <w:p w14:paraId="034F1EBF"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52</w:t>
            </w:r>
          </w:p>
        </w:tc>
      </w:tr>
      <w:tr w:rsidR="005665C4" w:rsidRPr="00D37035" w14:paraId="6249ECDB"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7F004F33"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Ankylosing spondylitis&gt;nr-</w:t>
            </w:r>
            <w:proofErr w:type="spellStart"/>
            <w:r w:rsidRPr="00D37035">
              <w:rPr>
                <w:rFonts w:ascii="Calibri" w:eastAsia="Times New Roman" w:hAnsi="Calibri" w:cs="Calibri"/>
                <w:color w:val="000000"/>
                <w:sz w:val="20"/>
                <w:szCs w:val="20"/>
              </w:rPr>
              <w:t>axSpA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9EB4885"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37</w:t>
            </w:r>
          </w:p>
        </w:tc>
      </w:tr>
      <w:tr w:rsidR="005665C4" w:rsidRPr="00D37035" w14:paraId="45186376"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91085E5"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Rheumatoid arthritis&gt;nr-</w:t>
            </w:r>
            <w:proofErr w:type="spellStart"/>
            <w:r w:rsidRPr="00D37035">
              <w:rPr>
                <w:rFonts w:ascii="Calibri" w:eastAsia="Times New Roman" w:hAnsi="Calibri" w:cs="Calibri"/>
                <w:color w:val="000000"/>
                <w:sz w:val="20"/>
                <w:szCs w:val="20"/>
              </w:rPr>
              <w:t>axSpA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9ED7118"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26</w:t>
            </w:r>
          </w:p>
        </w:tc>
      </w:tr>
      <w:tr w:rsidR="005665C4" w:rsidRPr="00D37035" w14:paraId="5562F55B"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3AC731E"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nr-</w:t>
            </w:r>
            <w:proofErr w:type="spellStart"/>
            <w:r w:rsidRPr="00D37035">
              <w:rPr>
                <w:rFonts w:ascii="Calibri" w:eastAsia="Times New Roman" w:hAnsi="Calibri" w:cs="Calibri"/>
                <w:color w:val="000000"/>
                <w:sz w:val="20"/>
                <w:szCs w:val="20"/>
              </w:rPr>
              <w:t>axSpA</w:t>
            </w:r>
            <w:proofErr w:type="spellEnd"/>
            <w:r w:rsidRPr="00D37035">
              <w:rPr>
                <w:rFonts w:ascii="Calibri" w:eastAsia="Times New Roman" w:hAnsi="Calibri" w:cs="Calibri"/>
                <w:color w:val="000000"/>
                <w:sz w:val="20"/>
                <w:szCs w:val="20"/>
              </w:rPr>
              <w:t>&gt;Ankylosing spondylitis</w:t>
            </w:r>
          </w:p>
        </w:tc>
        <w:tc>
          <w:tcPr>
            <w:tcW w:w="960" w:type="dxa"/>
            <w:tcBorders>
              <w:top w:val="nil"/>
              <w:left w:val="nil"/>
              <w:bottom w:val="single" w:sz="4" w:space="0" w:color="auto"/>
              <w:right w:val="single" w:sz="4" w:space="0" w:color="auto"/>
            </w:tcBorders>
            <w:shd w:val="clear" w:color="auto" w:fill="auto"/>
            <w:noWrap/>
            <w:vAlign w:val="bottom"/>
            <w:hideMark/>
          </w:tcPr>
          <w:p w14:paraId="19C92A28"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26</w:t>
            </w:r>
          </w:p>
        </w:tc>
      </w:tr>
      <w:tr w:rsidR="005665C4" w:rsidRPr="00D37035" w14:paraId="40C1334A"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06B8012"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Psoriatic arthritis&gt;nr-</w:t>
            </w:r>
            <w:proofErr w:type="spellStart"/>
            <w:r w:rsidRPr="00D37035">
              <w:rPr>
                <w:rFonts w:ascii="Calibri" w:eastAsia="Times New Roman" w:hAnsi="Calibri" w:cs="Calibri"/>
                <w:color w:val="000000"/>
                <w:sz w:val="20"/>
                <w:szCs w:val="20"/>
              </w:rPr>
              <w:t>axSpA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71D0E7A"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17</w:t>
            </w:r>
          </w:p>
        </w:tc>
      </w:tr>
      <w:tr w:rsidR="005665C4" w:rsidRPr="00D37035" w14:paraId="6D3DFF38"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ED976F9"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nr-</w:t>
            </w:r>
            <w:proofErr w:type="spellStart"/>
            <w:r w:rsidRPr="00D37035">
              <w:rPr>
                <w:rFonts w:ascii="Calibri" w:eastAsia="Times New Roman" w:hAnsi="Calibri" w:cs="Calibri"/>
                <w:color w:val="000000"/>
                <w:sz w:val="20"/>
                <w:szCs w:val="20"/>
              </w:rPr>
              <w:t>axSpA</w:t>
            </w:r>
            <w:proofErr w:type="spellEnd"/>
            <w:r w:rsidRPr="00D37035">
              <w:rPr>
                <w:rFonts w:ascii="Calibri" w:eastAsia="Times New Roman" w:hAnsi="Calibri" w:cs="Calibri"/>
                <w:color w:val="000000"/>
                <w:sz w:val="20"/>
                <w:szCs w:val="20"/>
              </w:rPr>
              <w:t>&gt;Psoriatic arthritis</w:t>
            </w:r>
          </w:p>
        </w:tc>
        <w:tc>
          <w:tcPr>
            <w:tcW w:w="960" w:type="dxa"/>
            <w:tcBorders>
              <w:top w:val="nil"/>
              <w:left w:val="nil"/>
              <w:bottom w:val="single" w:sz="4" w:space="0" w:color="auto"/>
              <w:right w:val="single" w:sz="4" w:space="0" w:color="auto"/>
            </w:tcBorders>
            <w:shd w:val="clear" w:color="auto" w:fill="auto"/>
            <w:noWrap/>
            <w:vAlign w:val="bottom"/>
            <w:hideMark/>
          </w:tcPr>
          <w:p w14:paraId="07B6072D"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16</w:t>
            </w:r>
          </w:p>
        </w:tc>
      </w:tr>
      <w:tr w:rsidR="005665C4" w:rsidRPr="00D37035" w14:paraId="1560CA07" w14:textId="77777777" w:rsidTr="002664CC">
        <w:trPr>
          <w:trHeight w:val="300"/>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7E74F82F" w14:textId="77777777" w:rsidR="005665C4" w:rsidRPr="00D37035" w:rsidRDefault="005665C4" w:rsidP="002664CC">
            <w:pPr>
              <w:spacing w:after="0"/>
              <w:rPr>
                <w:rFonts w:ascii="Calibri" w:eastAsia="Times New Roman" w:hAnsi="Calibri" w:cs="Calibri"/>
                <w:color w:val="000000"/>
                <w:sz w:val="20"/>
                <w:szCs w:val="20"/>
              </w:rPr>
            </w:pPr>
            <w:r w:rsidRPr="00D37035">
              <w:rPr>
                <w:rFonts w:ascii="Calibri" w:eastAsia="Times New Roman" w:hAnsi="Calibri" w:cs="Calibri"/>
                <w:color w:val="000000"/>
                <w:sz w:val="20"/>
                <w:szCs w:val="20"/>
              </w:rPr>
              <w:t>nr-</w:t>
            </w:r>
            <w:proofErr w:type="spellStart"/>
            <w:r w:rsidRPr="00D37035">
              <w:rPr>
                <w:rFonts w:ascii="Calibri" w:eastAsia="Times New Roman" w:hAnsi="Calibri" w:cs="Calibri"/>
                <w:color w:val="000000"/>
                <w:sz w:val="20"/>
                <w:szCs w:val="20"/>
              </w:rPr>
              <w:t>axSpA</w:t>
            </w:r>
            <w:proofErr w:type="spellEnd"/>
            <w:r w:rsidRPr="00D37035">
              <w:rPr>
                <w:rFonts w:ascii="Calibri" w:eastAsia="Times New Roman" w:hAnsi="Calibri" w:cs="Calibri"/>
                <w:color w:val="000000"/>
                <w:sz w:val="20"/>
                <w:szCs w:val="20"/>
              </w:rPr>
              <w:t>&gt;Rheumatoid arthritis</w:t>
            </w:r>
          </w:p>
        </w:tc>
        <w:tc>
          <w:tcPr>
            <w:tcW w:w="960" w:type="dxa"/>
            <w:tcBorders>
              <w:top w:val="nil"/>
              <w:left w:val="nil"/>
              <w:bottom w:val="single" w:sz="4" w:space="0" w:color="auto"/>
              <w:right w:val="single" w:sz="4" w:space="0" w:color="auto"/>
            </w:tcBorders>
            <w:shd w:val="clear" w:color="auto" w:fill="auto"/>
            <w:noWrap/>
            <w:vAlign w:val="bottom"/>
            <w:hideMark/>
          </w:tcPr>
          <w:p w14:paraId="68621231" w14:textId="77777777" w:rsidR="005665C4" w:rsidRPr="00D37035" w:rsidRDefault="005665C4" w:rsidP="002664CC">
            <w:pPr>
              <w:spacing w:after="0"/>
              <w:jc w:val="right"/>
              <w:rPr>
                <w:rFonts w:ascii="Calibri" w:eastAsia="Times New Roman" w:hAnsi="Calibri" w:cs="Calibri"/>
                <w:color w:val="000000"/>
                <w:sz w:val="20"/>
                <w:szCs w:val="20"/>
              </w:rPr>
            </w:pPr>
            <w:r w:rsidRPr="00D37035">
              <w:rPr>
                <w:rFonts w:ascii="Calibri" w:eastAsia="Times New Roman" w:hAnsi="Calibri" w:cs="Calibri"/>
                <w:color w:val="000000"/>
                <w:sz w:val="20"/>
                <w:szCs w:val="20"/>
              </w:rPr>
              <w:t>15</w:t>
            </w:r>
          </w:p>
        </w:tc>
      </w:tr>
    </w:tbl>
    <w:p w14:paraId="3D333B6B" w14:textId="77777777" w:rsidR="005665C4" w:rsidRDefault="005665C4" w:rsidP="005665C4"/>
    <w:p w14:paraId="6C40EFF1" w14:textId="77777777" w:rsidR="00EF713B" w:rsidRDefault="00EF713B">
      <w:pPr>
        <w:spacing w:line="276" w:lineRule="auto"/>
      </w:pPr>
      <w:r>
        <w:br w:type="page"/>
      </w:r>
    </w:p>
    <w:p w14:paraId="717B5FA5" w14:textId="5783898E" w:rsidR="005665C4" w:rsidRPr="00412D1C" w:rsidRDefault="005665C4" w:rsidP="00EF713B">
      <w:pPr>
        <w:spacing w:after="0"/>
      </w:pPr>
      <w:r>
        <w:lastRenderedPageBreak/>
        <w:t>Overall:</w:t>
      </w:r>
    </w:p>
    <w:p w14:paraId="25112CBD" w14:textId="77777777" w:rsidR="005665C4" w:rsidRDefault="005665C4" w:rsidP="005665C4">
      <w:pPr>
        <w:pStyle w:val="ListParagraph"/>
        <w:numPr>
          <w:ilvl w:val="0"/>
          <w:numId w:val="9"/>
        </w:numPr>
      </w:pPr>
      <w:r>
        <w:t>A total of 696</w:t>
      </w:r>
      <w:r w:rsidRPr="003E51AC">
        <w:t xml:space="preserve"> patients </w:t>
      </w:r>
      <w:r>
        <w:t>were</w:t>
      </w:r>
      <w:r w:rsidRPr="003E51AC">
        <w:t xml:space="preserve"> supplied golimumab under a PBS item code for nr</w:t>
      </w:r>
      <w:r>
        <w:noBreakHyphen/>
      </w:r>
      <w:proofErr w:type="spellStart"/>
      <w:r w:rsidRPr="003E51AC">
        <w:t>axSp</w:t>
      </w:r>
      <w:r>
        <w:t>A</w:t>
      </w:r>
      <w:proofErr w:type="spellEnd"/>
      <w:r w:rsidRPr="003E51AC">
        <w:t>.</w:t>
      </w:r>
      <w:r w:rsidRPr="00903EAA">
        <w:t xml:space="preserve"> </w:t>
      </w:r>
      <w:r>
        <w:t>Of these 696 patients:</w:t>
      </w:r>
    </w:p>
    <w:p w14:paraId="1EEE0270" w14:textId="77777777" w:rsidR="005665C4" w:rsidRDefault="005665C4" w:rsidP="005665C4">
      <w:pPr>
        <w:pStyle w:val="ListParagraph"/>
        <w:numPr>
          <w:ilvl w:val="1"/>
          <w:numId w:val="10"/>
        </w:numPr>
      </w:pPr>
      <w:r>
        <w:t>377 were not supplied golimumab under a PBS item code for a different indication.</w:t>
      </w:r>
    </w:p>
    <w:p w14:paraId="2BE049DF" w14:textId="77777777" w:rsidR="005665C4" w:rsidRDefault="005665C4" w:rsidP="005665C4">
      <w:pPr>
        <w:pStyle w:val="ListParagraph"/>
        <w:numPr>
          <w:ilvl w:val="1"/>
          <w:numId w:val="10"/>
        </w:numPr>
      </w:pPr>
      <w:r>
        <w:t>428 were supplied golimumab for nr-</w:t>
      </w:r>
      <w:proofErr w:type="spellStart"/>
      <w:r>
        <w:t>axSpA</w:t>
      </w:r>
      <w:proofErr w:type="spellEnd"/>
      <w:r>
        <w:t xml:space="preserve"> before other indications. </w:t>
      </w:r>
    </w:p>
    <w:p w14:paraId="567EB8EA" w14:textId="77777777" w:rsidR="005665C4" w:rsidRDefault="005665C4" w:rsidP="005665C4">
      <w:pPr>
        <w:pStyle w:val="ListParagraph"/>
        <w:numPr>
          <w:ilvl w:val="0"/>
          <w:numId w:val="9"/>
        </w:numPr>
      </w:pPr>
      <w:r>
        <w:t xml:space="preserve">A total of 960 </w:t>
      </w:r>
      <w:r w:rsidRPr="003E51AC">
        <w:t xml:space="preserve">patients </w:t>
      </w:r>
      <w:r>
        <w:t>were</w:t>
      </w:r>
      <w:r w:rsidRPr="003E51AC">
        <w:t xml:space="preserve"> supplied golimumab</w:t>
      </w:r>
      <w:r>
        <w:t xml:space="preserve">, certolizumab pegol or </w:t>
      </w:r>
      <w:proofErr w:type="spellStart"/>
      <w:r>
        <w:t>secukinumab</w:t>
      </w:r>
      <w:proofErr w:type="spellEnd"/>
      <w:r w:rsidRPr="003E51AC">
        <w:t xml:space="preserve"> under a PBS item code for nr-</w:t>
      </w:r>
      <w:proofErr w:type="spellStart"/>
      <w:r w:rsidRPr="003E51AC">
        <w:t>axSp</w:t>
      </w:r>
      <w:r>
        <w:t>A</w:t>
      </w:r>
      <w:proofErr w:type="spellEnd"/>
      <w:r w:rsidRPr="003E51AC">
        <w:t>.</w:t>
      </w:r>
      <w:r w:rsidRPr="00903EAA">
        <w:t xml:space="preserve"> </w:t>
      </w:r>
      <w:r w:rsidRPr="003E51AC">
        <w:t>Of these patients</w:t>
      </w:r>
      <w:r>
        <w:t>:</w:t>
      </w:r>
    </w:p>
    <w:p w14:paraId="5688DF18" w14:textId="77777777" w:rsidR="005665C4" w:rsidRDefault="005665C4" w:rsidP="005665C4">
      <w:pPr>
        <w:pStyle w:val="ListParagraph"/>
        <w:numPr>
          <w:ilvl w:val="1"/>
          <w:numId w:val="11"/>
        </w:numPr>
      </w:pPr>
      <w:r>
        <w:t>470</w:t>
      </w:r>
      <w:r w:rsidRPr="003E51AC">
        <w:t xml:space="preserve"> </w:t>
      </w:r>
      <w:r>
        <w:t>were</w:t>
      </w:r>
      <w:r w:rsidRPr="003E51AC">
        <w:t xml:space="preserve"> not been supplied </w:t>
      </w:r>
      <w:r>
        <w:t>any of these medicines</w:t>
      </w:r>
      <w:r w:rsidRPr="003E51AC">
        <w:t xml:space="preserve"> under a PBS item code for a different indication.</w:t>
      </w:r>
    </w:p>
    <w:p w14:paraId="5BE37FBF" w14:textId="77777777" w:rsidR="005665C4" w:rsidRPr="003E51AC" w:rsidRDefault="005665C4" w:rsidP="005665C4">
      <w:pPr>
        <w:pStyle w:val="ListParagraph"/>
        <w:numPr>
          <w:ilvl w:val="1"/>
          <w:numId w:val="11"/>
        </w:numPr>
      </w:pPr>
      <w:r>
        <w:t>562</w:t>
      </w:r>
      <w:r w:rsidRPr="00FB1101">
        <w:t xml:space="preserve"> </w:t>
      </w:r>
      <w:r>
        <w:t xml:space="preserve">patients </w:t>
      </w:r>
      <w:r w:rsidRPr="00FB1101">
        <w:t xml:space="preserve">were supplied </w:t>
      </w:r>
      <w:r>
        <w:t>one of these medicines</w:t>
      </w:r>
      <w:r w:rsidRPr="00FB1101">
        <w:t xml:space="preserve"> for nr-</w:t>
      </w:r>
      <w:proofErr w:type="spellStart"/>
      <w:r w:rsidRPr="00FB1101">
        <w:t>axSpA</w:t>
      </w:r>
      <w:proofErr w:type="spellEnd"/>
      <w:r w:rsidRPr="00FB1101">
        <w:t xml:space="preserve"> before other indications.</w:t>
      </w:r>
    </w:p>
    <w:p w14:paraId="41A8AF08" w14:textId="77777777" w:rsidR="005665C4" w:rsidRPr="003E51AC" w:rsidRDefault="005665C4" w:rsidP="005665C4">
      <w:pPr>
        <w:pStyle w:val="ListParagraph"/>
      </w:pPr>
    </w:p>
    <w:p w14:paraId="7F4FAE47" w14:textId="77777777" w:rsidR="005665C4" w:rsidRPr="00CB20D7" w:rsidRDefault="005665C4" w:rsidP="005665C4">
      <w:pPr>
        <w:pStyle w:val="Heading3"/>
      </w:pPr>
      <w:r w:rsidRPr="00CB20D7">
        <w:t>Medicine sequence</w:t>
      </w:r>
    </w:p>
    <w:p w14:paraId="2EDDDAF9" w14:textId="77777777" w:rsidR="005665C4" w:rsidRDefault="005665C4" w:rsidP="005665C4">
      <w:r w:rsidRPr="00FB1101">
        <w:t xml:space="preserve">For the patients who were supplied golimumab, certolizumab pegol or </w:t>
      </w:r>
      <w:proofErr w:type="spellStart"/>
      <w:r w:rsidRPr="00FB1101">
        <w:t>secukinumab</w:t>
      </w:r>
      <w:proofErr w:type="spellEnd"/>
      <w:r w:rsidRPr="00FB1101">
        <w:t xml:space="preserve"> under a PBS item code for nr-</w:t>
      </w:r>
      <w:proofErr w:type="spellStart"/>
      <w:r w:rsidRPr="00FB1101">
        <w:t>axSpA</w:t>
      </w:r>
      <w:proofErr w:type="spellEnd"/>
      <w:r w:rsidRPr="00FB1101">
        <w:t xml:space="preserve">, the top 10 </w:t>
      </w:r>
      <w:r>
        <w:t>medicine</w:t>
      </w:r>
      <w:r w:rsidRPr="00FB1101">
        <w:t xml:space="preserve"> sequences</w:t>
      </w:r>
      <w:r>
        <w:t xml:space="preserve"> for any indication from 1 December 2016</w:t>
      </w:r>
      <w:r w:rsidRPr="00FB1101">
        <w:t>, as determined from PBS item code, is below. Note that of the 960 patients supplied one of these three medicines for nr-</w:t>
      </w:r>
      <w:proofErr w:type="spellStart"/>
      <w:r w:rsidRPr="00FB1101">
        <w:t>axSpA</w:t>
      </w:r>
      <w:proofErr w:type="spellEnd"/>
      <w:r w:rsidRPr="00FB1101">
        <w:t xml:space="preserve"> between December 2018 and June 2021, </w:t>
      </w:r>
      <w:r>
        <w:t>945</w:t>
      </w:r>
      <w:r w:rsidRPr="00FB1101">
        <w:t xml:space="preserve"> patients are included in the top 10 medicine sequences.</w:t>
      </w:r>
    </w:p>
    <w:p w14:paraId="10263BA1" w14:textId="77777777" w:rsidR="005665C4" w:rsidRDefault="005665C4" w:rsidP="005665C4">
      <w:pPr>
        <w:pStyle w:val="Tabletitle"/>
        <w:keepNext/>
        <w:rPr>
          <w:highlight w:val="yellow"/>
        </w:rPr>
      </w:pPr>
      <w:r w:rsidRPr="00CB20D7">
        <w:t xml:space="preserve">Table </w:t>
      </w:r>
      <w:r>
        <w:t>8</w:t>
      </w:r>
      <w:r w:rsidRPr="00CB20D7">
        <w:t xml:space="preserve">: </w:t>
      </w:r>
      <w:r>
        <w:t>T</w:t>
      </w:r>
      <w:r w:rsidRPr="00CB20D7">
        <w:t>op 10 medicine sequences for nr-</w:t>
      </w:r>
      <w:proofErr w:type="spellStart"/>
      <w:r w:rsidRPr="00CB20D7">
        <w:t>axSpA</w:t>
      </w:r>
      <w:proofErr w:type="spellEnd"/>
      <w:r w:rsidRPr="00CB20D7">
        <w:t xml:space="preserve"> medicines </w:t>
      </w:r>
      <w:r>
        <w:t>for any indication</w:t>
      </w:r>
    </w:p>
    <w:tbl>
      <w:tblPr>
        <w:tblW w:w="5949" w:type="dxa"/>
        <w:tblLook w:val="04A0" w:firstRow="1" w:lastRow="0" w:firstColumn="1" w:lastColumn="0" w:noHBand="0" w:noVBand="1"/>
      </w:tblPr>
      <w:tblGrid>
        <w:gridCol w:w="4390"/>
        <w:gridCol w:w="1559"/>
      </w:tblGrid>
      <w:tr w:rsidR="005665C4" w:rsidRPr="00FB1101" w14:paraId="23B3D0AE" w14:textId="77777777" w:rsidTr="002664CC">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5CA59AB" w14:textId="77777777" w:rsidR="005665C4" w:rsidRPr="00FB1101" w:rsidRDefault="005665C4" w:rsidP="002664CC">
            <w:pPr>
              <w:keepNext/>
              <w:spacing w:after="0"/>
              <w:rPr>
                <w:rFonts w:ascii="Calibri" w:eastAsia="Times New Roman" w:hAnsi="Calibri" w:cs="Calibri"/>
                <w:b/>
                <w:bCs/>
                <w:color w:val="000000"/>
                <w:sz w:val="20"/>
                <w:szCs w:val="20"/>
              </w:rPr>
            </w:pPr>
            <w:r w:rsidRPr="00FB1101">
              <w:rPr>
                <w:rFonts w:ascii="Calibri" w:eastAsia="Times New Roman" w:hAnsi="Calibri" w:cs="Calibri"/>
                <w:b/>
                <w:bCs/>
                <w:color w:val="000000"/>
                <w:sz w:val="20"/>
                <w:szCs w:val="20"/>
              </w:rPr>
              <w:t>Medicine sequence</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EDEC837" w14:textId="77777777" w:rsidR="005665C4" w:rsidRPr="00FB1101" w:rsidRDefault="005665C4" w:rsidP="002664CC">
            <w:pPr>
              <w:keepNext/>
              <w:spacing w:after="0"/>
              <w:rPr>
                <w:rFonts w:ascii="Calibri" w:eastAsia="Times New Roman" w:hAnsi="Calibri" w:cs="Calibri"/>
                <w:b/>
                <w:bCs/>
                <w:color w:val="000000"/>
                <w:sz w:val="20"/>
                <w:szCs w:val="20"/>
              </w:rPr>
            </w:pPr>
            <w:r w:rsidRPr="00FB1101">
              <w:rPr>
                <w:rFonts w:ascii="Calibri" w:eastAsia="Times New Roman" w:hAnsi="Calibri" w:cs="Calibri"/>
                <w:b/>
                <w:bCs/>
                <w:color w:val="000000"/>
                <w:sz w:val="20"/>
                <w:szCs w:val="20"/>
              </w:rPr>
              <w:t>Count patients</w:t>
            </w:r>
          </w:p>
        </w:tc>
      </w:tr>
      <w:tr w:rsidR="005665C4" w:rsidRPr="00FB1101" w14:paraId="4EB48853"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4596FDD"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GOLIMUMAB</w:t>
            </w:r>
          </w:p>
        </w:tc>
        <w:tc>
          <w:tcPr>
            <w:tcW w:w="1559" w:type="dxa"/>
            <w:tcBorders>
              <w:top w:val="nil"/>
              <w:left w:val="nil"/>
              <w:bottom w:val="single" w:sz="4" w:space="0" w:color="auto"/>
              <w:right w:val="single" w:sz="4" w:space="0" w:color="auto"/>
            </w:tcBorders>
            <w:shd w:val="clear" w:color="auto" w:fill="auto"/>
            <w:noWrap/>
            <w:vAlign w:val="bottom"/>
            <w:hideMark/>
          </w:tcPr>
          <w:p w14:paraId="36254428"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595</w:t>
            </w:r>
          </w:p>
        </w:tc>
      </w:tr>
      <w:tr w:rsidR="005665C4" w:rsidRPr="00FB1101" w14:paraId="61924694"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EDEB12A"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CERTOLIZUMAB PEGOL</w:t>
            </w:r>
          </w:p>
        </w:tc>
        <w:tc>
          <w:tcPr>
            <w:tcW w:w="1559" w:type="dxa"/>
            <w:tcBorders>
              <w:top w:val="nil"/>
              <w:left w:val="nil"/>
              <w:bottom w:val="single" w:sz="4" w:space="0" w:color="auto"/>
              <w:right w:val="single" w:sz="4" w:space="0" w:color="auto"/>
            </w:tcBorders>
            <w:shd w:val="clear" w:color="auto" w:fill="auto"/>
            <w:noWrap/>
            <w:vAlign w:val="bottom"/>
            <w:hideMark/>
          </w:tcPr>
          <w:p w14:paraId="403F905E"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207</w:t>
            </w:r>
          </w:p>
        </w:tc>
      </w:tr>
      <w:tr w:rsidR="005665C4" w:rsidRPr="00FB1101" w14:paraId="3BC8B563"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3AA9334"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GOLIMUMAB&gt;CERTOLIZUMAB PEGOL</w:t>
            </w:r>
          </w:p>
        </w:tc>
        <w:tc>
          <w:tcPr>
            <w:tcW w:w="1559" w:type="dxa"/>
            <w:tcBorders>
              <w:top w:val="nil"/>
              <w:left w:val="nil"/>
              <w:bottom w:val="single" w:sz="4" w:space="0" w:color="auto"/>
              <w:right w:val="single" w:sz="4" w:space="0" w:color="auto"/>
            </w:tcBorders>
            <w:shd w:val="clear" w:color="auto" w:fill="auto"/>
            <w:noWrap/>
            <w:vAlign w:val="bottom"/>
            <w:hideMark/>
          </w:tcPr>
          <w:p w14:paraId="01DDF9E7"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57</w:t>
            </w:r>
          </w:p>
        </w:tc>
      </w:tr>
      <w:tr w:rsidR="005665C4" w:rsidRPr="00FB1101" w14:paraId="341E5DD8"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DE35FBA"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GOLIMUMAB&gt;SECUKINUMAB</w:t>
            </w:r>
          </w:p>
        </w:tc>
        <w:tc>
          <w:tcPr>
            <w:tcW w:w="1559" w:type="dxa"/>
            <w:tcBorders>
              <w:top w:val="nil"/>
              <w:left w:val="nil"/>
              <w:bottom w:val="single" w:sz="4" w:space="0" w:color="auto"/>
              <w:right w:val="single" w:sz="4" w:space="0" w:color="auto"/>
            </w:tcBorders>
            <w:shd w:val="clear" w:color="auto" w:fill="auto"/>
            <w:noWrap/>
            <w:vAlign w:val="bottom"/>
            <w:hideMark/>
          </w:tcPr>
          <w:p w14:paraId="36DC14FF"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29</w:t>
            </w:r>
          </w:p>
        </w:tc>
      </w:tr>
      <w:tr w:rsidR="005665C4" w:rsidRPr="00FB1101" w14:paraId="01955B55"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C02EDD4"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SECUKINUMAB</w:t>
            </w:r>
          </w:p>
        </w:tc>
        <w:tc>
          <w:tcPr>
            <w:tcW w:w="1559" w:type="dxa"/>
            <w:tcBorders>
              <w:top w:val="nil"/>
              <w:left w:val="nil"/>
              <w:bottom w:val="single" w:sz="4" w:space="0" w:color="auto"/>
              <w:right w:val="single" w:sz="4" w:space="0" w:color="auto"/>
            </w:tcBorders>
            <w:shd w:val="clear" w:color="auto" w:fill="auto"/>
            <w:noWrap/>
            <w:vAlign w:val="bottom"/>
            <w:hideMark/>
          </w:tcPr>
          <w:p w14:paraId="676AA6FE"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16</w:t>
            </w:r>
          </w:p>
        </w:tc>
      </w:tr>
      <w:tr w:rsidR="005665C4" w:rsidRPr="00FB1101" w14:paraId="1BF046EF"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9DD856C"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CERTOLIZUMAB PEGOL&gt;GOLIMUMAB</w:t>
            </w:r>
          </w:p>
        </w:tc>
        <w:tc>
          <w:tcPr>
            <w:tcW w:w="1559" w:type="dxa"/>
            <w:tcBorders>
              <w:top w:val="nil"/>
              <w:left w:val="nil"/>
              <w:bottom w:val="single" w:sz="4" w:space="0" w:color="auto"/>
              <w:right w:val="single" w:sz="4" w:space="0" w:color="auto"/>
            </w:tcBorders>
            <w:shd w:val="clear" w:color="auto" w:fill="auto"/>
            <w:noWrap/>
            <w:vAlign w:val="bottom"/>
            <w:hideMark/>
          </w:tcPr>
          <w:p w14:paraId="22546D42"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11</w:t>
            </w:r>
          </w:p>
        </w:tc>
      </w:tr>
      <w:tr w:rsidR="005665C4" w:rsidRPr="00FB1101" w14:paraId="44C2CAC5"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BDDFD03"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CERTOLIZUMAB PEGOL&gt;SECUKINUMAB</w:t>
            </w:r>
          </w:p>
        </w:tc>
        <w:tc>
          <w:tcPr>
            <w:tcW w:w="1559" w:type="dxa"/>
            <w:tcBorders>
              <w:top w:val="nil"/>
              <w:left w:val="nil"/>
              <w:bottom w:val="single" w:sz="4" w:space="0" w:color="auto"/>
              <w:right w:val="single" w:sz="4" w:space="0" w:color="auto"/>
            </w:tcBorders>
            <w:shd w:val="clear" w:color="auto" w:fill="auto"/>
            <w:noWrap/>
            <w:vAlign w:val="bottom"/>
            <w:hideMark/>
          </w:tcPr>
          <w:p w14:paraId="3E405327"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10</w:t>
            </w:r>
          </w:p>
        </w:tc>
      </w:tr>
      <w:tr w:rsidR="005665C4" w:rsidRPr="00FB1101" w14:paraId="69878230"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FE9CBF7"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SECUKINUMAB&gt;CERTOLIZUMAB PEGOL</w:t>
            </w:r>
          </w:p>
        </w:tc>
        <w:tc>
          <w:tcPr>
            <w:tcW w:w="1559" w:type="dxa"/>
            <w:tcBorders>
              <w:top w:val="nil"/>
              <w:left w:val="nil"/>
              <w:bottom w:val="single" w:sz="4" w:space="0" w:color="auto"/>
              <w:right w:val="single" w:sz="4" w:space="0" w:color="auto"/>
            </w:tcBorders>
            <w:shd w:val="clear" w:color="auto" w:fill="auto"/>
            <w:noWrap/>
            <w:vAlign w:val="bottom"/>
            <w:hideMark/>
          </w:tcPr>
          <w:p w14:paraId="4742D238"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8</w:t>
            </w:r>
          </w:p>
        </w:tc>
      </w:tr>
      <w:tr w:rsidR="005665C4" w:rsidRPr="00FB1101" w14:paraId="331B8C4C"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E9A4F18" w14:textId="77777777" w:rsidR="005665C4" w:rsidRPr="00FB1101" w:rsidRDefault="005665C4" w:rsidP="002664CC">
            <w:pPr>
              <w:keepNext/>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GOLIMUMAB&gt;SECUKINUMAB&gt;GOLIMUMAB</w:t>
            </w:r>
          </w:p>
        </w:tc>
        <w:tc>
          <w:tcPr>
            <w:tcW w:w="1559" w:type="dxa"/>
            <w:tcBorders>
              <w:top w:val="nil"/>
              <w:left w:val="nil"/>
              <w:bottom w:val="single" w:sz="4" w:space="0" w:color="auto"/>
              <w:right w:val="single" w:sz="4" w:space="0" w:color="auto"/>
            </w:tcBorders>
            <w:shd w:val="clear" w:color="auto" w:fill="auto"/>
            <w:noWrap/>
            <w:vAlign w:val="bottom"/>
            <w:hideMark/>
          </w:tcPr>
          <w:p w14:paraId="50D91586" w14:textId="77777777" w:rsidR="005665C4" w:rsidRPr="00FB1101" w:rsidRDefault="005665C4" w:rsidP="002664CC">
            <w:pPr>
              <w:keepNext/>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6</w:t>
            </w:r>
          </w:p>
        </w:tc>
      </w:tr>
      <w:tr w:rsidR="005665C4" w:rsidRPr="00FB1101" w14:paraId="56A4787A" w14:textId="77777777" w:rsidTr="002664CC">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2E2188D" w14:textId="77777777" w:rsidR="005665C4" w:rsidRPr="00FB1101" w:rsidRDefault="005665C4" w:rsidP="002664CC">
            <w:pPr>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SECUKINUMAB&gt;GOLIMUMAB</w:t>
            </w:r>
          </w:p>
        </w:tc>
        <w:tc>
          <w:tcPr>
            <w:tcW w:w="1559" w:type="dxa"/>
            <w:tcBorders>
              <w:top w:val="nil"/>
              <w:left w:val="nil"/>
              <w:bottom w:val="single" w:sz="4" w:space="0" w:color="auto"/>
              <w:right w:val="single" w:sz="4" w:space="0" w:color="auto"/>
            </w:tcBorders>
            <w:shd w:val="clear" w:color="auto" w:fill="auto"/>
            <w:noWrap/>
            <w:vAlign w:val="bottom"/>
            <w:hideMark/>
          </w:tcPr>
          <w:p w14:paraId="76D4A400" w14:textId="77777777" w:rsidR="005665C4" w:rsidRPr="00FB1101" w:rsidRDefault="005665C4" w:rsidP="002664CC">
            <w:pPr>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6</w:t>
            </w:r>
          </w:p>
        </w:tc>
      </w:tr>
    </w:tbl>
    <w:p w14:paraId="7EAED07C" w14:textId="77777777" w:rsidR="005665C4" w:rsidRDefault="005665C4" w:rsidP="005665C4">
      <w:pPr>
        <w:rPr>
          <w:highlight w:val="yellow"/>
        </w:rPr>
      </w:pPr>
    </w:p>
    <w:p w14:paraId="13812208" w14:textId="77777777" w:rsidR="005665C4" w:rsidRDefault="005665C4" w:rsidP="005665C4">
      <w:r w:rsidRPr="00FB1101">
        <w:t xml:space="preserve">For the patients who were supplied golimumab, certolizumab pegol or </w:t>
      </w:r>
      <w:proofErr w:type="spellStart"/>
      <w:r w:rsidRPr="00FB1101">
        <w:t>secukinumab</w:t>
      </w:r>
      <w:proofErr w:type="spellEnd"/>
      <w:r w:rsidRPr="00FB1101">
        <w:t xml:space="preserve"> under a PBS item code for nr-</w:t>
      </w:r>
      <w:proofErr w:type="spellStart"/>
      <w:r w:rsidRPr="00FB1101">
        <w:t>axSpA</w:t>
      </w:r>
      <w:proofErr w:type="spellEnd"/>
      <w:r w:rsidRPr="00FB1101">
        <w:t>, the top</w:t>
      </w:r>
      <w:r>
        <w:t xml:space="preserve"> six</w:t>
      </w:r>
      <w:r w:rsidRPr="00FB1101">
        <w:t xml:space="preserve"> medicine sequences</w:t>
      </w:r>
      <w:r>
        <w:t xml:space="preserve"> for nr-</w:t>
      </w:r>
      <w:proofErr w:type="spellStart"/>
      <w:r>
        <w:t>axSpA</w:t>
      </w:r>
      <w:proofErr w:type="spellEnd"/>
      <w:r w:rsidRPr="00FB1101">
        <w:t>, as determined from PBS item code, is below. Note that of the 960 patients supplied one of these three medicines for nr-</w:t>
      </w:r>
      <w:proofErr w:type="spellStart"/>
      <w:r w:rsidRPr="00FB1101">
        <w:t>axSpA</w:t>
      </w:r>
      <w:proofErr w:type="spellEnd"/>
      <w:r w:rsidRPr="00FB1101">
        <w:t xml:space="preserve"> between December 2018 and June 2021, </w:t>
      </w:r>
      <w:r>
        <w:t>951</w:t>
      </w:r>
      <w:r w:rsidRPr="00FB1101">
        <w:t xml:space="preserve"> patients are included in the top</w:t>
      </w:r>
      <w:r>
        <w:t xml:space="preserve"> six</w:t>
      </w:r>
      <w:r w:rsidRPr="00FB1101">
        <w:t xml:space="preserve"> medicine sequences</w:t>
      </w:r>
      <w:r w:rsidRPr="00CB20D7">
        <w:t xml:space="preserve"> for nr-</w:t>
      </w:r>
      <w:proofErr w:type="spellStart"/>
      <w:r w:rsidRPr="00CB20D7">
        <w:t>axSpA</w:t>
      </w:r>
      <w:proofErr w:type="spellEnd"/>
      <w:r w:rsidRPr="00FB1101">
        <w:t>.</w:t>
      </w:r>
    </w:p>
    <w:p w14:paraId="109AA9EB" w14:textId="77777777" w:rsidR="00EF713B" w:rsidRDefault="00EF713B">
      <w:pPr>
        <w:spacing w:line="276" w:lineRule="auto"/>
        <w:rPr>
          <w:b/>
        </w:rPr>
      </w:pPr>
      <w:r>
        <w:br w:type="page"/>
      </w:r>
    </w:p>
    <w:p w14:paraId="5C033F7B" w14:textId="039BF1DF" w:rsidR="005665C4" w:rsidRDefault="005665C4" w:rsidP="005665C4">
      <w:pPr>
        <w:pStyle w:val="Tabletitle"/>
      </w:pPr>
      <w:r>
        <w:lastRenderedPageBreak/>
        <w:t>Table 9: T</w:t>
      </w:r>
      <w:r w:rsidRPr="00CB20D7">
        <w:t xml:space="preserve">op </w:t>
      </w:r>
      <w:r>
        <w:t>6</w:t>
      </w:r>
      <w:r w:rsidRPr="00CB20D7">
        <w:t xml:space="preserve"> medicine sequences for </w:t>
      </w:r>
      <w:r>
        <w:t>nr-</w:t>
      </w:r>
      <w:proofErr w:type="spellStart"/>
      <w:r>
        <w:t>axSpA</w:t>
      </w:r>
      <w:proofErr w:type="spellEnd"/>
      <w:r>
        <w:t xml:space="preserve"> medicines for</w:t>
      </w:r>
      <w:r w:rsidRPr="00CB20D7">
        <w:t xml:space="preserve"> nr-</w:t>
      </w:r>
      <w:proofErr w:type="spellStart"/>
      <w:r w:rsidRPr="00CB20D7">
        <w:t>axSpA</w:t>
      </w:r>
      <w:proofErr w:type="spellEnd"/>
    </w:p>
    <w:tbl>
      <w:tblPr>
        <w:tblW w:w="6560" w:type="dxa"/>
        <w:tblLook w:val="04A0" w:firstRow="1" w:lastRow="0" w:firstColumn="1" w:lastColumn="0" w:noHBand="0" w:noVBand="1"/>
      </w:tblPr>
      <w:tblGrid>
        <w:gridCol w:w="5080"/>
        <w:gridCol w:w="1480"/>
      </w:tblGrid>
      <w:tr w:rsidR="005665C4" w:rsidRPr="00FB1101" w14:paraId="2DBC4B15" w14:textId="77777777" w:rsidTr="002664CC">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3A742D4" w14:textId="77777777" w:rsidR="005665C4" w:rsidRPr="00FB1101" w:rsidRDefault="005665C4" w:rsidP="002664CC">
            <w:pPr>
              <w:spacing w:after="0"/>
              <w:rPr>
                <w:rFonts w:ascii="Calibri" w:eastAsia="Times New Roman" w:hAnsi="Calibri" w:cs="Calibri"/>
                <w:b/>
                <w:bCs/>
                <w:color w:val="000000"/>
                <w:sz w:val="20"/>
                <w:szCs w:val="20"/>
              </w:rPr>
            </w:pPr>
            <w:r w:rsidRPr="00FB1101">
              <w:rPr>
                <w:rFonts w:ascii="Calibri" w:eastAsia="Times New Roman" w:hAnsi="Calibri" w:cs="Calibri"/>
                <w:b/>
                <w:bCs/>
                <w:color w:val="000000"/>
                <w:sz w:val="20"/>
                <w:szCs w:val="20"/>
              </w:rPr>
              <w:t>Medicine sequence</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2BB7D22" w14:textId="77777777" w:rsidR="005665C4" w:rsidRPr="00FB1101" w:rsidRDefault="005665C4" w:rsidP="002664CC">
            <w:pPr>
              <w:spacing w:after="0"/>
              <w:rPr>
                <w:rFonts w:ascii="Calibri" w:eastAsia="Times New Roman" w:hAnsi="Calibri" w:cs="Calibri"/>
                <w:b/>
                <w:bCs/>
                <w:color w:val="000000"/>
                <w:sz w:val="20"/>
                <w:szCs w:val="20"/>
              </w:rPr>
            </w:pPr>
            <w:r w:rsidRPr="00FB1101">
              <w:rPr>
                <w:rFonts w:ascii="Calibri" w:eastAsia="Times New Roman" w:hAnsi="Calibri" w:cs="Calibri"/>
                <w:b/>
                <w:bCs/>
                <w:color w:val="000000"/>
                <w:sz w:val="20"/>
                <w:szCs w:val="20"/>
              </w:rPr>
              <w:t>Count patients</w:t>
            </w:r>
          </w:p>
        </w:tc>
      </w:tr>
      <w:tr w:rsidR="005665C4" w:rsidRPr="00FB1101" w14:paraId="1264EFF7" w14:textId="77777777" w:rsidTr="002664CC">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B993447" w14:textId="77777777" w:rsidR="005665C4" w:rsidRPr="00FB1101" w:rsidRDefault="005665C4" w:rsidP="002664CC">
            <w:pPr>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GOLIMUMAB</w:t>
            </w:r>
          </w:p>
        </w:tc>
        <w:tc>
          <w:tcPr>
            <w:tcW w:w="1480" w:type="dxa"/>
            <w:tcBorders>
              <w:top w:val="nil"/>
              <w:left w:val="nil"/>
              <w:bottom w:val="single" w:sz="4" w:space="0" w:color="auto"/>
              <w:right w:val="single" w:sz="4" w:space="0" w:color="auto"/>
            </w:tcBorders>
            <w:shd w:val="clear" w:color="auto" w:fill="auto"/>
            <w:noWrap/>
            <w:vAlign w:val="bottom"/>
            <w:hideMark/>
          </w:tcPr>
          <w:p w14:paraId="2F7764DB" w14:textId="77777777" w:rsidR="005665C4" w:rsidRPr="00FB1101" w:rsidRDefault="005665C4" w:rsidP="002664CC">
            <w:pPr>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634</w:t>
            </w:r>
          </w:p>
        </w:tc>
      </w:tr>
      <w:tr w:rsidR="005665C4" w:rsidRPr="00FB1101" w14:paraId="3B575ED3" w14:textId="77777777" w:rsidTr="002664CC">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556985E" w14:textId="77777777" w:rsidR="005665C4" w:rsidRPr="00FB1101" w:rsidRDefault="005665C4" w:rsidP="002664CC">
            <w:pPr>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CERTOLIZUMAB PEGOL</w:t>
            </w:r>
          </w:p>
        </w:tc>
        <w:tc>
          <w:tcPr>
            <w:tcW w:w="1480" w:type="dxa"/>
            <w:tcBorders>
              <w:top w:val="nil"/>
              <w:left w:val="nil"/>
              <w:bottom w:val="single" w:sz="4" w:space="0" w:color="auto"/>
              <w:right w:val="single" w:sz="4" w:space="0" w:color="auto"/>
            </w:tcBorders>
            <w:shd w:val="clear" w:color="auto" w:fill="auto"/>
            <w:noWrap/>
            <w:vAlign w:val="bottom"/>
            <w:hideMark/>
          </w:tcPr>
          <w:p w14:paraId="26202C7C" w14:textId="77777777" w:rsidR="005665C4" w:rsidRPr="00FB1101" w:rsidRDefault="005665C4" w:rsidP="002664CC">
            <w:pPr>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243</w:t>
            </w:r>
          </w:p>
        </w:tc>
      </w:tr>
      <w:tr w:rsidR="005665C4" w:rsidRPr="00FB1101" w14:paraId="747E3963" w14:textId="77777777" w:rsidTr="002664CC">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1DD8CF6" w14:textId="77777777" w:rsidR="005665C4" w:rsidRPr="00FB1101" w:rsidRDefault="005665C4" w:rsidP="002664CC">
            <w:pPr>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GOLIMUMAB&gt;CERTOLIZUMAB PEGOL</w:t>
            </w:r>
          </w:p>
        </w:tc>
        <w:tc>
          <w:tcPr>
            <w:tcW w:w="1480" w:type="dxa"/>
            <w:tcBorders>
              <w:top w:val="nil"/>
              <w:left w:val="nil"/>
              <w:bottom w:val="single" w:sz="4" w:space="0" w:color="auto"/>
              <w:right w:val="single" w:sz="4" w:space="0" w:color="auto"/>
            </w:tcBorders>
            <w:shd w:val="clear" w:color="auto" w:fill="auto"/>
            <w:noWrap/>
            <w:vAlign w:val="bottom"/>
            <w:hideMark/>
          </w:tcPr>
          <w:p w14:paraId="4B7577B5" w14:textId="77777777" w:rsidR="005665C4" w:rsidRPr="00FB1101" w:rsidRDefault="005665C4" w:rsidP="002664CC">
            <w:pPr>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40</w:t>
            </w:r>
          </w:p>
        </w:tc>
      </w:tr>
      <w:tr w:rsidR="005665C4" w:rsidRPr="00FB1101" w14:paraId="021CCF4B" w14:textId="77777777" w:rsidTr="002664CC">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96C749E" w14:textId="77777777" w:rsidR="005665C4" w:rsidRPr="00FB1101" w:rsidRDefault="005665C4" w:rsidP="002664CC">
            <w:pPr>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SECUKINUMAB</w:t>
            </w:r>
          </w:p>
        </w:tc>
        <w:tc>
          <w:tcPr>
            <w:tcW w:w="1480" w:type="dxa"/>
            <w:tcBorders>
              <w:top w:val="nil"/>
              <w:left w:val="nil"/>
              <w:bottom w:val="single" w:sz="4" w:space="0" w:color="auto"/>
              <w:right w:val="single" w:sz="4" w:space="0" w:color="auto"/>
            </w:tcBorders>
            <w:shd w:val="clear" w:color="auto" w:fill="auto"/>
            <w:noWrap/>
            <w:vAlign w:val="bottom"/>
            <w:hideMark/>
          </w:tcPr>
          <w:p w14:paraId="40C2895F" w14:textId="77777777" w:rsidR="005665C4" w:rsidRPr="00FB1101" w:rsidRDefault="005665C4" w:rsidP="002664CC">
            <w:pPr>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17</w:t>
            </w:r>
          </w:p>
        </w:tc>
      </w:tr>
      <w:tr w:rsidR="005665C4" w:rsidRPr="00FB1101" w14:paraId="5C4B7AB7" w14:textId="77777777" w:rsidTr="002664CC">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6491231" w14:textId="77777777" w:rsidR="005665C4" w:rsidRPr="00FB1101" w:rsidRDefault="005665C4" w:rsidP="002664CC">
            <w:pPr>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GOLIMUMAB&gt;SECUKINUMAB</w:t>
            </w:r>
          </w:p>
        </w:tc>
        <w:tc>
          <w:tcPr>
            <w:tcW w:w="1480" w:type="dxa"/>
            <w:tcBorders>
              <w:top w:val="nil"/>
              <w:left w:val="nil"/>
              <w:bottom w:val="single" w:sz="4" w:space="0" w:color="auto"/>
              <w:right w:val="single" w:sz="4" w:space="0" w:color="auto"/>
            </w:tcBorders>
            <w:shd w:val="clear" w:color="auto" w:fill="auto"/>
            <w:noWrap/>
            <w:vAlign w:val="bottom"/>
            <w:hideMark/>
          </w:tcPr>
          <w:p w14:paraId="5C4BA024" w14:textId="77777777" w:rsidR="005665C4" w:rsidRPr="00FB1101" w:rsidRDefault="005665C4" w:rsidP="002664CC">
            <w:pPr>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10</w:t>
            </w:r>
          </w:p>
        </w:tc>
      </w:tr>
      <w:tr w:rsidR="005665C4" w:rsidRPr="00FB1101" w14:paraId="0D16E96B" w14:textId="77777777" w:rsidTr="002664CC">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56AF9F10" w14:textId="77777777" w:rsidR="005665C4" w:rsidRPr="00FB1101" w:rsidRDefault="005665C4" w:rsidP="002664CC">
            <w:pPr>
              <w:spacing w:after="0"/>
              <w:rPr>
                <w:rFonts w:ascii="Calibri" w:eastAsia="Times New Roman" w:hAnsi="Calibri" w:cs="Calibri"/>
                <w:color w:val="000000"/>
                <w:sz w:val="20"/>
                <w:szCs w:val="20"/>
              </w:rPr>
            </w:pPr>
            <w:r w:rsidRPr="00FB1101">
              <w:rPr>
                <w:rFonts w:ascii="Calibri" w:eastAsia="Times New Roman" w:hAnsi="Calibri" w:cs="Calibri"/>
                <w:color w:val="000000"/>
                <w:sz w:val="20"/>
                <w:szCs w:val="20"/>
              </w:rPr>
              <w:t>CERTOLIZUMAB PEGOL&gt;GOLIMUMAB</w:t>
            </w:r>
          </w:p>
        </w:tc>
        <w:tc>
          <w:tcPr>
            <w:tcW w:w="1480" w:type="dxa"/>
            <w:tcBorders>
              <w:top w:val="nil"/>
              <w:left w:val="nil"/>
              <w:bottom w:val="single" w:sz="4" w:space="0" w:color="auto"/>
              <w:right w:val="single" w:sz="4" w:space="0" w:color="auto"/>
            </w:tcBorders>
            <w:shd w:val="clear" w:color="auto" w:fill="auto"/>
            <w:noWrap/>
            <w:vAlign w:val="bottom"/>
            <w:hideMark/>
          </w:tcPr>
          <w:p w14:paraId="2A7607D3" w14:textId="77777777" w:rsidR="005665C4" w:rsidRPr="00FB1101" w:rsidRDefault="005665C4" w:rsidP="002664CC">
            <w:pPr>
              <w:spacing w:after="0"/>
              <w:jc w:val="right"/>
              <w:rPr>
                <w:rFonts w:ascii="Calibri" w:eastAsia="Times New Roman" w:hAnsi="Calibri" w:cs="Calibri"/>
                <w:color w:val="000000"/>
                <w:sz w:val="20"/>
                <w:szCs w:val="20"/>
              </w:rPr>
            </w:pPr>
            <w:r w:rsidRPr="00FB1101">
              <w:rPr>
                <w:rFonts w:ascii="Calibri" w:eastAsia="Times New Roman" w:hAnsi="Calibri" w:cs="Calibri"/>
                <w:color w:val="000000"/>
                <w:sz w:val="20"/>
                <w:szCs w:val="20"/>
              </w:rPr>
              <w:t>7</w:t>
            </w:r>
          </w:p>
        </w:tc>
      </w:tr>
    </w:tbl>
    <w:p w14:paraId="3CE50E49" w14:textId="77777777" w:rsidR="00A53442" w:rsidRDefault="00A53442" w:rsidP="00341132"/>
    <w:p w14:paraId="43057773" w14:textId="3A61EC59" w:rsidR="005665C4" w:rsidRDefault="005665C4" w:rsidP="005665C4">
      <w:pPr>
        <w:pStyle w:val="Heading3"/>
      </w:pPr>
      <w:r>
        <w:t>Length of treatment</w:t>
      </w:r>
    </w:p>
    <w:p w14:paraId="43C45EDA" w14:textId="77777777" w:rsidR="005665C4" w:rsidRDefault="005665C4" w:rsidP="005665C4">
      <w:r w:rsidRPr="008D3B07">
        <w:t>Length of treatment was analysed using a Kaplan-Meier estimate for the 377 patients who were only supplied golimumab under nr-</w:t>
      </w:r>
      <w:proofErr w:type="spellStart"/>
      <w:r w:rsidRPr="008D3B07">
        <w:t>axSpA</w:t>
      </w:r>
      <w:proofErr w:type="spellEnd"/>
      <w:r w:rsidRPr="008D3B07">
        <w:t xml:space="preserve"> item codes</w:t>
      </w:r>
      <w:r>
        <w:t>.</w:t>
      </w:r>
    </w:p>
    <w:p w14:paraId="5F77B67F" w14:textId="77777777" w:rsidR="005665C4" w:rsidRDefault="005665C4" w:rsidP="005665C4">
      <w:pPr>
        <w:jc w:val="both"/>
      </w:pPr>
      <w:r w:rsidRPr="00FD4628">
        <w:rPr>
          <w:noProof/>
        </w:rPr>
        <w:drawing>
          <wp:inline distT="0" distB="0" distL="0" distR="0" wp14:anchorId="0CB88E9E" wp14:editId="0299BDE7">
            <wp:extent cx="5687695" cy="4267835"/>
            <wp:effectExtent l="0" t="0" r="8255" b="0"/>
            <wp:docPr id="5" name="Picture 5" descr="Kaplan-Meier estimates of length of treatment, median has not been reached, graph goes to 2.5 years of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aplan-Meier estimates of length of treatment, median has not been reached, graph goes to 2.5 years of treatment."/>
                    <pic:cNvPicPr/>
                  </pic:nvPicPr>
                  <pic:blipFill>
                    <a:blip r:embed="rId17"/>
                    <a:stretch>
                      <a:fillRect/>
                    </a:stretch>
                  </pic:blipFill>
                  <pic:spPr>
                    <a:xfrm>
                      <a:off x="0" y="0"/>
                      <a:ext cx="5687695" cy="4267835"/>
                    </a:xfrm>
                    <a:prstGeom prst="rect">
                      <a:avLst/>
                    </a:prstGeom>
                  </pic:spPr>
                </pic:pic>
              </a:graphicData>
            </a:graphic>
          </wp:inline>
        </w:drawing>
      </w:r>
    </w:p>
    <w:p w14:paraId="0EA11628" w14:textId="77777777" w:rsidR="005665C4" w:rsidRDefault="005665C4" w:rsidP="005665C4">
      <w:pPr>
        <w:pStyle w:val="Figuretitle"/>
      </w:pPr>
      <w:r w:rsidRPr="00F43096">
        <w:t xml:space="preserve">Figure </w:t>
      </w:r>
      <w:r>
        <w:t>4</w:t>
      </w:r>
      <w:r w:rsidRPr="00F43096">
        <w:t>: Kaplan-Meier estimates of length of treatment</w:t>
      </w:r>
    </w:p>
    <w:p w14:paraId="54DBC536" w14:textId="77777777" w:rsidR="005665C4" w:rsidRDefault="005665C4" w:rsidP="005665C4"/>
    <w:p w14:paraId="0E2989CD" w14:textId="77777777" w:rsidR="005665C4" w:rsidRPr="00672366" w:rsidRDefault="005665C4" w:rsidP="005665C4">
      <w:r w:rsidRPr="008D3B07">
        <w:t>Length of treatment was analysed using a Kaplan-Meier estimate for the 377 patients who were only supplied golimumab under nr-</w:t>
      </w:r>
      <w:proofErr w:type="spellStart"/>
      <w:r w:rsidRPr="008D3B07">
        <w:t>axSpA</w:t>
      </w:r>
      <w:proofErr w:type="spellEnd"/>
      <w:r w:rsidRPr="008D3B07">
        <w:t xml:space="preserve"> item codes.</w:t>
      </w:r>
      <w:r>
        <w:t xml:space="preserve"> </w:t>
      </w:r>
      <w:r w:rsidRPr="00F43096">
        <w:t xml:space="preserve">The data </w:t>
      </w:r>
      <w:r>
        <w:t>were</w:t>
      </w:r>
      <w:r w:rsidRPr="00F43096">
        <w:t xml:space="preserve"> too immature to assess the treatment duration with </w:t>
      </w:r>
      <w:r>
        <w:t>golimumab</w:t>
      </w:r>
      <w:r w:rsidRPr="00F43096">
        <w:t xml:space="preserve">, </w:t>
      </w:r>
      <w:r>
        <w:t xml:space="preserve">as </w:t>
      </w:r>
      <w:r w:rsidRPr="00F43096">
        <w:t xml:space="preserve">the median </w:t>
      </w:r>
      <w:r>
        <w:t>time of therapy</w:t>
      </w:r>
      <w:r w:rsidRPr="00F43096">
        <w:t xml:space="preserve"> had not been reached. As </w:t>
      </w:r>
      <w:proofErr w:type="gramStart"/>
      <w:r w:rsidRPr="00F43096">
        <w:t>at</w:t>
      </w:r>
      <w:proofErr w:type="gramEnd"/>
      <w:r w:rsidRPr="00F43096">
        <w:t xml:space="preserve"> </w:t>
      </w:r>
      <w:r>
        <w:t>June</w:t>
      </w:r>
      <w:r w:rsidRPr="00F43096">
        <w:t xml:space="preserve"> 2021, the mean length of treatment was estimated to be </w:t>
      </w:r>
      <w:r>
        <w:t>1.6</w:t>
      </w:r>
      <w:r w:rsidRPr="00F43096">
        <w:t xml:space="preserve"> years with a standard error of 0.</w:t>
      </w:r>
      <w:r>
        <w:t>04838</w:t>
      </w:r>
      <w:r w:rsidRPr="00F43096">
        <w:t xml:space="preserve"> years.</w:t>
      </w:r>
    </w:p>
    <w:p w14:paraId="5F22B4D8" w14:textId="61F1FE3A" w:rsidR="00736041" w:rsidRDefault="00D151EB" w:rsidP="001A68C6">
      <w:pPr>
        <w:pStyle w:val="Heading2"/>
        <w:keepNext/>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295A3135" w14:textId="77777777" w:rsidR="005665C4" w:rsidRPr="00D31177" w:rsidRDefault="005665C4" w:rsidP="001A68C6">
      <w:pPr>
        <w:pStyle w:val="Tabletitle"/>
        <w:keepNext/>
      </w:pPr>
      <w:r w:rsidRPr="00D31177">
        <w:t xml:space="preserve">Table </w:t>
      </w:r>
      <w:r>
        <w:t>10</w:t>
      </w:r>
      <w:r w:rsidRPr="00D31177">
        <w:t>: Analysis of actual versus predicted utilisation</w:t>
      </w:r>
    </w:p>
    <w:tbl>
      <w:tblPr>
        <w:tblW w:w="5680" w:type="dxa"/>
        <w:tblCellMar>
          <w:left w:w="0" w:type="dxa"/>
          <w:right w:w="0" w:type="dxa"/>
        </w:tblCellMar>
        <w:tblLook w:val="04A0" w:firstRow="1" w:lastRow="0" w:firstColumn="1" w:lastColumn="0" w:noHBand="0" w:noVBand="1"/>
      </w:tblPr>
      <w:tblGrid>
        <w:gridCol w:w="1580"/>
        <w:gridCol w:w="1220"/>
        <w:gridCol w:w="960"/>
        <w:gridCol w:w="960"/>
        <w:gridCol w:w="960"/>
      </w:tblGrid>
      <w:tr w:rsidR="001A68C6" w:rsidRPr="00291376" w14:paraId="00CD1481" w14:textId="77777777" w:rsidTr="001A68C6">
        <w:trPr>
          <w:trHeight w:val="20"/>
        </w:trPr>
        <w:tc>
          <w:tcPr>
            <w:tcW w:w="1580"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22B21EC1" w14:textId="77777777" w:rsidR="001A68C6" w:rsidRPr="00291376" w:rsidRDefault="001A68C6" w:rsidP="001A68C6">
            <w:pPr>
              <w:keepNext/>
              <w:spacing w:after="0"/>
              <w:rPr>
                <w:rFonts w:eastAsiaTheme="minorHAnsi"/>
                <w:sz w:val="20"/>
                <w:szCs w:val="20"/>
              </w:rPr>
            </w:pPr>
            <w:r w:rsidRPr="00291376">
              <w:rPr>
                <w:rFonts w:eastAsiaTheme="minorHAnsi"/>
                <w:b/>
                <w:bCs/>
                <w:color w:val="000000"/>
                <w:sz w:val="20"/>
                <w:szCs w:val="20"/>
              </w:rPr>
              <w:t> </w:t>
            </w:r>
          </w:p>
        </w:tc>
        <w:tc>
          <w:tcPr>
            <w:tcW w:w="12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2652934E" w14:textId="77777777" w:rsidR="001A68C6" w:rsidRPr="00291376" w:rsidRDefault="001A68C6" w:rsidP="001A68C6">
            <w:pPr>
              <w:keepNext/>
              <w:spacing w:after="0"/>
              <w:rPr>
                <w:rFonts w:eastAsiaTheme="minorHAnsi"/>
                <w:sz w:val="20"/>
                <w:szCs w:val="20"/>
              </w:rPr>
            </w:pPr>
            <w:r w:rsidRPr="00291376">
              <w:rPr>
                <w:rFonts w:eastAsiaTheme="minorHAnsi"/>
                <w:b/>
                <w:bCs/>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48E9CBDC" w14:textId="77777777" w:rsidR="001A68C6" w:rsidRPr="00291376" w:rsidRDefault="001A68C6" w:rsidP="001A68C6">
            <w:pPr>
              <w:keepNext/>
              <w:spacing w:after="0"/>
              <w:rPr>
                <w:rFonts w:eastAsiaTheme="minorHAnsi"/>
                <w:sz w:val="20"/>
                <w:szCs w:val="20"/>
              </w:rPr>
            </w:pPr>
            <w:r w:rsidRPr="00291376">
              <w:rPr>
                <w:rFonts w:eastAsiaTheme="minorHAnsi"/>
                <w:b/>
                <w:bCs/>
                <w:color w:val="000000"/>
                <w:sz w:val="20"/>
                <w:szCs w:val="20"/>
              </w:rPr>
              <w:t>Year 1</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4C3E9D6C" w14:textId="77777777" w:rsidR="001A68C6" w:rsidRPr="00291376" w:rsidRDefault="001A68C6" w:rsidP="001A68C6">
            <w:pPr>
              <w:keepNext/>
              <w:spacing w:after="0"/>
              <w:rPr>
                <w:rFonts w:eastAsiaTheme="minorHAnsi"/>
                <w:sz w:val="20"/>
                <w:szCs w:val="20"/>
              </w:rPr>
            </w:pPr>
            <w:r w:rsidRPr="00291376">
              <w:rPr>
                <w:rFonts w:eastAsiaTheme="minorHAnsi"/>
                <w:b/>
                <w:bCs/>
                <w:color w:val="000000"/>
                <w:sz w:val="20"/>
                <w:szCs w:val="20"/>
              </w:rPr>
              <w:t>Year 2</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192A24A9" w14:textId="77777777" w:rsidR="001A68C6" w:rsidRPr="00291376" w:rsidRDefault="001A68C6" w:rsidP="001A68C6">
            <w:pPr>
              <w:keepNext/>
              <w:spacing w:after="0"/>
              <w:rPr>
                <w:rFonts w:eastAsiaTheme="minorHAnsi"/>
                <w:sz w:val="20"/>
                <w:szCs w:val="20"/>
              </w:rPr>
            </w:pPr>
            <w:r w:rsidRPr="00291376">
              <w:rPr>
                <w:rFonts w:eastAsiaTheme="minorHAnsi"/>
                <w:b/>
                <w:bCs/>
                <w:color w:val="000000"/>
                <w:sz w:val="20"/>
                <w:szCs w:val="20"/>
              </w:rPr>
              <w:t>Year 3</w:t>
            </w:r>
          </w:p>
        </w:tc>
      </w:tr>
      <w:tr w:rsidR="001A68C6" w:rsidRPr="00291376" w14:paraId="2A42F9EB" w14:textId="77777777" w:rsidTr="001A68C6">
        <w:trPr>
          <w:trHeight w:val="20"/>
        </w:trPr>
        <w:tc>
          <w:tcPr>
            <w:tcW w:w="158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569859AD"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Treated patients</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B52043"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Predicted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A36430"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2,955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47419B"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3,306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ACABAD"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3,668</w:t>
            </w:r>
          </w:p>
        </w:tc>
      </w:tr>
      <w:tr w:rsidR="001A68C6" w:rsidRPr="00291376" w14:paraId="53B3630B" w14:textId="77777777" w:rsidTr="001A68C6">
        <w:trPr>
          <w:trHeight w:val="20"/>
        </w:trPr>
        <w:tc>
          <w:tcPr>
            <w:tcW w:w="0" w:type="auto"/>
            <w:vMerge/>
            <w:tcBorders>
              <w:top w:val="nil"/>
              <w:left w:val="single" w:sz="8" w:space="0" w:color="auto"/>
              <w:bottom w:val="single" w:sz="8" w:space="0" w:color="000000"/>
              <w:right w:val="single" w:sz="8" w:space="0" w:color="auto"/>
            </w:tcBorders>
            <w:vAlign w:val="center"/>
            <w:hideMark/>
          </w:tcPr>
          <w:p w14:paraId="667A7FC4" w14:textId="77777777" w:rsidR="001A68C6" w:rsidRPr="00291376" w:rsidRDefault="001A68C6" w:rsidP="001A68C6">
            <w:pPr>
              <w:keepNext/>
              <w:spacing w:after="0"/>
              <w:rPr>
                <w:rFonts w:eastAsiaTheme="minorHAnsi"/>
                <w:sz w:val="20"/>
                <w:szCs w:val="20"/>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84626A"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Actual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C038AC"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B1938"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509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13410D"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703</w:t>
            </w:r>
          </w:p>
        </w:tc>
      </w:tr>
      <w:tr w:rsidR="001A68C6" w:rsidRPr="00291376" w14:paraId="61E009DE" w14:textId="77777777" w:rsidTr="001A68C6">
        <w:trPr>
          <w:trHeight w:val="20"/>
        </w:trPr>
        <w:tc>
          <w:tcPr>
            <w:tcW w:w="0" w:type="auto"/>
            <w:vMerge/>
            <w:tcBorders>
              <w:top w:val="nil"/>
              <w:left w:val="single" w:sz="8" w:space="0" w:color="auto"/>
              <w:bottom w:val="single" w:sz="8" w:space="0" w:color="000000"/>
              <w:right w:val="single" w:sz="8" w:space="0" w:color="auto"/>
            </w:tcBorders>
            <w:vAlign w:val="center"/>
            <w:hideMark/>
          </w:tcPr>
          <w:p w14:paraId="23EB763D" w14:textId="77777777" w:rsidR="001A68C6" w:rsidRPr="00291376" w:rsidRDefault="001A68C6" w:rsidP="001A68C6">
            <w:pPr>
              <w:keepNext/>
              <w:spacing w:after="0"/>
              <w:rPr>
                <w:rFonts w:eastAsiaTheme="minorHAnsi"/>
                <w:sz w:val="20"/>
                <w:szCs w:val="20"/>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23C274"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Difference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789C6"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-92%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9D3C28"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-85%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19B275"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-81%</w:t>
            </w:r>
          </w:p>
        </w:tc>
      </w:tr>
      <w:tr w:rsidR="001A68C6" w:rsidRPr="00291376" w14:paraId="70C6F7BD" w14:textId="77777777" w:rsidTr="001A68C6">
        <w:trPr>
          <w:trHeight w:val="20"/>
        </w:trPr>
        <w:tc>
          <w:tcPr>
            <w:tcW w:w="158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AE781E8"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Initiating patients</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6F8F93"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Predicted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E3E2A1"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2,955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7A075D"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351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79628F"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362</w:t>
            </w:r>
          </w:p>
        </w:tc>
      </w:tr>
      <w:tr w:rsidR="001A68C6" w:rsidRPr="00291376" w14:paraId="7205F998" w14:textId="77777777" w:rsidTr="001A68C6">
        <w:trPr>
          <w:trHeight w:val="20"/>
        </w:trPr>
        <w:tc>
          <w:tcPr>
            <w:tcW w:w="0" w:type="auto"/>
            <w:vMerge/>
            <w:tcBorders>
              <w:top w:val="nil"/>
              <w:left w:val="single" w:sz="8" w:space="0" w:color="auto"/>
              <w:bottom w:val="single" w:sz="8" w:space="0" w:color="000000"/>
              <w:right w:val="single" w:sz="8" w:space="0" w:color="auto"/>
            </w:tcBorders>
            <w:vAlign w:val="center"/>
            <w:hideMark/>
          </w:tcPr>
          <w:p w14:paraId="1C1B0E2A" w14:textId="77777777" w:rsidR="001A68C6" w:rsidRPr="00291376" w:rsidRDefault="001A68C6" w:rsidP="001A68C6">
            <w:pPr>
              <w:keepNext/>
              <w:spacing w:after="0"/>
              <w:rPr>
                <w:rFonts w:eastAsiaTheme="minorHAnsi"/>
                <w:sz w:val="20"/>
                <w:szCs w:val="20"/>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FB2883"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Actual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E1FD4"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27D39E"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354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EE38CD"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381</w:t>
            </w:r>
          </w:p>
        </w:tc>
      </w:tr>
      <w:tr w:rsidR="001A68C6" w:rsidRPr="00291376" w14:paraId="5874F79F" w14:textId="77777777" w:rsidTr="001A68C6">
        <w:trPr>
          <w:trHeight w:val="20"/>
        </w:trPr>
        <w:tc>
          <w:tcPr>
            <w:tcW w:w="0" w:type="auto"/>
            <w:vMerge/>
            <w:tcBorders>
              <w:top w:val="nil"/>
              <w:left w:val="single" w:sz="8" w:space="0" w:color="auto"/>
              <w:bottom w:val="single" w:sz="8" w:space="0" w:color="000000"/>
              <w:right w:val="single" w:sz="8" w:space="0" w:color="auto"/>
            </w:tcBorders>
            <w:vAlign w:val="center"/>
            <w:hideMark/>
          </w:tcPr>
          <w:p w14:paraId="6A45366D" w14:textId="77777777" w:rsidR="001A68C6" w:rsidRPr="00291376" w:rsidRDefault="001A68C6" w:rsidP="001A68C6">
            <w:pPr>
              <w:keepNext/>
              <w:spacing w:after="0"/>
              <w:rPr>
                <w:rFonts w:eastAsiaTheme="minorHAnsi"/>
                <w:sz w:val="20"/>
                <w:szCs w:val="20"/>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45D753"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Difference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62824A"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-92%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D2387"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B8D94C"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5%</w:t>
            </w:r>
          </w:p>
        </w:tc>
      </w:tr>
      <w:tr w:rsidR="001A68C6" w:rsidRPr="00291376" w14:paraId="08F9A543" w14:textId="77777777" w:rsidTr="001A68C6">
        <w:trPr>
          <w:trHeight w:val="20"/>
        </w:trPr>
        <w:tc>
          <w:tcPr>
            <w:tcW w:w="158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A4C85C0"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Prescriptions</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B3DB50"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Predicted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F14743"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27,511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47757B"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21,824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72ECF7"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22,667</w:t>
            </w:r>
          </w:p>
        </w:tc>
      </w:tr>
      <w:tr w:rsidR="001A68C6" w:rsidRPr="00291376" w14:paraId="7DC50FCC" w14:textId="77777777" w:rsidTr="001A68C6">
        <w:trPr>
          <w:trHeight w:val="20"/>
        </w:trPr>
        <w:tc>
          <w:tcPr>
            <w:tcW w:w="0" w:type="auto"/>
            <w:vMerge/>
            <w:tcBorders>
              <w:top w:val="nil"/>
              <w:left w:val="single" w:sz="8" w:space="0" w:color="auto"/>
              <w:bottom w:val="single" w:sz="8" w:space="0" w:color="000000"/>
              <w:right w:val="single" w:sz="8" w:space="0" w:color="auto"/>
            </w:tcBorders>
            <w:vAlign w:val="center"/>
            <w:hideMark/>
          </w:tcPr>
          <w:p w14:paraId="6C45B389" w14:textId="77777777" w:rsidR="001A68C6" w:rsidRPr="00291376" w:rsidRDefault="001A68C6" w:rsidP="001A68C6">
            <w:pPr>
              <w:keepNext/>
              <w:spacing w:after="0"/>
              <w:rPr>
                <w:rFonts w:eastAsiaTheme="minorHAnsi"/>
                <w:sz w:val="20"/>
                <w:szCs w:val="20"/>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057173"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Actual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DE2B28"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1</w:t>
            </w:r>
            <w:r>
              <w:rPr>
                <w:rFonts w:eastAsiaTheme="minorHAnsi"/>
                <w:color w:val="000000"/>
                <w:sz w:val="20"/>
                <w:szCs w:val="20"/>
              </w:rPr>
              <w:t>,</w:t>
            </w:r>
            <w:r w:rsidRPr="00291376">
              <w:rPr>
                <w:rFonts w:eastAsiaTheme="minorHAnsi"/>
                <w:color w:val="000000"/>
                <w:sz w:val="20"/>
                <w:szCs w:val="20"/>
              </w:rPr>
              <w:t>013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2A8A54"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w:t>
            </w:r>
            <w:r>
              <w:rPr>
                <w:rFonts w:eastAsiaTheme="minorHAnsi"/>
                <w:color w:val="000000"/>
                <w:sz w:val="20"/>
                <w:szCs w:val="20"/>
              </w:rPr>
              <w:t>,</w:t>
            </w:r>
            <w:r w:rsidRPr="00291376">
              <w:rPr>
                <w:rFonts w:eastAsiaTheme="minorHAnsi"/>
                <w:color w:val="000000"/>
                <w:sz w:val="20"/>
                <w:szCs w:val="20"/>
              </w:rPr>
              <w:t>586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98876"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2</w:t>
            </w:r>
            <w:r>
              <w:rPr>
                <w:rFonts w:eastAsiaTheme="minorHAnsi"/>
                <w:color w:val="000000"/>
                <w:sz w:val="20"/>
                <w:szCs w:val="20"/>
              </w:rPr>
              <w:t>,</w:t>
            </w:r>
            <w:r w:rsidRPr="00291376">
              <w:rPr>
                <w:rFonts w:eastAsiaTheme="minorHAnsi"/>
                <w:color w:val="000000"/>
                <w:sz w:val="20"/>
                <w:szCs w:val="20"/>
              </w:rPr>
              <w:t>958</w:t>
            </w:r>
          </w:p>
        </w:tc>
      </w:tr>
      <w:tr w:rsidR="001A68C6" w:rsidRPr="00291376" w14:paraId="5FBB7734" w14:textId="77777777" w:rsidTr="001A68C6">
        <w:trPr>
          <w:trHeight w:val="20"/>
        </w:trPr>
        <w:tc>
          <w:tcPr>
            <w:tcW w:w="0" w:type="auto"/>
            <w:vMerge/>
            <w:tcBorders>
              <w:top w:val="nil"/>
              <w:left w:val="single" w:sz="8" w:space="0" w:color="auto"/>
              <w:bottom w:val="single" w:sz="8" w:space="0" w:color="000000"/>
              <w:right w:val="single" w:sz="8" w:space="0" w:color="auto"/>
            </w:tcBorders>
            <w:vAlign w:val="center"/>
            <w:hideMark/>
          </w:tcPr>
          <w:p w14:paraId="0BFC0BE9" w14:textId="77777777" w:rsidR="001A68C6" w:rsidRPr="00291376" w:rsidRDefault="001A68C6" w:rsidP="001A68C6">
            <w:pPr>
              <w:keepNext/>
              <w:spacing w:after="0"/>
              <w:rPr>
                <w:rFonts w:eastAsiaTheme="minorHAnsi"/>
                <w:sz w:val="20"/>
                <w:szCs w:val="20"/>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61946D" w14:textId="77777777" w:rsidR="001A68C6" w:rsidRPr="00291376" w:rsidRDefault="001A68C6" w:rsidP="001A68C6">
            <w:pPr>
              <w:keepNext/>
              <w:spacing w:after="0"/>
              <w:rPr>
                <w:rFonts w:eastAsiaTheme="minorHAnsi"/>
                <w:sz w:val="20"/>
                <w:szCs w:val="20"/>
              </w:rPr>
            </w:pPr>
            <w:r w:rsidRPr="00291376">
              <w:rPr>
                <w:rFonts w:eastAsiaTheme="minorHAnsi"/>
                <w:color w:val="000000"/>
                <w:sz w:val="20"/>
                <w:szCs w:val="20"/>
              </w:rPr>
              <w:t>Difference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880EF0"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-96%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B1D1E6"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-88%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E2DAF" w14:textId="77777777" w:rsidR="001A68C6" w:rsidRPr="00291376" w:rsidRDefault="001A68C6" w:rsidP="001A68C6">
            <w:pPr>
              <w:keepNext/>
              <w:spacing w:after="0"/>
              <w:jc w:val="right"/>
              <w:rPr>
                <w:rFonts w:eastAsiaTheme="minorHAnsi"/>
                <w:sz w:val="20"/>
                <w:szCs w:val="20"/>
              </w:rPr>
            </w:pPr>
            <w:r w:rsidRPr="00291376">
              <w:rPr>
                <w:rFonts w:eastAsiaTheme="minorHAnsi"/>
                <w:color w:val="000000"/>
                <w:sz w:val="20"/>
                <w:szCs w:val="20"/>
              </w:rPr>
              <w:t>-87%</w:t>
            </w:r>
          </w:p>
        </w:tc>
      </w:tr>
    </w:tbl>
    <w:p w14:paraId="284B8A9C" w14:textId="580D1E1F" w:rsidR="001A68C6" w:rsidRDefault="001A68C6" w:rsidP="001A68C6">
      <w:pPr>
        <w:pStyle w:val="Notes"/>
      </w:pPr>
      <w:r w:rsidRPr="001A68C6">
        <w:t>Note: Year 3 is incomplete, December 2020 to June 2021 inclusive</w:t>
      </w:r>
      <w:r w:rsidR="003237A1">
        <w:br/>
        <w:t>A</w:t>
      </w:r>
      <w:r>
        <w:t xml:space="preserve">ctual figures represent whole market of </w:t>
      </w:r>
      <w:r w:rsidR="003237A1">
        <w:t>nr-</w:t>
      </w:r>
      <w:proofErr w:type="spellStart"/>
      <w:r w:rsidR="003237A1">
        <w:t>axSpA</w:t>
      </w:r>
      <w:proofErr w:type="spellEnd"/>
    </w:p>
    <w:p w14:paraId="6FC741E7" w14:textId="79A41F23" w:rsidR="005665C4" w:rsidRDefault="005665C4" w:rsidP="005665C4">
      <w:r w:rsidRPr="007D5232">
        <w:t xml:space="preserve">The submission predicted a large group of prevalent patients would be treated from </w:t>
      </w:r>
      <w:r>
        <w:t>Year 1, and that these patients would continue treatment in subsequent years.</w:t>
      </w:r>
      <w:r w:rsidRPr="007D5232">
        <w:t xml:space="preserve"> </w:t>
      </w:r>
      <w:r>
        <w:t xml:space="preserve">The number of patients who initiated in Year 1 was 92% less than predicted, and therefore the number of treated patients and the number of supplied prescriptions </w:t>
      </w:r>
      <w:proofErr w:type="gramStart"/>
      <w:r>
        <w:t>have</w:t>
      </w:r>
      <w:proofErr w:type="gramEnd"/>
      <w:r>
        <w:t xml:space="preserve"> been much lower than predicted.</w:t>
      </w:r>
    </w:p>
    <w:p w14:paraId="4A381F8C" w14:textId="77777777" w:rsidR="005665C4" w:rsidRDefault="005665C4" w:rsidP="005665C4">
      <w:r>
        <w:t>It is unclear if the numbers were overestimated because the overall number of patients with nr-</w:t>
      </w:r>
      <w:proofErr w:type="spellStart"/>
      <w:r>
        <w:t>axSpA</w:t>
      </w:r>
      <w:proofErr w:type="spellEnd"/>
      <w:r>
        <w:t xml:space="preserve"> was overestimated, the number of patients who meet all the criteria was overestimated, or because the uptake was overestimated.</w:t>
      </w:r>
    </w:p>
    <w:p w14:paraId="3555DFBA" w14:textId="60E8E761" w:rsidR="00591512" w:rsidRDefault="00AB3733" w:rsidP="00F73113">
      <w:pPr>
        <w:pStyle w:val="Heading1"/>
      </w:pPr>
      <w:r>
        <w:t>D</w:t>
      </w:r>
      <w:r w:rsidR="007346C7" w:rsidRPr="005E22C2">
        <w:t>iscussion</w:t>
      </w:r>
    </w:p>
    <w:p w14:paraId="23A991A9" w14:textId="77777777" w:rsidR="005665C4" w:rsidRDefault="005665C4" w:rsidP="005665C4">
      <w:r>
        <w:t>New medicines such as certolizumab pegol may have gained some of the expected market of golimumab for nr-</w:t>
      </w:r>
      <w:proofErr w:type="spellStart"/>
      <w:r>
        <w:t>axSpA</w:t>
      </w:r>
      <w:proofErr w:type="spellEnd"/>
      <w:r>
        <w:t xml:space="preserve">, however this use does not account for the large difference between the predicted and actual treated patients. </w:t>
      </w:r>
    </w:p>
    <w:p w14:paraId="3B45D1C4" w14:textId="77777777" w:rsidR="005665C4" w:rsidRDefault="005665C4" w:rsidP="005665C4">
      <w:r w:rsidRPr="00077C42">
        <w:t xml:space="preserve">The submission </w:t>
      </w:r>
      <w:r>
        <w:t xml:space="preserve">predicted a large group of prevalent patients would be treated from year </w:t>
      </w:r>
      <w:proofErr w:type="gramStart"/>
      <w:r>
        <w:t>one, and</w:t>
      </w:r>
      <w:proofErr w:type="gramEnd"/>
      <w:r>
        <w:t xml:space="preserve"> </w:t>
      </w:r>
      <w:r w:rsidRPr="007D5232">
        <w:t xml:space="preserve">calculated the initiating patients by subtracting the treated patients in that year from the </w:t>
      </w:r>
      <w:r>
        <w:t xml:space="preserve">number of treated patients in the </w:t>
      </w:r>
      <w:r w:rsidRPr="007D5232">
        <w:t xml:space="preserve">previous year. </w:t>
      </w:r>
      <w:r>
        <w:t xml:space="preserve">Although this implies patients are continuing indefinitely, the prevalence estimate accounts for patients no longer being eligible. </w:t>
      </w:r>
    </w:p>
    <w:p w14:paraId="008D3016" w14:textId="0BF7CF9E" w:rsidR="005665C4" w:rsidRDefault="005665C4" w:rsidP="005665C4">
      <w:r w:rsidRPr="007D5232">
        <w:t xml:space="preserve">Overall, </w:t>
      </w:r>
      <w:r w:rsidRPr="001F6D17">
        <w:t>the submission estimated there were approximately</w:t>
      </w:r>
      <w:r w:rsidR="001F6D17">
        <w:t xml:space="preserve"> 30,000 to 35,000</w:t>
      </w:r>
      <w:r w:rsidRPr="001F6D17">
        <w:t xml:space="preserve"> </w:t>
      </w:r>
      <w:r w:rsidR="00486AD6">
        <w:t>nr-</w:t>
      </w:r>
      <w:proofErr w:type="spellStart"/>
      <w:r w:rsidR="00486AD6">
        <w:t>axSpA</w:t>
      </w:r>
      <w:proofErr w:type="spellEnd"/>
      <w:r w:rsidRPr="001F6D17">
        <w:t xml:space="preserve"> prevalent patients per year, and that</w:t>
      </w:r>
      <w:r w:rsidR="00A53442">
        <w:t xml:space="preserve"> </w:t>
      </w:r>
      <w:r w:rsidR="001F6D17">
        <w:t>18.9%</w:t>
      </w:r>
      <w:r w:rsidRPr="001F6D17">
        <w:t xml:space="preserve"> </w:t>
      </w:r>
      <w:r w:rsidR="001F6D17">
        <w:t>o</w:t>
      </w:r>
      <w:r w:rsidRPr="001F6D17">
        <w:t>f these would be eligible under the PBS restriction. On its website, Arthritis Australia</w:t>
      </w:r>
      <w:r>
        <w:t xml:space="preserve"> notes that around 30,000 </w:t>
      </w:r>
      <w:r w:rsidRPr="007D5232">
        <w:t>Australians are affected by nr-</w:t>
      </w:r>
      <w:proofErr w:type="spellStart"/>
      <w:r w:rsidRPr="007D5232">
        <w:t>axSpA</w:t>
      </w:r>
      <w:proofErr w:type="spellEnd"/>
      <w:r>
        <w:t>. It is unclear why the predicted and actual number of treated patients were so different.</w:t>
      </w:r>
    </w:p>
    <w:p w14:paraId="437A7457" w14:textId="77777777" w:rsidR="005665C4" w:rsidRDefault="005665C4" w:rsidP="005665C4">
      <w:r>
        <w:t xml:space="preserve">The submission originally predicted that all the patients would be aged 18-45 years old, </w:t>
      </w:r>
      <w:r w:rsidRPr="009C163F">
        <w:t>but the resubmission allowed 5% of patients to be aged over 45 years.</w:t>
      </w:r>
      <w:r>
        <w:t xml:space="preserve"> Figure 3 suggests more older patients may have initiated treatment than expected. It does appear from Tables 3 </w:t>
      </w:r>
      <w:r>
        <w:lastRenderedPageBreak/>
        <w:t>and 4 that, in line with the PBS restriction, prescribers are not prescribing golimumab to patients younger than 18 years old.</w:t>
      </w:r>
    </w:p>
    <w:p w14:paraId="4BCDF7DC" w14:textId="77777777" w:rsidR="005665C4" w:rsidRDefault="005665C4" w:rsidP="005665C4">
      <w:r>
        <w:t>The a</w:t>
      </w:r>
      <w:r w:rsidRPr="00FD4628">
        <w:t xml:space="preserve">nalysis of prescriber type </w:t>
      </w:r>
      <w:r>
        <w:t xml:space="preserve">showed </w:t>
      </w:r>
      <w:r w:rsidRPr="00FD4628">
        <w:t>that 84% of initiating prescriptions and 85% of overall prescriptions were prescribed by rheumatology specialists.</w:t>
      </w:r>
      <w:r>
        <w:t xml:space="preserve"> This appears to be in line with PBS restrictions, which state patients must be treated by a rheumatologist or by a clinical immunologist with expertise in the management of nr-</w:t>
      </w:r>
      <w:proofErr w:type="spellStart"/>
      <w:r>
        <w:t>axSpA</w:t>
      </w:r>
      <w:proofErr w:type="spellEnd"/>
      <w:r>
        <w:t xml:space="preserve">. It is possible that prescribers who do not appear to fit the PBS treatment criteria may have more than one specialty. </w:t>
      </w:r>
    </w:p>
    <w:p w14:paraId="6EFC1172" w14:textId="77777777" w:rsidR="005665C4" w:rsidRDefault="005665C4" w:rsidP="005665C4">
      <w:pPr>
        <w:pStyle w:val="Heading1"/>
      </w:pPr>
      <w:r>
        <w:t>DUSC consideration</w:t>
      </w:r>
    </w:p>
    <w:p w14:paraId="6568AEB0" w14:textId="77777777" w:rsidR="001A68C6" w:rsidRPr="001A68C6" w:rsidRDefault="001A68C6" w:rsidP="001A68C6">
      <w:pPr>
        <w:rPr>
          <w:iCs/>
        </w:rPr>
      </w:pPr>
      <w:r w:rsidRPr="001A68C6">
        <w:rPr>
          <w:iCs/>
        </w:rPr>
        <w:t>DUSC noted the Pre-Sub-Committee Response (PSCR) provided by the sponsor, and feedback provided by Arthritis Australia (AA) and Australian Rheumatology Association (ARA).</w:t>
      </w:r>
    </w:p>
    <w:p w14:paraId="0555EDA8" w14:textId="77777777" w:rsidR="001A68C6" w:rsidRPr="001A68C6" w:rsidRDefault="001A68C6" w:rsidP="001A68C6">
      <w:pPr>
        <w:rPr>
          <w:iCs/>
        </w:rPr>
      </w:pPr>
      <w:r w:rsidRPr="001A68C6">
        <w:rPr>
          <w:iCs/>
        </w:rPr>
        <w:t>DUSC noted the use by age and gender shows there are slightly more female than male patients, and that it appeared there had been more initiations in patients aged over 45 years than predicted. In its PSCR (p3) the sponsor noted that the analyses in the report showed that patients receiving golimumab were aligned with the restriction and demonstrate appropriate use.</w:t>
      </w:r>
    </w:p>
    <w:p w14:paraId="0C0E30D5" w14:textId="77777777" w:rsidR="001A68C6" w:rsidRPr="001A68C6" w:rsidRDefault="001A68C6" w:rsidP="001A68C6">
      <w:pPr>
        <w:rPr>
          <w:iCs/>
        </w:rPr>
      </w:pPr>
      <w:r w:rsidRPr="001A68C6">
        <w:rPr>
          <w:iCs/>
        </w:rPr>
        <w:t xml:space="preserve">DUSC noted the predicted versus actual review showed that the use of golimumab was lower than predicted. DUSC noted there were several areas of uncertainty in the estimates, and as the prevalence in Australia is unknown the US prevalence was used. DUSC noted the previous DUSC considerations suggested the accuracy of the estimates and their application to the Australian population was unclear. </w:t>
      </w:r>
    </w:p>
    <w:p w14:paraId="595105E7" w14:textId="77777777" w:rsidR="001A68C6" w:rsidRPr="001A68C6" w:rsidRDefault="001A68C6" w:rsidP="001A68C6">
      <w:pPr>
        <w:rPr>
          <w:iCs/>
        </w:rPr>
      </w:pPr>
      <w:r w:rsidRPr="001A68C6">
        <w:rPr>
          <w:iCs/>
        </w:rPr>
        <w:t>The PSCR suggested several reasons for the overestimation:</w:t>
      </w:r>
    </w:p>
    <w:p w14:paraId="145C5C8B" w14:textId="50DBEA38" w:rsidR="001A68C6" w:rsidRPr="001A68C6" w:rsidRDefault="001A68C6" w:rsidP="001A68C6">
      <w:pPr>
        <w:pStyle w:val="ListParagraph"/>
        <w:numPr>
          <w:ilvl w:val="0"/>
          <w:numId w:val="11"/>
        </w:numPr>
        <w:rPr>
          <w:iCs/>
        </w:rPr>
      </w:pPr>
      <w:r w:rsidRPr="001A68C6">
        <w:rPr>
          <w:iCs/>
        </w:rPr>
        <w:t>COVID-19 pandemic – the PSCR noted the growth rate of golimumab prescriptions declined when compared to those prior or after the first two quarters of 2020.</w:t>
      </w:r>
    </w:p>
    <w:p w14:paraId="3656EA02" w14:textId="5D08B8DC" w:rsidR="001A68C6" w:rsidRPr="001A68C6" w:rsidRDefault="001A68C6" w:rsidP="001A68C6">
      <w:pPr>
        <w:pStyle w:val="ListParagraph"/>
        <w:numPr>
          <w:ilvl w:val="0"/>
          <w:numId w:val="11"/>
        </w:numPr>
        <w:rPr>
          <w:iCs/>
        </w:rPr>
      </w:pPr>
      <w:r w:rsidRPr="001A68C6">
        <w:rPr>
          <w:iCs/>
        </w:rPr>
        <w:t>The listing of certolizumab pegol for nr-</w:t>
      </w:r>
      <w:proofErr w:type="spellStart"/>
      <w:r w:rsidRPr="001A68C6">
        <w:rPr>
          <w:iCs/>
        </w:rPr>
        <w:t>axSpA</w:t>
      </w:r>
      <w:proofErr w:type="spellEnd"/>
      <w:r w:rsidRPr="001A68C6">
        <w:rPr>
          <w:iCs/>
        </w:rPr>
        <w:t xml:space="preserve"> in June 2020 – the PSCR noted it may have been appropriate to compare the predicted utilisation of golimumab to the overall nr-</w:t>
      </w:r>
      <w:proofErr w:type="spellStart"/>
      <w:r w:rsidRPr="001A68C6">
        <w:rPr>
          <w:iCs/>
        </w:rPr>
        <w:t>axSpA</w:t>
      </w:r>
      <w:proofErr w:type="spellEnd"/>
      <w:r w:rsidRPr="001A68C6">
        <w:rPr>
          <w:iCs/>
        </w:rPr>
        <w:t xml:space="preserve"> market.</w:t>
      </w:r>
    </w:p>
    <w:p w14:paraId="3F5C1A54" w14:textId="192D803D" w:rsidR="001A68C6" w:rsidRPr="001A68C6" w:rsidRDefault="001A68C6" w:rsidP="001A68C6">
      <w:pPr>
        <w:pStyle w:val="ListParagraph"/>
        <w:numPr>
          <w:ilvl w:val="0"/>
          <w:numId w:val="11"/>
        </w:numPr>
        <w:rPr>
          <w:iCs/>
        </w:rPr>
      </w:pPr>
      <w:r w:rsidRPr="001A68C6">
        <w:rPr>
          <w:iCs/>
        </w:rPr>
        <w:t xml:space="preserve">Awareness of disease, </w:t>
      </w:r>
      <w:proofErr w:type="gramStart"/>
      <w:r w:rsidRPr="001A68C6">
        <w:rPr>
          <w:iCs/>
        </w:rPr>
        <w:t>diagnosis</w:t>
      </w:r>
      <w:proofErr w:type="gramEnd"/>
      <w:r w:rsidRPr="001A68C6">
        <w:rPr>
          <w:iCs/>
        </w:rPr>
        <w:t xml:space="preserve"> and available treatment options – the PSCR noted that over time with more options and greater awareness, the actual use of these biologics including golimumab will continue to increase, closer to the predicted.</w:t>
      </w:r>
    </w:p>
    <w:p w14:paraId="4B6AECEB" w14:textId="06871316" w:rsidR="001A68C6" w:rsidRPr="001A68C6" w:rsidRDefault="001A68C6" w:rsidP="001A68C6">
      <w:pPr>
        <w:pStyle w:val="ListParagraph"/>
        <w:numPr>
          <w:ilvl w:val="0"/>
          <w:numId w:val="11"/>
        </w:numPr>
        <w:rPr>
          <w:iCs/>
        </w:rPr>
      </w:pPr>
      <w:r w:rsidRPr="001A68C6">
        <w:rPr>
          <w:iCs/>
        </w:rPr>
        <w:t>Stringent PBS restrictions - the PSCR noted that listings are complex and restrictive and required written authorisation for initial and continuing therapy.</w:t>
      </w:r>
    </w:p>
    <w:p w14:paraId="5B8AC7E8" w14:textId="1CCFCA83" w:rsidR="001A68C6" w:rsidRPr="001A68C6" w:rsidRDefault="001A68C6" w:rsidP="001A68C6">
      <w:pPr>
        <w:rPr>
          <w:iCs/>
        </w:rPr>
      </w:pPr>
      <w:r w:rsidRPr="001A68C6">
        <w:rPr>
          <w:iCs/>
        </w:rPr>
        <w:t xml:space="preserve">DUSC noted the report showed that certolizumab pegol and </w:t>
      </w:r>
      <w:proofErr w:type="spellStart"/>
      <w:r w:rsidRPr="001A68C6">
        <w:rPr>
          <w:iCs/>
        </w:rPr>
        <w:t>secukinumab</w:t>
      </w:r>
      <w:proofErr w:type="spellEnd"/>
      <w:r w:rsidRPr="001A68C6">
        <w:rPr>
          <w:iCs/>
        </w:rPr>
        <w:t xml:space="preserve"> had gained market share, and the overall trend of use increased when additional medicines were listed. DUSC noted from the AA response that if a patient was prescribed a biologic medicine for nr-</w:t>
      </w:r>
      <w:proofErr w:type="spellStart"/>
      <w:r w:rsidRPr="001A68C6">
        <w:rPr>
          <w:iCs/>
        </w:rPr>
        <w:t>axSpA</w:t>
      </w:r>
      <w:proofErr w:type="spellEnd"/>
      <w:r w:rsidRPr="001A68C6">
        <w:rPr>
          <w:iCs/>
        </w:rPr>
        <w:t xml:space="preserve"> and did not achieve a benefit, a rheumatologist would be likely to try a different biologic medicine, and that this could be contributing to the growth of the market. </w:t>
      </w:r>
    </w:p>
    <w:p w14:paraId="4236CBFC" w14:textId="77777777" w:rsidR="001A68C6" w:rsidRPr="001A68C6" w:rsidRDefault="001A68C6" w:rsidP="001A68C6">
      <w:pPr>
        <w:rPr>
          <w:iCs/>
        </w:rPr>
      </w:pPr>
      <w:r w:rsidRPr="001A68C6">
        <w:rPr>
          <w:iCs/>
        </w:rPr>
        <w:lastRenderedPageBreak/>
        <w:t xml:space="preserve">DUSC noted the analysis of prescriber type showed initiation was overwhelmingly dominated (84%) by rheumatology. DUSC considered that one factor limiting use could be access to rheumatology specialists, particularly through the public system, and that once patients are referred to a specialist, they were likely triaged as routine, and could take years to be seen. </w:t>
      </w:r>
    </w:p>
    <w:p w14:paraId="6574B65A" w14:textId="77777777" w:rsidR="001A68C6" w:rsidRPr="001A68C6" w:rsidRDefault="001A68C6" w:rsidP="001A68C6">
      <w:pPr>
        <w:rPr>
          <w:iCs/>
        </w:rPr>
      </w:pPr>
      <w:r w:rsidRPr="001A68C6">
        <w:rPr>
          <w:iCs/>
        </w:rPr>
        <w:t xml:space="preserve">The response from AA commented that AS often takes as long as 10 years to diagnose, and that young adolescent men may mistakenly attribute their symptoms to sporting injuries, rather than seeking treatment and being diagnosed with axial </w:t>
      </w:r>
      <w:proofErr w:type="spellStart"/>
      <w:r w:rsidRPr="001A68C6">
        <w:rPr>
          <w:iCs/>
        </w:rPr>
        <w:t>spondyloarthritis</w:t>
      </w:r>
      <w:proofErr w:type="spellEnd"/>
      <w:r w:rsidRPr="001A68C6">
        <w:rPr>
          <w:iCs/>
        </w:rPr>
        <w:t xml:space="preserve"> early in their condition. The ARA also suggested there may be a delay in diagnosing young </w:t>
      </w:r>
      <w:proofErr w:type="gramStart"/>
      <w:r w:rsidRPr="001A68C6">
        <w:rPr>
          <w:iCs/>
        </w:rPr>
        <w:t>men, but</w:t>
      </w:r>
      <w:proofErr w:type="gramEnd"/>
      <w:r w:rsidRPr="001A68C6">
        <w:rPr>
          <w:iCs/>
        </w:rPr>
        <w:t xml:space="preserve"> commented this was more likely to affect those in physically challenging trades, which lead to back injuries, rather than sporting injuries. DUSC considered a similar delay may also be likely for nr-</w:t>
      </w:r>
      <w:proofErr w:type="spellStart"/>
      <w:r w:rsidRPr="001A68C6">
        <w:rPr>
          <w:iCs/>
        </w:rPr>
        <w:t>axSpA</w:t>
      </w:r>
      <w:proofErr w:type="spellEnd"/>
      <w:r w:rsidRPr="001A68C6">
        <w:rPr>
          <w:iCs/>
        </w:rPr>
        <w:t xml:space="preserve">, and that part of the overestimate of use could be due to patients not being diagnosed. </w:t>
      </w:r>
    </w:p>
    <w:p w14:paraId="7ADECD46" w14:textId="77777777" w:rsidR="001A68C6" w:rsidRPr="001A68C6" w:rsidRDefault="001A68C6" w:rsidP="001A68C6">
      <w:pPr>
        <w:rPr>
          <w:iCs/>
        </w:rPr>
      </w:pPr>
      <w:r w:rsidRPr="001A68C6">
        <w:rPr>
          <w:iCs/>
        </w:rPr>
        <w:t>DUSC commented that less severe patients may be reluctant to begin long term treatment with a biologic medicine when they do experience a benefit from anti-inflammatories, and that more severe or borderline nr-</w:t>
      </w:r>
      <w:proofErr w:type="spellStart"/>
      <w:r w:rsidRPr="001A68C6">
        <w:rPr>
          <w:iCs/>
        </w:rPr>
        <w:t>axSpA</w:t>
      </w:r>
      <w:proofErr w:type="spellEnd"/>
      <w:r w:rsidRPr="001A68C6">
        <w:rPr>
          <w:iCs/>
        </w:rPr>
        <w:t xml:space="preserve"> patients could be diagnosed with AS, which would give them more therapeutic options. DUSC considered these factors could also be contributing to the overestimate of use.</w:t>
      </w:r>
    </w:p>
    <w:p w14:paraId="7CE3A3D9" w14:textId="55FCB3C5" w:rsidR="005665C4" w:rsidRPr="001F6D17" w:rsidRDefault="001A68C6" w:rsidP="001A68C6">
      <w:pPr>
        <w:rPr>
          <w:iCs/>
        </w:rPr>
      </w:pPr>
      <w:r w:rsidRPr="001A68C6">
        <w:rPr>
          <w:iCs/>
        </w:rPr>
        <w:t>Overall DUSC considered the predicted patients and prescriptions may have been overestimated due to several factors, including access to specialists, understanding and awareness of the disease, and patients’ reluctance to initiate biologic medicines. DUSC did not suggest changing or simplifying the PBS restriction.</w:t>
      </w:r>
    </w:p>
    <w:p w14:paraId="56A6A4BB" w14:textId="77777777" w:rsidR="005665C4" w:rsidRDefault="005665C4" w:rsidP="005665C4">
      <w:pPr>
        <w:pStyle w:val="Heading1"/>
      </w:pPr>
      <w:r>
        <w:t>DUSC actions</w:t>
      </w:r>
    </w:p>
    <w:p w14:paraId="7FD66091" w14:textId="77777777" w:rsidR="005665C4" w:rsidRPr="001F6D17" w:rsidRDefault="005665C4" w:rsidP="005665C4">
      <w:pPr>
        <w:rPr>
          <w:iCs/>
        </w:rPr>
      </w:pPr>
      <w:r w:rsidRPr="001F6D17">
        <w:rPr>
          <w:iCs/>
        </w:rPr>
        <w:t xml:space="preserve">DUSC requested that the report be provided to the PBAC for consideration. </w:t>
      </w:r>
    </w:p>
    <w:p w14:paraId="7586EA6B" w14:textId="77777777" w:rsidR="005665C4" w:rsidRDefault="005665C4" w:rsidP="005665C4">
      <w:pPr>
        <w:pStyle w:val="Heading1"/>
      </w:pPr>
      <w:r w:rsidRPr="0092516A">
        <w:t>Context for analysis</w:t>
      </w:r>
    </w:p>
    <w:p w14:paraId="53DC0441" w14:textId="77777777" w:rsidR="005665C4" w:rsidRDefault="005665C4" w:rsidP="005665C4">
      <w:r>
        <w:t>The DUSC is a Sub Committee of the Pharmaceutical Benefits Advisory Committee (PBAC). The DUSC assesses estimates on projected usage and financial cost of medicines.</w:t>
      </w:r>
    </w:p>
    <w:p w14:paraId="3A9C1558" w14:textId="77777777" w:rsidR="005665C4" w:rsidRDefault="005665C4" w:rsidP="005665C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0EBA1BF" w14:textId="77777777" w:rsidR="005665C4" w:rsidRDefault="005665C4" w:rsidP="005665C4">
      <w:r>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3AA8C885" w14:textId="77777777" w:rsidR="005665C4" w:rsidRDefault="005665C4" w:rsidP="005665C4">
      <w:r>
        <w:lastRenderedPageBreak/>
        <w:t>The utilisation analysis report was provided to the pharmaceutical sponsors of each drug and comments on the report were provided to DUSC prior to its consideration of the analysis.</w:t>
      </w:r>
    </w:p>
    <w:p w14:paraId="78216FA1" w14:textId="77777777" w:rsidR="005665C4" w:rsidRDefault="005665C4" w:rsidP="005665C4">
      <w:pPr>
        <w:pStyle w:val="Heading1"/>
      </w:pPr>
      <w:r>
        <w:t>Sponsor</w:t>
      </w:r>
      <w:r w:rsidRPr="0092516A">
        <w:t>s</w:t>
      </w:r>
      <w:r>
        <w:t>’</w:t>
      </w:r>
      <w:r w:rsidRPr="0092516A">
        <w:t xml:space="preserve"> comments</w:t>
      </w:r>
    </w:p>
    <w:p w14:paraId="35C4611C" w14:textId="1241E928" w:rsidR="005665C4" w:rsidRDefault="00EF713B" w:rsidP="005665C4">
      <w:r w:rsidRPr="00EF713B">
        <w:t>Janssen-</w:t>
      </w:r>
      <w:proofErr w:type="spellStart"/>
      <w:r w:rsidRPr="00EF713B">
        <w:t>Cilag</w:t>
      </w:r>
      <w:proofErr w:type="spellEnd"/>
      <w:r w:rsidRPr="00EF713B">
        <w:t xml:space="preserve"> Pty Ltd</w:t>
      </w:r>
      <w:r w:rsidRPr="00EF713B">
        <w:t xml:space="preserve">: </w:t>
      </w:r>
      <w:r w:rsidR="005665C4" w:rsidRPr="00EF713B">
        <w:t>The sponsor has no comment.</w:t>
      </w:r>
    </w:p>
    <w:p w14:paraId="49CE3F1F" w14:textId="77777777" w:rsidR="005665C4" w:rsidRDefault="005665C4" w:rsidP="005665C4">
      <w:pPr>
        <w:pStyle w:val="Heading1"/>
      </w:pPr>
      <w:r w:rsidRPr="00A4020E">
        <w:t>Disclaimer</w:t>
      </w:r>
    </w:p>
    <w:p w14:paraId="08585AD6" w14:textId="77777777" w:rsidR="005665C4" w:rsidRDefault="005665C4" w:rsidP="005665C4">
      <w:r>
        <w:t xml:space="preserve">The information provided in this report does not constitute medical advice and is not intended to take the place of professional medical advice or care.  It is not intended to define what constitutes reasonable, </w:t>
      </w:r>
      <w:proofErr w:type="gramStart"/>
      <w:r>
        <w:t>appropriate</w:t>
      </w:r>
      <w:proofErr w:type="gramEnd"/>
      <w:r>
        <w:t xml:space="preserve"> or best care for any individual for any given health issue.  The information should not be used as a substitute for the judgement and skill of a medical practitioner.</w:t>
      </w:r>
    </w:p>
    <w:p w14:paraId="40A17DA9" w14:textId="77777777" w:rsidR="005665C4" w:rsidRDefault="005665C4" w:rsidP="005665C4">
      <w:r>
        <w:t>The Department of Health (</w:t>
      </w:r>
      <w:proofErr w:type="spellStart"/>
      <w:r>
        <w:t>DoH</w:t>
      </w:r>
      <w:proofErr w:type="spellEnd"/>
      <w:r>
        <w:t xml:space="preserv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0E5EA5E6" w14:textId="77777777" w:rsidR="005665C4" w:rsidRDefault="005665C4" w:rsidP="005665C4">
      <w:r>
        <w:t xml:space="preserve">To the extent provided by law, </w:t>
      </w:r>
      <w:proofErr w:type="spellStart"/>
      <w:proofErr w:type="gramStart"/>
      <w:r>
        <w:t>DoH</w:t>
      </w:r>
      <w:proofErr w:type="spellEnd"/>
      <w:proofErr w:type="gramEnd"/>
      <w:r>
        <w:t xml:space="preserve"> makes no warranties or representations as to accuracy or completeness of information contained in this report. </w:t>
      </w:r>
    </w:p>
    <w:p w14:paraId="600F1270" w14:textId="77777777" w:rsidR="005665C4" w:rsidRDefault="005665C4" w:rsidP="005665C4">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w:t>
      </w:r>
      <w:proofErr w:type="gramStart"/>
      <w:r>
        <w:t>third party</w:t>
      </w:r>
      <w:proofErr w:type="gramEnd"/>
      <w:r>
        <w:t xml:space="preserve"> website referred to in this report.</w:t>
      </w:r>
    </w:p>
    <w:sectPr w:rsidR="005665C4" w:rsidSect="00DD188C">
      <w:headerReference w:type="even" r:id="rId18"/>
      <w:headerReference w:type="default" r:id="rId19"/>
      <w:footerReference w:type="even" r:id="rId20"/>
      <w:footerReference w:type="default" r:id="rId21"/>
      <w:headerReference w:type="first" r:id="rId22"/>
      <w:footerReference w:type="first" r:id="rId2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71563" w14:textId="77777777" w:rsidR="00F078C4" w:rsidRDefault="00F078C4" w:rsidP="00A35800">
      <w:r>
        <w:separator/>
      </w:r>
    </w:p>
  </w:endnote>
  <w:endnote w:type="continuationSeparator" w:id="0">
    <w:p w14:paraId="703102D5" w14:textId="77777777" w:rsidR="00F078C4" w:rsidRDefault="00F078C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486AD6" w:rsidRDefault="00486AD6"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486AD6" w:rsidRDefault="00486AD6"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29C2AA2E" w14:textId="77777777" w:rsidR="00486AD6" w:rsidRPr="000E72C6" w:rsidRDefault="00486AD6" w:rsidP="00CC1F36">
            <w:pPr>
              <w:pStyle w:val="Footer"/>
              <w:jc w:val="center"/>
              <w:rPr>
                <w:i/>
                <w:sz w:val="20"/>
              </w:rPr>
            </w:pPr>
            <w:r>
              <w:rPr>
                <w:i/>
                <w:sz w:val="20"/>
              </w:rPr>
              <w:t xml:space="preserve">Public release document, October 2021 DUSC meeting </w:t>
            </w:r>
          </w:p>
          <w:p w14:paraId="10292A9A" w14:textId="5A4AA76C" w:rsidR="00486AD6" w:rsidRDefault="00486AD6" w:rsidP="00CC1F3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sz w:val="20"/>
              </w:rPr>
              <w:t>21</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486AD6" w:rsidRDefault="00486AD6" w:rsidP="007A5733">
    <w:pPr>
      <w:pStyle w:val="Footer"/>
      <w:jc w:val="center"/>
      <w:rPr>
        <w:rStyle w:val="PageNumber"/>
      </w:rPr>
    </w:pPr>
    <w:r>
      <w:rPr>
        <w:rStyle w:val="PageNumber"/>
      </w:rPr>
      <w:t>Committee-in-Confidence</w:t>
    </w:r>
  </w:p>
  <w:p w14:paraId="3CE6880B" w14:textId="77777777" w:rsidR="00486AD6" w:rsidRDefault="00486AD6"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331BF" w14:textId="77777777" w:rsidR="00F078C4" w:rsidRDefault="00F078C4" w:rsidP="00A35800">
      <w:r>
        <w:separator/>
      </w:r>
    </w:p>
  </w:footnote>
  <w:footnote w:type="continuationSeparator" w:id="0">
    <w:p w14:paraId="526FFE31" w14:textId="77777777" w:rsidR="00F078C4" w:rsidRDefault="00F078C4" w:rsidP="00A35800">
      <w:r>
        <w:continuationSeparator/>
      </w:r>
    </w:p>
  </w:footnote>
  <w:footnote w:id="1">
    <w:p w14:paraId="7206BBCA" w14:textId="77777777" w:rsidR="00486AD6" w:rsidRDefault="00486AD6" w:rsidP="00A83AC3">
      <w:pPr>
        <w:pStyle w:val="FootnoteText"/>
      </w:pPr>
      <w:r>
        <w:rPr>
          <w:rStyle w:val="FootnoteReference"/>
        </w:rPr>
        <w:footnoteRef/>
      </w:r>
      <w:r>
        <w:t xml:space="preserve">  Quinn S., Maguire S., </w:t>
      </w:r>
      <w:proofErr w:type="spellStart"/>
      <w:r>
        <w:t>O’shea</w:t>
      </w:r>
      <w:proofErr w:type="spellEnd"/>
      <w:r>
        <w:t xml:space="preserve"> F.B., </w:t>
      </w:r>
      <w:proofErr w:type="spellStart"/>
      <w:r>
        <w:t>O’neill</w:t>
      </w:r>
      <w:proofErr w:type="spellEnd"/>
      <w:r>
        <w:t xml:space="preserve"> L., Molloy E., Fearon U. et.al.  Characteristics and burden of disease in</w:t>
      </w:r>
    </w:p>
    <w:p w14:paraId="075F1C76" w14:textId="77777777" w:rsidR="00486AD6" w:rsidRDefault="00486AD6" w:rsidP="00A83AC3">
      <w:pPr>
        <w:pStyle w:val="FootnoteText"/>
      </w:pPr>
      <w:r>
        <w:t xml:space="preserve">patients with radiographic versus </w:t>
      </w:r>
      <w:proofErr w:type="spellStart"/>
      <w:r>
        <w:t>nonradiographic</w:t>
      </w:r>
      <w:proofErr w:type="spellEnd"/>
      <w:r>
        <w:t xml:space="preserve"> axial </w:t>
      </w:r>
      <w:proofErr w:type="spellStart"/>
      <w:r>
        <w:t>spondyloarthritis</w:t>
      </w:r>
      <w:proofErr w:type="spellEnd"/>
      <w:r>
        <w:t xml:space="preserve"> in the ankylosing spondylitis registry of Ireland cohort. </w:t>
      </w:r>
      <w:r w:rsidRPr="00D41E76">
        <w:t>Annals of the Rheumatic Diseases</w:t>
      </w:r>
      <w:r>
        <w:t xml:space="preserve"> 2021; </w:t>
      </w:r>
      <w:r w:rsidRPr="00D41E76">
        <w:t>80:747.</w:t>
      </w:r>
      <w:r>
        <w:t xml:space="preserve"> </w:t>
      </w:r>
    </w:p>
  </w:footnote>
  <w:footnote w:id="2">
    <w:p w14:paraId="66D399E1" w14:textId="77777777" w:rsidR="00486AD6" w:rsidRDefault="00486AD6" w:rsidP="00A83AC3">
      <w:pPr>
        <w:pStyle w:val="FootnoteText"/>
      </w:pPr>
      <w:r>
        <w:rPr>
          <w:rStyle w:val="FootnoteReference"/>
        </w:rPr>
        <w:footnoteRef/>
      </w:r>
      <w:r>
        <w:t xml:space="preserve"> </w:t>
      </w:r>
      <w:proofErr w:type="spellStart"/>
      <w:r w:rsidRPr="00D50934">
        <w:t>Maksymowych</w:t>
      </w:r>
      <w:proofErr w:type="spellEnd"/>
      <w:r w:rsidRPr="00D50934">
        <w:t xml:space="preserve">, W.P., </w:t>
      </w:r>
      <w:proofErr w:type="spellStart"/>
      <w:r w:rsidRPr="00D50934">
        <w:t>Wichuk</w:t>
      </w:r>
      <w:proofErr w:type="spellEnd"/>
      <w:r w:rsidRPr="00D50934">
        <w:t xml:space="preserve">, S., </w:t>
      </w:r>
      <w:proofErr w:type="spellStart"/>
      <w:r w:rsidRPr="00D50934">
        <w:t>Dougados</w:t>
      </w:r>
      <w:proofErr w:type="spellEnd"/>
      <w:r w:rsidRPr="00D50934">
        <w:t>, M.</w:t>
      </w:r>
      <w:r>
        <w:t xml:space="preserve">, Jones H., </w:t>
      </w:r>
      <w:proofErr w:type="spellStart"/>
      <w:r>
        <w:t>Szumski</w:t>
      </w:r>
      <w:proofErr w:type="spellEnd"/>
      <w:r>
        <w:t xml:space="preserve"> A., Bukowski J.F.,</w:t>
      </w:r>
      <w:r w:rsidRPr="00D50934">
        <w:t xml:space="preserve"> et al. MRI evidence of structural changes in the sacroiliac joints of patients with non-radiographic axial </w:t>
      </w:r>
      <w:proofErr w:type="spellStart"/>
      <w:r w:rsidRPr="00D50934">
        <w:t>spondyloarthritis</w:t>
      </w:r>
      <w:proofErr w:type="spellEnd"/>
      <w:r w:rsidRPr="00D50934">
        <w:t xml:space="preserve"> even in the absence of MRI inflammation. Arthritis Res </w:t>
      </w:r>
      <w:proofErr w:type="spellStart"/>
      <w:r w:rsidRPr="00D50934">
        <w:t>Ther</w:t>
      </w:r>
      <w:proofErr w:type="spellEnd"/>
      <w:r w:rsidRPr="00D50934">
        <w:t xml:space="preserve"> </w:t>
      </w:r>
      <w:r>
        <w:t>2017:</w:t>
      </w:r>
      <w:r w:rsidRPr="00D50934">
        <w:t>19</w:t>
      </w:r>
      <w:r>
        <w:t xml:space="preserve">: </w:t>
      </w:r>
      <w:r w:rsidRPr="00D50934">
        <w:t>126</w:t>
      </w:r>
      <w:r>
        <w:t xml:space="preserve">. </w:t>
      </w:r>
      <w:r w:rsidRPr="00D50934">
        <w:t>https://doi.org/10.1186/s13075-017-1342-9</w:t>
      </w:r>
    </w:p>
  </w:footnote>
  <w:footnote w:id="3">
    <w:p w14:paraId="5EC343B9" w14:textId="77777777" w:rsidR="00486AD6" w:rsidRDefault="00486AD6" w:rsidP="00A83AC3">
      <w:pPr>
        <w:pStyle w:val="FootnoteText"/>
      </w:pPr>
      <w:r w:rsidRPr="000552ED">
        <w:rPr>
          <w:rStyle w:val="FootnoteReference"/>
        </w:rPr>
        <w:footnoteRef/>
      </w:r>
      <w:r w:rsidRPr="000552ED">
        <w:t xml:space="preserve"> Arthritis Australia. Accessed on 17 August 2021 at: </w:t>
      </w:r>
      <w:hyperlink r:id="rId1" w:history="1">
        <w:r w:rsidRPr="000552ED">
          <w:rPr>
            <w:rStyle w:val="Hyperlink"/>
          </w:rPr>
          <w:t xml:space="preserve">Non-radiographic Axial </w:t>
        </w:r>
        <w:proofErr w:type="spellStart"/>
        <w:r w:rsidRPr="000552ED">
          <w:rPr>
            <w:rStyle w:val="Hyperlink"/>
          </w:rPr>
          <w:t>Spondyloarthritis</w:t>
        </w:r>
        <w:proofErr w:type="spellEnd"/>
        <w:r w:rsidRPr="000552ED">
          <w:rPr>
            <w:rStyle w:val="Hyperlink"/>
          </w:rPr>
          <w:t xml:space="preserve"> — Arthritis Australia</w:t>
        </w:r>
      </w:hyperlink>
    </w:p>
  </w:footnote>
  <w:footnote w:id="4">
    <w:p w14:paraId="6A59D928" w14:textId="77777777" w:rsidR="00486AD6" w:rsidRDefault="00486AD6" w:rsidP="00A83AC3">
      <w:pPr>
        <w:pStyle w:val="FootnoteText"/>
      </w:pPr>
      <w:r>
        <w:rPr>
          <w:rStyle w:val="FootnoteReference"/>
        </w:rPr>
        <w:footnoteRef/>
      </w:r>
      <w:r>
        <w:t xml:space="preserve"> </w:t>
      </w:r>
      <w:r>
        <w:rPr>
          <w:szCs w:val="18"/>
        </w:rPr>
        <w:t>Simponi® (golimumab). Australian Approved Product Information. Macquarie Park: Janssen-</w:t>
      </w:r>
      <w:proofErr w:type="spellStart"/>
      <w:r>
        <w:rPr>
          <w:szCs w:val="18"/>
        </w:rPr>
        <w:t>Cilag</w:t>
      </w:r>
      <w:proofErr w:type="spellEnd"/>
      <w:r>
        <w:rPr>
          <w:szCs w:val="18"/>
        </w:rPr>
        <w:t xml:space="preserve">. Approved 13 November 2009, updated 8 February 2021. Available from </w:t>
      </w:r>
      <w:hyperlink r:id="rId2" w:history="1">
        <w:r w:rsidRPr="00DC20A6">
          <w:rPr>
            <w:rStyle w:val="Hyperlink"/>
            <w:szCs w:val="18"/>
          </w:rPr>
          <w:t>https://www.ebs.tga.gov.au/ebs/picmi/picmirepository.nsf/pdf?OpenAgent&amp;id=CP-2011-PI-03025-3&amp;d=20210811172310101</w:t>
        </w:r>
      </w:hyperlink>
    </w:p>
  </w:footnote>
  <w:footnote w:id="5">
    <w:p w14:paraId="13ECB398" w14:textId="77777777" w:rsidR="00486AD6" w:rsidRDefault="00486AD6" w:rsidP="00A83AC3">
      <w:pPr>
        <w:pStyle w:val="FootnoteText"/>
      </w:pPr>
      <w:r>
        <w:rPr>
          <w:rStyle w:val="FootnoteReference"/>
        </w:rPr>
        <w:footnoteRef/>
      </w:r>
      <w:r>
        <w:t xml:space="preserve"> </w:t>
      </w:r>
      <w:r w:rsidRPr="00584DC2">
        <w:t xml:space="preserve">Simponi® (golimumab). Australian Approved </w:t>
      </w:r>
      <w:r>
        <w:t xml:space="preserve">Consumer </w:t>
      </w:r>
      <w:proofErr w:type="spellStart"/>
      <w:r>
        <w:t>Mdicine</w:t>
      </w:r>
      <w:proofErr w:type="spellEnd"/>
      <w:r w:rsidRPr="00584DC2">
        <w:t xml:space="preserve"> Information. Macquarie Park: Janssen-</w:t>
      </w:r>
      <w:proofErr w:type="spellStart"/>
      <w:r w:rsidRPr="00584DC2">
        <w:t>Cilag</w:t>
      </w:r>
      <w:proofErr w:type="spellEnd"/>
      <w:r w:rsidRPr="00584DC2">
        <w:t xml:space="preserve">. </w:t>
      </w:r>
      <w:r>
        <w:t>Date of preparation</w:t>
      </w:r>
      <w:r w:rsidRPr="00584DC2">
        <w:t xml:space="preserve"> November 20</w:t>
      </w:r>
      <w:r>
        <w:t>1</w:t>
      </w:r>
      <w:r w:rsidRPr="00584DC2">
        <w:t>9. Available from</w:t>
      </w:r>
      <w:r>
        <w:t xml:space="preserve"> </w:t>
      </w:r>
      <w:hyperlink r:id="rId3" w:history="1">
        <w:r w:rsidRPr="00DC20A6">
          <w:rPr>
            <w:rStyle w:val="Hyperlink"/>
          </w:rPr>
          <w:t>https://www.ebs.tga.gov.au/ebs/picmi/picmirepository.nsf/pdf?OpenAgent&amp;id=CP-2011-CMI-03026-3</w:t>
        </w:r>
      </w:hyperlink>
      <w:r>
        <w:t xml:space="preserve"> </w:t>
      </w:r>
    </w:p>
  </w:footnote>
  <w:footnote w:id="6">
    <w:p w14:paraId="1B6E21B2" w14:textId="77777777" w:rsidR="00486AD6" w:rsidRPr="00BC5AE2" w:rsidRDefault="00486AD6" w:rsidP="00A83AC3">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4"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F5F88" w14:textId="77777777" w:rsidR="00486AD6" w:rsidRDefault="00486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F15D" w14:textId="77777777" w:rsidR="00486AD6" w:rsidRDefault="00486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B446B" w14:textId="77777777" w:rsidR="00486AD6" w:rsidRDefault="00486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1D63"/>
    <w:multiLevelType w:val="hybridMultilevel"/>
    <w:tmpl w:val="2FDC6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F5E1D"/>
    <w:multiLevelType w:val="hybridMultilevel"/>
    <w:tmpl w:val="A3DA6C8C"/>
    <w:lvl w:ilvl="0" w:tplc="0C090001">
      <w:start w:val="1"/>
      <w:numFmt w:val="bullet"/>
      <w:lvlText w:val=""/>
      <w:lvlJc w:val="left"/>
      <w:pPr>
        <w:ind w:left="720" w:hanging="360"/>
      </w:pPr>
      <w:rPr>
        <w:rFonts w:ascii="Symbol" w:hAnsi="Symbol" w:hint="default"/>
      </w:rPr>
    </w:lvl>
    <w:lvl w:ilvl="1" w:tplc="A6AC87BA">
      <w:start w:val="4"/>
      <w:numFmt w:val="bullet"/>
      <w:lvlText w:val="-"/>
      <w:lvlJc w:val="left"/>
      <w:pPr>
        <w:ind w:left="1440" w:hanging="360"/>
      </w:pPr>
      <w:rPr>
        <w:rFonts w:ascii="Calibri" w:eastAsiaTheme="minorHAnsi"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EA5AF8"/>
    <w:multiLevelType w:val="hybridMultilevel"/>
    <w:tmpl w:val="609CA95A"/>
    <w:lvl w:ilvl="0" w:tplc="0C090001">
      <w:start w:val="1"/>
      <w:numFmt w:val="bullet"/>
      <w:lvlText w:val=""/>
      <w:lvlJc w:val="left"/>
      <w:pPr>
        <w:ind w:left="720" w:hanging="360"/>
      </w:pPr>
      <w:rPr>
        <w:rFonts w:ascii="Symbol" w:hAnsi="Symbol" w:hint="default"/>
      </w:rPr>
    </w:lvl>
    <w:lvl w:ilvl="1" w:tplc="A6AC87BA">
      <w:start w:val="4"/>
      <w:numFmt w:val="bullet"/>
      <w:lvlText w:val="-"/>
      <w:lvlJc w:val="left"/>
      <w:pPr>
        <w:ind w:left="1440" w:hanging="360"/>
      </w:pPr>
      <w:rPr>
        <w:rFonts w:ascii="Calibri" w:eastAsiaTheme="minorHAnsi"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152E17"/>
    <w:multiLevelType w:val="hybridMultilevel"/>
    <w:tmpl w:val="84EE0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C80ABC"/>
    <w:multiLevelType w:val="hybridMultilevel"/>
    <w:tmpl w:val="0D946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4F542A"/>
    <w:multiLevelType w:val="hybridMultilevel"/>
    <w:tmpl w:val="1E04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CF4F8A"/>
    <w:multiLevelType w:val="hybridMultilevel"/>
    <w:tmpl w:val="49A23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FAB26FE"/>
    <w:multiLevelType w:val="hybridMultilevel"/>
    <w:tmpl w:val="0F36D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5"/>
  </w:num>
  <w:num w:numId="5">
    <w:abstractNumId w:val="10"/>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E85"/>
    <w:rsid w:val="00013465"/>
    <w:rsid w:val="000226B3"/>
    <w:rsid w:val="00024549"/>
    <w:rsid w:val="000544B6"/>
    <w:rsid w:val="000604AF"/>
    <w:rsid w:val="00086C11"/>
    <w:rsid w:val="00094DCF"/>
    <w:rsid w:val="000A6CFD"/>
    <w:rsid w:val="000B0982"/>
    <w:rsid w:val="000B796C"/>
    <w:rsid w:val="000C46BB"/>
    <w:rsid w:val="000C4D9D"/>
    <w:rsid w:val="000C7C4B"/>
    <w:rsid w:val="000C7D8B"/>
    <w:rsid w:val="000E485D"/>
    <w:rsid w:val="000E72C6"/>
    <w:rsid w:val="000F1893"/>
    <w:rsid w:val="000F2F51"/>
    <w:rsid w:val="000F7218"/>
    <w:rsid w:val="00113CF8"/>
    <w:rsid w:val="00113D74"/>
    <w:rsid w:val="00117C5C"/>
    <w:rsid w:val="001270A7"/>
    <w:rsid w:val="001310AE"/>
    <w:rsid w:val="001420B3"/>
    <w:rsid w:val="001460C4"/>
    <w:rsid w:val="0015691C"/>
    <w:rsid w:val="001621F7"/>
    <w:rsid w:val="001624D7"/>
    <w:rsid w:val="00167480"/>
    <w:rsid w:val="00177B86"/>
    <w:rsid w:val="00182585"/>
    <w:rsid w:val="00191182"/>
    <w:rsid w:val="0019664D"/>
    <w:rsid w:val="001A6103"/>
    <w:rsid w:val="001A68C6"/>
    <w:rsid w:val="001B5D37"/>
    <w:rsid w:val="001C2940"/>
    <w:rsid w:val="001C4016"/>
    <w:rsid w:val="001C548D"/>
    <w:rsid w:val="001C6A5D"/>
    <w:rsid w:val="001E31A6"/>
    <w:rsid w:val="001E42C7"/>
    <w:rsid w:val="001E4CAB"/>
    <w:rsid w:val="001F0A4E"/>
    <w:rsid w:val="001F2F3E"/>
    <w:rsid w:val="001F4906"/>
    <w:rsid w:val="001F6D17"/>
    <w:rsid w:val="001F7C4A"/>
    <w:rsid w:val="0020578A"/>
    <w:rsid w:val="00207631"/>
    <w:rsid w:val="00214013"/>
    <w:rsid w:val="00220FC1"/>
    <w:rsid w:val="00222E9A"/>
    <w:rsid w:val="0023179D"/>
    <w:rsid w:val="0025389D"/>
    <w:rsid w:val="00254E02"/>
    <w:rsid w:val="0026265F"/>
    <w:rsid w:val="002664CC"/>
    <w:rsid w:val="002818C2"/>
    <w:rsid w:val="00286C3A"/>
    <w:rsid w:val="002930F5"/>
    <w:rsid w:val="002A06B7"/>
    <w:rsid w:val="002C6E0C"/>
    <w:rsid w:val="002D144A"/>
    <w:rsid w:val="002E19A3"/>
    <w:rsid w:val="002E212B"/>
    <w:rsid w:val="002E3337"/>
    <w:rsid w:val="002E6D03"/>
    <w:rsid w:val="002F49A8"/>
    <w:rsid w:val="002F5E66"/>
    <w:rsid w:val="002F61CA"/>
    <w:rsid w:val="0030010D"/>
    <w:rsid w:val="003237A1"/>
    <w:rsid w:val="0033504C"/>
    <w:rsid w:val="00336816"/>
    <w:rsid w:val="003370D0"/>
    <w:rsid w:val="00337355"/>
    <w:rsid w:val="003402E4"/>
    <w:rsid w:val="00340F95"/>
    <w:rsid w:val="00341132"/>
    <w:rsid w:val="003531ED"/>
    <w:rsid w:val="00360B9A"/>
    <w:rsid w:val="0039017F"/>
    <w:rsid w:val="00394AEE"/>
    <w:rsid w:val="003C2D98"/>
    <w:rsid w:val="003D3A96"/>
    <w:rsid w:val="003D3B9C"/>
    <w:rsid w:val="003F6F83"/>
    <w:rsid w:val="00404F03"/>
    <w:rsid w:val="00412051"/>
    <w:rsid w:val="00423B94"/>
    <w:rsid w:val="00463731"/>
    <w:rsid w:val="0046400A"/>
    <w:rsid w:val="00467B25"/>
    <w:rsid w:val="00481108"/>
    <w:rsid w:val="00486AD6"/>
    <w:rsid w:val="0049042B"/>
    <w:rsid w:val="00495473"/>
    <w:rsid w:val="004A458E"/>
    <w:rsid w:val="004B23E7"/>
    <w:rsid w:val="004B306F"/>
    <w:rsid w:val="004B6FC7"/>
    <w:rsid w:val="004C3186"/>
    <w:rsid w:val="004C5042"/>
    <w:rsid w:val="004D491A"/>
    <w:rsid w:val="004E4422"/>
    <w:rsid w:val="00503998"/>
    <w:rsid w:val="0050623B"/>
    <w:rsid w:val="00523181"/>
    <w:rsid w:val="00524D13"/>
    <w:rsid w:val="005312AB"/>
    <w:rsid w:val="005339F6"/>
    <w:rsid w:val="005665C4"/>
    <w:rsid w:val="00576B18"/>
    <w:rsid w:val="00587724"/>
    <w:rsid w:val="00591512"/>
    <w:rsid w:val="005A4A4D"/>
    <w:rsid w:val="005B2D91"/>
    <w:rsid w:val="005B48B4"/>
    <w:rsid w:val="005C6661"/>
    <w:rsid w:val="005C6E3B"/>
    <w:rsid w:val="005D474B"/>
    <w:rsid w:val="005E085C"/>
    <w:rsid w:val="005E147D"/>
    <w:rsid w:val="005E22C2"/>
    <w:rsid w:val="005E57BB"/>
    <w:rsid w:val="005F0017"/>
    <w:rsid w:val="006014F1"/>
    <w:rsid w:val="0061357B"/>
    <w:rsid w:val="00614A7D"/>
    <w:rsid w:val="00633FA9"/>
    <w:rsid w:val="0063631C"/>
    <w:rsid w:val="0063757B"/>
    <w:rsid w:val="006377CE"/>
    <w:rsid w:val="006537D9"/>
    <w:rsid w:val="00664A48"/>
    <w:rsid w:val="00665DEF"/>
    <w:rsid w:val="00675BB1"/>
    <w:rsid w:val="006775F1"/>
    <w:rsid w:val="00692AA7"/>
    <w:rsid w:val="00697FEC"/>
    <w:rsid w:val="006A175F"/>
    <w:rsid w:val="006A44F5"/>
    <w:rsid w:val="006B4537"/>
    <w:rsid w:val="006B5F85"/>
    <w:rsid w:val="006B6929"/>
    <w:rsid w:val="006B709B"/>
    <w:rsid w:val="006C54AF"/>
    <w:rsid w:val="006E0181"/>
    <w:rsid w:val="00700C0E"/>
    <w:rsid w:val="00705DAD"/>
    <w:rsid w:val="007247B9"/>
    <w:rsid w:val="00727D85"/>
    <w:rsid w:val="007346C7"/>
    <w:rsid w:val="00736041"/>
    <w:rsid w:val="007408C7"/>
    <w:rsid w:val="007465DA"/>
    <w:rsid w:val="00752C7F"/>
    <w:rsid w:val="00776598"/>
    <w:rsid w:val="00792948"/>
    <w:rsid w:val="00796E84"/>
    <w:rsid w:val="007A3ADE"/>
    <w:rsid w:val="007A5733"/>
    <w:rsid w:val="007A5774"/>
    <w:rsid w:val="00801E74"/>
    <w:rsid w:val="0080485E"/>
    <w:rsid w:val="008142B4"/>
    <w:rsid w:val="00832324"/>
    <w:rsid w:val="00835337"/>
    <w:rsid w:val="00846DCD"/>
    <w:rsid w:val="00851D85"/>
    <w:rsid w:val="00860CCB"/>
    <w:rsid w:val="008740A3"/>
    <w:rsid w:val="0089297B"/>
    <w:rsid w:val="008C36CA"/>
    <w:rsid w:val="008E3F8C"/>
    <w:rsid w:val="00902FD0"/>
    <w:rsid w:val="009053D3"/>
    <w:rsid w:val="0090691F"/>
    <w:rsid w:val="0093111F"/>
    <w:rsid w:val="00935689"/>
    <w:rsid w:val="0095303B"/>
    <w:rsid w:val="009663B6"/>
    <w:rsid w:val="00974A47"/>
    <w:rsid w:val="00980286"/>
    <w:rsid w:val="00990DCF"/>
    <w:rsid w:val="009A4CD6"/>
    <w:rsid w:val="009A537C"/>
    <w:rsid w:val="009C0886"/>
    <w:rsid w:val="009C19EE"/>
    <w:rsid w:val="009C28D0"/>
    <w:rsid w:val="009C35F2"/>
    <w:rsid w:val="009C7782"/>
    <w:rsid w:val="009D1ED5"/>
    <w:rsid w:val="009D4C13"/>
    <w:rsid w:val="009E21A7"/>
    <w:rsid w:val="00A023D2"/>
    <w:rsid w:val="00A103ED"/>
    <w:rsid w:val="00A13C60"/>
    <w:rsid w:val="00A15134"/>
    <w:rsid w:val="00A24171"/>
    <w:rsid w:val="00A341A3"/>
    <w:rsid w:val="00A35800"/>
    <w:rsid w:val="00A52918"/>
    <w:rsid w:val="00A53442"/>
    <w:rsid w:val="00A547B3"/>
    <w:rsid w:val="00A70E82"/>
    <w:rsid w:val="00A83AC3"/>
    <w:rsid w:val="00A84CAD"/>
    <w:rsid w:val="00A90E50"/>
    <w:rsid w:val="00A95FA5"/>
    <w:rsid w:val="00A96D92"/>
    <w:rsid w:val="00AB199C"/>
    <w:rsid w:val="00AB3733"/>
    <w:rsid w:val="00AB588C"/>
    <w:rsid w:val="00AB61CF"/>
    <w:rsid w:val="00AB7897"/>
    <w:rsid w:val="00AC5054"/>
    <w:rsid w:val="00AE4BAC"/>
    <w:rsid w:val="00B034FC"/>
    <w:rsid w:val="00B05310"/>
    <w:rsid w:val="00B10A0B"/>
    <w:rsid w:val="00B30D85"/>
    <w:rsid w:val="00B35A4A"/>
    <w:rsid w:val="00B453CF"/>
    <w:rsid w:val="00B63FD7"/>
    <w:rsid w:val="00B816D9"/>
    <w:rsid w:val="00B9120F"/>
    <w:rsid w:val="00B9216C"/>
    <w:rsid w:val="00B924A4"/>
    <w:rsid w:val="00BB0D1A"/>
    <w:rsid w:val="00BB1D3B"/>
    <w:rsid w:val="00BC35ED"/>
    <w:rsid w:val="00BE205A"/>
    <w:rsid w:val="00BE3802"/>
    <w:rsid w:val="00BF238E"/>
    <w:rsid w:val="00BF2F4A"/>
    <w:rsid w:val="00BF544D"/>
    <w:rsid w:val="00C0076F"/>
    <w:rsid w:val="00C0301C"/>
    <w:rsid w:val="00C050B6"/>
    <w:rsid w:val="00C10F12"/>
    <w:rsid w:val="00C245EA"/>
    <w:rsid w:val="00C256F6"/>
    <w:rsid w:val="00C3097E"/>
    <w:rsid w:val="00C35ECC"/>
    <w:rsid w:val="00C361A8"/>
    <w:rsid w:val="00C41246"/>
    <w:rsid w:val="00C42C2E"/>
    <w:rsid w:val="00C45E5F"/>
    <w:rsid w:val="00C46291"/>
    <w:rsid w:val="00C63412"/>
    <w:rsid w:val="00C714D0"/>
    <w:rsid w:val="00C90ABA"/>
    <w:rsid w:val="00C90EF4"/>
    <w:rsid w:val="00CA015A"/>
    <w:rsid w:val="00CC1AA3"/>
    <w:rsid w:val="00CC1F36"/>
    <w:rsid w:val="00CD4486"/>
    <w:rsid w:val="00CF5E22"/>
    <w:rsid w:val="00D06A44"/>
    <w:rsid w:val="00D151EB"/>
    <w:rsid w:val="00D300E0"/>
    <w:rsid w:val="00D374CD"/>
    <w:rsid w:val="00D650CE"/>
    <w:rsid w:val="00D71719"/>
    <w:rsid w:val="00D776DA"/>
    <w:rsid w:val="00D8758B"/>
    <w:rsid w:val="00D942B3"/>
    <w:rsid w:val="00D94863"/>
    <w:rsid w:val="00DA0981"/>
    <w:rsid w:val="00DA7A13"/>
    <w:rsid w:val="00DA7D09"/>
    <w:rsid w:val="00DC2630"/>
    <w:rsid w:val="00DC49E9"/>
    <w:rsid w:val="00DC55E4"/>
    <w:rsid w:val="00DC7D71"/>
    <w:rsid w:val="00DD188C"/>
    <w:rsid w:val="00DD29A3"/>
    <w:rsid w:val="00DD48EE"/>
    <w:rsid w:val="00DE0B96"/>
    <w:rsid w:val="00DE10B9"/>
    <w:rsid w:val="00DF0B13"/>
    <w:rsid w:val="00DF2EB8"/>
    <w:rsid w:val="00DF4A94"/>
    <w:rsid w:val="00DF6003"/>
    <w:rsid w:val="00E00095"/>
    <w:rsid w:val="00E066C3"/>
    <w:rsid w:val="00E10D8C"/>
    <w:rsid w:val="00E1353A"/>
    <w:rsid w:val="00E1564B"/>
    <w:rsid w:val="00E208A0"/>
    <w:rsid w:val="00E25B49"/>
    <w:rsid w:val="00E371EA"/>
    <w:rsid w:val="00E64429"/>
    <w:rsid w:val="00E677DD"/>
    <w:rsid w:val="00E7594B"/>
    <w:rsid w:val="00EB4688"/>
    <w:rsid w:val="00EB6C07"/>
    <w:rsid w:val="00EC028D"/>
    <w:rsid w:val="00ED633B"/>
    <w:rsid w:val="00EE2BBB"/>
    <w:rsid w:val="00EE478C"/>
    <w:rsid w:val="00EF713B"/>
    <w:rsid w:val="00F078C4"/>
    <w:rsid w:val="00F1132C"/>
    <w:rsid w:val="00F15DD5"/>
    <w:rsid w:val="00F17D4B"/>
    <w:rsid w:val="00F23139"/>
    <w:rsid w:val="00F66CD5"/>
    <w:rsid w:val="00F67A9A"/>
    <w:rsid w:val="00F70F4E"/>
    <w:rsid w:val="00F73113"/>
    <w:rsid w:val="00F75FC4"/>
    <w:rsid w:val="00F85981"/>
    <w:rsid w:val="00F87263"/>
    <w:rsid w:val="00F93725"/>
    <w:rsid w:val="00FA1BA3"/>
    <w:rsid w:val="00FA4890"/>
    <w:rsid w:val="00FB77FA"/>
    <w:rsid w:val="00FC3C70"/>
    <w:rsid w:val="00FC4A73"/>
    <w:rsid w:val="00FC559C"/>
    <w:rsid w:val="00FC7F0D"/>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15:docId w15:val="{7B12D9AF-EC66-4B44-B56B-9AA4AF46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47443844">
      <w:bodyDiv w:val="1"/>
      <w:marLeft w:val="0"/>
      <w:marRight w:val="0"/>
      <w:marTop w:val="0"/>
      <w:marBottom w:val="0"/>
      <w:divBdr>
        <w:top w:val="none" w:sz="0" w:space="0" w:color="auto"/>
        <w:left w:val="none" w:sz="0" w:space="0" w:color="auto"/>
        <w:bottom w:val="none" w:sz="0" w:space="0" w:color="auto"/>
        <w:right w:val="none" w:sz="0" w:space="0" w:color="auto"/>
      </w:divBdr>
    </w:div>
    <w:div w:id="1008363137">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industry/listing/elements/pbac-meetings/psd/2018-07/files/golimumab-psd-july-201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bs.gov.au/industry/listing/elements/pbac-meetings/psd/2017-11/files/golimumab-nraxSpA-psd-november-2017.pdf"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hyperlink" Target="http://www.pbs.gov.au/pbs/hom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1.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ebs/picmi/picmirepository.nsf/pdf?OpenAgent&amp;id=CP-2011-CMI-03026-3" TargetMode="External"/><Relationship Id="rId2" Type="http://schemas.openxmlformats.org/officeDocument/2006/relationships/hyperlink" Target="https://www.ebs.tga.gov.au/ebs/picmi/picmirepository.nsf/pdf?OpenAgent&amp;id=CP-2011-PI-03025-3&amp;d=20210811172310101" TargetMode="External"/><Relationship Id="rId1" Type="http://schemas.openxmlformats.org/officeDocument/2006/relationships/hyperlink" Target="https://arthritisaustralia.com.au/types-of-arthritis/non-radiographic-axial-spondyloarthritis/" TargetMode="External"/><Relationship Id="rId4"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5%20-%20Golimumab%20for%20nr-axSpA\D1335%20Golimuma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5%20-%20Golimumab%20for%20nr-axSpA\D1335%20Golimumab.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[D1335 Golimumab.xlsx]Counts QTR no small numbers!PivotTable1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'Counts QTR no small numbers'!$N$1:$N$2</c:f>
              <c:strCache>
                <c:ptCount val="1"/>
                <c:pt idx="0">
                  <c:v>CERTOLIZUMAB PEGOL</c:v>
                </c:pt>
              </c:strCache>
            </c:strRef>
          </c:tx>
          <c:spPr>
            <a:ln w="28575" cap="rnd">
              <a:solidFill>
                <a:schemeClr val="accent1"/>
              </a:solidFill>
              <a:round/>
            </a:ln>
            <a:effectLst/>
          </c:spPr>
          <c:marker>
            <c:symbol val="none"/>
          </c:marker>
          <c:cat>
            <c:strRef>
              <c:f>'Counts QTR no small numbers'!$M$3:$M$14</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'Counts QTR no small numbers'!$N$3:$N$14</c:f>
              <c:numCache>
                <c:formatCode>General</c:formatCode>
                <c:ptCount val="11"/>
                <c:pt idx="6">
                  <c:v>5</c:v>
                </c:pt>
                <c:pt idx="7">
                  <c:v>103</c:v>
                </c:pt>
                <c:pt idx="8">
                  <c:v>246</c:v>
                </c:pt>
                <c:pt idx="9">
                  <c:v>363</c:v>
                </c:pt>
                <c:pt idx="10">
                  <c:v>422</c:v>
                </c:pt>
              </c:numCache>
            </c:numRef>
          </c:val>
          <c:smooth val="0"/>
          <c:extLst>
            <c:ext xmlns:c16="http://schemas.microsoft.com/office/drawing/2014/chart" uri="{C3380CC4-5D6E-409C-BE32-E72D297353CC}">
              <c16:uniqueId val="{00000000-B243-4DCD-AD42-BBCB6D2F5B2B}"/>
            </c:ext>
          </c:extLst>
        </c:ser>
        <c:ser>
          <c:idx val="1"/>
          <c:order val="1"/>
          <c:tx>
            <c:strRef>
              <c:f>'Counts QTR no small numbers'!$O$1:$O$2</c:f>
              <c:strCache>
                <c:ptCount val="1"/>
                <c:pt idx="0">
                  <c:v>GOLIMUMAB</c:v>
                </c:pt>
              </c:strCache>
            </c:strRef>
          </c:tx>
          <c:spPr>
            <a:ln w="28575" cap="rnd">
              <a:solidFill>
                <a:schemeClr val="accent2"/>
              </a:solidFill>
              <a:round/>
            </a:ln>
            <a:effectLst/>
          </c:spPr>
          <c:marker>
            <c:symbol val="none"/>
          </c:marker>
          <c:cat>
            <c:strRef>
              <c:f>'Counts QTR no small numbers'!$M$3:$M$14</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'Counts QTR no small numbers'!$O$3:$O$14</c:f>
              <c:numCache>
                <c:formatCode>General</c:formatCode>
                <c:ptCount val="11"/>
                <c:pt idx="0">
                  <c:v>5</c:v>
                </c:pt>
                <c:pt idx="1">
                  <c:v>119</c:v>
                </c:pt>
                <c:pt idx="2">
                  <c:v>228</c:v>
                </c:pt>
                <c:pt idx="3">
                  <c:v>357</c:v>
                </c:pt>
                <c:pt idx="4">
                  <c:v>481</c:v>
                </c:pt>
                <c:pt idx="5">
                  <c:v>521</c:v>
                </c:pt>
                <c:pt idx="6">
                  <c:v>546</c:v>
                </c:pt>
                <c:pt idx="7">
                  <c:v>632</c:v>
                </c:pt>
                <c:pt idx="8">
                  <c:v>739</c:v>
                </c:pt>
                <c:pt idx="9">
                  <c:v>826</c:v>
                </c:pt>
                <c:pt idx="10">
                  <c:v>921</c:v>
                </c:pt>
              </c:numCache>
            </c:numRef>
          </c:val>
          <c:smooth val="0"/>
          <c:extLst>
            <c:ext xmlns:c16="http://schemas.microsoft.com/office/drawing/2014/chart" uri="{C3380CC4-5D6E-409C-BE32-E72D297353CC}">
              <c16:uniqueId val="{00000001-B243-4DCD-AD42-BBCB6D2F5B2B}"/>
            </c:ext>
          </c:extLst>
        </c:ser>
        <c:ser>
          <c:idx val="2"/>
          <c:order val="2"/>
          <c:tx>
            <c:strRef>
              <c:f>'Counts QTR no small numbers'!$P$1:$P$2</c:f>
              <c:strCache>
                <c:ptCount val="1"/>
                <c:pt idx="0">
                  <c:v>SECUKINUMAB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'Counts QTR no small numbers'!$M$3:$M$14</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'Counts QTR no small numbers'!$P$3:$P$14</c:f>
              <c:numCache>
                <c:formatCode>General</c:formatCode>
                <c:ptCount val="11"/>
                <c:pt idx="10">
                  <c:v>45</c:v>
                </c:pt>
              </c:numCache>
            </c:numRef>
          </c:val>
          <c:smooth val="0"/>
          <c:extLst>
            <c:ext xmlns:c16="http://schemas.microsoft.com/office/drawing/2014/chart" uri="{C3380CC4-5D6E-409C-BE32-E72D297353CC}">
              <c16:uniqueId val="{00000002-B243-4DCD-AD42-BBCB6D2F5B2B}"/>
            </c:ext>
          </c:extLst>
        </c:ser>
        <c:dLbls>
          <c:showLegendKey val="0"/>
          <c:showVal val="0"/>
          <c:showCatName val="0"/>
          <c:showSerName val="0"/>
          <c:showPercent val="0"/>
          <c:showBubbleSize val="0"/>
        </c:dLbls>
        <c:smooth val="0"/>
        <c:axId val="899781416"/>
        <c:axId val="899784696"/>
      </c:lineChart>
      <c:catAx>
        <c:axId val="89978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784696"/>
        <c:crosses val="autoZero"/>
        <c:auto val="1"/>
        <c:lblAlgn val="ctr"/>
        <c:lblOffset val="100"/>
        <c:noMultiLvlLbl val="0"/>
      </c:catAx>
      <c:valAx>
        <c:axId val="899784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781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[D1335 Golimumab.xlsx]Patients graphs!PivotTable2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star"/>
          <c:size val="5"/>
          <c:spPr>
            <a:no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squar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star"/>
          <c:size val="5"/>
          <c:spPr>
            <a:no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squar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star"/>
          <c:size val="5"/>
          <c:spPr>
            <a:no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squar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'Patients graphs'!$B$3:$B$5</c:f>
              <c:strCache>
                <c:ptCount val="1"/>
                <c:pt idx="0">
                  <c:v>CERTOLIZUMAB PEGOL - Initiating patients</c:v>
                </c:pt>
              </c:strCache>
            </c:strRef>
          </c:tx>
          <c:spPr>
            <a:ln w="28575" cap="rnd">
              <a:solidFill>
                <a:schemeClr val="accent1"/>
              </a:solidFill>
              <a:round/>
            </a:ln>
            <a:effectLst/>
          </c:spPr>
          <c:marker>
            <c:symbol val="none"/>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graphs'!$B$6:$B$17</c:f>
              <c:numCache>
                <c:formatCode>General</c:formatCode>
                <c:ptCount val="11"/>
                <c:pt idx="6">
                  <c:v>5</c:v>
                </c:pt>
                <c:pt idx="7">
                  <c:v>27</c:v>
                </c:pt>
                <c:pt idx="8">
                  <c:v>33</c:v>
                </c:pt>
                <c:pt idx="9">
                  <c:v>29</c:v>
                </c:pt>
                <c:pt idx="10">
                  <c:v>39</c:v>
                </c:pt>
              </c:numCache>
            </c:numRef>
          </c:val>
          <c:smooth val="0"/>
          <c:extLst>
            <c:ext xmlns:c16="http://schemas.microsoft.com/office/drawing/2014/chart" uri="{C3380CC4-5D6E-409C-BE32-E72D297353CC}">
              <c16:uniqueId val="{00000000-0002-40F9-A878-C6959A350C33}"/>
            </c:ext>
          </c:extLst>
        </c:ser>
        <c:ser>
          <c:idx val="1"/>
          <c:order val="1"/>
          <c:tx>
            <c:strRef>
              <c:f>'Patients graphs'!$C$3:$C$5</c:f>
              <c:strCache>
                <c:ptCount val="1"/>
                <c:pt idx="0">
                  <c:v>CERTOLIZUMAB PEGOL - Treated patients</c:v>
                </c:pt>
              </c:strCache>
            </c:strRef>
          </c:tx>
          <c:spPr>
            <a:ln w="28575" cap="rnd">
              <a:solidFill>
                <a:schemeClr val="accent2"/>
              </a:solidFill>
              <a:round/>
            </a:ln>
            <a:effectLst/>
          </c:spPr>
          <c:marker>
            <c:symbol val="none"/>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graphs'!$C$6:$C$17</c:f>
              <c:numCache>
                <c:formatCode>General</c:formatCode>
                <c:ptCount val="11"/>
                <c:pt idx="6">
                  <c:v>5</c:v>
                </c:pt>
                <c:pt idx="7">
                  <c:v>59</c:v>
                </c:pt>
                <c:pt idx="8">
                  <c:v>123</c:v>
                </c:pt>
                <c:pt idx="9">
                  <c:v>166</c:v>
                </c:pt>
                <c:pt idx="10">
                  <c:v>194</c:v>
                </c:pt>
              </c:numCache>
            </c:numRef>
          </c:val>
          <c:smooth val="0"/>
          <c:extLst>
            <c:ext xmlns:c16="http://schemas.microsoft.com/office/drawing/2014/chart" uri="{C3380CC4-5D6E-409C-BE32-E72D297353CC}">
              <c16:uniqueId val="{00000001-0002-40F9-A878-C6959A350C33}"/>
            </c:ext>
          </c:extLst>
        </c:ser>
        <c:ser>
          <c:idx val="2"/>
          <c:order val="2"/>
          <c:tx>
            <c:strRef>
              <c:f>'Patients graphs'!$D$3:$D$5</c:f>
              <c:strCache>
                <c:ptCount val="1"/>
                <c:pt idx="0">
                  <c:v>GOLIMUMAB - Initiating patients</c:v>
                </c:pt>
              </c:strCache>
            </c:strRef>
          </c:tx>
          <c:spPr>
            <a:ln w="28575" cap="rnd">
              <a:solidFill>
                <a:schemeClr val="accent3"/>
              </a:solidFill>
              <a:round/>
            </a:ln>
            <a:effectLst/>
          </c:spPr>
          <c:marker>
            <c:symbol val="none"/>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graphs'!$D$6:$D$17</c:f>
              <c:numCache>
                <c:formatCode>General</c:formatCode>
                <c:ptCount val="11"/>
                <c:pt idx="0">
                  <c:v>5</c:v>
                </c:pt>
                <c:pt idx="1">
                  <c:v>38</c:v>
                </c:pt>
                <c:pt idx="2">
                  <c:v>34</c:v>
                </c:pt>
                <c:pt idx="3">
                  <c:v>41</c:v>
                </c:pt>
                <c:pt idx="4">
                  <c:v>32</c:v>
                </c:pt>
                <c:pt idx="5">
                  <c:v>29</c:v>
                </c:pt>
                <c:pt idx="6">
                  <c:v>17</c:v>
                </c:pt>
                <c:pt idx="7">
                  <c:v>45</c:v>
                </c:pt>
                <c:pt idx="8">
                  <c:v>66</c:v>
                </c:pt>
                <c:pt idx="9">
                  <c:v>51</c:v>
                </c:pt>
                <c:pt idx="10">
                  <c:v>63</c:v>
                </c:pt>
              </c:numCache>
            </c:numRef>
          </c:val>
          <c:smooth val="0"/>
          <c:extLst>
            <c:ext xmlns:c16="http://schemas.microsoft.com/office/drawing/2014/chart" uri="{C3380CC4-5D6E-409C-BE32-E72D297353CC}">
              <c16:uniqueId val="{00000002-0002-40F9-A878-C6959A350C33}"/>
            </c:ext>
          </c:extLst>
        </c:ser>
        <c:ser>
          <c:idx val="3"/>
          <c:order val="3"/>
          <c:tx>
            <c:strRef>
              <c:f>'Patients graphs'!$E$3:$E$5</c:f>
              <c:strCache>
                <c:ptCount val="1"/>
                <c:pt idx="0">
                  <c:v>GOLIMUMAB - Treated patients</c:v>
                </c:pt>
              </c:strCache>
            </c:strRef>
          </c:tx>
          <c:spPr>
            <a:ln w="28575" cap="rnd">
              <a:solidFill>
                <a:schemeClr val="accent4"/>
              </a:solidFill>
              <a:round/>
            </a:ln>
            <a:effectLst/>
          </c:spPr>
          <c:marker>
            <c:symbol val="none"/>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graphs'!$E$6:$E$17</c:f>
              <c:numCache>
                <c:formatCode>General</c:formatCode>
                <c:ptCount val="11"/>
                <c:pt idx="0">
                  <c:v>5</c:v>
                </c:pt>
                <c:pt idx="1">
                  <c:v>59</c:v>
                </c:pt>
                <c:pt idx="2">
                  <c:v>102</c:v>
                </c:pt>
                <c:pt idx="3">
                  <c:v>145</c:v>
                </c:pt>
                <c:pt idx="4">
                  <c:v>191</c:v>
                </c:pt>
                <c:pt idx="5">
                  <c:v>210</c:v>
                </c:pt>
                <c:pt idx="6">
                  <c:v>222</c:v>
                </c:pt>
                <c:pt idx="7">
                  <c:v>249</c:v>
                </c:pt>
                <c:pt idx="8">
                  <c:v>296</c:v>
                </c:pt>
                <c:pt idx="9">
                  <c:v>329</c:v>
                </c:pt>
                <c:pt idx="10">
                  <c:v>373</c:v>
                </c:pt>
              </c:numCache>
            </c:numRef>
          </c:val>
          <c:smooth val="0"/>
          <c:extLst>
            <c:ext xmlns:c16="http://schemas.microsoft.com/office/drawing/2014/chart" uri="{C3380CC4-5D6E-409C-BE32-E72D297353CC}">
              <c16:uniqueId val="{00000003-0002-40F9-A878-C6959A350C33}"/>
            </c:ext>
          </c:extLst>
        </c:ser>
        <c:ser>
          <c:idx val="4"/>
          <c:order val="4"/>
          <c:tx>
            <c:strRef>
              <c:f>'Patients graphs'!$F$3:$F$5</c:f>
              <c:strCache>
                <c:ptCount val="1"/>
                <c:pt idx="0">
                  <c:v>SECUKINUMAB - Initiating patients</c:v>
                </c:pt>
              </c:strCache>
            </c:strRef>
          </c:tx>
          <c:spPr>
            <a:ln w="28575" cap="rnd">
              <a:solidFill>
                <a:schemeClr val="accent5"/>
              </a:solidFill>
              <a:round/>
            </a:ln>
            <a:effectLst/>
          </c:spPr>
          <c:marker>
            <c:symbol val="star"/>
            <c:size val="5"/>
            <c:spPr>
              <a:noFill/>
              <a:ln w="9525">
                <a:solidFill>
                  <a:schemeClr val="accent5"/>
                </a:solidFill>
              </a:ln>
              <a:effectLst/>
            </c:spPr>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graphs'!$F$6:$F$17</c:f>
              <c:numCache>
                <c:formatCode>General</c:formatCode>
                <c:ptCount val="11"/>
                <c:pt idx="10">
                  <c:v>14</c:v>
                </c:pt>
              </c:numCache>
            </c:numRef>
          </c:val>
          <c:smooth val="0"/>
          <c:extLst>
            <c:ext xmlns:c16="http://schemas.microsoft.com/office/drawing/2014/chart" uri="{C3380CC4-5D6E-409C-BE32-E72D297353CC}">
              <c16:uniqueId val="{00000004-0002-40F9-A878-C6959A350C33}"/>
            </c:ext>
          </c:extLst>
        </c:ser>
        <c:ser>
          <c:idx val="5"/>
          <c:order val="5"/>
          <c:tx>
            <c:strRef>
              <c:f>'Patients graphs'!$G$3:$G$5</c:f>
              <c:strCache>
                <c:ptCount val="1"/>
                <c:pt idx="0">
                  <c:v>SECUKINUMAB - Treated patients</c:v>
                </c:pt>
              </c:strCache>
            </c:strRef>
          </c:tx>
          <c:spPr>
            <a:ln w="28575" cap="rnd">
              <a:solidFill>
                <a:schemeClr val="accent6"/>
              </a:solidFill>
              <a:round/>
            </a:ln>
            <a:effectLst/>
          </c:spPr>
          <c:marker>
            <c:symbol val="square"/>
            <c:size val="5"/>
            <c:spPr>
              <a:solidFill>
                <a:schemeClr val="accent6"/>
              </a:solidFill>
              <a:ln w="9525">
                <a:solidFill>
                  <a:schemeClr val="accent6"/>
                </a:solidFill>
              </a:ln>
              <a:effectLst/>
            </c:spPr>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graphs'!$G$6:$G$17</c:f>
              <c:numCache>
                <c:formatCode>General</c:formatCode>
                <c:ptCount val="11"/>
                <c:pt idx="10">
                  <c:v>33</c:v>
                </c:pt>
              </c:numCache>
            </c:numRef>
          </c:val>
          <c:smooth val="0"/>
          <c:extLst>
            <c:ext xmlns:c16="http://schemas.microsoft.com/office/drawing/2014/chart" uri="{C3380CC4-5D6E-409C-BE32-E72D297353CC}">
              <c16:uniqueId val="{00000005-0002-40F9-A878-C6959A350C33}"/>
            </c:ext>
          </c:extLst>
        </c:ser>
        <c:ser>
          <c:idx val="6"/>
          <c:order val="6"/>
          <c:tx>
            <c:strRef>
              <c:f>'Patients graphs'!$H$3:$H$5</c:f>
              <c:strCache>
                <c:ptCount val="1"/>
                <c:pt idx="0">
                  <c:v>TOTAL - Initiating patients</c:v>
                </c:pt>
              </c:strCache>
            </c:strRef>
          </c:tx>
          <c:spPr>
            <a:ln w="28575" cap="rnd">
              <a:solidFill>
                <a:schemeClr val="accent1">
                  <a:lumMod val="60000"/>
                </a:schemeClr>
              </a:solidFill>
              <a:round/>
            </a:ln>
            <a:effectLst/>
          </c:spPr>
          <c:marker>
            <c:symbol val="none"/>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graphs'!$H$6:$H$17</c:f>
              <c:numCache>
                <c:formatCode>General</c:formatCode>
                <c:ptCount val="11"/>
                <c:pt idx="0">
                  <c:v>5</c:v>
                </c:pt>
                <c:pt idx="1">
                  <c:v>38</c:v>
                </c:pt>
                <c:pt idx="2">
                  <c:v>34</c:v>
                </c:pt>
                <c:pt idx="3">
                  <c:v>41</c:v>
                </c:pt>
                <c:pt idx="4">
                  <c:v>32</c:v>
                </c:pt>
                <c:pt idx="5">
                  <c:v>29</c:v>
                </c:pt>
                <c:pt idx="6">
                  <c:v>18</c:v>
                </c:pt>
                <c:pt idx="7">
                  <c:v>72</c:v>
                </c:pt>
                <c:pt idx="8">
                  <c:v>99</c:v>
                </c:pt>
                <c:pt idx="9">
                  <c:v>80</c:v>
                </c:pt>
                <c:pt idx="10">
                  <c:v>116</c:v>
                </c:pt>
              </c:numCache>
            </c:numRef>
          </c:val>
          <c:smooth val="0"/>
          <c:extLst>
            <c:ext xmlns:c16="http://schemas.microsoft.com/office/drawing/2014/chart" uri="{C3380CC4-5D6E-409C-BE32-E72D297353CC}">
              <c16:uniqueId val="{00000006-0002-40F9-A878-C6959A350C33}"/>
            </c:ext>
          </c:extLst>
        </c:ser>
        <c:ser>
          <c:idx val="7"/>
          <c:order val="7"/>
          <c:tx>
            <c:strRef>
              <c:f>'Patients graphs'!$I$3:$I$5</c:f>
              <c:strCache>
                <c:ptCount val="1"/>
                <c:pt idx="0">
                  <c:v>TOTAL - Treated patients</c:v>
                </c:pt>
              </c:strCache>
            </c:strRef>
          </c:tx>
          <c:spPr>
            <a:ln w="28575" cap="rnd">
              <a:solidFill>
                <a:schemeClr val="accent2">
                  <a:lumMod val="60000"/>
                </a:schemeClr>
              </a:solidFill>
              <a:round/>
            </a:ln>
            <a:effectLst/>
          </c:spPr>
          <c:marker>
            <c:symbol val="none"/>
          </c:marker>
          <c:cat>
            <c:strRef>
              <c:f>'Patients graphs'!$A$6:$A$17</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'Patients graphs'!$I$6:$I$17</c:f>
              <c:numCache>
                <c:formatCode>General</c:formatCode>
                <c:ptCount val="11"/>
                <c:pt idx="0">
                  <c:v>5</c:v>
                </c:pt>
                <c:pt idx="1">
                  <c:v>59</c:v>
                </c:pt>
                <c:pt idx="2">
                  <c:v>102</c:v>
                </c:pt>
                <c:pt idx="3">
                  <c:v>145</c:v>
                </c:pt>
                <c:pt idx="4">
                  <c:v>191</c:v>
                </c:pt>
                <c:pt idx="5">
                  <c:v>210</c:v>
                </c:pt>
                <c:pt idx="6">
                  <c:v>225</c:v>
                </c:pt>
                <c:pt idx="7">
                  <c:v>306</c:v>
                </c:pt>
                <c:pt idx="8">
                  <c:v>412</c:v>
                </c:pt>
                <c:pt idx="9">
                  <c:v>487</c:v>
                </c:pt>
                <c:pt idx="10">
                  <c:v>586</c:v>
                </c:pt>
              </c:numCache>
            </c:numRef>
          </c:val>
          <c:smooth val="0"/>
          <c:extLst>
            <c:ext xmlns:c16="http://schemas.microsoft.com/office/drawing/2014/chart" uri="{C3380CC4-5D6E-409C-BE32-E72D297353CC}">
              <c16:uniqueId val="{00000007-0002-40F9-A878-C6959A350C33}"/>
            </c:ext>
          </c:extLst>
        </c:ser>
        <c:dLbls>
          <c:showLegendKey val="0"/>
          <c:showVal val="0"/>
          <c:showCatName val="0"/>
          <c:showSerName val="0"/>
          <c:showPercent val="0"/>
          <c:showBubbleSize val="0"/>
        </c:dLbls>
        <c:smooth val="0"/>
        <c:axId val="910246480"/>
        <c:axId val="910243856"/>
      </c:lineChart>
      <c:catAx>
        <c:axId val="91024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243856"/>
        <c:crosses val="autoZero"/>
        <c:auto val="1"/>
        <c:lblAlgn val="ctr"/>
        <c:lblOffset val="100"/>
        <c:noMultiLvlLbl val="0"/>
      </c:catAx>
      <c:valAx>
        <c:axId val="91024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24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[D1335 Golimumab.xlsx]Age sex!PivotTable1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 sex'!$V$1:$V$2</c:f>
              <c:strCache>
                <c:ptCount val="1"/>
                <c:pt idx="0">
                  <c:v>Female</c:v>
                </c:pt>
              </c:strCache>
            </c:strRef>
          </c:tx>
          <c:spPr>
            <a:solidFill>
              <a:schemeClr val="accent1"/>
            </a:solidFill>
            <a:ln>
              <a:noFill/>
            </a:ln>
            <a:effectLst/>
          </c:spPr>
          <c:invertIfNegative val="0"/>
          <c:cat>
            <c:strRef>
              <c:f>'Age sex'!$U$3:$U$16</c:f>
              <c:strCache>
                <c:ptCount val="13"/>
                <c:pt idx="0">
                  <c:v>15-19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75-89 yrs</c:v>
                </c:pt>
              </c:strCache>
            </c:strRef>
          </c:cat>
          <c:val>
            <c:numRef>
              <c:f>'Age sex'!$V$3:$V$16</c:f>
              <c:numCache>
                <c:formatCode>General</c:formatCode>
                <c:ptCount val="13"/>
                <c:pt idx="0">
                  <c:v>6</c:v>
                </c:pt>
                <c:pt idx="1">
                  <c:v>27</c:v>
                </c:pt>
                <c:pt idx="2">
                  <c:v>29</c:v>
                </c:pt>
                <c:pt idx="3">
                  <c:v>39</c:v>
                </c:pt>
                <c:pt idx="4">
                  <c:v>37</c:v>
                </c:pt>
                <c:pt idx="5">
                  <c:v>35</c:v>
                </c:pt>
                <c:pt idx="6">
                  <c:v>45</c:v>
                </c:pt>
                <c:pt idx="7">
                  <c:v>35</c:v>
                </c:pt>
                <c:pt idx="8">
                  <c:v>38</c:v>
                </c:pt>
                <c:pt idx="9">
                  <c:v>30</c:v>
                </c:pt>
                <c:pt idx="10">
                  <c:v>20</c:v>
                </c:pt>
                <c:pt idx="11">
                  <c:v>16</c:v>
                </c:pt>
                <c:pt idx="12">
                  <c:v>19</c:v>
                </c:pt>
              </c:numCache>
            </c:numRef>
          </c:val>
          <c:extLst>
            <c:ext xmlns:c16="http://schemas.microsoft.com/office/drawing/2014/chart" uri="{C3380CC4-5D6E-409C-BE32-E72D297353CC}">
              <c16:uniqueId val="{00000000-03A1-4B6B-A612-DD7AEC3E5BBC}"/>
            </c:ext>
          </c:extLst>
        </c:ser>
        <c:ser>
          <c:idx val="1"/>
          <c:order val="1"/>
          <c:tx>
            <c:strRef>
              <c:f>'Age sex'!$W$1:$W$2</c:f>
              <c:strCache>
                <c:ptCount val="1"/>
                <c:pt idx="0">
                  <c:v>Male</c:v>
                </c:pt>
              </c:strCache>
            </c:strRef>
          </c:tx>
          <c:spPr>
            <a:solidFill>
              <a:schemeClr val="accent2"/>
            </a:solidFill>
            <a:ln>
              <a:noFill/>
            </a:ln>
            <a:effectLst/>
          </c:spPr>
          <c:invertIfNegative val="0"/>
          <c:cat>
            <c:strRef>
              <c:f>'Age sex'!$U$3:$U$16</c:f>
              <c:strCache>
                <c:ptCount val="13"/>
                <c:pt idx="0">
                  <c:v>15-19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75-89 yrs</c:v>
                </c:pt>
              </c:strCache>
            </c:strRef>
          </c:cat>
          <c:val>
            <c:numRef>
              <c:f>'Age sex'!$W$3:$W$16</c:f>
              <c:numCache>
                <c:formatCode>General</c:formatCode>
                <c:ptCount val="13"/>
                <c:pt idx="0">
                  <c:v>9</c:v>
                </c:pt>
                <c:pt idx="1">
                  <c:v>29</c:v>
                </c:pt>
                <c:pt idx="2">
                  <c:v>27</c:v>
                </c:pt>
                <c:pt idx="3">
                  <c:v>40</c:v>
                </c:pt>
                <c:pt idx="4">
                  <c:v>49</c:v>
                </c:pt>
                <c:pt idx="5">
                  <c:v>25</c:v>
                </c:pt>
                <c:pt idx="6">
                  <c:v>38</c:v>
                </c:pt>
                <c:pt idx="7">
                  <c:v>22</c:v>
                </c:pt>
                <c:pt idx="8">
                  <c:v>25</c:v>
                </c:pt>
                <c:pt idx="9">
                  <c:v>24</c:v>
                </c:pt>
                <c:pt idx="10">
                  <c:v>15</c:v>
                </c:pt>
                <c:pt idx="11">
                  <c:v>10</c:v>
                </c:pt>
                <c:pt idx="12">
                  <c:v>7</c:v>
                </c:pt>
              </c:numCache>
            </c:numRef>
          </c:val>
          <c:extLst>
            <c:ext xmlns:c16="http://schemas.microsoft.com/office/drawing/2014/chart" uri="{C3380CC4-5D6E-409C-BE32-E72D297353CC}">
              <c16:uniqueId val="{00000001-03A1-4B6B-A612-DD7AEC3E5BBC}"/>
            </c:ext>
          </c:extLst>
        </c:ser>
        <c:ser>
          <c:idx val="2"/>
          <c:order val="2"/>
          <c:tx>
            <c:strRef>
              <c:f>'Age sex'!$X$1:$X$2</c:f>
              <c:strCache>
                <c:ptCount val="1"/>
                <c:pt idx="0">
                  <c:v>Total</c:v>
                </c:pt>
              </c:strCache>
            </c:strRef>
          </c:tx>
          <c:spPr>
            <a:solidFill>
              <a:schemeClr val="accent3"/>
            </a:solidFill>
            <a:ln>
              <a:noFill/>
            </a:ln>
            <a:effectLst/>
          </c:spPr>
          <c:invertIfNegative val="0"/>
          <c:cat>
            <c:strRef>
              <c:f>'Age sex'!$U$3:$U$16</c:f>
              <c:strCache>
                <c:ptCount val="13"/>
                <c:pt idx="0">
                  <c:v>15-19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75-89 yrs</c:v>
                </c:pt>
              </c:strCache>
            </c:strRef>
          </c:cat>
          <c:val>
            <c:numRef>
              <c:f>'Age sex'!$X$3:$X$16</c:f>
              <c:numCache>
                <c:formatCode>General</c:formatCode>
                <c:ptCount val="13"/>
                <c:pt idx="0">
                  <c:v>15</c:v>
                </c:pt>
                <c:pt idx="1">
                  <c:v>56</c:v>
                </c:pt>
                <c:pt idx="2">
                  <c:v>56</c:v>
                </c:pt>
                <c:pt idx="3">
                  <c:v>79</c:v>
                </c:pt>
                <c:pt idx="4">
                  <c:v>86</c:v>
                </c:pt>
                <c:pt idx="5">
                  <c:v>60</c:v>
                </c:pt>
                <c:pt idx="6">
                  <c:v>83</c:v>
                </c:pt>
                <c:pt idx="7">
                  <c:v>57</c:v>
                </c:pt>
                <c:pt idx="8">
                  <c:v>63</c:v>
                </c:pt>
                <c:pt idx="9">
                  <c:v>54</c:v>
                </c:pt>
                <c:pt idx="10">
                  <c:v>35</c:v>
                </c:pt>
                <c:pt idx="11">
                  <c:v>26</c:v>
                </c:pt>
                <c:pt idx="12">
                  <c:v>26</c:v>
                </c:pt>
              </c:numCache>
            </c:numRef>
          </c:val>
          <c:extLst>
            <c:ext xmlns:c16="http://schemas.microsoft.com/office/drawing/2014/chart" uri="{C3380CC4-5D6E-409C-BE32-E72D297353CC}">
              <c16:uniqueId val="{00000002-03A1-4B6B-A612-DD7AEC3E5BBC}"/>
            </c:ext>
          </c:extLst>
        </c:ser>
        <c:dLbls>
          <c:showLegendKey val="0"/>
          <c:showVal val="0"/>
          <c:showCatName val="0"/>
          <c:showSerName val="0"/>
          <c:showPercent val="0"/>
          <c:showBubbleSize val="0"/>
        </c:dLbls>
        <c:gapWidth val="219"/>
        <c:overlap val="-27"/>
        <c:axId val="453382944"/>
        <c:axId val="453381304"/>
      </c:barChart>
      <c:catAx>
        <c:axId val="45338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381304"/>
        <c:crosses val="autoZero"/>
        <c:auto val="1"/>
        <c:lblAlgn val="ctr"/>
        <c:lblOffset val="100"/>
        <c:noMultiLvlLbl val="0"/>
      </c:catAx>
      <c:valAx>
        <c:axId val="453381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38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20</Pages>
  <Words>5394</Words>
  <Characters>30748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MORRISON, Olivia</cp:lastModifiedBy>
  <cp:revision>13</cp:revision>
  <cp:lastPrinted>2013-04-17T01:11:00Z</cp:lastPrinted>
  <dcterms:created xsi:type="dcterms:W3CDTF">2022-02-16T01:11:00Z</dcterms:created>
  <dcterms:modified xsi:type="dcterms:W3CDTF">2022-03-15T00:46:00Z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