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3C130" w14:textId="173707E0" w:rsidR="00832324" w:rsidRDefault="00064A97" w:rsidP="00F73113">
      <w:pPr>
        <w:pStyle w:val="Title"/>
      </w:pPr>
      <w:bookmarkStart w:id="0" w:name="_Hlk98487923"/>
      <w:r>
        <w:t>HIV</w:t>
      </w:r>
      <w:r w:rsidR="00F85F52">
        <w:t xml:space="preserve"> antiretroviral medicines</w:t>
      </w:r>
      <w:r w:rsidR="0002652B">
        <w:t>: Utilisation analysis</w:t>
      </w:r>
      <w:r w:rsidR="00DC55C4">
        <w:t xml:space="preserve"> using </w:t>
      </w:r>
      <w:r w:rsidR="00F85F52">
        <w:t xml:space="preserve">MedicineInsight </w:t>
      </w:r>
      <w:r w:rsidR="00DC55C4">
        <w:t>data</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79BDCCA3" w:rsidR="009053D3" w:rsidRPr="00F73113" w:rsidRDefault="00064A97" w:rsidP="00F73113">
      <w:pPr>
        <w:pStyle w:val="Meetingdate"/>
      </w:pPr>
      <w:r>
        <w:t>October</w:t>
      </w:r>
      <w:r w:rsidR="003F0004">
        <w:t xml:space="preserve"> 2021</w:t>
      </w:r>
    </w:p>
    <w:p w14:paraId="1494B8AD" w14:textId="77777777" w:rsidR="005C6661" w:rsidRPr="00CF5E22" w:rsidRDefault="005C6661" w:rsidP="00CF5E22">
      <w:pPr>
        <w:pStyle w:val="Heading2"/>
      </w:pPr>
      <w:r w:rsidRPr="00CF5E22">
        <w:t>Abstract</w:t>
      </w:r>
    </w:p>
    <w:p w14:paraId="133690E9" w14:textId="77777777" w:rsidR="00633707" w:rsidRPr="00CF5E22" w:rsidRDefault="00633707" w:rsidP="00633707">
      <w:pPr>
        <w:pStyle w:val="Heading3"/>
      </w:pPr>
      <w:r w:rsidRPr="00CF5E22">
        <w:t>Purpose</w:t>
      </w:r>
    </w:p>
    <w:p w14:paraId="0D5785B9" w14:textId="53316227" w:rsidR="00633707" w:rsidRDefault="00791E8A" w:rsidP="00222EE8">
      <w:r>
        <w:t>PBAC</w:t>
      </w:r>
      <w:r w:rsidR="00BD1B04">
        <w:t xml:space="preserve"> requested a</w:t>
      </w:r>
      <w:r w:rsidR="0069284A">
        <w:t xml:space="preserve"> </w:t>
      </w:r>
      <w:r w:rsidR="00222EE8">
        <w:t>review</w:t>
      </w:r>
      <w:r w:rsidR="00BD1B04">
        <w:t xml:space="preserve"> of the</w:t>
      </w:r>
      <w:r w:rsidR="00222EE8">
        <w:t xml:space="preserve"> utilisation of </w:t>
      </w:r>
      <w:r w:rsidR="00064A97">
        <w:t xml:space="preserve">medicines </w:t>
      </w:r>
      <w:r w:rsidR="00470BF4">
        <w:t xml:space="preserve">used </w:t>
      </w:r>
      <w:r w:rsidR="00064A97">
        <w:t xml:space="preserve">for the treatment of </w:t>
      </w:r>
      <w:r w:rsidR="0087713E" w:rsidRPr="0087713E">
        <w:t>Human Immunodeficiency Virus (HIV)</w:t>
      </w:r>
      <w:r w:rsidR="00470BF4">
        <w:t xml:space="preserve"> and for pre-exposure prophylaxis</w:t>
      </w:r>
      <w:r w:rsidR="00124CB5">
        <w:t xml:space="preserve"> of HIV</w:t>
      </w:r>
      <w:r>
        <w:t xml:space="preserve"> at its </w:t>
      </w:r>
      <w:r w:rsidR="00124CB5">
        <w:t>June 2021</w:t>
      </w:r>
      <w:r w:rsidR="00BD1B04">
        <w:t xml:space="preserve"> meeting</w:t>
      </w:r>
      <w:r w:rsidR="00640F71">
        <w:t>.</w:t>
      </w:r>
      <w:r w:rsidR="00F85F52">
        <w:t xml:space="preserve"> </w:t>
      </w:r>
      <w:r w:rsidR="00F85F52" w:rsidRPr="00F85F52">
        <w:t xml:space="preserve">The analyses in this report </w:t>
      </w:r>
      <w:r w:rsidR="000A4955">
        <w:t xml:space="preserve">are for the HIV antiretroviral medicines </w:t>
      </w:r>
      <w:r w:rsidR="00933E35">
        <w:t xml:space="preserve">and </w:t>
      </w:r>
      <w:r w:rsidR="00F85F52" w:rsidRPr="00F85F52">
        <w:t>are based on general practice data from MedicineInsight.</w:t>
      </w:r>
    </w:p>
    <w:p w14:paraId="526743BB" w14:textId="77777777" w:rsidR="005C6661" w:rsidRDefault="005C6661" w:rsidP="00CF5E22">
      <w:pPr>
        <w:pStyle w:val="Heading3"/>
      </w:pPr>
      <w:r>
        <w:t>Data Source / methodology</w:t>
      </w:r>
    </w:p>
    <w:p w14:paraId="78E9A859" w14:textId="2266A299" w:rsidR="00963C05" w:rsidRPr="00585502" w:rsidRDefault="00963C05" w:rsidP="00963C05">
      <w:pPr>
        <w:pStyle w:val="NoSpacing"/>
      </w:pPr>
      <w:r w:rsidRPr="004D0430">
        <w:t xml:space="preserve">This </w:t>
      </w:r>
      <w:r>
        <w:t xml:space="preserve">study is a </w:t>
      </w:r>
      <w:r w:rsidRPr="00585502">
        <w:t xml:space="preserve">descriptive analysis </w:t>
      </w:r>
      <w:r>
        <w:t xml:space="preserve">of </w:t>
      </w:r>
      <w:r w:rsidRPr="004D0430">
        <w:t xml:space="preserve">MedicineInsight data </w:t>
      </w:r>
      <w:r>
        <w:t xml:space="preserve">exploring </w:t>
      </w:r>
      <w:r w:rsidRPr="004D0430">
        <w:t xml:space="preserve">the </w:t>
      </w:r>
      <w:r>
        <w:t xml:space="preserve">prescribing </w:t>
      </w:r>
      <w:r w:rsidRPr="004D0430">
        <w:t xml:space="preserve">of </w:t>
      </w:r>
      <w:r w:rsidR="00353D36">
        <w:t>HIV antiretroviral medicines to patients attending general practice</w:t>
      </w:r>
      <w:r>
        <w:t xml:space="preserve">. It </w:t>
      </w:r>
      <w:r w:rsidRPr="00091E71">
        <w:t>u</w:t>
      </w:r>
      <w:r>
        <w:t>ses</w:t>
      </w:r>
      <w:r w:rsidRPr="00091E71">
        <w:t xml:space="preserve"> de-identified patient data from </w:t>
      </w:r>
      <w:r>
        <w:t xml:space="preserve">the </w:t>
      </w:r>
      <w:r w:rsidRPr="00091E71">
        <w:t xml:space="preserve">clinical information </w:t>
      </w:r>
      <w:r>
        <w:t>systems</w:t>
      </w:r>
      <w:r w:rsidRPr="00091E71">
        <w:t xml:space="preserve"> (CIS) of </w:t>
      </w:r>
      <w:r w:rsidR="001342A2">
        <w:t xml:space="preserve">145 </w:t>
      </w:r>
      <w:r w:rsidR="00FC4A20">
        <w:t xml:space="preserve">individual </w:t>
      </w:r>
      <w:r w:rsidR="001342A2">
        <w:t xml:space="preserve">practices for </w:t>
      </w:r>
      <w:r w:rsidR="71D09944">
        <w:t xml:space="preserve">the </w:t>
      </w:r>
      <w:r w:rsidR="00FA6D22">
        <w:t>study perio</w:t>
      </w:r>
      <w:r w:rsidR="00FC4A20">
        <w:t>d</w:t>
      </w:r>
      <w:r w:rsidR="00FA6D22">
        <w:t xml:space="preserve"> 1 (1 January 2018 to 31 December 20</w:t>
      </w:r>
      <w:r w:rsidR="00FC4A20">
        <w:t>19) and 117 individual practices</w:t>
      </w:r>
      <w:r w:rsidR="001342A2">
        <w:t xml:space="preserve"> </w:t>
      </w:r>
      <w:r w:rsidR="00B80276">
        <w:t>for study period 2 (calendar year 2020)</w:t>
      </w:r>
      <w:r w:rsidR="001603A5">
        <w:t>.</w:t>
      </w:r>
    </w:p>
    <w:p w14:paraId="7599E7C1" w14:textId="2148B661" w:rsidR="005C6661" w:rsidRDefault="005C6661" w:rsidP="00CF5E22">
      <w:pPr>
        <w:pStyle w:val="Heading3"/>
      </w:pPr>
      <w:r>
        <w:t>Key Findings</w:t>
      </w:r>
    </w:p>
    <w:p w14:paraId="7A18BC0C" w14:textId="21AF7547" w:rsidR="00C75B36" w:rsidRPr="00F03A52" w:rsidRDefault="00873913" w:rsidP="00F03A52">
      <w:pPr>
        <w:pStyle w:val="NoSpacing"/>
        <w:numPr>
          <w:ilvl w:val="0"/>
          <w:numId w:val="16"/>
        </w:numPr>
      </w:pPr>
      <w:r w:rsidRPr="00F03A52">
        <w:t>This study includes 5.0–5.5% of the approximately 27,500 Australians living with HIV in Australia.</w:t>
      </w:r>
      <w:r w:rsidR="00C75B36" w:rsidRPr="00F03A52">
        <w:t xml:space="preserve"> </w:t>
      </w:r>
    </w:p>
    <w:p w14:paraId="6332E4B4" w14:textId="5A023482" w:rsidR="000433CA" w:rsidRPr="00F03A52" w:rsidRDefault="000433CA" w:rsidP="00F03A52">
      <w:pPr>
        <w:pStyle w:val="NoSpacing"/>
        <w:numPr>
          <w:ilvl w:val="0"/>
          <w:numId w:val="16"/>
        </w:numPr>
      </w:pPr>
      <w:r w:rsidRPr="00F03A52">
        <w:t xml:space="preserve">Patients with </w:t>
      </w:r>
      <w:r w:rsidR="008E42F2" w:rsidRPr="00F03A52">
        <w:t xml:space="preserve">diagnosed HIV using antiretroviral medicines were overwhelmingly </w:t>
      </w:r>
      <w:r w:rsidRPr="00F03A52">
        <w:t>male</w:t>
      </w:r>
      <w:r w:rsidR="008E42F2" w:rsidRPr="00F03A52">
        <w:t xml:space="preserve"> (</w:t>
      </w:r>
      <w:r w:rsidR="00D6399E" w:rsidRPr="00F03A52">
        <w:t>~</w:t>
      </w:r>
      <w:r w:rsidR="008E42F2" w:rsidRPr="00F03A52">
        <w:t>95%)</w:t>
      </w:r>
      <w:r w:rsidRPr="00F03A52">
        <w:t xml:space="preserve">, from higher socioeconomic backgrounds </w:t>
      </w:r>
      <w:r w:rsidR="00D6399E" w:rsidRPr="00F03A52">
        <w:t xml:space="preserve">(~62%) </w:t>
      </w:r>
      <w:r w:rsidRPr="00F03A52">
        <w:t>and living in major cities</w:t>
      </w:r>
      <w:r w:rsidR="00D6399E" w:rsidRPr="00F03A52">
        <w:t xml:space="preserve"> (~87%)</w:t>
      </w:r>
      <w:r w:rsidRPr="00F03A52">
        <w:t xml:space="preserve">. </w:t>
      </w:r>
      <w:r w:rsidR="00E56CB4" w:rsidRPr="00F03A52">
        <w:t>On average they were aged 50 years</w:t>
      </w:r>
      <w:r w:rsidR="63A17CD9" w:rsidRPr="00F03A52">
        <w:t>.</w:t>
      </w:r>
    </w:p>
    <w:p w14:paraId="59C44878" w14:textId="2E3F161C" w:rsidR="00E56CB4" w:rsidRPr="00F03A52" w:rsidRDefault="00E56CB4" w:rsidP="00F03A52">
      <w:pPr>
        <w:pStyle w:val="NoSpacing"/>
        <w:numPr>
          <w:ilvl w:val="0"/>
          <w:numId w:val="16"/>
        </w:numPr>
      </w:pPr>
      <w:r w:rsidRPr="00F03A52">
        <w:t>Mental illnesses</w:t>
      </w:r>
      <w:r w:rsidR="00457197" w:rsidRPr="00F03A52">
        <w:t xml:space="preserve"> were the most</w:t>
      </w:r>
      <w:r w:rsidRPr="00F03A52">
        <w:t xml:space="preserve"> commonly reported co-morbidity. </w:t>
      </w:r>
      <w:r w:rsidR="00414342" w:rsidRPr="00F03A52">
        <w:t xml:space="preserve">Approximately 40% of </w:t>
      </w:r>
      <w:r w:rsidRPr="00F03A52">
        <w:t xml:space="preserve">patients had a </w:t>
      </w:r>
      <w:r w:rsidR="00E84E99" w:rsidRPr="00F03A52">
        <w:t xml:space="preserve">prior or </w:t>
      </w:r>
      <w:r w:rsidR="00FA105F" w:rsidRPr="00F03A52">
        <w:t xml:space="preserve">current </w:t>
      </w:r>
      <w:r w:rsidRPr="00F03A52">
        <w:t xml:space="preserve">record of depression and </w:t>
      </w:r>
      <w:r w:rsidR="00414342" w:rsidRPr="00F03A52">
        <w:t xml:space="preserve">approximately 30% </w:t>
      </w:r>
      <w:r w:rsidRPr="00F03A52">
        <w:t xml:space="preserve">had a </w:t>
      </w:r>
      <w:r w:rsidR="00E84E99" w:rsidRPr="00F03A52">
        <w:t xml:space="preserve">prior or current </w:t>
      </w:r>
      <w:r w:rsidRPr="00F03A52">
        <w:t>record of anxiety.</w:t>
      </w:r>
    </w:p>
    <w:p w14:paraId="6C0D9579" w14:textId="602C46FB" w:rsidR="00C919B5" w:rsidRPr="00F03A52" w:rsidRDefault="00C919B5" w:rsidP="00F03A52">
      <w:pPr>
        <w:pStyle w:val="NoSpacing"/>
        <w:numPr>
          <w:ilvl w:val="0"/>
          <w:numId w:val="16"/>
        </w:numPr>
      </w:pPr>
      <w:r w:rsidRPr="00F03A52">
        <w:t>A quarter of patients had been diagnosed with hypertension and 30% had a record of dyslipidaemia.</w:t>
      </w:r>
    </w:p>
    <w:p w14:paraId="5A1D0F1D" w14:textId="6528DF5B" w:rsidR="00E56CB4" w:rsidRPr="00F03A52" w:rsidRDefault="00457197" w:rsidP="00F03A52">
      <w:pPr>
        <w:pStyle w:val="NoSpacing"/>
        <w:numPr>
          <w:ilvl w:val="0"/>
          <w:numId w:val="16"/>
        </w:numPr>
      </w:pPr>
      <w:r w:rsidRPr="00F03A52">
        <w:t>A</w:t>
      </w:r>
      <w:r w:rsidR="00E56CB4" w:rsidRPr="00F03A52">
        <w:t>pproximately 14% of patients had been diagnosed with both HIV and chronic hepatitis C.</w:t>
      </w:r>
    </w:p>
    <w:p w14:paraId="2DC56E66" w14:textId="1534828F" w:rsidR="00E56CB4" w:rsidRPr="00F03A52" w:rsidRDefault="006E30AE" w:rsidP="00F03A52">
      <w:pPr>
        <w:pStyle w:val="NoSpacing"/>
        <w:numPr>
          <w:ilvl w:val="0"/>
          <w:numId w:val="16"/>
        </w:numPr>
      </w:pPr>
      <w:r w:rsidRPr="00F03A52">
        <w:t xml:space="preserve">Even though the </w:t>
      </w:r>
      <w:r w:rsidR="00E56CB4" w:rsidRPr="00F03A52">
        <w:t xml:space="preserve">majority of patients </w:t>
      </w:r>
      <w:r w:rsidRPr="00F03A52">
        <w:t>were males aged in the</w:t>
      </w:r>
      <w:r w:rsidR="00EF0822" w:rsidRPr="00F03A52">
        <w:t>ir 50s</w:t>
      </w:r>
      <w:r w:rsidRPr="00F03A52">
        <w:t xml:space="preserve">, </w:t>
      </w:r>
      <w:r w:rsidR="00E56CB4" w:rsidRPr="00F03A52">
        <w:t>8.7–8.9% of patients had been diagnosed with osteoporosis.</w:t>
      </w:r>
    </w:p>
    <w:p w14:paraId="548C9A87" w14:textId="3111005D" w:rsidR="00F03A52" w:rsidRPr="00F03A52" w:rsidRDefault="00AB6413" w:rsidP="00F03A52">
      <w:pPr>
        <w:pStyle w:val="NoSpacing"/>
        <w:numPr>
          <w:ilvl w:val="0"/>
          <w:numId w:val="16"/>
        </w:numPr>
        <w:spacing w:line="276" w:lineRule="auto"/>
        <w:rPr>
          <w:rFonts w:eastAsiaTheme="majorEastAsia" w:cstheme="majorBidi"/>
          <w:b/>
          <w:bCs/>
          <w:sz w:val="32"/>
          <w:szCs w:val="26"/>
        </w:rPr>
      </w:pPr>
      <w:r w:rsidRPr="00F03A52">
        <w:t>Fixed dose c</w:t>
      </w:r>
      <w:r w:rsidR="003A22E1" w:rsidRPr="00F03A52">
        <w:t xml:space="preserve">ombination </w:t>
      </w:r>
      <w:r w:rsidRPr="00F03A52">
        <w:t xml:space="preserve">(FDC) </w:t>
      </w:r>
      <w:r w:rsidR="003A22E1" w:rsidRPr="00F03A52">
        <w:t xml:space="preserve">antiretroviral medicines </w:t>
      </w:r>
      <w:r w:rsidR="00491A59" w:rsidRPr="00F03A52">
        <w:t xml:space="preserve">were the </w:t>
      </w:r>
      <w:r w:rsidR="003A22E1" w:rsidRPr="00F03A52">
        <w:t>most commonly prescribed</w:t>
      </w:r>
      <w:r w:rsidR="009F6756" w:rsidRPr="00F03A52">
        <w:t>. Th</w:t>
      </w:r>
      <w:r w:rsidR="001E6134" w:rsidRPr="00F03A52">
        <w:t xml:space="preserve">e FDC </w:t>
      </w:r>
      <w:r w:rsidR="00491A59" w:rsidRPr="00F03A52">
        <w:t>bictegravir + tenofovir alafenamide + emtricitabine (</w:t>
      </w:r>
      <w:proofErr w:type="spellStart"/>
      <w:r w:rsidR="00491A59" w:rsidRPr="00F03A52">
        <w:t>Biktarvy</w:t>
      </w:r>
      <w:proofErr w:type="spellEnd"/>
      <w:r w:rsidR="00491A59" w:rsidRPr="00F03A52">
        <w:t xml:space="preserve">) </w:t>
      </w:r>
      <w:r w:rsidR="00491A59" w:rsidRPr="00F03A52">
        <w:lastRenderedPageBreak/>
        <w:t>was</w:t>
      </w:r>
      <w:r w:rsidRPr="00F03A52">
        <w:t xml:space="preserve"> </w:t>
      </w:r>
      <w:r w:rsidR="00722330" w:rsidRPr="00F03A52">
        <w:t xml:space="preserve">prescribed for 31.0% of patients </w:t>
      </w:r>
      <w:r w:rsidR="000E4618" w:rsidRPr="00F03A52">
        <w:t xml:space="preserve">and was </w:t>
      </w:r>
      <w:r w:rsidRPr="00F03A52">
        <w:t>the mos</w:t>
      </w:r>
      <w:r w:rsidR="001E6134" w:rsidRPr="00F03A52">
        <w:t>t commonly prescribed individual medicine</w:t>
      </w:r>
      <w:r w:rsidR="000E4618" w:rsidRPr="00F03A52">
        <w:t>.</w:t>
      </w:r>
    </w:p>
    <w:p w14:paraId="4757C821" w14:textId="422C9EF9" w:rsidR="00F71D2E" w:rsidRPr="00F03A52" w:rsidRDefault="00BC25EE" w:rsidP="00F03A52">
      <w:pPr>
        <w:pStyle w:val="NoSpacing"/>
        <w:numPr>
          <w:ilvl w:val="0"/>
          <w:numId w:val="16"/>
        </w:numPr>
        <w:spacing w:line="276" w:lineRule="auto"/>
        <w:rPr>
          <w:rFonts w:eastAsiaTheme="majorEastAsia" w:cstheme="majorBidi"/>
          <w:b/>
          <w:bCs/>
          <w:sz w:val="32"/>
          <w:szCs w:val="26"/>
        </w:rPr>
      </w:pPr>
      <w:r w:rsidRPr="00F03A52">
        <w:t xml:space="preserve">The </w:t>
      </w:r>
      <w:r w:rsidR="00477B27" w:rsidRPr="00F03A52">
        <w:t>HIV Protease Inhibitors (</w:t>
      </w:r>
      <w:r w:rsidRPr="00F03A52">
        <w:t>HIV-PIs</w:t>
      </w:r>
      <w:r w:rsidR="00477B27" w:rsidRPr="00F03A52">
        <w:t>)</w:t>
      </w:r>
      <w:r w:rsidRPr="00F03A52">
        <w:t xml:space="preserve"> are associated with increased cardiovascular risk. </w:t>
      </w:r>
      <w:r w:rsidR="00C26D24" w:rsidRPr="00F03A52">
        <w:t>Among</w:t>
      </w:r>
      <w:r w:rsidR="00AB45CE" w:rsidRPr="00F03A52">
        <w:t xml:space="preserve"> all patients who were prescribed an antiretroviral medicine, the number of patients with recorded cardiovascular disease, at risk of cardiovascular disease or with recorded dyslipidaemia who were prescribed an HIV-PI was </w:t>
      </w:r>
      <w:r w:rsidR="00A97C90" w:rsidRPr="00F03A52">
        <w:t>32 (</w:t>
      </w:r>
      <w:r w:rsidR="00AB45CE" w:rsidRPr="00F03A52">
        <w:t>2.1%</w:t>
      </w:r>
      <w:r w:rsidR="00A97C90" w:rsidRPr="00F03A52">
        <w:t>)</w:t>
      </w:r>
      <w:r w:rsidR="00AB45CE" w:rsidRPr="00F03A52">
        <w:t xml:space="preserve">, </w:t>
      </w:r>
      <w:r w:rsidR="00477B27" w:rsidRPr="00F03A52">
        <w:t>97 (</w:t>
      </w:r>
      <w:r w:rsidR="00AB45CE" w:rsidRPr="00F03A52">
        <w:t>6.4%</w:t>
      </w:r>
      <w:r w:rsidR="00477B27" w:rsidRPr="00F03A52">
        <w:t>)</w:t>
      </w:r>
      <w:r w:rsidR="00AB45CE" w:rsidRPr="00F03A52">
        <w:t xml:space="preserve"> and </w:t>
      </w:r>
      <w:r w:rsidR="00477B27" w:rsidRPr="00F03A52">
        <w:t>66 (</w:t>
      </w:r>
      <w:r w:rsidR="00AB45CE" w:rsidRPr="00F03A52">
        <w:t>4.4%</w:t>
      </w:r>
      <w:r w:rsidR="00477B27" w:rsidRPr="00F03A52">
        <w:t>)</w:t>
      </w:r>
      <w:r w:rsidR="00AB45CE" w:rsidRPr="00F03A52">
        <w:t xml:space="preserve">, respectively. </w:t>
      </w:r>
    </w:p>
    <w:p w14:paraId="38B57ECC" w14:textId="79C82865" w:rsidR="00BB0D1A" w:rsidRPr="00845AE1" w:rsidRDefault="001C3591" w:rsidP="00F03A52">
      <w:pPr>
        <w:pStyle w:val="NoSpacing"/>
        <w:numPr>
          <w:ilvl w:val="0"/>
          <w:numId w:val="16"/>
        </w:numPr>
        <w:spacing w:line="276" w:lineRule="auto"/>
        <w:rPr>
          <w:rFonts w:eastAsiaTheme="majorEastAsia" w:cstheme="majorBidi"/>
          <w:b/>
          <w:bCs/>
          <w:sz w:val="32"/>
          <w:szCs w:val="26"/>
        </w:rPr>
      </w:pPr>
      <w:r w:rsidRPr="00F03A52">
        <w:t>R</w:t>
      </w:r>
      <w:r w:rsidR="00F71D2E" w:rsidRPr="00F03A52">
        <w:t xml:space="preserve">egimens including rilpivirine or efavirenz </w:t>
      </w:r>
      <w:r w:rsidR="004901E9" w:rsidRPr="00F03A52">
        <w:t xml:space="preserve">should </w:t>
      </w:r>
      <w:r w:rsidR="00F71D2E" w:rsidRPr="00F03A52">
        <w:t xml:space="preserve">be </w:t>
      </w:r>
      <w:r w:rsidR="00206681" w:rsidRPr="00F03A52">
        <w:t>used in caution in</w:t>
      </w:r>
      <w:r w:rsidR="00F71D2E" w:rsidRPr="00F03A52">
        <w:t xml:space="preserve"> patient</w:t>
      </w:r>
      <w:r w:rsidR="004901E9" w:rsidRPr="00F03A52">
        <w:t>s</w:t>
      </w:r>
      <w:r w:rsidR="00F71D2E" w:rsidRPr="00F03A52">
        <w:t xml:space="preserve"> with mental illness due to a higher risk of central nervous system side effects. </w:t>
      </w:r>
      <w:r w:rsidR="00B927FD" w:rsidRPr="00F03A52">
        <w:t xml:space="preserve">Among all patients who were prescribed an antiretroviral medicine, the number of patients with </w:t>
      </w:r>
      <w:r w:rsidR="00F71D2E" w:rsidRPr="00F03A52">
        <w:t>a prior or current record of mental illness</w:t>
      </w:r>
      <w:r w:rsidR="00472923" w:rsidRPr="00F03A52">
        <w:t xml:space="preserve"> who </w:t>
      </w:r>
      <w:r w:rsidR="00F71D2E" w:rsidRPr="00F03A52">
        <w:t xml:space="preserve">were prescribed rilpivirine </w:t>
      </w:r>
      <w:r w:rsidR="00E64E66" w:rsidRPr="00F03A52">
        <w:t>or</w:t>
      </w:r>
      <w:r w:rsidR="00F71D2E" w:rsidRPr="00F03A52">
        <w:t xml:space="preserve"> </w:t>
      </w:r>
      <w:r w:rsidR="00B94D2B" w:rsidRPr="00F03A52">
        <w:t xml:space="preserve">efavirenz </w:t>
      </w:r>
      <w:r w:rsidR="00E64E66" w:rsidRPr="00F03A52">
        <w:t>was 116 (7.6%) and</w:t>
      </w:r>
      <w:r w:rsidR="00B94D2B" w:rsidRPr="00F03A52">
        <w:t xml:space="preserve"> </w:t>
      </w:r>
      <w:r w:rsidR="00F71D2E" w:rsidRPr="00F03A52">
        <w:t>34 (</w:t>
      </w:r>
      <w:r w:rsidR="00B94D2B" w:rsidRPr="00F03A52">
        <w:t>2.2</w:t>
      </w:r>
      <w:r w:rsidR="00F71D2E" w:rsidRPr="00F03A52">
        <w:t>%)</w:t>
      </w:r>
      <w:r w:rsidR="00E64E66" w:rsidRPr="00F03A52">
        <w:t>, respectively</w:t>
      </w:r>
      <w:r w:rsidR="00F71D2E" w:rsidRPr="00F03A52">
        <w:t>.</w:t>
      </w:r>
      <w:r w:rsidR="00BB0D1A">
        <w:br w:type="page"/>
      </w:r>
    </w:p>
    <w:bookmarkEnd w:id="0"/>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4D296B14" w14:textId="77777777" w:rsidR="00120475" w:rsidRDefault="00120475" w:rsidP="00120475">
      <w:r>
        <w:t>At its June 2021 meeting, DUSC requested a review of antiretroviral medicines for the treatment or prevention of HIV. DUSC noted that the previous review of these medicines had been conducted in 2013. Since this time there have been a number of changes including:</w:t>
      </w:r>
    </w:p>
    <w:p w14:paraId="48FDB482" w14:textId="64F8FF0E" w:rsidR="00120475" w:rsidRDefault="00120475" w:rsidP="00102944">
      <w:pPr>
        <w:pStyle w:val="ListParagraph"/>
        <w:numPr>
          <w:ilvl w:val="0"/>
          <w:numId w:val="6"/>
        </w:numPr>
      </w:pPr>
      <w:r>
        <w:t xml:space="preserve">PBS restrictions limiting the use of antiretroviral medicines to patients with </w:t>
      </w:r>
      <w:r w:rsidRPr="002A37C0">
        <w:t>CD4</w:t>
      </w:r>
      <w:r>
        <w:t>+</w:t>
      </w:r>
      <w:r w:rsidRPr="002A37C0">
        <w:t xml:space="preserve"> count</w:t>
      </w:r>
      <w:r>
        <w:t>s</w:t>
      </w:r>
      <w:r>
        <w:rPr>
          <w:rStyle w:val="FootnoteReference"/>
        </w:rPr>
        <w:footnoteReference w:id="2"/>
      </w:r>
      <w:r w:rsidRPr="002A37C0">
        <w:t xml:space="preserve"> of less than 500 cells/mm</w:t>
      </w:r>
      <w:r w:rsidRPr="002A37C0">
        <w:rPr>
          <w:vertAlign w:val="superscript"/>
        </w:rPr>
        <w:t>3</w:t>
      </w:r>
      <w:r w:rsidRPr="002A37C0">
        <w:t xml:space="preserve"> or symptomatic HIV disease</w:t>
      </w:r>
      <w:r>
        <w:t xml:space="preserve"> were removed in late 2013</w:t>
      </w:r>
      <w:r w:rsidR="003F29F0">
        <w:t>;</w:t>
      </w:r>
      <w:r w:rsidR="001F3116">
        <w:fldChar w:fldCharType="begin"/>
      </w:r>
      <w:r w:rsidR="001F3116">
        <w:instrText xml:space="preserve"> ADDIN EN.CITE &lt;EndNote&gt;&lt;Cite&gt;&lt;Author&gt;Pharmaceutical Benefits Advisory Committee&lt;/Author&gt;&lt;Year&gt;2013&lt;/Year&gt;&lt;RecNum&gt;12&lt;/RecNum&gt;&lt;DisplayText&gt;&lt;style face="superscript"&gt;1&lt;/style&gt;&lt;/DisplayText&gt;&lt;record&gt;&lt;rec-number&gt;12&lt;/rec-number&gt;&lt;foreign-keys&gt;&lt;key app="EN" db-id="vwfdxvwwn0rrs6ea9sex9v2hafxp5zf2dexd" timestamp="1628718821"&gt;12&lt;/key&gt;&lt;/foreign-keys&gt;&lt;ref-type name="Report"&gt;27&lt;/ref-type&gt;&lt;contributors&gt;&lt;authors&gt;&lt;author&gt;Pharmaceutical Benefits Advisory Committee,&lt;/author&gt;&lt;/authors&gt;&lt;tertiary-authors&gt;&lt;author&gt;Australian Department of Health&lt;/author&gt;&lt;/tertiary-authors&gt;&lt;/contributors&gt;&lt;titles&gt;&lt;title&gt;Public summary document: first-line anti-retroviral therapy (ART) - November 2013&lt;/title&gt;&lt;/titles&gt;&lt;dates&gt;&lt;year&gt;2013&lt;/year&gt;&lt;/dates&gt;&lt;pub-location&gt;Canberra&lt;/pub-location&gt;&lt;publisher&gt;Australian Department of Health&lt;/publisher&gt;&lt;urls&gt;&lt;related-urls&gt;&lt;url&gt;https://www.pbs.gov.au/pbs/industry/listing/elements/pbac-meetings/psd/2013-11/first-line-art&lt;/url&gt;&lt;/related-urls&gt;&lt;/urls&gt;&lt;access-date&gt;11 August 2021&lt;/access-date&gt;&lt;/record&gt;&lt;/Cite&gt;&lt;/EndNote&gt;</w:instrText>
      </w:r>
      <w:r w:rsidR="001F3116">
        <w:fldChar w:fldCharType="separate"/>
      </w:r>
      <w:r w:rsidR="001F3116" w:rsidRPr="001F3116">
        <w:rPr>
          <w:noProof/>
          <w:vertAlign w:val="superscript"/>
        </w:rPr>
        <w:t>1</w:t>
      </w:r>
      <w:r w:rsidR="001F3116">
        <w:fldChar w:fldCharType="end"/>
      </w:r>
    </w:p>
    <w:p w14:paraId="4802BBB0" w14:textId="30DB3658" w:rsidR="00120475" w:rsidRDefault="00120475" w:rsidP="00102944">
      <w:pPr>
        <w:pStyle w:val="ListParagraph"/>
        <w:numPr>
          <w:ilvl w:val="0"/>
          <w:numId w:val="6"/>
        </w:numPr>
      </w:pPr>
      <w:r>
        <w:t>the addition of new antiretroviral medicines and new combination regimens to treat HIV to the PBS. DUSC</w:t>
      </w:r>
      <w:r w:rsidRPr="00515120">
        <w:t xml:space="preserve"> </w:t>
      </w:r>
      <w:r>
        <w:t>noted substantial growth in the utilisation of some of the newer antiretroviral combination regimens in recent years</w:t>
      </w:r>
      <w:r w:rsidR="003F29F0">
        <w:t>;</w:t>
      </w:r>
      <w:r w:rsidR="001F3116">
        <w:fldChar w:fldCharType="begin"/>
      </w:r>
      <w:r w:rsidR="001F3116">
        <w:instrText xml:space="preserve"> ADDIN EN.CITE &lt;EndNote&gt;&lt;Cite&gt;&lt;Author&gt;Drug Utilisation Sub-Committee&lt;/Author&gt;&lt;Year&gt;2021&lt;/Year&gt;&lt;RecNum&gt;13&lt;/RecNum&gt;&lt;DisplayText&gt;&lt;style face="superscript"&gt;2&lt;/style&gt;&lt;/DisplayText&gt;&lt;record&gt;&lt;rec-number&gt;13&lt;/rec-number&gt;&lt;foreign-keys&gt;&lt;key app="EN" db-id="vwfdxvwwn0rrs6ea9sex9v2hafxp5zf2dexd" timestamp="1628718918"&gt;13&lt;/key&gt;&lt;/foreign-keys&gt;&lt;ref-type name="Report"&gt;27&lt;/ref-type&gt;&lt;contributors&gt;&lt;authors&gt;&lt;author&gt;Drug Utilisation Sub-Committee,&lt;/author&gt;&lt;/authors&gt;&lt;tertiary-authors&gt;&lt;author&gt;Australian Department of Health&lt;/author&gt;&lt;/tertiary-authors&gt;&lt;/contributors&gt;&lt;titles&gt;&lt;title&gt;Drug Utilisation Sub-Committee Outcome Statement 3 - 4 June 2021&lt;/title&gt;&lt;/titles&gt;&lt;dates&gt;&lt;year&gt;2021&lt;/year&gt;&lt;/dates&gt;&lt;pub-location&gt;Canberra&lt;/pub-location&gt;&lt;publisher&gt;Australian Department of Health&lt;/publisher&gt;&lt;urls&gt;&lt;related-urls&gt;&lt;url&gt;https://www.pbs.gov.au/industry/listing/elements/dusc-meetings/dos/DUSC-Outcome-Statement-June-2021.pdf&lt;/url&gt;&lt;/related-urls&gt;&lt;/urls&gt;&lt;access-date&gt;11 August 2021&lt;/access-date&gt;&lt;/record&gt;&lt;/Cite&gt;&lt;/EndNote&gt;</w:instrText>
      </w:r>
      <w:r w:rsidR="001F3116">
        <w:fldChar w:fldCharType="separate"/>
      </w:r>
      <w:r w:rsidR="001F3116" w:rsidRPr="001F3116">
        <w:rPr>
          <w:noProof/>
          <w:vertAlign w:val="superscript"/>
        </w:rPr>
        <w:t>2</w:t>
      </w:r>
      <w:r w:rsidR="001F3116">
        <w:fldChar w:fldCharType="end"/>
      </w:r>
      <w:r>
        <w:t xml:space="preserve"> </w:t>
      </w:r>
    </w:p>
    <w:p w14:paraId="5EE8E265" w14:textId="10C37E3C" w:rsidR="00120475" w:rsidRDefault="00120475" w:rsidP="00102944">
      <w:pPr>
        <w:pStyle w:val="ListParagraph"/>
        <w:numPr>
          <w:ilvl w:val="0"/>
          <w:numId w:val="6"/>
        </w:numPr>
      </w:pPr>
      <w:r>
        <w:t>the addition of PrEP which prevents infection in HIV negative people to the PBS in 2018.</w:t>
      </w:r>
    </w:p>
    <w:p w14:paraId="27421808" w14:textId="77777777" w:rsidR="00120475" w:rsidRDefault="00120475" w:rsidP="00120475">
      <w:r>
        <w:t>DUSC sought to underst</w:t>
      </w:r>
      <w:r w:rsidRPr="00D855B0">
        <w:t xml:space="preserve">and the impacts of </w:t>
      </w:r>
      <w:r>
        <w:t xml:space="preserve">these changes </w:t>
      </w:r>
      <w:r w:rsidRPr="00D855B0">
        <w:t>on the utilisation of HIV medicines.</w:t>
      </w:r>
      <w:r>
        <w:t xml:space="preserve"> DUSC </w:t>
      </w:r>
      <w:r w:rsidRPr="0002716C">
        <w:t xml:space="preserve">requested that </w:t>
      </w:r>
      <w:r>
        <w:t xml:space="preserve">the </w:t>
      </w:r>
      <w:r w:rsidRPr="0002716C">
        <w:t>utilisation of</w:t>
      </w:r>
      <w:r>
        <w:t xml:space="preserve"> antiretroviral</w:t>
      </w:r>
      <w:r w:rsidRPr="0002716C">
        <w:t xml:space="preserve"> </w:t>
      </w:r>
      <w:r>
        <w:t>medicines for the treatment and prevention of HIV</w:t>
      </w:r>
      <w:r w:rsidRPr="0002716C">
        <w:t xml:space="preserve"> be reviewed </w:t>
      </w:r>
      <w:r>
        <w:t>using both PBS dispensing data and MedicineInsight data.</w:t>
      </w:r>
    </w:p>
    <w:p w14:paraId="76F8531A" w14:textId="2FBA7324" w:rsidR="00C41A59" w:rsidRDefault="00120475" w:rsidP="00C41A59">
      <w:pPr>
        <w:rPr>
          <w:b/>
          <w:bCs/>
        </w:rPr>
      </w:pPr>
      <w:r>
        <w:t xml:space="preserve">This </w:t>
      </w:r>
      <w:r w:rsidR="009B1127" w:rsidRPr="009B1127">
        <w:t xml:space="preserve">paper reports on the </w:t>
      </w:r>
      <w:r w:rsidR="009B1127">
        <w:t xml:space="preserve">MedicineInsight </w:t>
      </w:r>
      <w:r w:rsidR="009B1127" w:rsidRPr="009B1127">
        <w:t>analysis.</w:t>
      </w:r>
    </w:p>
    <w:p w14:paraId="0A7F0B57" w14:textId="034D22D5" w:rsidR="006537D9" w:rsidRPr="005E22C2" w:rsidRDefault="00736041" w:rsidP="00CF5E22">
      <w:pPr>
        <w:pStyle w:val="Heading1"/>
      </w:pPr>
      <w:r w:rsidRPr="005E22C2">
        <w:t>Background</w:t>
      </w:r>
    </w:p>
    <w:p w14:paraId="2C748275" w14:textId="7A777D88" w:rsidR="00EE2BBB" w:rsidRDefault="00EE2BBB" w:rsidP="00EE2BBB">
      <w:pPr>
        <w:pStyle w:val="Heading2"/>
      </w:pPr>
      <w:r w:rsidRPr="007247B9">
        <w:t>Clinical situation</w:t>
      </w:r>
    </w:p>
    <w:p w14:paraId="2BA5C908" w14:textId="5AA4FF97" w:rsidR="00557684" w:rsidRDefault="00557684" w:rsidP="00557684">
      <w:r>
        <w:t xml:space="preserve">The HIV </w:t>
      </w:r>
      <w:r w:rsidRPr="00926E75">
        <w:t>virus attacks the body’s immune system</w:t>
      </w:r>
      <w:r>
        <w:t xml:space="preserve">. Left </w:t>
      </w:r>
      <w:r w:rsidRPr="00926E75">
        <w:t>untreated</w:t>
      </w:r>
      <w:r>
        <w:t xml:space="preserve"> it will cause severe damage to the immune system within 10 years and the development of </w:t>
      </w:r>
      <w:r w:rsidRPr="00926E75">
        <w:t xml:space="preserve">acquired immunodeficiency syndrome (AIDS). HIV is transmitted </w:t>
      </w:r>
      <w:r>
        <w:t xml:space="preserve">through unprotected </w:t>
      </w:r>
      <w:r w:rsidRPr="00926E75">
        <w:t xml:space="preserve">sex, by blood-to-blood contact including through injecting drug use, and from mother to child. Currently HIV cannot be cured but can be controlled with effective treatments that </w:t>
      </w:r>
      <w:r>
        <w:t>enable</w:t>
      </w:r>
      <w:r w:rsidRPr="00926E75">
        <w:t xml:space="preserve"> people living with HIV (PLWHIV) to live long healthy lives and to protect their partners</w:t>
      </w:r>
      <w:r>
        <w:t xml:space="preserve"> from infection</w:t>
      </w:r>
      <w:r w:rsidRPr="00926E75">
        <w:t>.</w:t>
      </w:r>
      <w:r w:rsidR="001F3116">
        <w:fldChar w:fldCharType="begin"/>
      </w:r>
      <w:r w:rsidR="001F3116">
        <w:instrText xml:space="preserve"> ADDIN EN.CITE &lt;EndNote&gt;&lt;Cite&gt;&lt;Author&gt;Healthdirect Australia&lt;/Author&gt;&lt;Year&gt;2021&lt;/Year&gt;&lt;RecNum&gt;3&lt;/RecNum&gt;&lt;DisplayText&gt;&lt;style face="superscript"&gt;3&lt;/style&gt;&lt;/DisplayText&gt;&lt;record&gt;&lt;rec-number&gt;3&lt;/rec-number&gt;&lt;foreign-keys&gt;&lt;key app="EN" db-id="vwfdxvwwn0rrs6ea9sex9v2hafxp5zf2dexd" timestamp="1628641946"&gt;3&lt;/key&gt;&lt;/foreign-keys&gt;&lt;ref-type name="Web Page"&gt;12&lt;/ref-type&gt;&lt;contributors&gt;&lt;authors&gt;&lt;author&gt;Healthdirect Australia,&lt;/author&gt;&lt;/authors&gt;&lt;/contributors&gt;&lt;titles&gt;&lt;title&gt;HIV infection and AIDS&lt;/title&gt;&lt;/titles&gt;&lt;volume&gt;2021&lt;/volume&gt;&lt;number&gt;11 August 2021&lt;/number&gt;&lt;dates&gt;&lt;year&gt;2021&lt;/year&gt;&lt;pub-dates&gt;&lt;date&gt;June 2021&lt;/date&gt;&lt;/pub-dates&gt;&lt;/dates&gt;&lt;pub-location&gt;Sydney&lt;/pub-location&gt;&lt;publisher&gt;Healthdirect Australia,&lt;/publisher&gt;&lt;urls&gt;&lt;related-urls&gt;&lt;url&gt;https://www.healthdirect.gov.au/hiv-infection-and-aids&lt;/url&gt;&lt;/related-urls&gt;&lt;/urls&gt;&lt;/record&gt;&lt;/Cite&gt;&lt;/EndNote&gt;</w:instrText>
      </w:r>
      <w:r w:rsidR="001F3116">
        <w:fldChar w:fldCharType="separate"/>
      </w:r>
      <w:r w:rsidR="001F3116" w:rsidRPr="001F3116">
        <w:rPr>
          <w:noProof/>
          <w:vertAlign w:val="superscript"/>
        </w:rPr>
        <w:t>3</w:t>
      </w:r>
      <w:r w:rsidR="001F3116">
        <w:fldChar w:fldCharType="end"/>
      </w:r>
    </w:p>
    <w:p w14:paraId="121DF679" w14:textId="6CA16B63" w:rsidR="00557684" w:rsidRDefault="00557684" w:rsidP="00557684">
      <w:r>
        <w:t>It has been estimated that 0.14% of the Australian population, or approximately 27,500 Australians, are living with HIV.</w:t>
      </w:r>
      <w:r w:rsidR="001F3116">
        <w:fldChar w:fldCharType="begin"/>
      </w:r>
      <w:r w:rsidR="001F3116">
        <w:instrText xml:space="preserve"> ADDIN EN.CITE &lt;EndNote&gt;&lt;Cite&gt;&lt;Author&gt;Kirby Institute&lt;/Author&gt;&lt;Year&gt;2018&lt;/Year&gt;&lt;RecNum&gt;4&lt;/RecNum&gt;&lt;DisplayText&gt;&lt;style face="superscript"&gt;4&lt;/style&gt;&lt;/DisplayText&gt;&lt;record&gt;&lt;rec-number&gt;4&lt;/rec-number&gt;&lt;foreign-keys&gt;&lt;key app="EN" db-id="vwfdxvwwn0rrs6ea9sex9v2hafxp5zf2dexd" timestamp="1628642162"&gt;4&lt;/key&gt;&lt;/foreign-keys&gt;&lt;ref-type name="Report"&gt;27&lt;/ref-type&gt;&lt;contributors&gt;&lt;authors&gt;&lt;author&gt;Kirby Institute,&lt;/author&gt;&lt;/authors&gt;&lt;tertiary-authors&gt;&lt;author&gt;Kirby Institute&lt;/author&gt;&lt;/tertiary-authors&gt;&lt;/contributors&gt;&lt;titles&gt;&lt;title&gt;HIV, viral hepatitis and sexually transmissible infections in Australia: annual surveillance report 2018&lt;/title&gt;&lt;/titles&gt;&lt;dates&gt;&lt;year&gt;2018&lt;/year&gt;&lt;/dates&gt;&lt;pub-location&gt;Sydney&lt;/pub-location&gt;&lt;publisher&gt;Kirby Institute&lt;/publisher&gt;&lt;urls&gt;&lt;related-urls&gt;&lt;url&gt;https://kirby.unsw.edu.au/sites/default/files/kirby/report/KI_Annual-Surveillance-Report-2018.pdf&lt;/url&gt;&lt;/related-urls&gt;&lt;/urls&gt;&lt;access-date&gt;11 August 2021&lt;/access-date&gt;&lt;/record&gt;&lt;/Cite&gt;&lt;/EndNote&gt;</w:instrText>
      </w:r>
      <w:r w:rsidR="001F3116">
        <w:fldChar w:fldCharType="separate"/>
      </w:r>
      <w:r w:rsidR="001F3116" w:rsidRPr="001F3116">
        <w:rPr>
          <w:noProof/>
          <w:vertAlign w:val="superscript"/>
        </w:rPr>
        <w:t>4</w:t>
      </w:r>
      <w:r w:rsidR="001F3116">
        <w:fldChar w:fldCharType="end"/>
      </w:r>
      <w:r>
        <w:t xml:space="preserve"> Since 2012, there has been a general trend towards fewer new HIV diagnoses being made each year. This is thought to be due to</w:t>
      </w:r>
      <w:r w:rsidRPr="00B06FD4">
        <w:t xml:space="preserve"> </w:t>
      </w:r>
      <w:r>
        <w:t>more people living with HIV being aware of their HIV status, earlier treatment of the disease and the strong uptake of PrEP among gay and bisexual men. However, in 2019, the number of Australian diagnosed with HIV increased from 839 in 2018 to 901 in 2019.</w:t>
      </w:r>
      <w:r w:rsidR="001F3116">
        <w:fldChar w:fldCharType="begin"/>
      </w:r>
      <w:r w:rsidR="001F3116">
        <w:instrText xml:space="preserve"> ADDIN EN.CITE &lt;EndNote&gt;&lt;Cite&gt;&lt;Author&gt;Kirby Institute&lt;/Author&gt;&lt;Year&gt;2020&lt;/Year&gt;&lt;RecNum&gt;5&lt;/RecNum&gt;&lt;DisplayText&gt;&lt;style face="superscript"&gt;5&lt;/style&gt;&lt;/DisplayText&gt;&lt;record&gt;&lt;rec-number&gt;5&lt;/rec-number&gt;&lt;foreign-keys&gt;&lt;key app="EN" db-id="vwfdxvwwn0rrs6ea9sex9v2hafxp5zf2dexd" timestamp="1628642197"&gt;5&lt;/key&gt;&lt;/foreign-keys&gt;&lt;ref-type name="Report"&gt;27&lt;/ref-type&gt;&lt;contributors&gt;&lt;authors&gt;&lt;author&gt;Kirby Institute,&lt;/author&gt;&lt;/authors&gt;&lt;tertiary-authors&gt;&lt;author&gt;Kirby Institute&lt;/author&gt;&lt;/tertiary-authors&gt;&lt;/contributors&gt;&lt;titles&gt;&lt;title&gt;National update on HIV, viral hepatitis and sexually transmissible infections in Australia: 2009–2018&lt;/title&gt;&lt;/titles&gt;&lt;dates&gt;&lt;year&gt;2020&lt;/year&gt;&lt;/dates&gt;&lt;pub-location&gt;Sydney&lt;/pub-location&gt;&lt;publisher&gt;Kirby Institute&lt;/publisher&gt;&lt;urls&gt;&lt;related-urls&gt;&lt;url&gt;https://kirby.unsw.edu.au/sites/default/files/kirby/report/National-update-on-HIV-viral-hepatitis-and-STIs-2009-2018.pdf&lt;/url&gt;&lt;/related-urls&gt;&lt;/urls&gt;&lt;access-date&gt;11 August 2021&lt;/access-date&gt;&lt;/record&gt;&lt;/Cite&gt;&lt;/EndNote&gt;</w:instrText>
      </w:r>
      <w:r w:rsidR="001F3116">
        <w:fldChar w:fldCharType="separate"/>
      </w:r>
      <w:r w:rsidR="001F3116" w:rsidRPr="001F3116">
        <w:rPr>
          <w:noProof/>
          <w:vertAlign w:val="superscript"/>
        </w:rPr>
        <w:t>5</w:t>
      </w:r>
      <w:r w:rsidR="001F3116">
        <w:fldChar w:fldCharType="end"/>
      </w:r>
      <w:r>
        <w:t xml:space="preserve"> </w:t>
      </w:r>
    </w:p>
    <w:p w14:paraId="22854D23" w14:textId="77915F9D" w:rsidR="00557684" w:rsidRDefault="00557684" w:rsidP="00557684">
      <w:r>
        <w:lastRenderedPageBreak/>
        <w:t>Most new infections are in males. The number of cases that have been transmitted through male to male sex has fallen substantially in the last 5 years while transmission via heterosexual sex or due to overseas infections have remained steady. While numbers are small, the rate at which A</w:t>
      </w:r>
      <w:r w:rsidRPr="00926E75">
        <w:t xml:space="preserve">boriginal and Torres Strait Islander people </w:t>
      </w:r>
      <w:r>
        <w:t xml:space="preserve">are diagnosed with HIV is higher than for other Australians. In 2017, the notification rate among </w:t>
      </w:r>
      <w:r w:rsidRPr="001276F4">
        <w:t>Aboriginal and Torres Strait Islander people</w:t>
      </w:r>
      <w:r>
        <w:t xml:space="preserve"> was 1.6 times higher than in other Australians.</w:t>
      </w:r>
      <w:r w:rsidR="001F3116">
        <w:fldChar w:fldCharType="begin"/>
      </w:r>
      <w:r w:rsidR="00FC11B4">
        <w:instrText xml:space="preserve"> ADDIN EN.CITE &lt;EndNote&gt;&lt;Cite&gt;&lt;Author&gt;Kirby Institute&lt;/Author&gt;&lt;Year&gt;2018&lt;/Year&gt;&lt;RecNum&gt;4&lt;/RecNum&gt;&lt;DisplayText&gt;&lt;style face="superscript"&gt;4,5&lt;/style&gt;&lt;/DisplayText&gt;&lt;record&gt;&lt;rec-number&gt;4&lt;/rec-number&gt;&lt;foreign-keys&gt;&lt;key app="EN" db-id="vwfdxvwwn0rrs6ea9sex9v2hafxp5zf2dexd" timestamp="1628642162"&gt;4&lt;/key&gt;&lt;/foreign-keys&gt;&lt;ref-type name="Report"&gt;27&lt;/ref-type&gt;&lt;contributors&gt;&lt;authors&gt;&lt;author&gt;Kirby Institute,&lt;/author&gt;&lt;/authors&gt;&lt;tertiary-authors&gt;&lt;author&gt;Kirby Institute&lt;/author&gt;&lt;/tertiary-authors&gt;&lt;/contributors&gt;&lt;titles&gt;&lt;title&gt;HIV, viral hepatitis and sexually transmissible infections in Australia: annual surveillance report 2018&lt;/title&gt;&lt;/titles&gt;&lt;dates&gt;&lt;year&gt;2018&lt;/year&gt;&lt;/dates&gt;&lt;pub-location&gt;Sydney&lt;/pub-location&gt;&lt;publisher&gt;Kirby Institute&lt;/publisher&gt;&lt;urls&gt;&lt;related-urls&gt;&lt;url&gt;https://kirby.unsw.edu.au/sites/default/files/kirby/report/KI_Annual-Surveillance-Report-2018.pdf&lt;/url&gt;&lt;/related-urls&gt;&lt;/urls&gt;&lt;access-date&gt;11 August 2021&lt;/access-date&gt;&lt;/record&gt;&lt;/Cite&gt;&lt;Cite&gt;&lt;Author&gt;Kirby Institute&lt;/Author&gt;&lt;Year&gt;2020&lt;/Year&gt;&lt;RecNum&gt;5&lt;/RecNum&gt;&lt;record&gt;&lt;rec-number&gt;5&lt;/rec-number&gt;&lt;foreign-keys&gt;&lt;key app="EN" db-id="vwfdxvwwn0rrs6ea9sex9v2hafxp5zf2dexd" timestamp="1628642197"&gt;5&lt;/key&gt;&lt;/foreign-keys&gt;&lt;ref-type name="Report"&gt;27&lt;/ref-type&gt;&lt;contributors&gt;&lt;authors&gt;&lt;author&gt;Kirby Institute,&lt;/author&gt;&lt;/authors&gt;&lt;tertiary-authors&gt;&lt;author&gt;Kirby Institute&lt;/author&gt;&lt;/tertiary-authors&gt;&lt;/contributors&gt;&lt;titles&gt;&lt;title&gt;National update on HIV, viral hepatitis and sexually transmissible infections in Australia: 2009–2018&lt;/title&gt;&lt;/titles&gt;&lt;dates&gt;&lt;year&gt;2020&lt;/year&gt;&lt;/dates&gt;&lt;pub-location&gt;Sydney&lt;/pub-location&gt;&lt;publisher&gt;Kirby Institute&lt;/publisher&gt;&lt;urls&gt;&lt;related-urls&gt;&lt;url&gt;https://kirby.unsw.edu.au/sites/default/files/kirby/report/National-update-on-HIV-viral-hepatitis-and-STIs-2009-2018.pdf&lt;/url&gt;&lt;/related-urls&gt;&lt;/urls&gt;&lt;access-date&gt;11 August 2021&lt;/access-date&gt;&lt;/record&gt;&lt;/Cite&gt;&lt;/EndNote&gt;</w:instrText>
      </w:r>
      <w:r w:rsidR="001F3116">
        <w:fldChar w:fldCharType="separate"/>
      </w:r>
      <w:r w:rsidR="00FC11B4" w:rsidRPr="00FC11B4">
        <w:rPr>
          <w:noProof/>
          <w:vertAlign w:val="superscript"/>
        </w:rPr>
        <w:t>4,5</w:t>
      </w:r>
      <w:r w:rsidR="001F3116">
        <w:fldChar w:fldCharType="end"/>
      </w:r>
    </w:p>
    <w:p w14:paraId="7F2438D9" w14:textId="6EECEEA2" w:rsidR="00557684" w:rsidRDefault="00557684" w:rsidP="00557684">
      <w:r>
        <w:t xml:space="preserve">In 2018, </w:t>
      </w:r>
      <w:r w:rsidRPr="00B3290B">
        <w:t>PrEP</w:t>
      </w:r>
      <w:r>
        <w:t xml:space="preserve"> was added to the PBS. PrEP </w:t>
      </w:r>
      <w:r w:rsidRPr="00B3290B">
        <w:t>involves HIV negative people taking antiretroviral drugs to protect them and prevent HIV infection.</w:t>
      </w:r>
    </w:p>
    <w:p w14:paraId="3B926AEA" w14:textId="77777777" w:rsidR="008559D8" w:rsidRDefault="008559D8" w:rsidP="008559D8">
      <w:pPr>
        <w:pStyle w:val="Heading2"/>
      </w:pPr>
      <w:r>
        <w:t>Treatment</w:t>
      </w:r>
    </w:p>
    <w:p w14:paraId="7B1C72FD" w14:textId="77777777" w:rsidR="008559D8" w:rsidRDefault="008559D8" w:rsidP="008559D8">
      <w:r>
        <w:t xml:space="preserve">HIV is not curable. However, </w:t>
      </w:r>
      <w:r w:rsidRPr="008419F0">
        <w:t xml:space="preserve">antiretroviral </w:t>
      </w:r>
      <w:r>
        <w:t xml:space="preserve">medicines </w:t>
      </w:r>
      <w:r w:rsidRPr="008419F0">
        <w:t>significantly reduce HIV</w:t>
      </w:r>
      <w:r>
        <w:t xml:space="preserve">-related </w:t>
      </w:r>
      <w:r w:rsidRPr="008419F0">
        <w:t>morbidity</w:t>
      </w:r>
      <w:r>
        <w:t xml:space="preserve">, </w:t>
      </w:r>
      <w:r w:rsidRPr="008419F0">
        <w:t>mortality</w:t>
      </w:r>
      <w:r>
        <w:t xml:space="preserve"> and transmission of the virus to others. As a result, </w:t>
      </w:r>
      <w:r w:rsidRPr="008419F0">
        <w:t xml:space="preserve">HIV infection is now </w:t>
      </w:r>
      <w:r>
        <w:t xml:space="preserve">seen as a </w:t>
      </w:r>
      <w:r w:rsidRPr="008419F0">
        <w:t xml:space="preserve">manageable chronic condition. </w:t>
      </w:r>
    </w:p>
    <w:p w14:paraId="0D7447E7" w14:textId="7850F1D7" w:rsidR="008559D8" w:rsidRDefault="008559D8" w:rsidP="008559D8">
      <w:r w:rsidRPr="00C71EC3">
        <w:t xml:space="preserve">Since 2015, </w:t>
      </w:r>
      <w:r>
        <w:t xml:space="preserve">Australian guidelines have recommended </w:t>
      </w:r>
      <w:r w:rsidRPr="00C71EC3">
        <w:t xml:space="preserve">antiretroviral </w:t>
      </w:r>
      <w:r>
        <w:t xml:space="preserve">medicines as soon as possible </w:t>
      </w:r>
      <w:r w:rsidRPr="00C71EC3">
        <w:t>for all patients diagnosed with HIV infection irrespective of clinical stage, HIV viral load</w:t>
      </w:r>
      <w:r>
        <w:rPr>
          <w:rStyle w:val="FootnoteReference"/>
        </w:rPr>
        <w:footnoteReference w:id="3"/>
      </w:r>
      <w:r w:rsidRPr="00C71EC3">
        <w:t xml:space="preserve"> and CD4</w:t>
      </w:r>
      <w:r>
        <w:t>+</w:t>
      </w:r>
      <w:r w:rsidRPr="00C71EC3">
        <w:t xml:space="preserve"> count</w:t>
      </w:r>
      <w:r>
        <w:t>.</w:t>
      </w:r>
      <w:r w:rsidR="001F3116">
        <w:fldChar w:fldCharType="begin"/>
      </w:r>
      <w:r w:rsidR="001F3116">
        <w:instrText xml:space="preserve"> ADDIN EN.CITE &lt;EndNote&gt;&lt;Cite&gt;&lt;Author&gt;Australasian Society for HIV&lt;/Author&gt;&lt;Year&gt;2019&lt;/Year&gt;&lt;RecNum&gt;7&lt;/RecNum&gt;&lt;DisplayText&gt;&lt;style face="superscript"&gt;6&lt;/style&gt;&lt;/DisplayText&gt;&lt;record&gt;&lt;rec-number&gt;7&lt;/rec-number&gt;&lt;foreign-keys&gt;&lt;key app="EN" db-id="vwfdxvwwn0rrs6ea9sex9v2hafxp5zf2dexd" timestamp="1628642977"&gt;7&lt;/key&gt;&lt;/foreign-keys&gt;&lt;ref-type name="Report"&gt;27&lt;/ref-type&gt;&lt;contributors&gt;&lt;authors&gt;&lt;author&gt;Australasian Society for HIV, Viral Hepatitis and Sexual Health Medicine,&lt;/author&gt;&lt;/authors&gt;&lt;tertiary-authors&gt;&lt;author&gt;ASHM&lt;/author&gt;&lt;/tertiary-authors&gt;&lt;/contributors&gt;&lt;titles&gt;&lt;title&gt;HIV Management in Australasia - a guide for clinical care&lt;/title&gt;&lt;/titles&gt;&lt;dates&gt;&lt;year&gt;2019&lt;/year&gt;&lt;/dates&gt;&lt;pub-location&gt;Sydney&lt;/pub-location&gt;&lt;publisher&gt;ASHM&lt;/publisher&gt;&lt;urls&gt;&lt;related-urls&gt;&lt;url&gt;https://hivmanagement.ashm.org.au/&lt;/url&gt;&lt;/related-urls&gt;&lt;/urls&gt;&lt;access-date&gt;11 August 2021&lt;/access-date&gt;&lt;/record&gt;&lt;/Cite&gt;&lt;/EndNote&gt;</w:instrText>
      </w:r>
      <w:r w:rsidR="001F3116">
        <w:fldChar w:fldCharType="separate"/>
      </w:r>
      <w:r w:rsidR="001F3116" w:rsidRPr="001F3116">
        <w:rPr>
          <w:noProof/>
          <w:vertAlign w:val="superscript"/>
        </w:rPr>
        <w:t>6</w:t>
      </w:r>
      <w:r w:rsidR="001F3116">
        <w:fldChar w:fldCharType="end"/>
      </w:r>
    </w:p>
    <w:p w14:paraId="1F6F024D" w14:textId="7E1D1BE7" w:rsidR="00CC155E" w:rsidRDefault="008559D8" w:rsidP="008559D8">
      <w:r>
        <w:t xml:space="preserve">There are six classes of antiretroviral medicines available in Australia. Each target HIV at different stages of the life cycle and different medicines from different classes are used in combination to suppress the virus. </w:t>
      </w:r>
      <w:r w:rsidR="00493068" w:rsidRPr="00493068">
        <w:t>At least three antiretroviral drugs are needed for initial therapy</w:t>
      </w:r>
      <w:r w:rsidR="00667855">
        <w:t xml:space="preserve"> although some patients can change to a two-drug regimen once </w:t>
      </w:r>
      <w:r w:rsidR="00CC155E">
        <w:t>viral suppression is achieved</w:t>
      </w:r>
      <w:r w:rsidR="00493068" w:rsidRPr="00493068">
        <w:t>.</w:t>
      </w:r>
      <w:r w:rsidR="001F3116">
        <w:fldChar w:fldCharType="begin"/>
      </w:r>
      <w:r w:rsidR="001F3116">
        <w:instrText xml:space="preserve"> ADDIN EN.CITE &lt;EndNote&gt;&lt;Cite&gt;&lt;Author&gt;Antibiotic Expert Group&lt;/Author&gt;&lt;Year&gt;2021&lt;/Year&gt;&lt;RecNum&gt;9&lt;/RecNum&gt;&lt;DisplayText&gt;&lt;style face="superscript"&gt;7&lt;/style&gt;&lt;/DisplayText&gt;&lt;record&gt;&lt;rec-number&gt;9&lt;/rec-number&gt;&lt;foreign-keys&gt;&lt;key app="EN" db-id="vwfdxvwwn0rrs6ea9sex9v2hafxp5zf2dexd" timestamp="1628643678"&gt;9&lt;/key&gt;&lt;/foreign-keys&gt;&lt;ref-type name="Electronic Book"&gt;44&lt;/ref-type&gt;&lt;contributors&gt;&lt;authors&gt;&lt;author&gt;Antibiotic Expert Group,&lt;/author&gt;&lt;/authors&gt;&lt;/contributors&gt;&lt;titles&gt;&lt;title&gt;Therapeutic Guidelines: Antibiotic, version 16&lt;/title&gt;&lt;/titles&gt;&lt;dates&gt;&lt;year&gt;2021&lt;/year&gt;&lt;/dates&gt;&lt;pub-location&gt;West Melbourne&lt;/pub-location&gt;&lt;publisher&gt;Therapeutic Guidelines&lt;/publisher&gt;&lt;urls&gt;&lt;related-urls&gt;&lt;url&gt;www.tg.org.au&lt;/url&gt;&lt;/related-urls&gt;&lt;/urls&gt;&lt;custom2&gt;11 August 2021&lt;/custom2&gt;&lt;/record&gt;&lt;/Cite&gt;&lt;/EndNote&gt;</w:instrText>
      </w:r>
      <w:r w:rsidR="001F3116">
        <w:fldChar w:fldCharType="separate"/>
      </w:r>
      <w:r w:rsidR="001F3116" w:rsidRPr="001F3116">
        <w:rPr>
          <w:noProof/>
          <w:vertAlign w:val="superscript"/>
        </w:rPr>
        <w:t>7</w:t>
      </w:r>
      <w:r w:rsidR="001F3116">
        <w:fldChar w:fldCharType="end"/>
      </w:r>
      <w:r w:rsidR="00493068" w:rsidRPr="00493068">
        <w:t xml:space="preserve"> </w:t>
      </w:r>
    </w:p>
    <w:p w14:paraId="40F7234A" w14:textId="63E8AFAE" w:rsidR="008559D8" w:rsidRDefault="008559D8" w:rsidP="008559D8">
      <w:r>
        <w:t>The different classes of medicines include the</w:t>
      </w:r>
      <w:r w:rsidR="001F3116">
        <w:fldChar w:fldCharType="begin">
          <w:fldData xml:space="preserve">PEVuZE5vdGU+PENpdGU+PEF1dGhvcj5BU0hNIFN1Yi1Db21taXR0ZWUgZm9yIEd1aWRhbmNlIG9u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</w:fldData>
        </w:fldChar>
      </w:r>
      <w:r w:rsidR="001F3116">
        <w:instrText xml:space="preserve"> ADDIN EN.CITE </w:instrText>
      </w:r>
      <w:r w:rsidR="001F3116">
        <w:fldChar w:fldCharType="begin">
          <w:fldData xml:space="preserve">PEVuZE5vdGU+PENpdGU+PEF1dGhvcj5BU0hNIFN1Yi1Db21taXR0ZWUgZm9yIEd1aWRhbmNlIG9u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</w:fldData>
        </w:fldChar>
      </w:r>
      <w:r w:rsidR="001F3116">
        <w:instrText xml:space="preserve"> ADDIN EN.CITE.DATA </w:instrText>
      </w:r>
      <w:r w:rsidR="001F3116">
        <w:fldChar w:fldCharType="end"/>
      </w:r>
      <w:r w:rsidR="001F3116">
        <w:fldChar w:fldCharType="separate"/>
      </w:r>
      <w:r w:rsidR="001F3116" w:rsidRPr="001F3116">
        <w:rPr>
          <w:noProof/>
          <w:vertAlign w:val="superscript"/>
        </w:rPr>
        <w:t>8-10</w:t>
      </w:r>
      <w:r w:rsidR="001F3116">
        <w:fldChar w:fldCharType="end"/>
      </w:r>
      <w:r>
        <w:t>:</w:t>
      </w:r>
    </w:p>
    <w:p w14:paraId="64119477" w14:textId="09493A60" w:rsidR="008559D8" w:rsidRDefault="008559D8" w:rsidP="00102944">
      <w:pPr>
        <w:pStyle w:val="ListParagraph"/>
        <w:numPr>
          <w:ilvl w:val="0"/>
          <w:numId w:val="7"/>
        </w:numPr>
      </w:pPr>
      <w:r>
        <w:t>nucleoside and nucleotide reverse transcriptase inhibitors (NRTIs); a</w:t>
      </w:r>
      <w:r w:rsidRPr="00525B4D">
        <w:t>bacavir,</w:t>
      </w:r>
      <w:r w:rsidR="008E4A19">
        <w:t xml:space="preserve"> didanosine,</w:t>
      </w:r>
      <w:r w:rsidRPr="00525B4D">
        <w:t xml:space="preserve"> emtricitabine, lamivudine, </w:t>
      </w:r>
      <w:r w:rsidR="008E4A19">
        <w:t>st</w:t>
      </w:r>
      <w:r w:rsidR="00BC6238">
        <w:t xml:space="preserve">avudine, </w:t>
      </w:r>
      <w:r w:rsidRPr="00525B4D">
        <w:t>tenofovir and zidovudine</w:t>
      </w:r>
    </w:p>
    <w:p w14:paraId="1179771E" w14:textId="77777777" w:rsidR="008559D8" w:rsidRDefault="008559D8" w:rsidP="00102944">
      <w:pPr>
        <w:pStyle w:val="ListParagraph"/>
        <w:numPr>
          <w:ilvl w:val="0"/>
          <w:numId w:val="7"/>
        </w:numPr>
      </w:pPr>
      <w:r>
        <w:t xml:space="preserve">non-nucleoside reverse transcriptase inhibitors (NNRTIs); </w:t>
      </w:r>
      <w:r w:rsidRPr="00525B4D">
        <w:t>efavirenz, etravirine, nevirapine and rilpivirine</w:t>
      </w:r>
    </w:p>
    <w:p w14:paraId="7BDB8439" w14:textId="064BC6F9" w:rsidR="008559D8" w:rsidRPr="00525B4D" w:rsidRDefault="008B2CA0" w:rsidP="00102944">
      <w:pPr>
        <w:pStyle w:val="ListParagraph"/>
        <w:numPr>
          <w:ilvl w:val="0"/>
          <w:numId w:val="7"/>
        </w:numPr>
        <w:rPr>
          <w:lang w:val="es-ES"/>
        </w:rPr>
      </w:pPr>
      <w:r>
        <w:rPr>
          <w:lang w:val="es-ES"/>
        </w:rPr>
        <w:t xml:space="preserve">HIV </w:t>
      </w:r>
      <w:proofErr w:type="spellStart"/>
      <w:r w:rsidR="008559D8" w:rsidRPr="00525B4D">
        <w:rPr>
          <w:lang w:val="es-ES"/>
        </w:rPr>
        <w:t>protease</w:t>
      </w:r>
      <w:proofErr w:type="spellEnd"/>
      <w:r w:rsidR="008559D8" w:rsidRPr="00525B4D">
        <w:rPr>
          <w:lang w:val="es-ES"/>
        </w:rPr>
        <w:t xml:space="preserve"> </w:t>
      </w:r>
      <w:proofErr w:type="spellStart"/>
      <w:r w:rsidR="008559D8" w:rsidRPr="00525B4D">
        <w:rPr>
          <w:lang w:val="es-ES"/>
        </w:rPr>
        <w:t>inhibitors</w:t>
      </w:r>
      <w:proofErr w:type="spellEnd"/>
      <w:r w:rsidR="008559D8" w:rsidRPr="00525B4D">
        <w:rPr>
          <w:lang w:val="es-ES"/>
        </w:rPr>
        <w:t xml:space="preserve"> (</w:t>
      </w:r>
      <w:r>
        <w:rPr>
          <w:lang w:val="es-ES"/>
        </w:rPr>
        <w:t>HIV-</w:t>
      </w:r>
      <w:proofErr w:type="spellStart"/>
      <w:r w:rsidR="008559D8" w:rsidRPr="00525B4D">
        <w:rPr>
          <w:lang w:val="es-ES"/>
        </w:rPr>
        <w:t>PIs</w:t>
      </w:r>
      <w:proofErr w:type="spellEnd"/>
      <w:r w:rsidR="008559D8" w:rsidRPr="00525B4D">
        <w:rPr>
          <w:lang w:val="es-ES"/>
        </w:rPr>
        <w:t xml:space="preserve">); </w:t>
      </w:r>
      <w:proofErr w:type="spellStart"/>
      <w:r w:rsidR="008559D8" w:rsidRPr="00525B4D">
        <w:rPr>
          <w:lang w:val="es-ES"/>
        </w:rPr>
        <w:t>atazanavir</w:t>
      </w:r>
      <w:proofErr w:type="spellEnd"/>
      <w:r w:rsidR="008559D8" w:rsidRPr="00525B4D">
        <w:rPr>
          <w:lang w:val="es-ES"/>
        </w:rPr>
        <w:t xml:space="preserve">, </w:t>
      </w:r>
      <w:proofErr w:type="spellStart"/>
      <w:r w:rsidR="008559D8" w:rsidRPr="00525B4D">
        <w:rPr>
          <w:lang w:val="es-ES"/>
        </w:rPr>
        <w:t>darunavir</w:t>
      </w:r>
      <w:proofErr w:type="spellEnd"/>
      <w:r w:rsidR="008559D8" w:rsidRPr="00525B4D">
        <w:rPr>
          <w:lang w:val="es-ES"/>
        </w:rPr>
        <w:t xml:space="preserve">, </w:t>
      </w:r>
      <w:proofErr w:type="spellStart"/>
      <w:r w:rsidR="008559D8" w:rsidRPr="00525B4D">
        <w:rPr>
          <w:lang w:val="es-ES"/>
        </w:rPr>
        <w:t>fosamprenavir</w:t>
      </w:r>
      <w:proofErr w:type="spellEnd"/>
      <w:r w:rsidR="008559D8" w:rsidRPr="00525B4D">
        <w:rPr>
          <w:lang w:val="es-ES"/>
        </w:rPr>
        <w:t xml:space="preserve">, </w:t>
      </w:r>
      <w:proofErr w:type="spellStart"/>
      <w:r w:rsidR="008559D8" w:rsidRPr="00525B4D">
        <w:rPr>
          <w:lang w:val="es-ES"/>
        </w:rPr>
        <w:t>lopinavir</w:t>
      </w:r>
      <w:proofErr w:type="spellEnd"/>
      <w:r w:rsidR="008559D8" w:rsidRPr="00525B4D">
        <w:rPr>
          <w:lang w:val="es-ES"/>
        </w:rPr>
        <w:t xml:space="preserve">, </w:t>
      </w:r>
      <w:proofErr w:type="spellStart"/>
      <w:r w:rsidR="008559D8" w:rsidRPr="00525B4D">
        <w:rPr>
          <w:lang w:val="es-ES"/>
        </w:rPr>
        <w:t>ritonavir</w:t>
      </w:r>
      <w:proofErr w:type="spellEnd"/>
      <w:r w:rsidR="008559D8" w:rsidRPr="00525B4D">
        <w:rPr>
          <w:lang w:val="es-ES"/>
        </w:rPr>
        <w:t xml:space="preserve">, </w:t>
      </w:r>
      <w:proofErr w:type="spellStart"/>
      <w:r w:rsidR="008559D8" w:rsidRPr="00525B4D">
        <w:rPr>
          <w:lang w:val="es-ES"/>
        </w:rPr>
        <w:t>saquinavir</w:t>
      </w:r>
      <w:proofErr w:type="spellEnd"/>
      <w:r w:rsidR="008559D8" w:rsidRPr="00525B4D">
        <w:rPr>
          <w:lang w:val="es-ES"/>
        </w:rPr>
        <w:t xml:space="preserve"> and </w:t>
      </w:r>
      <w:proofErr w:type="spellStart"/>
      <w:r w:rsidR="008559D8" w:rsidRPr="00525B4D">
        <w:rPr>
          <w:lang w:val="es-ES"/>
        </w:rPr>
        <w:t>tipranavir</w:t>
      </w:r>
      <w:proofErr w:type="spellEnd"/>
    </w:p>
    <w:p w14:paraId="2F6C861B" w14:textId="77777777" w:rsidR="008559D8" w:rsidRDefault="008559D8" w:rsidP="00102944">
      <w:pPr>
        <w:pStyle w:val="ListParagraph"/>
        <w:numPr>
          <w:ilvl w:val="0"/>
          <w:numId w:val="7"/>
        </w:numPr>
      </w:pPr>
      <w:r>
        <w:t xml:space="preserve">integrase strand transfer inhibitors (INSTIs); </w:t>
      </w:r>
      <w:r w:rsidRPr="00525B4D">
        <w:t>bictegravir, dolutegravir, elvitegravir and raltegravir</w:t>
      </w:r>
    </w:p>
    <w:p w14:paraId="716175F9" w14:textId="77777777" w:rsidR="008559D8" w:rsidRDefault="008559D8" w:rsidP="00102944">
      <w:pPr>
        <w:pStyle w:val="ListParagraph"/>
        <w:numPr>
          <w:ilvl w:val="0"/>
          <w:numId w:val="7"/>
        </w:numPr>
      </w:pPr>
      <w:r>
        <w:t>entry inhibitors</w:t>
      </w:r>
    </w:p>
    <w:p w14:paraId="42F7CC31" w14:textId="77777777" w:rsidR="008559D8" w:rsidRDefault="008559D8" w:rsidP="00102944">
      <w:pPr>
        <w:pStyle w:val="ListParagraph"/>
        <w:numPr>
          <w:ilvl w:val="1"/>
          <w:numId w:val="7"/>
        </w:numPr>
      </w:pPr>
      <w:r>
        <w:t xml:space="preserve">fusion inhibitors; </w:t>
      </w:r>
      <w:r w:rsidRPr="00886655">
        <w:t>enfuvirtide</w:t>
      </w:r>
    </w:p>
    <w:p w14:paraId="37613BA8" w14:textId="0C30ADB5" w:rsidR="008559D8" w:rsidRPr="008419F0" w:rsidRDefault="008559D8" w:rsidP="00102944">
      <w:pPr>
        <w:pStyle w:val="ListParagraph"/>
        <w:numPr>
          <w:ilvl w:val="1"/>
          <w:numId w:val="7"/>
        </w:numPr>
      </w:pPr>
      <w:r>
        <w:t xml:space="preserve">CCR5 inhibitors; </w:t>
      </w:r>
      <w:r w:rsidRPr="00886655">
        <w:t>maraviroc</w:t>
      </w:r>
      <w:r>
        <w:t>.</w:t>
      </w:r>
    </w:p>
    <w:p w14:paraId="283A7D4A" w14:textId="7CD77A6B" w:rsidR="008559D8" w:rsidRPr="00AA3384" w:rsidRDefault="008559D8" w:rsidP="008559D8">
      <w:r>
        <w:t>G</w:t>
      </w:r>
      <w:r w:rsidRPr="008419F0">
        <w:t>uidelines recommend taking into account both patient and regimen-specific factors, such as efficacy, potential adverse effects, potential drug-drug interactions, comorbidities and coinfections, pregnancy status, ease of use and preferences</w:t>
      </w:r>
      <w:r>
        <w:t xml:space="preserve"> when choosing initial </w:t>
      </w:r>
      <w:r>
        <w:lastRenderedPageBreak/>
        <w:t>treatment regimens</w:t>
      </w:r>
      <w:r w:rsidRPr="008419F0">
        <w:t>.</w:t>
      </w:r>
      <w:r w:rsidRPr="00367081">
        <w:t xml:space="preserve"> </w:t>
      </w:r>
      <w:r>
        <w:t>However, t</w:t>
      </w:r>
      <w:r w:rsidRPr="00AA3384">
        <w:t xml:space="preserve">he following </w:t>
      </w:r>
      <w:r>
        <w:t xml:space="preserve">initial treatment </w:t>
      </w:r>
      <w:r w:rsidRPr="00AA3384">
        <w:t>regimens are recommended for most PLWHIV:</w:t>
      </w:r>
      <w:r w:rsidR="001F3116">
        <w:fldChar w:fldCharType="begin"/>
      </w:r>
      <w:r w:rsidR="001F3116">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fldChar w:fldCharType="separate"/>
      </w:r>
      <w:r w:rsidR="001F3116" w:rsidRPr="001F3116">
        <w:rPr>
          <w:noProof/>
          <w:vertAlign w:val="superscript"/>
        </w:rPr>
        <w:t>8</w:t>
      </w:r>
      <w:r w:rsidR="001F3116">
        <w:fldChar w:fldCharType="end"/>
      </w:r>
      <w:r w:rsidRPr="00AA3384">
        <w:t xml:space="preserve"> </w:t>
      </w:r>
    </w:p>
    <w:p w14:paraId="66E550E1" w14:textId="636B4B26" w:rsidR="008559D8" w:rsidRPr="00EE45FD" w:rsidRDefault="00095211" w:rsidP="00102944">
      <w:pPr>
        <w:pStyle w:val="ListParagraph"/>
        <w:numPr>
          <w:ilvl w:val="0"/>
          <w:numId w:val="3"/>
        </w:numPr>
      </w:pPr>
      <w:r w:rsidRPr="00EE45FD">
        <w:t>b</w:t>
      </w:r>
      <w:r w:rsidR="008559D8" w:rsidRPr="00EE45FD">
        <w:t>ictegravir</w:t>
      </w:r>
      <w:r w:rsidRPr="00EE45FD">
        <w:t xml:space="preserve"> </w:t>
      </w:r>
      <w:r w:rsidR="0034100B">
        <w:t xml:space="preserve">plus </w:t>
      </w:r>
      <w:r w:rsidR="008559D8" w:rsidRPr="00EE45FD">
        <w:t>tenofovir alafenamide</w:t>
      </w:r>
      <w:r w:rsidRPr="00EE45FD">
        <w:t xml:space="preserve"> </w:t>
      </w:r>
      <w:r w:rsidR="0034100B">
        <w:t>plus</w:t>
      </w:r>
      <w:r w:rsidRPr="00EE45FD">
        <w:t xml:space="preserve"> </w:t>
      </w:r>
      <w:r w:rsidR="008559D8" w:rsidRPr="00EE45FD">
        <w:t xml:space="preserve">emtricitabine </w:t>
      </w:r>
    </w:p>
    <w:p w14:paraId="065CAF25" w14:textId="7A01A8B9" w:rsidR="008559D8" w:rsidRPr="00AA3384" w:rsidRDefault="008559D8" w:rsidP="00102944">
      <w:pPr>
        <w:pStyle w:val="ListParagraph"/>
        <w:numPr>
          <w:ilvl w:val="0"/>
          <w:numId w:val="3"/>
        </w:numPr>
      </w:pPr>
      <w:r>
        <w:t>d</w:t>
      </w:r>
      <w:r w:rsidRPr="00AA3384">
        <w:t>olutegravir</w:t>
      </w:r>
      <w:r w:rsidR="00622645">
        <w:t xml:space="preserve"> </w:t>
      </w:r>
      <w:r w:rsidR="007F42F4">
        <w:t xml:space="preserve">plus </w:t>
      </w:r>
      <w:r w:rsidRPr="00AA3384">
        <w:t>abacavir</w:t>
      </w:r>
      <w:r w:rsidR="00622645">
        <w:t xml:space="preserve"> </w:t>
      </w:r>
      <w:r w:rsidR="007F42F4">
        <w:t>plus</w:t>
      </w:r>
      <w:r w:rsidR="00622645">
        <w:t xml:space="preserve"> </w:t>
      </w:r>
      <w:r w:rsidRPr="00AA3384">
        <w:t>lamivudine</w:t>
      </w:r>
      <w:r w:rsidR="0034100B">
        <w:rPr>
          <w:rStyle w:val="FootnoteReference"/>
        </w:rPr>
        <w:footnoteReference w:id="4"/>
      </w:r>
      <w:r w:rsidR="003E3082">
        <w:t xml:space="preserve"> </w:t>
      </w:r>
    </w:p>
    <w:p w14:paraId="2CB7C508" w14:textId="262ED510" w:rsidR="008559D8" w:rsidRPr="00AA3384" w:rsidRDefault="008559D8" w:rsidP="00102944">
      <w:pPr>
        <w:pStyle w:val="ListParagraph"/>
        <w:numPr>
          <w:ilvl w:val="0"/>
          <w:numId w:val="3"/>
        </w:numPr>
      </w:pPr>
      <w:r>
        <w:t>d</w:t>
      </w:r>
      <w:r w:rsidRPr="00AA3384">
        <w:t>olutegravir plus (emtricitabine or lamivudine) plus (tenofovir alafenamide or tenofovir disoproxil fumarate)</w:t>
      </w:r>
      <w:r w:rsidR="00006CDF" w:rsidRPr="00006CDF">
        <w:t xml:space="preserve"> </w:t>
      </w:r>
    </w:p>
    <w:p w14:paraId="210E8C4A" w14:textId="446AF672" w:rsidR="008559D8" w:rsidRPr="00AA3384" w:rsidRDefault="008559D8" w:rsidP="00102944">
      <w:pPr>
        <w:pStyle w:val="ListParagraph"/>
        <w:numPr>
          <w:ilvl w:val="0"/>
          <w:numId w:val="3"/>
        </w:numPr>
      </w:pPr>
      <w:r>
        <w:t>d</w:t>
      </w:r>
      <w:r w:rsidRPr="00AA3384">
        <w:t>olutegravir</w:t>
      </w:r>
      <w:r w:rsidR="00E11811">
        <w:t xml:space="preserve"> plus </w:t>
      </w:r>
      <w:r w:rsidRPr="00AA3384">
        <w:t>lamivudine</w:t>
      </w:r>
      <w:r w:rsidR="00E11811">
        <w:rPr>
          <w:rStyle w:val="FootnoteReference"/>
        </w:rPr>
        <w:footnoteReference w:id="5"/>
      </w:r>
    </w:p>
    <w:p w14:paraId="4628B831" w14:textId="633C5984" w:rsidR="008559D8" w:rsidRDefault="008559D8" w:rsidP="00102944">
      <w:pPr>
        <w:pStyle w:val="ListParagraph"/>
        <w:numPr>
          <w:ilvl w:val="0"/>
          <w:numId w:val="3"/>
        </w:numPr>
      </w:pPr>
      <w:r>
        <w:t>r</w:t>
      </w:r>
      <w:r w:rsidRPr="00AA3384">
        <w:t xml:space="preserve">altegravir plus (emtricitabine or lamivudine) plus (tenofovir </w:t>
      </w:r>
      <w:r w:rsidR="00270A1F" w:rsidRPr="00270A1F">
        <w:t xml:space="preserve">alafenamide </w:t>
      </w:r>
      <w:r w:rsidRPr="00AA3384">
        <w:t xml:space="preserve">or </w:t>
      </w:r>
      <w:r w:rsidR="00270A1F">
        <w:t xml:space="preserve">tenofovir </w:t>
      </w:r>
      <w:proofErr w:type="spellStart"/>
      <w:r w:rsidR="00270A1F">
        <w:t>disproxil</w:t>
      </w:r>
      <w:proofErr w:type="spellEnd"/>
      <w:r w:rsidRPr="00AA3384">
        <w:t>)</w:t>
      </w:r>
      <w:r w:rsidR="00530F20">
        <w:t>.</w:t>
      </w:r>
    </w:p>
    <w:p w14:paraId="1D43118B" w14:textId="33E4EE5B" w:rsidR="00530F20" w:rsidRDefault="00B63B3E" w:rsidP="002C3002">
      <w:pPr>
        <w:spacing w:before="120"/>
      </w:pPr>
      <w:r>
        <w:t xml:space="preserve">Table 1 shows the various combinations of medicines that can be used </w:t>
      </w:r>
      <w:r w:rsidR="002C3002">
        <w:t>for each of the above regimens.</w:t>
      </w:r>
    </w:p>
    <w:p w14:paraId="01B0F9AF" w14:textId="70884143" w:rsidR="00A3484C" w:rsidRPr="00AA3384" w:rsidRDefault="00A3484C" w:rsidP="00A3484C">
      <w:pPr>
        <w:pStyle w:val="Tabletitle"/>
      </w:pPr>
      <w:r w:rsidRPr="001420B3" w:rsidDel="00EE2BBB">
        <w:t xml:space="preserve">Table </w:t>
      </w:r>
      <w:r>
        <w:t>1</w:t>
      </w:r>
      <w:r w:rsidRPr="001420B3" w:rsidDel="00EE2BBB">
        <w:t xml:space="preserve">: </w:t>
      </w:r>
      <w:r w:rsidR="00B63B3E">
        <w:t>Options for recommended initial a</w:t>
      </w:r>
      <w:r>
        <w:t xml:space="preserve">ntiretroviral </w:t>
      </w:r>
      <w:r w:rsidR="00B63B3E">
        <w:t>regimens</w:t>
      </w:r>
    </w:p>
    <w:tbl>
      <w:tblPr>
        <w:tblStyle w:val="TableGrid"/>
        <w:tblW w:w="5000" w:type="pct"/>
        <w:tblLook w:val="04A0" w:firstRow="1" w:lastRow="0" w:firstColumn="1" w:lastColumn="0" w:noHBand="0" w:noVBand="1"/>
      </w:tblPr>
      <w:tblGrid>
        <w:gridCol w:w="2546"/>
        <w:gridCol w:w="6401"/>
      </w:tblGrid>
      <w:tr w:rsidR="00643BB4" w:rsidRPr="001D0858" w14:paraId="2174FBBF" w14:textId="77777777" w:rsidTr="001F3116">
        <w:trPr>
          <w:trHeight w:val="20"/>
          <w:tblHeader/>
        </w:trPr>
        <w:tc>
          <w:tcPr>
            <w:tcW w:w="1423" w:type="pct"/>
            <w:shd w:val="clear" w:color="auto" w:fill="BFBFBF" w:themeFill="background1" w:themeFillShade="BF"/>
            <w:vAlign w:val="center"/>
          </w:tcPr>
          <w:p w14:paraId="5FA195A6" w14:textId="0628D276" w:rsidR="00643BB4" w:rsidRPr="001D0858" w:rsidRDefault="00AB047C" w:rsidP="001F3116">
            <w:pPr>
              <w:pStyle w:val="Tableheading"/>
              <w:jc w:val="left"/>
              <w:rPr>
                <w:sz w:val="20"/>
                <w:szCs w:val="20"/>
              </w:rPr>
            </w:pPr>
            <w:r>
              <w:rPr>
                <w:sz w:val="20"/>
                <w:szCs w:val="20"/>
              </w:rPr>
              <w:t>Regimen</w:t>
            </w:r>
          </w:p>
        </w:tc>
        <w:tc>
          <w:tcPr>
            <w:tcW w:w="3577" w:type="pct"/>
            <w:shd w:val="clear" w:color="auto" w:fill="BFBFBF" w:themeFill="background1" w:themeFillShade="BF"/>
            <w:vAlign w:val="center"/>
          </w:tcPr>
          <w:p w14:paraId="54F6F72A" w14:textId="365CD140" w:rsidR="00643BB4" w:rsidRDefault="00AB047C" w:rsidP="001F3116">
            <w:pPr>
              <w:pStyle w:val="Tableheading"/>
              <w:jc w:val="left"/>
              <w:rPr>
                <w:sz w:val="20"/>
                <w:szCs w:val="20"/>
              </w:rPr>
            </w:pPr>
            <w:r>
              <w:rPr>
                <w:sz w:val="20"/>
                <w:szCs w:val="20"/>
              </w:rPr>
              <w:t>Combinations</w:t>
            </w:r>
            <w:r w:rsidR="00E6710C">
              <w:rPr>
                <w:sz w:val="20"/>
                <w:szCs w:val="20"/>
              </w:rPr>
              <w:t xml:space="preserve"> of medicines</w:t>
            </w:r>
          </w:p>
        </w:tc>
      </w:tr>
      <w:tr w:rsidR="00643BB4" w:rsidRPr="00FC4CA5" w14:paraId="6C5FC144" w14:textId="77777777" w:rsidTr="001F3116">
        <w:trPr>
          <w:trHeight w:val="20"/>
        </w:trPr>
        <w:tc>
          <w:tcPr>
            <w:tcW w:w="1423" w:type="pct"/>
            <w:vAlign w:val="center"/>
          </w:tcPr>
          <w:p w14:paraId="1FEAA109" w14:textId="037A925E" w:rsidR="00643BB4" w:rsidRPr="00AB047C" w:rsidRDefault="00643BB4" w:rsidP="001F3116">
            <w:pPr>
              <w:pStyle w:val="Tableheading"/>
              <w:jc w:val="left"/>
              <w:rPr>
                <w:rFonts w:cstheme="minorHAnsi"/>
                <w:b w:val="0"/>
                <w:sz w:val="20"/>
                <w:szCs w:val="20"/>
              </w:rPr>
            </w:pPr>
            <w:r w:rsidRPr="00AB047C">
              <w:rPr>
                <w:rFonts w:cstheme="minorHAnsi"/>
                <w:b w:val="0"/>
                <w:sz w:val="20"/>
                <w:szCs w:val="20"/>
              </w:rPr>
              <w:t>bictegravir plus tenofovir alafenamide plus emtricitabine</w:t>
            </w:r>
          </w:p>
        </w:tc>
        <w:tc>
          <w:tcPr>
            <w:tcW w:w="3577" w:type="pct"/>
            <w:vAlign w:val="center"/>
          </w:tcPr>
          <w:p w14:paraId="6E23BEE8" w14:textId="649079DC" w:rsidR="00643BB4" w:rsidRPr="00643BB4" w:rsidRDefault="00643BB4" w:rsidP="001F3116">
            <w:pPr>
              <w:pStyle w:val="Tableheading"/>
              <w:jc w:val="left"/>
              <w:rPr>
                <w:rFonts w:cstheme="minorHAnsi"/>
                <w:b w:val="0"/>
                <w:sz w:val="20"/>
                <w:szCs w:val="20"/>
                <w:highlight w:val="yellow"/>
                <w:lang w:val="es-ES"/>
              </w:rPr>
            </w:pPr>
            <w:proofErr w:type="spellStart"/>
            <w:r w:rsidRPr="00643BB4">
              <w:rPr>
                <w:rFonts w:cstheme="minorHAnsi"/>
                <w:b w:val="0"/>
                <w:sz w:val="20"/>
                <w:szCs w:val="20"/>
                <w:lang w:val="es-ES"/>
              </w:rPr>
              <w:t>bictegravir</w:t>
            </w:r>
            <w:proofErr w:type="spellEnd"/>
            <w:r w:rsidRPr="00643BB4">
              <w:rPr>
                <w:rFonts w:cstheme="minorHAnsi"/>
                <w:b w:val="0"/>
                <w:sz w:val="20"/>
                <w:szCs w:val="20"/>
                <w:lang w:val="es-ES"/>
              </w:rPr>
              <w:t xml:space="preserve"> + </w:t>
            </w:r>
            <w:proofErr w:type="spellStart"/>
            <w:r w:rsidRPr="00643BB4">
              <w:rPr>
                <w:rFonts w:cstheme="minorHAnsi"/>
                <w:b w:val="0"/>
                <w:sz w:val="20"/>
                <w:szCs w:val="20"/>
                <w:lang w:val="es-ES"/>
              </w:rPr>
              <w:t>tenofovir</w:t>
            </w:r>
            <w:proofErr w:type="spellEnd"/>
            <w:r w:rsidRPr="00643BB4">
              <w:rPr>
                <w:rFonts w:cstheme="minorHAnsi"/>
                <w:b w:val="0"/>
                <w:sz w:val="20"/>
                <w:szCs w:val="20"/>
                <w:lang w:val="es-ES"/>
              </w:rPr>
              <w:t xml:space="preserve"> </w:t>
            </w:r>
            <w:proofErr w:type="spellStart"/>
            <w:r w:rsidRPr="00643BB4">
              <w:rPr>
                <w:rFonts w:cstheme="minorHAnsi"/>
                <w:b w:val="0"/>
                <w:sz w:val="20"/>
                <w:szCs w:val="20"/>
                <w:lang w:val="es-ES"/>
              </w:rPr>
              <w:t>alafenamide</w:t>
            </w:r>
            <w:proofErr w:type="spellEnd"/>
            <w:r w:rsidRPr="00643BB4">
              <w:rPr>
                <w:rFonts w:cstheme="minorHAnsi"/>
                <w:b w:val="0"/>
                <w:sz w:val="20"/>
                <w:szCs w:val="20"/>
                <w:lang w:val="es-ES"/>
              </w:rPr>
              <w:t xml:space="preserve"> + </w:t>
            </w:r>
            <w:proofErr w:type="spellStart"/>
            <w:r w:rsidRPr="00643BB4">
              <w:rPr>
                <w:rFonts w:cstheme="minorHAnsi"/>
                <w:b w:val="0"/>
                <w:sz w:val="20"/>
                <w:szCs w:val="20"/>
                <w:lang w:val="es-ES"/>
              </w:rPr>
              <w:t>emtricitabine</w:t>
            </w:r>
            <w:proofErr w:type="spellEnd"/>
            <w:r w:rsidRPr="00643BB4">
              <w:rPr>
                <w:rFonts w:cstheme="minorHAnsi"/>
                <w:b w:val="0"/>
                <w:sz w:val="20"/>
                <w:szCs w:val="20"/>
                <w:lang w:val="es-ES"/>
              </w:rPr>
              <w:t xml:space="preserve"> (</w:t>
            </w:r>
            <w:proofErr w:type="spellStart"/>
            <w:r w:rsidRPr="00643BB4">
              <w:rPr>
                <w:rFonts w:cstheme="minorHAnsi"/>
                <w:b w:val="0"/>
                <w:sz w:val="20"/>
                <w:szCs w:val="20"/>
                <w:lang w:val="es-ES"/>
              </w:rPr>
              <w:t>Biktarvy</w:t>
            </w:r>
            <w:proofErr w:type="spellEnd"/>
            <w:r w:rsidRPr="00643BB4">
              <w:rPr>
                <w:rFonts w:cstheme="minorHAnsi"/>
                <w:b w:val="0"/>
                <w:sz w:val="20"/>
                <w:szCs w:val="20"/>
                <w:lang w:val="es-ES"/>
              </w:rPr>
              <w:t>)</w:t>
            </w:r>
          </w:p>
        </w:tc>
      </w:tr>
      <w:tr w:rsidR="00643BB4" w:rsidRPr="001D0858" w14:paraId="7BC712B9" w14:textId="77777777" w:rsidTr="001F3116">
        <w:trPr>
          <w:trHeight w:val="20"/>
        </w:trPr>
        <w:tc>
          <w:tcPr>
            <w:tcW w:w="1423" w:type="pct"/>
            <w:vAlign w:val="center"/>
          </w:tcPr>
          <w:p w14:paraId="308638A1" w14:textId="603D15F5" w:rsidR="00643BB4" w:rsidRPr="00AB047C" w:rsidRDefault="00166BB5" w:rsidP="001F3116">
            <w:pPr>
              <w:pStyle w:val="Tableheading"/>
              <w:jc w:val="left"/>
              <w:rPr>
                <w:rFonts w:cstheme="minorHAnsi"/>
                <w:b w:val="0"/>
                <w:sz w:val="20"/>
                <w:szCs w:val="20"/>
              </w:rPr>
            </w:pPr>
            <w:r w:rsidRPr="00AB047C">
              <w:rPr>
                <w:rFonts w:cstheme="minorHAnsi"/>
                <w:b w:val="0"/>
                <w:sz w:val="20"/>
                <w:szCs w:val="20"/>
              </w:rPr>
              <w:t>dolutegravir plus abacavir plus lamivudine</w:t>
            </w:r>
          </w:p>
        </w:tc>
        <w:tc>
          <w:tcPr>
            <w:tcW w:w="3577" w:type="pct"/>
            <w:vAlign w:val="center"/>
          </w:tcPr>
          <w:p w14:paraId="4EC2E75D" w14:textId="77777777" w:rsidR="00643BB4" w:rsidRPr="0094022E" w:rsidRDefault="00166BB5" w:rsidP="001F3116">
            <w:pPr>
              <w:pStyle w:val="Tableheading"/>
              <w:jc w:val="left"/>
              <w:rPr>
                <w:rFonts w:cstheme="minorBidi"/>
                <w:b w:val="0"/>
                <w:sz w:val="20"/>
                <w:szCs w:val="20"/>
              </w:rPr>
            </w:pPr>
            <w:r w:rsidRPr="0094022E">
              <w:rPr>
                <w:rFonts w:cstheme="minorBidi"/>
                <w:b w:val="0"/>
                <w:sz w:val="20"/>
                <w:szCs w:val="20"/>
              </w:rPr>
              <w:t>abacavir + dolutegravir + lamivudine (</w:t>
            </w:r>
            <w:proofErr w:type="spellStart"/>
            <w:r w:rsidRPr="0094022E">
              <w:rPr>
                <w:rFonts w:cstheme="minorBidi"/>
                <w:b w:val="0"/>
                <w:sz w:val="20"/>
                <w:szCs w:val="20"/>
              </w:rPr>
              <w:t>Triumeq</w:t>
            </w:r>
            <w:proofErr w:type="spellEnd"/>
            <w:r w:rsidRPr="0094022E">
              <w:rPr>
                <w:rFonts w:cstheme="minorBidi"/>
                <w:b w:val="0"/>
                <w:sz w:val="20"/>
                <w:szCs w:val="20"/>
              </w:rPr>
              <w:t>)</w:t>
            </w:r>
          </w:p>
          <w:p w14:paraId="7A715966" w14:textId="77777777" w:rsidR="002D233A" w:rsidRPr="0094022E" w:rsidRDefault="002D233A" w:rsidP="001F3116">
            <w:pPr>
              <w:pStyle w:val="Tableheading"/>
              <w:jc w:val="left"/>
              <w:rPr>
                <w:rFonts w:cstheme="minorBidi"/>
                <w:b w:val="0"/>
                <w:sz w:val="20"/>
                <w:szCs w:val="20"/>
              </w:rPr>
            </w:pPr>
            <w:r w:rsidRPr="0094022E">
              <w:rPr>
                <w:rFonts w:cstheme="minorBidi"/>
                <w:b w:val="0"/>
                <w:sz w:val="20"/>
                <w:szCs w:val="20"/>
              </w:rPr>
              <w:t>OR</w:t>
            </w:r>
          </w:p>
          <w:p w14:paraId="576511E7" w14:textId="77777777" w:rsidR="002D233A" w:rsidRDefault="002D233A" w:rsidP="001F3116">
            <w:pPr>
              <w:pStyle w:val="Tableheading"/>
              <w:jc w:val="left"/>
              <w:rPr>
                <w:rFonts w:cstheme="minorBidi"/>
                <w:b w:val="0"/>
                <w:sz w:val="20"/>
                <w:szCs w:val="20"/>
              </w:rPr>
            </w:pPr>
            <w:r w:rsidRPr="002D233A">
              <w:rPr>
                <w:rFonts w:cstheme="minorBidi"/>
                <w:b w:val="0"/>
                <w:sz w:val="20"/>
                <w:szCs w:val="20"/>
              </w:rPr>
              <w:t>abacavir + lamivudine (Kivexa)</w:t>
            </w:r>
            <w:r>
              <w:rPr>
                <w:rFonts w:cstheme="minorBidi"/>
                <w:b w:val="0"/>
                <w:sz w:val="20"/>
                <w:szCs w:val="20"/>
              </w:rPr>
              <w:t xml:space="preserve"> plus </w:t>
            </w:r>
            <w:r w:rsidR="000A239A">
              <w:rPr>
                <w:rFonts w:cstheme="minorBidi"/>
                <w:b w:val="0"/>
                <w:sz w:val="20"/>
                <w:szCs w:val="20"/>
              </w:rPr>
              <w:t>dolutegravir (</w:t>
            </w:r>
            <w:proofErr w:type="spellStart"/>
            <w:r w:rsidR="000A239A">
              <w:rPr>
                <w:rFonts w:cstheme="minorBidi"/>
                <w:b w:val="0"/>
                <w:sz w:val="20"/>
                <w:szCs w:val="20"/>
              </w:rPr>
              <w:t>Tivicay</w:t>
            </w:r>
            <w:proofErr w:type="spellEnd"/>
            <w:r w:rsidR="000A239A">
              <w:rPr>
                <w:rFonts w:cstheme="minorBidi"/>
                <w:b w:val="0"/>
                <w:sz w:val="20"/>
                <w:szCs w:val="20"/>
              </w:rPr>
              <w:t>)</w:t>
            </w:r>
          </w:p>
          <w:p w14:paraId="32715080" w14:textId="77777777" w:rsidR="000A239A" w:rsidRPr="0094022E" w:rsidRDefault="000A239A" w:rsidP="001F3116">
            <w:pPr>
              <w:pStyle w:val="Tableheading"/>
              <w:jc w:val="left"/>
              <w:rPr>
                <w:rFonts w:cstheme="minorBidi"/>
                <w:b w:val="0"/>
                <w:sz w:val="20"/>
                <w:szCs w:val="20"/>
              </w:rPr>
            </w:pPr>
            <w:r w:rsidRPr="0094022E">
              <w:rPr>
                <w:rFonts w:cstheme="minorBidi"/>
                <w:b w:val="0"/>
                <w:sz w:val="20"/>
                <w:szCs w:val="20"/>
              </w:rPr>
              <w:t>OR</w:t>
            </w:r>
          </w:p>
          <w:p w14:paraId="59690C27" w14:textId="77777777" w:rsidR="000A239A" w:rsidRDefault="001F35AD" w:rsidP="001F3116">
            <w:pPr>
              <w:pStyle w:val="Tableheading"/>
              <w:jc w:val="left"/>
              <w:rPr>
                <w:rFonts w:cstheme="minorBidi"/>
                <w:b w:val="0"/>
                <w:sz w:val="20"/>
                <w:szCs w:val="20"/>
              </w:rPr>
            </w:pPr>
            <w:r w:rsidRPr="001F35AD">
              <w:rPr>
                <w:rFonts w:cstheme="minorBidi"/>
                <w:b w:val="0"/>
                <w:sz w:val="20"/>
                <w:szCs w:val="20"/>
              </w:rPr>
              <w:t>dolutegravir + lamivudine (</w:t>
            </w:r>
            <w:proofErr w:type="spellStart"/>
            <w:r w:rsidRPr="001F35AD">
              <w:rPr>
                <w:rFonts w:cstheme="minorBidi"/>
                <w:b w:val="0"/>
                <w:sz w:val="20"/>
                <w:szCs w:val="20"/>
              </w:rPr>
              <w:t>Dovato</w:t>
            </w:r>
            <w:proofErr w:type="spellEnd"/>
            <w:r w:rsidRPr="001F35AD">
              <w:rPr>
                <w:rFonts w:cstheme="minorBidi"/>
                <w:b w:val="0"/>
                <w:sz w:val="20"/>
                <w:szCs w:val="20"/>
              </w:rPr>
              <w:t>)</w:t>
            </w:r>
            <w:r>
              <w:rPr>
                <w:rFonts w:cstheme="minorBidi"/>
                <w:b w:val="0"/>
                <w:sz w:val="20"/>
                <w:szCs w:val="20"/>
              </w:rPr>
              <w:t xml:space="preserve"> plus </w:t>
            </w:r>
            <w:r w:rsidR="00AC428C">
              <w:rPr>
                <w:rFonts w:cstheme="minorBidi"/>
                <w:b w:val="0"/>
                <w:sz w:val="20"/>
                <w:szCs w:val="20"/>
              </w:rPr>
              <w:t>abacavir (</w:t>
            </w:r>
            <w:proofErr w:type="spellStart"/>
            <w:r w:rsidR="00AC428C">
              <w:rPr>
                <w:rFonts w:cstheme="minorBidi"/>
                <w:b w:val="0"/>
                <w:sz w:val="20"/>
                <w:szCs w:val="20"/>
              </w:rPr>
              <w:t>Ziagen</w:t>
            </w:r>
            <w:proofErr w:type="spellEnd"/>
            <w:r w:rsidR="00AC428C">
              <w:rPr>
                <w:rFonts w:cstheme="minorBidi"/>
                <w:b w:val="0"/>
                <w:sz w:val="20"/>
                <w:szCs w:val="20"/>
              </w:rPr>
              <w:t>)</w:t>
            </w:r>
          </w:p>
          <w:p w14:paraId="5A7BF64C" w14:textId="77777777" w:rsidR="00AC428C" w:rsidRPr="0094022E" w:rsidRDefault="00AC428C" w:rsidP="001F3116">
            <w:pPr>
              <w:pStyle w:val="Tableheading"/>
              <w:jc w:val="left"/>
              <w:rPr>
                <w:rFonts w:cstheme="minorBidi"/>
                <w:b w:val="0"/>
                <w:sz w:val="20"/>
                <w:szCs w:val="20"/>
              </w:rPr>
            </w:pPr>
            <w:r w:rsidRPr="0094022E">
              <w:rPr>
                <w:rFonts w:cstheme="minorBidi"/>
                <w:b w:val="0"/>
                <w:sz w:val="20"/>
                <w:szCs w:val="20"/>
              </w:rPr>
              <w:t xml:space="preserve">OR </w:t>
            </w:r>
          </w:p>
          <w:p w14:paraId="612FA483" w14:textId="69C9EC6C" w:rsidR="00AC428C" w:rsidRPr="00C50668" w:rsidRDefault="00AC428C" w:rsidP="001F3116">
            <w:pPr>
              <w:pStyle w:val="Tableheading"/>
              <w:jc w:val="left"/>
              <w:rPr>
                <w:rFonts w:cstheme="minorBidi"/>
                <w:b w:val="0"/>
                <w:sz w:val="20"/>
                <w:szCs w:val="20"/>
                <w:highlight w:val="yellow"/>
              </w:rPr>
            </w:pPr>
            <w:r w:rsidRPr="00AC428C">
              <w:rPr>
                <w:rFonts w:cstheme="minorBidi"/>
                <w:b w:val="0"/>
                <w:sz w:val="20"/>
                <w:szCs w:val="20"/>
              </w:rPr>
              <w:t>dolutegravir (</w:t>
            </w:r>
            <w:proofErr w:type="spellStart"/>
            <w:r w:rsidRPr="00AC428C">
              <w:rPr>
                <w:rFonts w:cstheme="minorBidi"/>
                <w:b w:val="0"/>
                <w:sz w:val="20"/>
                <w:szCs w:val="20"/>
              </w:rPr>
              <w:t>Tivicay</w:t>
            </w:r>
            <w:proofErr w:type="spellEnd"/>
            <w:r w:rsidRPr="00AC428C">
              <w:rPr>
                <w:rFonts w:cstheme="minorBidi"/>
                <w:b w:val="0"/>
                <w:sz w:val="20"/>
                <w:szCs w:val="20"/>
              </w:rPr>
              <w:t>)</w:t>
            </w:r>
            <w:r>
              <w:rPr>
                <w:rFonts w:cstheme="minorBidi"/>
                <w:b w:val="0"/>
                <w:sz w:val="20"/>
                <w:szCs w:val="20"/>
              </w:rPr>
              <w:t xml:space="preserve"> plus </w:t>
            </w:r>
            <w:r w:rsidRPr="00AC428C">
              <w:rPr>
                <w:rFonts w:cstheme="minorBidi"/>
                <w:b w:val="0"/>
                <w:sz w:val="20"/>
                <w:szCs w:val="20"/>
              </w:rPr>
              <w:t>abacavir (</w:t>
            </w:r>
            <w:proofErr w:type="spellStart"/>
            <w:r w:rsidRPr="00AC428C">
              <w:rPr>
                <w:rFonts w:cstheme="minorBidi"/>
                <w:b w:val="0"/>
                <w:sz w:val="20"/>
                <w:szCs w:val="20"/>
              </w:rPr>
              <w:t>Ziagen</w:t>
            </w:r>
            <w:proofErr w:type="spellEnd"/>
            <w:r w:rsidRPr="00AC428C">
              <w:rPr>
                <w:rFonts w:cstheme="minorBidi"/>
                <w:b w:val="0"/>
                <w:sz w:val="20"/>
                <w:szCs w:val="20"/>
              </w:rPr>
              <w:t>)</w:t>
            </w:r>
            <w:r>
              <w:rPr>
                <w:rFonts w:cstheme="minorBidi"/>
                <w:b w:val="0"/>
                <w:sz w:val="20"/>
                <w:szCs w:val="20"/>
              </w:rPr>
              <w:t xml:space="preserve"> plus</w:t>
            </w:r>
            <w:r w:rsidR="0094022E">
              <w:rPr>
                <w:rFonts w:cstheme="minorBidi"/>
                <w:b w:val="0"/>
                <w:sz w:val="20"/>
                <w:szCs w:val="20"/>
              </w:rPr>
              <w:t xml:space="preserve"> </w:t>
            </w:r>
            <w:proofErr w:type="spellStart"/>
            <w:r w:rsidR="0094022E">
              <w:rPr>
                <w:rFonts w:cstheme="minorBidi"/>
                <w:b w:val="0"/>
                <w:sz w:val="20"/>
                <w:szCs w:val="20"/>
              </w:rPr>
              <w:t>lamuvidine</w:t>
            </w:r>
            <w:proofErr w:type="spellEnd"/>
            <w:r w:rsidR="0094022E">
              <w:rPr>
                <w:rFonts w:cstheme="minorBidi"/>
                <w:b w:val="0"/>
                <w:sz w:val="20"/>
                <w:szCs w:val="20"/>
              </w:rPr>
              <w:t xml:space="preserve"> (various brands)</w:t>
            </w:r>
          </w:p>
        </w:tc>
      </w:tr>
      <w:tr w:rsidR="00643BB4" w:rsidRPr="00B0452C" w14:paraId="35EC016A" w14:textId="77777777" w:rsidTr="001F3116">
        <w:trPr>
          <w:trHeight w:val="20"/>
        </w:trPr>
        <w:tc>
          <w:tcPr>
            <w:tcW w:w="1423" w:type="pct"/>
            <w:vAlign w:val="center"/>
          </w:tcPr>
          <w:p w14:paraId="1F263AF2" w14:textId="576518F3" w:rsidR="00643BB4" w:rsidRPr="00B16431" w:rsidRDefault="00AB047C" w:rsidP="001F3116">
            <w:pPr>
              <w:pStyle w:val="Tableheading"/>
              <w:jc w:val="left"/>
              <w:rPr>
                <w:rFonts w:cstheme="minorHAnsi"/>
                <w:b w:val="0"/>
                <w:sz w:val="20"/>
                <w:szCs w:val="20"/>
              </w:rPr>
            </w:pPr>
            <w:r w:rsidRPr="00E6710C">
              <w:rPr>
                <w:rFonts w:cstheme="minorHAnsi"/>
                <w:b w:val="0"/>
                <w:sz w:val="20"/>
                <w:szCs w:val="20"/>
              </w:rPr>
              <w:t>dolutegravir plus (emtricitabine or lamivudine) plus (tenofovir alafenamide or tenofovir disoproxil fumarate)</w:t>
            </w:r>
          </w:p>
        </w:tc>
        <w:tc>
          <w:tcPr>
            <w:tcW w:w="3577" w:type="pct"/>
            <w:vAlign w:val="center"/>
          </w:tcPr>
          <w:p w14:paraId="014F51C8" w14:textId="77777777" w:rsidR="00643BB4" w:rsidRPr="009542E8" w:rsidRDefault="00E6710C" w:rsidP="001F3116">
            <w:pPr>
              <w:pStyle w:val="Tableheading"/>
              <w:jc w:val="left"/>
              <w:rPr>
                <w:rFonts w:cstheme="minorBidi"/>
                <w:b w:val="0"/>
                <w:sz w:val="20"/>
                <w:szCs w:val="20"/>
              </w:rPr>
            </w:pPr>
            <w:r w:rsidRPr="009542E8">
              <w:rPr>
                <w:rFonts w:cstheme="minorBidi"/>
                <w:b w:val="0"/>
                <w:sz w:val="20"/>
                <w:szCs w:val="20"/>
              </w:rPr>
              <w:t>dolutegravir + lamivudine (</w:t>
            </w:r>
            <w:proofErr w:type="spellStart"/>
            <w:r w:rsidRPr="009542E8">
              <w:rPr>
                <w:rFonts w:cstheme="minorBidi"/>
                <w:b w:val="0"/>
                <w:sz w:val="20"/>
                <w:szCs w:val="20"/>
              </w:rPr>
              <w:t>Dovato</w:t>
            </w:r>
            <w:proofErr w:type="spellEnd"/>
            <w:r w:rsidRPr="009542E8">
              <w:rPr>
                <w:rFonts w:cstheme="minorBidi"/>
                <w:b w:val="0"/>
                <w:sz w:val="20"/>
                <w:szCs w:val="20"/>
              </w:rPr>
              <w:t xml:space="preserve">) plus </w:t>
            </w:r>
            <w:r w:rsidR="00B0452C" w:rsidRPr="009542E8">
              <w:rPr>
                <w:rFonts w:cstheme="minorBidi"/>
                <w:b w:val="0"/>
                <w:sz w:val="20"/>
                <w:szCs w:val="20"/>
              </w:rPr>
              <w:t>tenofovir disoproxil (various brands)</w:t>
            </w:r>
          </w:p>
          <w:p w14:paraId="2133E27A" w14:textId="77777777" w:rsidR="00B0452C" w:rsidRPr="009542E8" w:rsidRDefault="00B0452C" w:rsidP="001F3116">
            <w:pPr>
              <w:pStyle w:val="Tableheading"/>
              <w:jc w:val="left"/>
              <w:rPr>
                <w:rFonts w:cstheme="minorBidi"/>
                <w:b w:val="0"/>
                <w:sz w:val="20"/>
                <w:szCs w:val="20"/>
              </w:rPr>
            </w:pPr>
            <w:r w:rsidRPr="009542E8">
              <w:rPr>
                <w:rFonts w:cstheme="minorBidi"/>
                <w:b w:val="0"/>
                <w:sz w:val="20"/>
                <w:szCs w:val="20"/>
              </w:rPr>
              <w:t>OR</w:t>
            </w:r>
          </w:p>
          <w:p w14:paraId="5384DB70" w14:textId="77777777" w:rsidR="00B0452C" w:rsidRDefault="00D53B33" w:rsidP="001F3116">
            <w:pPr>
              <w:pStyle w:val="Tableheading"/>
              <w:jc w:val="left"/>
              <w:rPr>
                <w:rFonts w:cstheme="minorBidi"/>
                <w:b w:val="0"/>
                <w:sz w:val="20"/>
                <w:szCs w:val="20"/>
                <w:lang w:val="es-ES"/>
              </w:rPr>
            </w:pPr>
            <w:proofErr w:type="spellStart"/>
            <w:r w:rsidRPr="00D53B33">
              <w:rPr>
                <w:rFonts w:cstheme="minorBidi"/>
                <w:b w:val="0"/>
                <w:sz w:val="20"/>
                <w:szCs w:val="20"/>
                <w:lang w:val="es-ES"/>
              </w:rPr>
              <w:t>dolutegravir</w:t>
            </w:r>
            <w:proofErr w:type="spellEnd"/>
            <w:r w:rsidRPr="00D53B33">
              <w:rPr>
                <w:rFonts w:cstheme="minorBidi"/>
                <w:b w:val="0"/>
                <w:sz w:val="20"/>
                <w:szCs w:val="20"/>
                <w:lang w:val="es-ES"/>
              </w:rPr>
              <w:t xml:space="preserve"> (</w:t>
            </w:r>
            <w:proofErr w:type="spellStart"/>
            <w:r w:rsidRPr="00D53B33">
              <w:rPr>
                <w:rFonts w:cstheme="minorBidi"/>
                <w:b w:val="0"/>
                <w:sz w:val="20"/>
                <w:szCs w:val="20"/>
                <w:lang w:val="es-ES"/>
              </w:rPr>
              <w:t>Tivicay</w:t>
            </w:r>
            <w:proofErr w:type="spellEnd"/>
            <w:r w:rsidRPr="00D53B33">
              <w:rPr>
                <w:rFonts w:cstheme="minorBidi"/>
                <w:b w:val="0"/>
                <w:sz w:val="20"/>
                <w:szCs w:val="20"/>
                <w:lang w:val="es-ES"/>
              </w:rPr>
              <w:t xml:space="preserve">) plus </w:t>
            </w:r>
            <w:proofErr w:type="spellStart"/>
            <w:r w:rsidRPr="00D53B33">
              <w:rPr>
                <w:rFonts w:cstheme="minorBidi"/>
                <w:b w:val="0"/>
                <w:sz w:val="20"/>
                <w:szCs w:val="20"/>
                <w:lang w:val="es-ES"/>
              </w:rPr>
              <w:t>emtricitabine</w:t>
            </w:r>
            <w:proofErr w:type="spellEnd"/>
            <w:r w:rsidRPr="00D53B33">
              <w:rPr>
                <w:rFonts w:cstheme="minorBidi"/>
                <w:b w:val="0"/>
                <w:sz w:val="20"/>
                <w:szCs w:val="20"/>
                <w:lang w:val="es-ES"/>
              </w:rPr>
              <w:t xml:space="preserve"> + tenofovir alafenamide (Descovy)</w:t>
            </w:r>
          </w:p>
          <w:p w14:paraId="4F59199C" w14:textId="77777777" w:rsidR="00D53B33" w:rsidRDefault="00D53B33" w:rsidP="001F3116">
            <w:pPr>
              <w:pStyle w:val="Tableheading"/>
              <w:jc w:val="left"/>
              <w:rPr>
                <w:rFonts w:cstheme="minorBidi"/>
                <w:b w:val="0"/>
                <w:sz w:val="20"/>
                <w:szCs w:val="20"/>
                <w:lang w:val="es-ES"/>
              </w:rPr>
            </w:pPr>
            <w:r>
              <w:rPr>
                <w:rFonts w:cstheme="minorBidi"/>
                <w:b w:val="0"/>
                <w:sz w:val="20"/>
                <w:szCs w:val="20"/>
                <w:lang w:val="es-ES"/>
              </w:rPr>
              <w:t>OR</w:t>
            </w:r>
          </w:p>
          <w:p w14:paraId="18B01395" w14:textId="5A4806BB" w:rsidR="00FB446B" w:rsidRPr="00B0452C" w:rsidRDefault="00FB446B" w:rsidP="008A6261">
            <w:pPr>
              <w:pStyle w:val="Tableheading"/>
              <w:tabs>
                <w:tab w:val="left" w:pos="2070"/>
              </w:tabs>
              <w:jc w:val="left"/>
              <w:rPr>
                <w:rFonts w:cstheme="minorBidi"/>
                <w:b w:val="0"/>
                <w:sz w:val="20"/>
                <w:szCs w:val="20"/>
                <w:lang w:val="es-ES"/>
              </w:rPr>
            </w:pPr>
            <w:proofErr w:type="spellStart"/>
            <w:r w:rsidRPr="00D53B33">
              <w:rPr>
                <w:rFonts w:cstheme="minorBidi"/>
                <w:b w:val="0"/>
                <w:sz w:val="20"/>
                <w:szCs w:val="20"/>
                <w:lang w:val="es-ES"/>
              </w:rPr>
              <w:t>dolutegravir</w:t>
            </w:r>
            <w:proofErr w:type="spellEnd"/>
            <w:r w:rsidRPr="00D53B33">
              <w:rPr>
                <w:rFonts w:cstheme="minorBidi"/>
                <w:b w:val="0"/>
                <w:sz w:val="20"/>
                <w:szCs w:val="20"/>
                <w:lang w:val="es-ES"/>
              </w:rPr>
              <w:t xml:space="preserve"> (</w:t>
            </w:r>
            <w:proofErr w:type="spellStart"/>
            <w:r w:rsidRPr="00D53B33">
              <w:rPr>
                <w:rFonts w:cstheme="minorBidi"/>
                <w:b w:val="0"/>
                <w:sz w:val="20"/>
                <w:szCs w:val="20"/>
                <w:lang w:val="es-ES"/>
              </w:rPr>
              <w:t>Tivicay</w:t>
            </w:r>
            <w:proofErr w:type="spellEnd"/>
            <w:r w:rsidRPr="00D53B33">
              <w:rPr>
                <w:rFonts w:cstheme="minorBidi"/>
                <w:b w:val="0"/>
                <w:sz w:val="20"/>
                <w:szCs w:val="20"/>
                <w:lang w:val="es-ES"/>
              </w:rPr>
              <w:t xml:space="preserve">) plus </w:t>
            </w:r>
            <w:r w:rsidRPr="00AA59F7">
              <w:rPr>
                <w:rFonts w:cstheme="minorHAnsi"/>
                <w:b w:val="0"/>
                <w:sz w:val="20"/>
                <w:szCs w:val="20"/>
              </w:rPr>
              <w:t xml:space="preserve">emtricitabine + tenofovir </w:t>
            </w:r>
            <w:proofErr w:type="spellStart"/>
            <w:r w:rsidRPr="00AA59F7">
              <w:rPr>
                <w:rFonts w:cstheme="minorHAnsi"/>
                <w:b w:val="0"/>
                <w:sz w:val="20"/>
                <w:szCs w:val="20"/>
              </w:rPr>
              <w:t>disproxil</w:t>
            </w:r>
            <w:proofErr w:type="spellEnd"/>
            <w:r w:rsidRPr="00AA59F7">
              <w:rPr>
                <w:rFonts w:cstheme="minorHAnsi"/>
                <w:b w:val="0"/>
                <w:sz w:val="20"/>
                <w:szCs w:val="20"/>
              </w:rPr>
              <w:t xml:space="preserve"> (</w:t>
            </w:r>
            <w:r>
              <w:rPr>
                <w:rFonts w:cstheme="minorHAnsi"/>
                <w:b w:val="0"/>
                <w:sz w:val="20"/>
                <w:szCs w:val="20"/>
              </w:rPr>
              <w:t>Truvada and generics</w:t>
            </w:r>
            <w:r w:rsidRPr="00AA59F7">
              <w:rPr>
                <w:rFonts w:cstheme="minorHAnsi"/>
                <w:b w:val="0"/>
                <w:sz w:val="20"/>
                <w:szCs w:val="20"/>
              </w:rPr>
              <w:t>)</w:t>
            </w:r>
          </w:p>
        </w:tc>
      </w:tr>
      <w:tr w:rsidR="00643BB4" w:rsidRPr="001D0858" w14:paraId="109F4805" w14:textId="77777777" w:rsidTr="005B3510">
        <w:trPr>
          <w:trHeight w:val="20"/>
        </w:trPr>
        <w:tc>
          <w:tcPr>
            <w:tcW w:w="1423" w:type="pct"/>
            <w:vAlign w:val="center"/>
          </w:tcPr>
          <w:p w14:paraId="39FF0185" w14:textId="60C576F3" w:rsidR="00643BB4" w:rsidRPr="005B3510" w:rsidRDefault="005B3510" w:rsidP="001F3116">
            <w:pPr>
              <w:pStyle w:val="Tableheading"/>
              <w:jc w:val="left"/>
              <w:rPr>
                <w:rFonts w:cstheme="minorHAnsi"/>
                <w:b w:val="0"/>
                <w:sz w:val="20"/>
                <w:szCs w:val="20"/>
              </w:rPr>
            </w:pPr>
            <w:r w:rsidRPr="005B3510">
              <w:rPr>
                <w:rFonts w:cstheme="minorHAnsi"/>
                <w:b w:val="0"/>
                <w:sz w:val="20"/>
                <w:szCs w:val="20"/>
              </w:rPr>
              <w:t>dolutegravir plus lamivudine</w:t>
            </w:r>
          </w:p>
        </w:tc>
        <w:tc>
          <w:tcPr>
            <w:tcW w:w="3577" w:type="pct"/>
            <w:vAlign w:val="center"/>
          </w:tcPr>
          <w:p w14:paraId="387D02B0" w14:textId="77777777" w:rsidR="00643BB4" w:rsidRDefault="005B3510" w:rsidP="005B3510">
            <w:pPr>
              <w:pStyle w:val="Tableheading"/>
              <w:tabs>
                <w:tab w:val="left" w:pos="2070"/>
              </w:tabs>
              <w:jc w:val="left"/>
              <w:rPr>
                <w:rFonts w:cstheme="minorBidi"/>
                <w:b w:val="0"/>
                <w:sz w:val="20"/>
                <w:szCs w:val="20"/>
              </w:rPr>
            </w:pPr>
            <w:r w:rsidRPr="001F35AD">
              <w:rPr>
                <w:rFonts w:cstheme="minorBidi"/>
                <w:b w:val="0"/>
                <w:sz w:val="20"/>
                <w:szCs w:val="20"/>
              </w:rPr>
              <w:t>dolutegravir + lamivudine (</w:t>
            </w:r>
            <w:proofErr w:type="spellStart"/>
            <w:r w:rsidRPr="001F35AD">
              <w:rPr>
                <w:rFonts w:cstheme="minorBidi"/>
                <w:b w:val="0"/>
                <w:sz w:val="20"/>
                <w:szCs w:val="20"/>
              </w:rPr>
              <w:t>Dovato</w:t>
            </w:r>
            <w:proofErr w:type="spellEnd"/>
            <w:r w:rsidRPr="001F35AD">
              <w:rPr>
                <w:rFonts w:cstheme="minorBidi"/>
                <w:b w:val="0"/>
                <w:sz w:val="20"/>
                <w:szCs w:val="20"/>
              </w:rPr>
              <w:t>)</w:t>
            </w:r>
          </w:p>
          <w:p w14:paraId="4A87A0C0" w14:textId="77777777" w:rsidR="005B3510" w:rsidRDefault="005B3510" w:rsidP="005B3510">
            <w:pPr>
              <w:pStyle w:val="Tableheading"/>
              <w:tabs>
                <w:tab w:val="left" w:pos="2070"/>
              </w:tabs>
              <w:jc w:val="left"/>
              <w:rPr>
                <w:rFonts w:cstheme="minorHAnsi"/>
                <w:b w:val="0"/>
                <w:sz w:val="20"/>
                <w:szCs w:val="20"/>
              </w:rPr>
            </w:pPr>
            <w:r>
              <w:rPr>
                <w:rFonts w:cstheme="minorHAnsi"/>
                <w:b w:val="0"/>
                <w:sz w:val="20"/>
                <w:szCs w:val="20"/>
              </w:rPr>
              <w:t xml:space="preserve">OR </w:t>
            </w:r>
          </w:p>
          <w:p w14:paraId="3B85A1DC" w14:textId="1FC28F67" w:rsidR="005B3510" w:rsidRPr="0038645B" w:rsidRDefault="005B3510" w:rsidP="005B3510">
            <w:pPr>
              <w:pStyle w:val="Tableheading"/>
              <w:tabs>
                <w:tab w:val="left" w:pos="2070"/>
              </w:tabs>
              <w:jc w:val="left"/>
              <w:rPr>
                <w:rFonts w:cstheme="minorHAnsi"/>
                <w:b w:val="0"/>
                <w:sz w:val="20"/>
                <w:szCs w:val="20"/>
              </w:rPr>
            </w:pPr>
            <w:r w:rsidRPr="00AC428C">
              <w:rPr>
                <w:rFonts w:cstheme="minorBidi"/>
                <w:b w:val="0"/>
                <w:sz w:val="20"/>
                <w:szCs w:val="20"/>
              </w:rPr>
              <w:t>dolutegravir (</w:t>
            </w:r>
            <w:proofErr w:type="spellStart"/>
            <w:r w:rsidRPr="00AC428C">
              <w:rPr>
                <w:rFonts w:cstheme="minorBidi"/>
                <w:b w:val="0"/>
                <w:sz w:val="20"/>
                <w:szCs w:val="20"/>
              </w:rPr>
              <w:t>Tivicay</w:t>
            </w:r>
            <w:proofErr w:type="spellEnd"/>
            <w:r w:rsidRPr="00AC428C">
              <w:rPr>
                <w:rFonts w:cstheme="minorBidi"/>
                <w:b w:val="0"/>
                <w:sz w:val="20"/>
                <w:szCs w:val="20"/>
              </w:rPr>
              <w:t>)</w:t>
            </w:r>
            <w:r>
              <w:rPr>
                <w:rFonts w:cstheme="minorBidi"/>
                <w:b w:val="0"/>
                <w:sz w:val="20"/>
                <w:szCs w:val="20"/>
              </w:rPr>
              <w:t xml:space="preserve"> plus </w:t>
            </w:r>
            <w:proofErr w:type="spellStart"/>
            <w:r>
              <w:rPr>
                <w:rFonts w:cstheme="minorBidi"/>
                <w:b w:val="0"/>
                <w:sz w:val="20"/>
                <w:szCs w:val="20"/>
              </w:rPr>
              <w:t>lamuvidine</w:t>
            </w:r>
            <w:proofErr w:type="spellEnd"/>
            <w:r>
              <w:rPr>
                <w:rFonts w:cstheme="minorBidi"/>
                <w:b w:val="0"/>
                <w:sz w:val="20"/>
                <w:szCs w:val="20"/>
              </w:rPr>
              <w:t xml:space="preserve"> (various brands)</w:t>
            </w:r>
          </w:p>
        </w:tc>
      </w:tr>
      <w:tr w:rsidR="005B3510" w:rsidRPr="00AA59F7" w14:paraId="2778813A" w14:textId="77777777" w:rsidTr="006D1E54">
        <w:trPr>
          <w:trHeight w:val="20"/>
        </w:trPr>
        <w:tc>
          <w:tcPr>
            <w:tcW w:w="1423" w:type="pct"/>
            <w:vAlign w:val="center"/>
          </w:tcPr>
          <w:p w14:paraId="7C5769BF" w14:textId="2EB00D1B" w:rsidR="005B3510" w:rsidRPr="005B3510" w:rsidRDefault="005B3510" w:rsidP="001F3116">
            <w:pPr>
              <w:pStyle w:val="Tableheading"/>
              <w:jc w:val="left"/>
              <w:rPr>
                <w:rFonts w:cstheme="minorHAnsi"/>
                <w:b w:val="0"/>
                <w:sz w:val="20"/>
                <w:szCs w:val="20"/>
              </w:rPr>
            </w:pPr>
            <w:r w:rsidRPr="005B3510">
              <w:rPr>
                <w:rFonts w:cstheme="minorHAnsi"/>
                <w:b w:val="0"/>
                <w:sz w:val="20"/>
                <w:szCs w:val="20"/>
              </w:rPr>
              <w:t xml:space="preserve">raltegravir plus (emtricitabine or lamivudine) plus (tenofovir alafenamide or tenofovir </w:t>
            </w:r>
            <w:proofErr w:type="spellStart"/>
            <w:r w:rsidRPr="005B3510">
              <w:rPr>
                <w:rFonts w:cstheme="minorHAnsi"/>
                <w:b w:val="0"/>
                <w:sz w:val="20"/>
                <w:szCs w:val="20"/>
              </w:rPr>
              <w:t>disproxil</w:t>
            </w:r>
            <w:proofErr w:type="spellEnd"/>
            <w:r w:rsidRPr="005B3510">
              <w:rPr>
                <w:rFonts w:cstheme="minorHAnsi"/>
                <w:b w:val="0"/>
                <w:sz w:val="20"/>
                <w:szCs w:val="20"/>
              </w:rPr>
              <w:t>)</w:t>
            </w:r>
          </w:p>
        </w:tc>
        <w:tc>
          <w:tcPr>
            <w:tcW w:w="3577" w:type="pct"/>
            <w:vAlign w:val="center"/>
          </w:tcPr>
          <w:p w14:paraId="5659E7F2" w14:textId="77777777" w:rsidR="00AA59F7" w:rsidRPr="009542E8" w:rsidRDefault="0047781A" w:rsidP="006D1E54">
            <w:pPr>
              <w:pStyle w:val="Tableheading"/>
              <w:tabs>
                <w:tab w:val="left" w:pos="2070"/>
              </w:tabs>
              <w:jc w:val="left"/>
              <w:rPr>
                <w:rFonts w:cstheme="minorHAnsi"/>
                <w:b w:val="0"/>
                <w:sz w:val="20"/>
                <w:szCs w:val="20"/>
              </w:rPr>
            </w:pPr>
            <w:proofErr w:type="spellStart"/>
            <w:r w:rsidRPr="009542E8">
              <w:rPr>
                <w:rFonts w:cstheme="minorHAnsi"/>
                <w:b w:val="0"/>
                <w:sz w:val="20"/>
                <w:szCs w:val="20"/>
              </w:rPr>
              <w:t>raltegravir</w:t>
            </w:r>
            <w:proofErr w:type="spellEnd"/>
            <w:r w:rsidRPr="009542E8">
              <w:rPr>
                <w:rFonts w:cstheme="minorHAnsi"/>
                <w:b w:val="0"/>
                <w:sz w:val="20"/>
                <w:szCs w:val="20"/>
              </w:rPr>
              <w:t xml:space="preserve"> </w:t>
            </w:r>
            <w:r w:rsidR="00AA59F7" w:rsidRPr="009542E8">
              <w:rPr>
                <w:rFonts w:cstheme="minorHAnsi"/>
                <w:b w:val="0"/>
                <w:sz w:val="20"/>
                <w:szCs w:val="20"/>
              </w:rPr>
              <w:t>(</w:t>
            </w:r>
            <w:proofErr w:type="spellStart"/>
            <w:r w:rsidR="00AA59F7" w:rsidRPr="009542E8">
              <w:rPr>
                <w:rFonts w:cstheme="minorHAnsi"/>
                <w:b w:val="0"/>
                <w:sz w:val="20"/>
                <w:szCs w:val="20"/>
              </w:rPr>
              <w:t>Isentress</w:t>
            </w:r>
            <w:proofErr w:type="spellEnd"/>
            <w:r w:rsidR="00AA59F7" w:rsidRPr="009542E8">
              <w:rPr>
                <w:rFonts w:cstheme="minorHAnsi"/>
                <w:b w:val="0"/>
                <w:sz w:val="20"/>
                <w:szCs w:val="20"/>
              </w:rPr>
              <w:t xml:space="preserve">) </w:t>
            </w:r>
            <w:r w:rsidRPr="009542E8">
              <w:rPr>
                <w:rFonts w:cstheme="minorHAnsi"/>
                <w:b w:val="0"/>
                <w:sz w:val="20"/>
                <w:szCs w:val="20"/>
              </w:rPr>
              <w:t>plus emtricitabine + tenofovir alafenamide</w:t>
            </w:r>
            <w:r w:rsidR="00AA59F7" w:rsidRPr="009542E8">
              <w:rPr>
                <w:rFonts w:cstheme="minorHAnsi"/>
                <w:b w:val="0"/>
                <w:sz w:val="20"/>
                <w:szCs w:val="20"/>
              </w:rPr>
              <w:t xml:space="preserve"> (Descovy)</w:t>
            </w:r>
          </w:p>
          <w:p w14:paraId="49778D93" w14:textId="77777777" w:rsidR="00AA59F7" w:rsidRPr="00AA59F7" w:rsidRDefault="00AA59F7" w:rsidP="006D1E54">
            <w:pPr>
              <w:pStyle w:val="Tableheading"/>
              <w:tabs>
                <w:tab w:val="left" w:pos="2070"/>
              </w:tabs>
              <w:jc w:val="left"/>
              <w:rPr>
                <w:rFonts w:cstheme="minorHAnsi"/>
                <w:b w:val="0"/>
                <w:sz w:val="20"/>
                <w:szCs w:val="20"/>
              </w:rPr>
            </w:pPr>
            <w:r w:rsidRPr="00AA59F7">
              <w:rPr>
                <w:rFonts w:cstheme="minorHAnsi"/>
                <w:b w:val="0"/>
                <w:sz w:val="20"/>
                <w:szCs w:val="20"/>
              </w:rPr>
              <w:t xml:space="preserve">OR </w:t>
            </w:r>
          </w:p>
          <w:p w14:paraId="41B1471C" w14:textId="1BDCCDB0" w:rsidR="00AA59F7" w:rsidRPr="00AA59F7" w:rsidRDefault="00AA59F7" w:rsidP="006D1E54">
            <w:pPr>
              <w:pStyle w:val="Tableheading"/>
              <w:tabs>
                <w:tab w:val="left" w:pos="2070"/>
              </w:tabs>
              <w:jc w:val="left"/>
              <w:rPr>
                <w:rFonts w:cstheme="minorHAnsi"/>
                <w:b w:val="0"/>
                <w:sz w:val="20"/>
                <w:szCs w:val="20"/>
              </w:rPr>
            </w:pPr>
            <w:proofErr w:type="spellStart"/>
            <w:r w:rsidRPr="00AA59F7">
              <w:rPr>
                <w:rFonts w:cstheme="minorHAnsi"/>
                <w:b w:val="0"/>
                <w:sz w:val="20"/>
                <w:szCs w:val="20"/>
              </w:rPr>
              <w:t>raltegravir</w:t>
            </w:r>
            <w:proofErr w:type="spellEnd"/>
            <w:r w:rsidRPr="00AA59F7">
              <w:rPr>
                <w:rFonts w:cstheme="minorHAnsi"/>
                <w:b w:val="0"/>
                <w:sz w:val="20"/>
                <w:szCs w:val="20"/>
              </w:rPr>
              <w:t xml:space="preserve"> (</w:t>
            </w:r>
            <w:proofErr w:type="spellStart"/>
            <w:r w:rsidRPr="00AA59F7">
              <w:rPr>
                <w:rFonts w:cstheme="minorHAnsi"/>
                <w:b w:val="0"/>
                <w:sz w:val="20"/>
                <w:szCs w:val="20"/>
              </w:rPr>
              <w:t>Isentress</w:t>
            </w:r>
            <w:proofErr w:type="spellEnd"/>
            <w:r w:rsidRPr="00AA59F7">
              <w:rPr>
                <w:rFonts w:cstheme="minorHAnsi"/>
                <w:b w:val="0"/>
                <w:sz w:val="20"/>
                <w:szCs w:val="20"/>
              </w:rPr>
              <w:t xml:space="preserve">) plus emtricitabine + tenofovir </w:t>
            </w:r>
            <w:proofErr w:type="spellStart"/>
            <w:r w:rsidRPr="00AA59F7">
              <w:rPr>
                <w:rFonts w:cstheme="minorHAnsi"/>
                <w:b w:val="0"/>
                <w:sz w:val="20"/>
                <w:szCs w:val="20"/>
              </w:rPr>
              <w:t>disproxil</w:t>
            </w:r>
            <w:proofErr w:type="spellEnd"/>
            <w:r w:rsidRPr="00AA59F7">
              <w:rPr>
                <w:rFonts w:cstheme="minorHAnsi"/>
                <w:b w:val="0"/>
                <w:sz w:val="20"/>
                <w:szCs w:val="20"/>
              </w:rPr>
              <w:t xml:space="preserve"> (</w:t>
            </w:r>
            <w:r w:rsidR="00E23FF6">
              <w:rPr>
                <w:rFonts w:cstheme="minorHAnsi"/>
                <w:b w:val="0"/>
                <w:sz w:val="20"/>
                <w:szCs w:val="20"/>
              </w:rPr>
              <w:t>Truvada and generics</w:t>
            </w:r>
            <w:r w:rsidRPr="00AA59F7">
              <w:rPr>
                <w:rFonts w:cstheme="minorHAnsi"/>
                <w:b w:val="0"/>
                <w:sz w:val="20"/>
                <w:szCs w:val="20"/>
              </w:rPr>
              <w:t>)</w:t>
            </w:r>
          </w:p>
          <w:p w14:paraId="48F27AB9" w14:textId="5EA25D01" w:rsidR="005B3510" w:rsidRDefault="00AA59F7" w:rsidP="006D1E54">
            <w:pPr>
              <w:pStyle w:val="Tableheading"/>
              <w:tabs>
                <w:tab w:val="left" w:pos="2070"/>
              </w:tabs>
              <w:jc w:val="left"/>
              <w:rPr>
                <w:rFonts w:cstheme="minorHAnsi"/>
                <w:b w:val="0"/>
                <w:sz w:val="20"/>
                <w:szCs w:val="20"/>
              </w:rPr>
            </w:pPr>
            <w:r>
              <w:rPr>
                <w:rFonts w:cstheme="minorHAnsi"/>
                <w:b w:val="0"/>
                <w:sz w:val="20"/>
                <w:szCs w:val="20"/>
              </w:rPr>
              <w:lastRenderedPageBreak/>
              <w:t>OR</w:t>
            </w:r>
          </w:p>
          <w:p w14:paraId="4080C7A9" w14:textId="5BECC436" w:rsidR="0061262C" w:rsidRPr="00AA59F7" w:rsidRDefault="006D1E54" w:rsidP="00622D2E">
            <w:pPr>
              <w:pStyle w:val="Tableheading"/>
              <w:tabs>
                <w:tab w:val="left" w:pos="2070"/>
              </w:tabs>
              <w:jc w:val="left"/>
              <w:rPr>
                <w:rFonts w:cstheme="minorHAnsi"/>
                <w:b w:val="0"/>
                <w:sz w:val="20"/>
                <w:szCs w:val="20"/>
              </w:rPr>
            </w:pPr>
            <w:proofErr w:type="spellStart"/>
            <w:r w:rsidRPr="00E23FF6">
              <w:rPr>
                <w:rFonts w:cstheme="minorHAnsi"/>
                <w:b w:val="0"/>
                <w:sz w:val="20"/>
                <w:szCs w:val="20"/>
              </w:rPr>
              <w:t>raltegravir</w:t>
            </w:r>
            <w:proofErr w:type="spellEnd"/>
            <w:r w:rsidRPr="00E23FF6">
              <w:rPr>
                <w:rFonts w:cstheme="minorHAnsi"/>
                <w:b w:val="0"/>
                <w:sz w:val="20"/>
                <w:szCs w:val="20"/>
              </w:rPr>
              <w:t xml:space="preserve"> (</w:t>
            </w:r>
            <w:proofErr w:type="spellStart"/>
            <w:r w:rsidRPr="00E23FF6">
              <w:rPr>
                <w:rFonts w:cstheme="minorHAnsi"/>
                <w:b w:val="0"/>
                <w:sz w:val="20"/>
                <w:szCs w:val="20"/>
              </w:rPr>
              <w:t>Isentress</w:t>
            </w:r>
            <w:proofErr w:type="spellEnd"/>
            <w:r w:rsidRPr="00E23FF6">
              <w:rPr>
                <w:rFonts w:cstheme="minorHAnsi"/>
                <w:b w:val="0"/>
                <w:sz w:val="20"/>
                <w:szCs w:val="20"/>
              </w:rPr>
              <w:t xml:space="preserve">) plus </w:t>
            </w:r>
            <w:proofErr w:type="spellStart"/>
            <w:r w:rsidR="004B705A">
              <w:rPr>
                <w:rFonts w:cstheme="minorBidi"/>
                <w:b w:val="0"/>
                <w:sz w:val="20"/>
                <w:szCs w:val="20"/>
              </w:rPr>
              <w:t>lamuvidine</w:t>
            </w:r>
            <w:proofErr w:type="spellEnd"/>
            <w:r w:rsidR="004B705A">
              <w:rPr>
                <w:rFonts w:cstheme="minorBidi"/>
                <w:b w:val="0"/>
                <w:sz w:val="20"/>
                <w:szCs w:val="20"/>
              </w:rPr>
              <w:t xml:space="preserve"> (various brands)</w:t>
            </w:r>
            <w:r w:rsidR="00E23FF6">
              <w:rPr>
                <w:rFonts w:cstheme="minorBidi"/>
                <w:b w:val="0"/>
                <w:sz w:val="20"/>
                <w:szCs w:val="20"/>
              </w:rPr>
              <w:t xml:space="preserve"> plus </w:t>
            </w:r>
            <w:r w:rsidR="00E23FF6" w:rsidRPr="00AA59F7">
              <w:rPr>
                <w:rFonts w:cstheme="minorHAnsi"/>
                <w:b w:val="0"/>
                <w:sz w:val="20"/>
                <w:szCs w:val="20"/>
              </w:rPr>
              <w:t xml:space="preserve">tenofovir </w:t>
            </w:r>
            <w:proofErr w:type="spellStart"/>
            <w:r w:rsidR="00E23FF6" w:rsidRPr="00AA59F7">
              <w:rPr>
                <w:rFonts w:cstheme="minorHAnsi"/>
                <w:b w:val="0"/>
                <w:sz w:val="20"/>
                <w:szCs w:val="20"/>
              </w:rPr>
              <w:t>disproxil</w:t>
            </w:r>
            <w:proofErr w:type="spellEnd"/>
            <w:r w:rsidR="00E23FF6">
              <w:rPr>
                <w:rFonts w:cstheme="minorBidi"/>
                <w:b w:val="0"/>
                <w:sz w:val="20"/>
                <w:szCs w:val="20"/>
              </w:rPr>
              <w:t xml:space="preserve"> </w:t>
            </w:r>
            <w:r w:rsidR="00622D2E">
              <w:rPr>
                <w:rFonts w:cstheme="minorBidi"/>
                <w:b w:val="0"/>
                <w:sz w:val="20"/>
                <w:szCs w:val="20"/>
              </w:rPr>
              <w:t>(various brands</w:t>
            </w:r>
            <w:r w:rsidRPr="00E23FF6">
              <w:rPr>
                <w:rFonts w:cstheme="minorHAnsi"/>
                <w:b w:val="0"/>
                <w:sz w:val="20"/>
                <w:szCs w:val="20"/>
              </w:rPr>
              <w:t>)</w:t>
            </w:r>
          </w:p>
        </w:tc>
      </w:tr>
    </w:tbl>
    <w:p w14:paraId="38386A3F" w14:textId="77777777" w:rsidR="00BE53EC" w:rsidRPr="00AA59F7" w:rsidRDefault="00BE53EC" w:rsidP="008559D8"/>
    <w:p w14:paraId="232F0A51" w14:textId="5C0F9005" w:rsidR="008559D8" w:rsidRDefault="008559D8" w:rsidP="008559D8">
      <w:r>
        <w:t xml:space="preserve">The other </w:t>
      </w:r>
      <w:r w:rsidR="00697918">
        <w:t>antiretrovirals</w:t>
      </w:r>
      <w:r>
        <w:t xml:space="preserve"> are largely reserved for </w:t>
      </w:r>
      <w:r w:rsidRPr="00D05836">
        <w:t>treatment of drug-resistant strains of HIV</w:t>
      </w:r>
      <w:r>
        <w:t>.</w:t>
      </w:r>
      <w:r w:rsidR="001F3116">
        <w:fldChar w:fldCharType="begin"/>
      </w:r>
      <w:r w:rsidR="001F3116">
        <w:instrText xml:space="preserve"> ADDIN EN.CITE &lt;EndNote&gt;&lt;Cite&gt;&lt;Author&gt;Australasian Society for HIV&lt;/Author&gt;&lt;Year&gt;2019&lt;/Year&gt;&lt;RecNum&gt;7&lt;/RecNum&gt;&lt;DisplayText&gt;&lt;style face="superscript"&gt;6&lt;/style&gt;&lt;/DisplayText&gt;&lt;record&gt;&lt;rec-number&gt;7&lt;/rec-number&gt;&lt;foreign-keys&gt;&lt;key app="EN" db-id="vwfdxvwwn0rrs6ea9sex9v2hafxp5zf2dexd" timestamp="1628642977"&gt;7&lt;/key&gt;&lt;/foreign-keys&gt;&lt;ref-type name="Report"&gt;27&lt;/ref-type&gt;&lt;contributors&gt;&lt;authors&gt;&lt;author&gt;Australasian Society for HIV, Viral Hepatitis and Sexual Health Medicine,&lt;/author&gt;&lt;/authors&gt;&lt;tertiary-authors&gt;&lt;author&gt;ASHM&lt;/author&gt;&lt;/tertiary-authors&gt;&lt;/contributors&gt;&lt;titles&gt;&lt;title&gt;HIV Management in Australasia - a guide for clinical care&lt;/title&gt;&lt;/titles&gt;&lt;dates&gt;&lt;year&gt;2019&lt;/year&gt;&lt;/dates&gt;&lt;pub-location&gt;Sydney&lt;/pub-location&gt;&lt;publisher&gt;ASHM&lt;/publisher&gt;&lt;urls&gt;&lt;related-urls&gt;&lt;url&gt;https://hivmanagement.ashm.org.au/&lt;/url&gt;&lt;/related-urls&gt;&lt;/urls&gt;&lt;access-date&gt;11 August 2021&lt;/access-date&gt;&lt;/record&gt;&lt;/Cite&gt;&lt;/EndNote&gt;</w:instrText>
      </w:r>
      <w:r w:rsidR="001F3116">
        <w:fldChar w:fldCharType="separate"/>
      </w:r>
      <w:r w:rsidR="001F3116" w:rsidRPr="001F3116">
        <w:rPr>
          <w:noProof/>
          <w:vertAlign w:val="superscript"/>
        </w:rPr>
        <w:t>6</w:t>
      </w:r>
      <w:r w:rsidR="001F3116">
        <w:fldChar w:fldCharType="end"/>
      </w:r>
    </w:p>
    <w:p w14:paraId="1835FA70" w14:textId="77777777" w:rsidR="008559D8" w:rsidRPr="00C66279" w:rsidRDefault="008559D8" w:rsidP="00C66279">
      <w:pPr>
        <w:pStyle w:val="Heading2"/>
      </w:pPr>
      <w:r w:rsidRPr="00C66279">
        <w:t>Prescribing ART in patients with comorbidities</w:t>
      </w:r>
    </w:p>
    <w:p w14:paraId="69D569F6" w14:textId="799DE738" w:rsidR="008559D8" w:rsidRPr="00EC7C18" w:rsidRDefault="003024A4" w:rsidP="00B975AE">
      <w:r>
        <w:t xml:space="preserve">Given antiretroviral medicines are used indefinitely, and patients with HIV </w:t>
      </w:r>
      <w:r w:rsidR="00725CEA">
        <w:t xml:space="preserve">now live for many years with the condition, </w:t>
      </w:r>
      <w:r w:rsidR="006C6AE5">
        <w:t xml:space="preserve">there is a need to consider </w:t>
      </w:r>
      <w:r w:rsidR="00DF340E">
        <w:t>the adverse effects of these medicines on comor</w:t>
      </w:r>
      <w:r w:rsidR="003A5791">
        <w:t xml:space="preserve">bidities or the risk of developing conditions such as cardiovascular or </w:t>
      </w:r>
      <w:r w:rsidR="003A5791" w:rsidRPr="00EC7C18">
        <w:t xml:space="preserve">kidney disease. </w:t>
      </w:r>
      <w:r w:rsidR="00BB6114" w:rsidRPr="00EC7C18">
        <w:t xml:space="preserve">A number of antiretroviral medicines have adverse effect profiles that </w:t>
      </w:r>
      <w:r w:rsidR="008559D8" w:rsidRPr="00EC7C18">
        <w:t xml:space="preserve">mean </w:t>
      </w:r>
      <w:r w:rsidR="00EC7C18" w:rsidRPr="00EC7C18">
        <w:t>they should</w:t>
      </w:r>
      <w:r w:rsidR="4A26951C">
        <w:t xml:space="preserve"> </w:t>
      </w:r>
      <w:r w:rsidR="007235F1">
        <w:t xml:space="preserve">be avoided or used cautiously </w:t>
      </w:r>
      <w:r w:rsidR="008559D8" w:rsidRPr="00EC7C18">
        <w:t>in patients with certain comorbidities or risk factors,</w:t>
      </w:r>
      <w:r w:rsidR="00EC7C18">
        <w:t xml:space="preserve"> including:</w:t>
      </w:r>
      <w:r w:rsidR="001F3116">
        <w:fldChar w:fldCharType="begin"/>
      </w:r>
      <w:r w:rsidR="00FC11B4">
        <w:instrText xml:space="preserve"> ADDIN EN.CITE &lt;EndNote&gt;&lt;Cite&gt;&lt;Author&gt;ASHM Sub-Committee for Guidance on HIV Management in Australia&lt;/Author&gt;&lt;Year&gt;2020&lt;/Year&gt;&lt;RecNum&gt;1&lt;/RecNum&gt;&lt;DisplayText&gt;&lt;style face="superscript"&gt;8,10&lt;/style&gt;&lt;/DisplayText&gt;&lt;record&gt;&lt;rec-number&gt;1&lt;/rec-number&gt;&lt;foreign-keys&gt;&lt;key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2021&lt;/access-date&gt;&lt;/record&gt;&lt;/Cite&gt;&lt;Cite&gt;&lt;Author&gt;Panel on Antiretroviral Guidelines for Adults and Adolescents&lt;/Author&gt;&lt;Year&gt;2021&lt;/Year&gt;&lt;RecNum&gt;2&lt;/RecNum&gt;&lt;record&gt;&lt;rec-number&gt;2&lt;/rec-number&gt;&lt;foreign-keys&gt;&lt;key app="EN" db-id="vwfdxvwwn0rrs6ea9sex9v2hafxp5zf2dexd" timestamp="1628641370"&gt;2&lt;/key&gt;&lt;/foreign-keys&gt;&lt;ref-type name="Report"&gt;27&lt;/ref-type&gt;&lt;contributors&gt;&lt;authors&gt;&lt;author&gt;Panel on Antiretroviral Guidelines for Adults and Adolescents,&lt;/author&gt;&lt;/authors&gt;&lt;/contributors&gt;&lt;titles&gt;&lt;title&gt;Guidelines for the use of antiretroviral agents in adults and adolescents living with HIV&lt;/title&gt;&lt;/titles&gt;&lt;dates&gt;&lt;year&gt;2021&lt;/year&gt;&lt;/dates&gt;&lt;pub-location&gt;Rockville&lt;/pub-location&gt;&lt;publisher&gt;Office of AIDS Research&lt;/publisher&gt;&lt;urls&gt;&lt;related-urls&gt;&lt;url&gt;https://clinicalinfo.hiv.gov/sites/default/files/guidelines/documents/AdultandAdolescentGL.pdf&lt;/url&gt;&lt;/related-urls&gt;&lt;/urls&gt;&lt;access-date&gt;11 August 2021&lt;/access-date&gt;&lt;/record&gt;&lt;/Cite&gt;&lt;/EndNote&gt;</w:instrText>
      </w:r>
      <w:r w:rsidR="001F3116">
        <w:fldChar w:fldCharType="separate"/>
      </w:r>
      <w:r w:rsidR="00FC11B4" w:rsidRPr="00FC11B4">
        <w:rPr>
          <w:noProof/>
          <w:vertAlign w:val="superscript"/>
        </w:rPr>
        <w:t>8,10</w:t>
      </w:r>
      <w:r w:rsidR="001F3116">
        <w:fldChar w:fldCharType="end"/>
      </w:r>
    </w:p>
    <w:p w14:paraId="3B4EE2F3" w14:textId="7B10468F" w:rsidR="008559D8" w:rsidRPr="00EC7C18" w:rsidRDefault="00EC7C18" w:rsidP="00102944">
      <w:pPr>
        <w:pStyle w:val="ListParagraph"/>
        <w:numPr>
          <w:ilvl w:val="0"/>
          <w:numId w:val="4"/>
        </w:numPr>
      </w:pPr>
      <w:r>
        <w:t>c</w:t>
      </w:r>
      <w:r w:rsidR="008559D8" w:rsidRPr="00EC7C18">
        <w:t>ardiovascular disease (CVD) or high risk of CVD (diabetes, hypertension, hyperlipidaemia)</w:t>
      </w:r>
      <w:r w:rsidR="00300371">
        <w:t>;</w:t>
      </w:r>
    </w:p>
    <w:p w14:paraId="5C656349" w14:textId="596B6036" w:rsidR="008559D8" w:rsidRPr="00EC7C18" w:rsidRDefault="00300371" w:rsidP="00102944">
      <w:pPr>
        <w:pStyle w:val="ListParagraph"/>
        <w:numPr>
          <w:ilvl w:val="0"/>
          <w:numId w:val="4"/>
        </w:numPr>
      </w:pPr>
      <w:r>
        <w:t xml:space="preserve">mental </w:t>
      </w:r>
      <w:r w:rsidR="008559D8" w:rsidRPr="00EC7C18">
        <w:t>health conditions (e</w:t>
      </w:r>
      <w:r w:rsidR="003925DC">
        <w:t>.</w:t>
      </w:r>
      <w:r w:rsidR="008559D8" w:rsidRPr="00EC7C18">
        <w:t>g</w:t>
      </w:r>
      <w:r w:rsidR="003925DC">
        <w:t>.</w:t>
      </w:r>
      <w:r w:rsidR="00CF3FE8">
        <w:t>,</w:t>
      </w:r>
      <w:r w:rsidR="008559D8" w:rsidRPr="00EC7C18">
        <w:t xml:space="preserve"> depression)</w:t>
      </w:r>
      <w:r>
        <w:t>;</w:t>
      </w:r>
    </w:p>
    <w:p w14:paraId="389ECDA6" w14:textId="6D2E3D3F" w:rsidR="008559D8" w:rsidRPr="00EC7C18" w:rsidRDefault="00300371" w:rsidP="00102944">
      <w:pPr>
        <w:pStyle w:val="ListParagraph"/>
        <w:numPr>
          <w:ilvl w:val="0"/>
          <w:numId w:val="4"/>
        </w:numPr>
      </w:pPr>
      <w:r>
        <w:t>c</w:t>
      </w:r>
      <w:r w:rsidR="008559D8" w:rsidRPr="00EC7C18">
        <w:t>hronic kidney disease (CKD) or risk of CKD (diabetes, hypertension)</w:t>
      </w:r>
      <w:r>
        <w:t>; and</w:t>
      </w:r>
    </w:p>
    <w:p w14:paraId="101197E4" w14:textId="4CDC10F1" w:rsidR="00AA3384" w:rsidRPr="00300371" w:rsidRDefault="008559D8" w:rsidP="00102944">
      <w:pPr>
        <w:pStyle w:val="ListParagraph"/>
        <w:numPr>
          <w:ilvl w:val="0"/>
          <w:numId w:val="4"/>
        </w:numPr>
        <w:shd w:val="clear" w:color="auto" w:fill="FFFFFF" w:themeFill="background1"/>
        <w:spacing w:before="120" w:after="120" w:line="260" w:lineRule="exact"/>
        <w:rPr>
          <w:rFonts w:ascii="Arial" w:eastAsia="Times New Roman" w:hAnsi="Arial" w:cs="Arial"/>
          <w:sz w:val="20"/>
          <w:szCs w:val="20"/>
          <w:lang w:eastAsia="en-US"/>
        </w:rPr>
      </w:pPr>
      <w:r w:rsidRPr="00EC7C18">
        <w:t>osteoporosis</w:t>
      </w:r>
      <w:r w:rsidR="00300371">
        <w:t>.</w:t>
      </w:r>
    </w:p>
    <w:p w14:paraId="5572767B" w14:textId="77777777" w:rsidR="0049594A" w:rsidRDefault="0049594A" w:rsidP="0049594A">
      <w:pPr>
        <w:pStyle w:val="Heading2"/>
        <w:rPr>
          <w:szCs w:val="28"/>
        </w:rPr>
      </w:pPr>
      <w:r>
        <w:t>Pharmacology</w:t>
      </w:r>
    </w:p>
    <w:p w14:paraId="614289E3" w14:textId="34089AD4" w:rsidR="00816AA7" w:rsidRDefault="00816AA7" w:rsidP="00816AA7">
      <w:r>
        <w:t>The</w:t>
      </w:r>
      <w:r w:rsidR="001E605E">
        <w:t xml:space="preserve"> different </w:t>
      </w:r>
      <w:r>
        <w:t>classes of antiretroviral medicines target HIV at different stages of the life cycle:</w:t>
      </w:r>
      <w:r w:rsidR="001F3116">
        <w:fldChar w:fldCharType="begin"/>
      </w:r>
      <w:r w:rsidR="001F3116">
        <w:instrText xml:space="preserve"> ADDIN EN.CITE &lt;EndNote&gt;&lt;Cite&gt;&lt;Author&gt;Australian Medicines Handbook Pty Ltd&lt;/Author&gt;&lt;Year&gt;2021&lt;/Year&gt;&lt;RecNum&gt;8&lt;/RecNum&gt;&lt;DisplayText&gt;&lt;style face="superscript"&gt;9&lt;/style&gt;&lt;/DisplayText&gt;&lt;record&gt;&lt;rec-number&gt;8&lt;/rec-number&gt;&lt;foreign-keys&gt;&lt;key app="EN" db-id="vwfdxvwwn0rrs6ea9sex9v2hafxp5zf2dexd" timestamp="1628643194"&gt;8&lt;/key&gt;&lt;/foreign-keys&gt;&lt;ref-type name="Electronic Book"&gt;44&lt;/ref-type&gt;&lt;contributors&gt;&lt;authors&gt;&lt;author&gt;Australian Medicines Handbook Pty Ltd,&lt;/author&gt;&lt;/authors&gt;&lt;/contributors&gt;&lt;titles&gt;&lt;title&gt;Australian Medicines Handbook&lt;/title&gt;&lt;/titles&gt;&lt;dates&gt;&lt;year&gt;2021&lt;/year&gt;&lt;pub-dates&gt;&lt;date&gt;11 August 2021&lt;/date&gt;&lt;/pub-dates&gt;&lt;/dates&gt;&lt;pub-location&gt;Adelaide&lt;/pub-location&gt;&lt;publisher&gt;AMH&lt;/publisher&gt;&lt;urls&gt;&lt;related-urls&gt;&lt;url&gt;https://amhonline.amh.net.au/&lt;/url&gt;&lt;/related-urls&gt;&lt;/urls&gt;&lt;custom2&gt;11 August 2021&lt;/custom2&gt;&lt;custom5&gt;July 2021&lt;/custom5&gt;&lt;/record&gt;&lt;/Cite&gt;&lt;/EndNote&gt;</w:instrText>
      </w:r>
      <w:r w:rsidR="001F3116">
        <w:fldChar w:fldCharType="separate"/>
      </w:r>
      <w:r w:rsidR="001F3116" w:rsidRPr="001F3116">
        <w:rPr>
          <w:noProof/>
          <w:vertAlign w:val="superscript"/>
        </w:rPr>
        <w:t>9</w:t>
      </w:r>
      <w:r w:rsidR="001F3116">
        <w:fldChar w:fldCharType="end"/>
      </w:r>
    </w:p>
    <w:p w14:paraId="50B0BC2E" w14:textId="5F9E56D6" w:rsidR="00816AA7" w:rsidRDefault="009A393A" w:rsidP="00102944">
      <w:pPr>
        <w:pStyle w:val="ListParagraph"/>
        <w:numPr>
          <w:ilvl w:val="0"/>
          <w:numId w:val="7"/>
        </w:numPr>
      </w:pPr>
      <w:r>
        <w:t xml:space="preserve">the </w:t>
      </w:r>
      <w:r w:rsidR="00816AA7">
        <w:t>NRTIs</w:t>
      </w:r>
      <w:r>
        <w:t xml:space="preserve"> </w:t>
      </w:r>
      <w:r w:rsidR="00935B3D" w:rsidRPr="00935B3D">
        <w:t>inhibit viral reverse transcriptase and viral DNA synthesis, preventing HIV replication</w:t>
      </w:r>
      <w:r w:rsidR="00816AA7">
        <w:t xml:space="preserve">; </w:t>
      </w:r>
    </w:p>
    <w:p w14:paraId="27300E13" w14:textId="0189C55B" w:rsidR="00816AA7" w:rsidRDefault="00935B3D" w:rsidP="00102944">
      <w:pPr>
        <w:pStyle w:val="ListParagraph"/>
        <w:numPr>
          <w:ilvl w:val="0"/>
          <w:numId w:val="7"/>
        </w:numPr>
      </w:pPr>
      <w:r>
        <w:t xml:space="preserve">the </w:t>
      </w:r>
      <w:r w:rsidR="00816AA7">
        <w:t>NNRTIs</w:t>
      </w:r>
      <w:r w:rsidRPr="00935B3D">
        <w:t xml:space="preserve"> reversibly inhibit HIV</w:t>
      </w:r>
      <w:r w:rsidRPr="00935B3D">
        <w:rPr>
          <w:rFonts w:ascii="Cambria Math" w:hAnsi="Cambria Math" w:cs="Cambria Math"/>
        </w:rPr>
        <w:t>‑</w:t>
      </w:r>
      <w:r w:rsidRPr="00935B3D">
        <w:t>1 reverse transcriptase, reducing viral DNA synthesis</w:t>
      </w:r>
      <w:r w:rsidR="00816AA7">
        <w:t>;</w:t>
      </w:r>
    </w:p>
    <w:p w14:paraId="7998AED0" w14:textId="05C12882" w:rsidR="00816AA7" w:rsidRPr="00D812BB" w:rsidRDefault="00935B3D" w:rsidP="00102944">
      <w:pPr>
        <w:pStyle w:val="ListParagraph"/>
        <w:numPr>
          <w:ilvl w:val="0"/>
          <w:numId w:val="7"/>
        </w:numPr>
      </w:pPr>
      <w:r w:rsidRPr="00D812BB">
        <w:t>the HIV-</w:t>
      </w:r>
      <w:r w:rsidR="00816AA7" w:rsidRPr="00D812BB">
        <w:t>P</w:t>
      </w:r>
      <w:r w:rsidR="00D812BB">
        <w:t>I</w:t>
      </w:r>
      <w:r w:rsidR="00816AA7" w:rsidRPr="00D812BB">
        <w:t>s</w:t>
      </w:r>
      <w:r w:rsidR="00D812BB" w:rsidRPr="00D812BB">
        <w:t xml:space="preserve"> </w:t>
      </w:r>
      <w:r w:rsidR="00595B23">
        <w:t>i</w:t>
      </w:r>
      <w:r w:rsidR="00D812BB" w:rsidRPr="00D812BB">
        <w:t>nhibit HIV</w:t>
      </w:r>
      <w:r w:rsidR="00D812BB" w:rsidRPr="00D812BB">
        <w:rPr>
          <w:rFonts w:ascii="Cambria Math" w:hAnsi="Cambria Math" w:cs="Cambria Math"/>
        </w:rPr>
        <w:t>‑</w:t>
      </w:r>
      <w:r w:rsidR="00D812BB" w:rsidRPr="00D812BB">
        <w:t>1 and HIV</w:t>
      </w:r>
      <w:r w:rsidR="00D812BB" w:rsidRPr="00D812BB">
        <w:rPr>
          <w:rFonts w:ascii="Cambria Math" w:hAnsi="Cambria Math" w:cs="Cambria Math"/>
        </w:rPr>
        <w:t>‑</w:t>
      </w:r>
      <w:r w:rsidR="00D812BB" w:rsidRPr="00D812BB">
        <w:t>2 proteases, preventing viral maturation and replication</w:t>
      </w:r>
      <w:r w:rsidR="00816AA7" w:rsidRPr="00D812BB">
        <w:t xml:space="preserve">; </w:t>
      </w:r>
    </w:p>
    <w:p w14:paraId="71775F70" w14:textId="55B5938C" w:rsidR="00816AA7" w:rsidRDefault="00D812BB" w:rsidP="00102944">
      <w:pPr>
        <w:pStyle w:val="ListParagraph"/>
        <w:numPr>
          <w:ilvl w:val="0"/>
          <w:numId w:val="7"/>
        </w:numPr>
      </w:pPr>
      <w:r>
        <w:t xml:space="preserve">the </w:t>
      </w:r>
      <w:r w:rsidR="00816AA7">
        <w:t>INSTIs</w:t>
      </w:r>
      <w:r>
        <w:t xml:space="preserve"> </w:t>
      </w:r>
      <w:r w:rsidR="00595B23">
        <w:t>i</w:t>
      </w:r>
      <w:r w:rsidR="00BB4BEC" w:rsidRPr="00BB4BEC">
        <w:t>nhibit HIV integrase, which prevents viral replication by stopping insertion of viral DNA into the host DNA</w:t>
      </w:r>
      <w:r w:rsidR="00BB4BEC">
        <w:t>;</w:t>
      </w:r>
    </w:p>
    <w:p w14:paraId="6E1AC51D" w14:textId="1DA88F70" w:rsidR="001B6BFC" w:rsidRDefault="00816AA7" w:rsidP="00102944">
      <w:pPr>
        <w:pStyle w:val="ListParagraph"/>
        <w:numPr>
          <w:ilvl w:val="0"/>
          <w:numId w:val="7"/>
        </w:numPr>
      </w:pPr>
      <w:r w:rsidRPr="00886655">
        <w:t>enfuvirtide</w:t>
      </w:r>
      <w:r w:rsidR="00834734">
        <w:t xml:space="preserve"> b</w:t>
      </w:r>
      <w:r w:rsidR="00834734" w:rsidRPr="00834734">
        <w:t>inds to viral glycoprotein subunit gp41 and, by inhibiting its function, blocks viral fusion with the CD4 receptor of the host cell and thus viral entry to the cell</w:t>
      </w:r>
      <w:r w:rsidR="616EB607">
        <w:t>;</w:t>
      </w:r>
    </w:p>
    <w:p w14:paraId="23382028" w14:textId="7104047B" w:rsidR="0049594A" w:rsidRDefault="00816AA7" w:rsidP="00102944">
      <w:pPr>
        <w:pStyle w:val="ListParagraph"/>
        <w:numPr>
          <w:ilvl w:val="0"/>
          <w:numId w:val="7"/>
        </w:numPr>
      </w:pPr>
      <w:r w:rsidRPr="00886655">
        <w:t>maraviroc</w:t>
      </w:r>
      <w:r w:rsidR="001B6BFC">
        <w:t xml:space="preserve"> </w:t>
      </w:r>
      <w:r w:rsidR="001B6BFC" w:rsidRPr="001B6BFC">
        <w:t>prevents the entry of CCR5-tropic (R5) strains</w:t>
      </w:r>
      <w:r w:rsidR="00F60F86">
        <w:t xml:space="preserve"> of HIV</w:t>
      </w:r>
      <w:r w:rsidR="001B6BFC" w:rsidRPr="001B6BFC">
        <w:t xml:space="preserve"> by selectively binding to the CCR5 receptor.</w:t>
      </w:r>
    </w:p>
    <w:p w14:paraId="6AC18C88" w14:textId="1E8201B6" w:rsidR="001420B3"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0C94CB47" w14:textId="4C53E122" w:rsidR="00380F68" w:rsidRDefault="00CF0387" w:rsidP="0050437C">
      <w:r>
        <w:t xml:space="preserve">A summary of the TGA approved indication for each of the </w:t>
      </w:r>
      <w:r w:rsidR="000B216C">
        <w:t xml:space="preserve">antiretroviral </w:t>
      </w:r>
      <w:r w:rsidR="005C7B38">
        <w:t>HIV medicines</w:t>
      </w:r>
      <w:r w:rsidR="0092386B" w:rsidRPr="0092386B">
        <w:t xml:space="preserve"> </w:t>
      </w:r>
      <w:r>
        <w:t>can be found in App</w:t>
      </w:r>
      <w:r w:rsidR="00380F68">
        <w:t xml:space="preserve">endix </w:t>
      </w:r>
      <w:r w:rsidR="00B94672">
        <w:t>A</w:t>
      </w:r>
      <w:r w:rsidR="00380F68">
        <w:t xml:space="preserve">. </w:t>
      </w:r>
    </w:p>
    <w:p w14:paraId="1D8C06CF" w14:textId="7BB989EF" w:rsidR="001167E8" w:rsidRDefault="00487F46" w:rsidP="0050437C">
      <w:r>
        <w:lastRenderedPageBreak/>
        <w:t xml:space="preserve">Most </w:t>
      </w:r>
      <w:r w:rsidR="00380F68">
        <w:t xml:space="preserve">are registered for the treatment (alone or in combination) </w:t>
      </w:r>
      <w:r w:rsidR="000B216C">
        <w:t>for the treatment of HIV</w:t>
      </w:r>
      <w:r w:rsidR="00E63A8E">
        <w:t>-1 infection in adults and children</w:t>
      </w:r>
      <w:r>
        <w:t>.</w:t>
      </w:r>
      <w:r w:rsidR="00AB1A51" w:rsidRPr="00AB1A51">
        <w:t xml:space="preserve"> </w:t>
      </w:r>
      <w:r w:rsidR="00AB1A51">
        <w:t>Maraviroc is only indicated for adult patients</w:t>
      </w:r>
      <w:r w:rsidR="00AB1A51" w:rsidRPr="00E32288">
        <w:t xml:space="preserve"> infected with</w:t>
      </w:r>
      <w:r w:rsidR="00AB1A51">
        <w:t xml:space="preserve"> </w:t>
      </w:r>
      <w:r w:rsidR="00AB1A51" w:rsidRPr="00E32288">
        <w:t>CCR5-tropic HIV-1</w:t>
      </w:r>
      <w:r w:rsidR="00AB1A51">
        <w:t>.</w:t>
      </w:r>
    </w:p>
    <w:p w14:paraId="087A4133" w14:textId="77777777" w:rsidR="001167E8" w:rsidRDefault="0014130D" w:rsidP="0050437C">
      <w:r>
        <w:t>E</w:t>
      </w:r>
      <w:r w:rsidRPr="0014130D">
        <w:t>mtricitabine + tenofovir alafenamide</w:t>
      </w:r>
      <w:r>
        <w:t xml:space="preserve"> (De</w:t>
      </w:r>
      <w:r w:rsidR="0034264A">
        <w:t>s</w:t>
      </w:r>
      <w:r>
        <w:t xml:space="preserve">covy) and </w:t>
      </w:r>
      <w:r w:rsidR="0034264A" w:rsidRPr="0034264A">
        <w:t>tenofovir disoproxil</w:t>
      </w:r>
      <w:r w:rsidR="0034264A">
        <w:t xml:space="preserve"> +</w:t>
      </w:r>
      <w:r w:rsidR="0034264A" w:rsidRPr="0034264A">
        <w:t xml:space="preserve"> emtricitabine</w:t>
      </w:r>
      <w:r w:rsidR="0034264A">
        <w:t xml:space="preserve"> (Truvada) are also </w:t>
      </w:r>
      <w:r w:rsidR="00DB2C31">
        <w:t xml:space="preserve">indicated for </w:t>
      </w:r>
      <w:proofErr w:type="spellStart"/>
      <w:r w:rsidR="00DB2C31">
        <w:t>PrEP.</w:t>
      </w:r>
      <w:proofErr w:type="spellEnd"/>
      <w:r w:rsidR="006A4456">
        <w:t xml:space="preserve"> </w:t>
      </w:r>
    </w:p>
    <w:p w14:paraId="7C887622" w14:textId="1FEDFFC7" w:rsidR="0050437C" w:rsidRDefault="00822370" w:rsidP="0050437C">
      <w:r>
        <w:t xml:space="preserve">Lamivudine as a single active ingredient is also indicated for </w:t>
      </w:r>
      <w:r w:rsidR="001167E8">
        <w:t>c</w:t>
      </w:r>
      <w:r w:rsidR="001167E8" w:rsidRPr="001167E8">
        <w:t>hronic hepatitis B with evidence of hepatitis B virus (HBV) replication</w:t>
      </w:r>
      <w:r w:rsidR="001167E8">
        <w:t>.</w:t>
      </w:r>
    </w:p>
    <w:p w14:paraId="15E919C1" w14:textId="58680BD9" w:rsidR="006B709B" w:rsidRDefault="006B709B" w:rsidP="00CF5E22">
      <w:pPr>
        <w:pStyle w:val="Heading2"/>
      </w:pPr>
      <w:r>
        <w:t>Dosage and administration</w:t>
      </w:r>
    </w:p>
    <w:p w14:paraId="28BD956A" w14:textId="12395414" w:rsidR="00BB4416" w:rsidRDefault="00BB4416" w:rsidP="00BB4416">
      <w:r>
        <w:t xml:space="preserve">The dose and frequency of administration of antiviral HIV medicines listed on the PBS is summarised in Appendix </w:t>
      </w:r>
      <w:r w:rsidR="00B94672">
        <w:t>B</w:t>
      </w:r>
      <w:r>
        <w:t>.</w:t>
      </w:r>
      <w:r w:rsidR="001F3116">
        <w:fldChar w:fldCharType="begin"/>
      </w:r>
      <w:r w:rsidR="001F3116">
        <w:instrText xml:space="preserve"> ADDIN EN.CITE &lt;EndNote&gt;&lt;Cite&gt;&lt;Author&gt;Australian Medicines Handbook Pty Ltd&lt;/Author&gt;&lt;Year&gt;2021&lt;/Year&gt;&lt;RecNum&gt;8&lt;/RecNum&gt;&lt;DisplayText&gt;&lt;style face="superscript"&gt;9&lt;/style&gt;&lt;/DisplayText&gt;&lt;record&gt;&lt;rec-number&gt;8&lt;/rec-number&gt;&lt;foreign-keys&gt;&lt;key app="EN" db-id="vwfdxvwwn0rrs6ea9sex9v2hafxp5zf2dexd" timestamp="1628643194"&gt;8&lt;/key&gt;&lt;/foreign-keys&gt;&lt;ref-type name="Electronic Book"&gt;44&lt;/ref-type&gt;&lt;contributors&gt;&lt;authors&gt;&lt;author&gt;Australian Medicines Handbook Pty Ltd,&lt;/author&gt;&lt;/authors&gt;&lt;/contributors&gt;&lt;titles&gt;&lt;title&gt;Australian Medicines Handbook&lt;/title&gt;&lt;/titles&gt;&lt;dates&gt;&lt;year&gt;2021&lt;/year&gt;&lt;pub-dates&gt;&lt;date&gt;11 August 2021&lt;/date&gt;&lt;/pub-dates&gt;&lt;/dates&gt;&lt;pub-location&gt;Adelaide&lt;/pub-location&gt;&lt;publisher&gt;AMH&lt;/publisher&gt;&lt;urls&gt;&lt;related-urls&gt;&lt;url&gt;https://amhonline.amh.net.au/&lt;/url&gt;&lt;/related-urls&gt;&lt;/urls&gt;&lt;custom2&gt;11 August 2021&lt;/custom2&gt;&lt;custom5&gt;July 2021&lt;/custom5&gt;&lt;/record&gt;&lt;/Cite&gt;&lt;/EndNote&gt;</w:instrText>
      </w:r>
      <w:r w:rsidR="001F3116">
        <w:fldChar w:fldCharType="separate"/>
      </w:r>
      <w:r w:rsidR="001F3116" w:rsidRPr="001F3116">
        <w:rPr>
          <w:noProof/>
          <w:vertAlign w:val="superscript"/>
        </w:rPr>
        <w:t>9</w:t>
      </w:r>
      <w:r w:rsidR="001F3116">
        <w:fldChar w:fldCharType="end"/>
      </w:r>
    </w:p>
    <w:p w14:paraId="5AEC77D7" w14:textId="4441AF01" w:rsidR="005C74DC" w:rsidRDefault="005C74DC" w:rsidP="005C74DC">
      <w:r>
        <w:t xml:space="preserve">The current Product </w:t>
      </w:r>
      <w:proofErr w:type="spellStart"/>
      <w:r w:rsidR="317DD9B2">
        <w:t>Information</w:t>
      </w:r>
      <w:r w:rsidR="006C5244">
        <w:t>s</w:t>
      </w:r>
      <w:proofErr w:type="spellEnd"/>
      <w:r>
        <w:t xml:space="preserve"> (PI) and Consumer Medicine </w:t>
      </w:r>
      <w:proofErr w:type="spellStart"/>
      <w:r w:rsidR="6A8943C5">
        <w:t>Information</w:t>
      </w:r>
      <w:r w:rsidR="006C5244">
        <w:t>s</w:t>
      </w:r>
      <w:proofErr w:type="spellEnd"/>
      <w:r>
        <w:t xml:space="preserve"> (CMI) are available through </w:t>
      </w:r>
      <w:hyperlink r:id="rId8">
        <w:r w:rsidRPr="236A206C">
          <w:rPr>
            <w:rStyle w:val="Hyperlink"/>
          </w:rPr>
          <w:t>the TGA website product information access page</w:t>
        </w:r>
      </w:hyperlink>
      <w:r>
        <w:t xml:space="preserve"> and </w:t>
      </w:r>
      <w:hyperlink r:id="rId9">
        <w:r w:rsidRPr="236A206C">
          <w:rPr>
            <w:rStyle w:val="Hyperlink"/>
          </w:rPr>
          <w:t>the TGA website consumer medicines information access page</w:t>
        </w:r>
      </w:hyperlink>
      <w:r>
        <w:t>.</w:t>
      </w:r>
    </w:p>
    <w:p w14:paraId="46E2BB42" w14:textId="024D7AB6" w:rsidR="00DF0B13" w:rsidRDefault="00DF0B13" w:rsidP="00CF5E22">
      <w:pPr>
        <w:pStyle w:val="Heading2"/>
      </w:pPr>
      <w:r w:rsidRPr="007247B9" w:rsidDel="00EE2BBB">
        <w:t>PBS listing details</w:t>
      </w:r>
      <w:r w:rsidR="00D151EB" w:rsidDel="00EE2BBB">
        <w:t xml:space="preserve"> (as at </w:t>
      </w:r>
      <w:r w:rsidR="00E752DD">
        <w:t>July 2021</w:t>
      </w:r>
      <w:r w:rsidR="00D151EB" w:rsidDel="00EE2BBB">
        <w:t>)</w:t>
      </w:r>
    </w:p>
    <w:p w14:paraId="260EAD9E" w14:textId="7E7BC33C" w:rsidR="003F654D" w:rsidRPr="003E2BD5" w:rsidRDefault="00AD12F3" w:rsidP="003E2BD5">
      <w:r w:rsidRPr="00750D0C">
        <w:t xml:space="preserve">Table </w:t>
      </w:r>
      <w:r w:rsidR="008A6261">
        <w:t>2</w:t>
      </w:r>
      <w:r w:rsidRPr="00750D0C">
        <w:t xml:space="preserve"> lists </w:t>
      </w:r>
      <w:r w:rsidR="00597327">
        <w:t xml:space="preserve">the </w:t>
      </w:r>
      <w:r w:rsidR="00787C87">
        <w:t>antire</w:t>
      </w:r>
      <w:r w:rsidR="00542279">
        <w:t xml:space="preserve">troviral medicines </w:t>
      </w:r>
      <w:r w:rsidRPr="00750D0C">
        <w:t>for the treatment of HIV by medicine class</w:t>
      </w:r>
      <w:r w:rsidR="001C52E7">
        <w:t xml:space="preserve">. </w:t>
      </w:r>
      <w:r w:rsidR="003F654D">
        <w:t xml:space="preserve">It also includes a </w:t>
      </w:r>
      <w:r w:rsidR="003F654D" w:rsidRPr="00F75E5B">
        <w:t>summary of the listing dates and relevant changes to the listings of HIV medicines from 2013 onwards.</w:t>
      </w:r>
    </w:p>
    <w:p w14:paraId="42DCB7A1" w14:textId="3C509960" w:rsidR="003F654D" w:rsidRDefault="003F654D" w:rsidP="003E2BD5">
      <w:pPr>
        <w:rPr>
          <w:b/>
        </w:rPr>
      </w:pPr>
      <w:r w:rsidRPr="003E2BD5">
        <w:t>Current PBS listing details are available from</w:t>
      </w:r>
      <w:r w:rsidRPr="00345716">
        <w:rPr>
          <w:bCs/>
        </w:rPr>
        <w:t xml:space="preserve"> </w:t>
      </w:r>
      <w:hyperlink r:id="rId10" w:history="1">
        <w:r w:rsidRPr="00345716">
          <w:rPr>
            <w:rStyle w:val="Hyperlink"/>
            <w:bCs/>
          </w:rPr>
          <w:t>www.pbs.gov.au</w:t>
        </w:r>
      </w:hyperlink>
    </w:p>
    <w:p w14:paraId="4FFDDDFB" w14:textId="77777777" w:rsidR="00AD12F3" w:rsidRDefault="00AD12F3" w:rsidP="00AD12F3">
      <w:pPr>
        <w:pStyle w:val="Tabletitle"/>
        <w:rPr>
          <w:b w:val="0"/>
        </w:rPr>
        <w:sectPr w:rsidR="00AD12F3" w:rsidSect="00DD188C">
          <w:footerReference w:type="even" r:id="rId11"/>
          <w:footerReference w:type="default" r:id="rId12"/>
          <w:footerReference w:type="first" r:id="rId13"/>
          <w:footnotePr>
            <w:numFmt w:val="lowerLetter"/>
          </w:footnotePr>
          <w:pgSz w:w="11906" w:h="16838"/>
          <w:pgMar w:top="1644" w:right="1361" w:bottom="1644" w:left="1588" w:header="709" w:footer="709" w:gutter="0"/>
          <w:cols w:space="708"/>
          <w:docGrid w:linePitch="360"/>
        </w:sectPr>
      </w:pPr>
    </w:p>
    <w:p w14:paraId="5939CA49" w14:textId="138F8146" w:rsidR="00AD12F3" w:rsidRDefault="00AD12F3" w:rsidP="00AD12F3">
      <w:pPr>
        <w:pStyle w:val="Tabletitle"/>
      </w:pPr>
      <w:r w:rsidRPr="001420B3" w:rsidDel="00EE2BBB">
        <w:lastRenderedPageBreak/>
        <w:t xml:space="preserve">Table </w:t>
      </w:r>
      <w:r w:rsidR="008A6261">
        <w:t>2</w:t>
      </w:r>
      <w:r w:rsidRPr="001420B3" w:rsidDel="00EE2BBB">
        <w:t xml:space="preserve">: </w:t>
      </w:r>
      <w:r>
        <w:t>Antiretroviral medicines listed</w:t>
      </w:r>
      <w:r w:rsidRPr="00B70F91">
        <w:t xml:space="preserve"> </w:t>
      </w:r>
      <w:r>
        <w:t xml:space="preserve">for the treatment of HIV, by drug class, as at </w:t>
      </w:r>
      <w:r w:rsidR="00E752DD">
        <w:t>July 2021</w:t>
      </w:r>
    </w:p>
    <w:tbl>
      <w:tblPr>
        <w:tblStyle w:val="TableNPSstandard"/>
        <w:tblW w:w="125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5091"/>
        <w:gridCol w:w="1843"/>
        <w:gridCol w:w="3292"/>
      </w:tblGrid>
      <w:tr w:rsidR="004022CD" w:rsidRPr="000B05BB" w14:paraId="25FAFEE3" w14:textId="77777777" w:rsidTr="004022CD">
        <w:trPr>
          <w:cnfStyle w:val="100000000000" w:firstRow="1" w:lastRow="0" w:firstColumn="0" w:lastColumn="0" w:oddVBand="0" w:evenVBand="0" w:oddHBand="0" w:evenHBand="0" w:firstRowFirstColumn="0" w:firstRowLastColumn="0" w:lastRowFirstColumn="0" w:lastRowLastColumn="0"/>
          <w:trHeight w:val="778"/>
        </w:trPr>
        <w:tc>
          <w:tcPr>
            <w:tcW w:w="2280" w:type="dxa"/>
            <w:shd w:val="clear" w:color="auto" w:fill="D9D9D9" w:themeFill="background1" w:themeFillShade="D9"/>
          </w:tcPr>
          <w:p w14:paraId="19124623" w14:textId="77777777" w:rsidR="004022CD" w:rsidRPr="000B05BB" w:rsidRDefault="004022CD" w:rsidP="001F3116">
            <w:pPr>
              <w:spacing w:line="264" w:lineRule="auto"/>
              <w:rPr>
                <w:sz w:val="22"/>
                <w:szCs w:val="22"/>
              </w:rPr>
            </w:pPr>
            <w:r w:rsidRPr="000B05BB">
              <w:rPr>
                <w:sz w:val="22"/>
                <w:szCs w:val="22"/>
              </w:rPr>
              <w:t>Drug class</w:t>
            </w:r>
          </w:p>
        </w:tc>
        <w:tc>
          <w:tcPr>
            <w:tcW w:w="5091" w:type="dxa"/>
            <w:shd w:val="clear" w:color="auto" w:fill="D9D9D9" w:themeFill="background1" w:themeFillShade="D9"/>
          </w:tcPr>
          <w:p w14:paraId="6D196A9A" w14:textId="77777777" w:rsidR="004022CD" w:rsidRPr="000B05BB" w:rsidRDefault="004022CD" w:rsidP="001F3116">
            <w:pPr>
              <w:spacing w:line="264" w:lineRule="auto"/>
              <w:rPr>
                <w:sz w:val="22"/>
                <w:szCs w:val="22"/>
              </w:rPr>
            </w:pPr>
            <w:r w:rsidRPr="000B05BB">
              <w:rPr>
                <w:sz w:val="22"/>
                <w:szCs w:val="22"/>
              </w:rPr>
              <w:t>Medicine name (Brand name – doesn’t include generics)</w:t>
            </w:r>
          </w:p>
        </w:tc>
        <w:tc>
          <w:tcPr>
            <w:tcW w:w="1843" w:type="dxa"/>
            <w:shd w:val="clear" w:color="auto" w:fill="D9D9D9" w:themeFill="background1" w:themeFillShade="D9"/>
          </w:tcPr>
          <w:p w14:paraId="031B9780" w14:textId="77777777" w:rsidR="004022CD" w:rsidRPr="000B05BB" w:rsidRDefault="004022CD" w:rsidP="001F3116">
            <w:pPr>
              <w:spacing w:line="264" w:lineRule="auto"/>
              <w:rPr>
                <w:sz w:val="22"/>
                <w:szCs w:val="22"/>
              </w:rPr>
            </w:pPr>
            <w:r w:rsidRPr="000B05BB">
              <w:rPr>
                <w:sz w:val="22"/>
                <w:szCs w:val="22"/>
              </w:rPr>
              <w:t>ATC code</w:t>
            </w:r>
          </w:p>
        </w:tc>
        <w:tc>
          <w:tcPr>
            <w:tcW w:w="3292" w:type="dxa"/>
            <w:shd w:val="clear" w:color="auto" w:fill="D9D9D9" w:themeFill="background1" w:themeFillShade="D9"/>
          </w:tcPr>
          <w:p w14:paraId="548FBF39" w14:textId="77777777" w:rsidR="004022CD" w:rsidRPr="000B05BB" w:rsidRDefault="004022CD" w:rsidP="001F3116">
            <w:pPr>
              <w:spacing w:line="264" w:lineRule="auto"/>
              <w:rPr>
                <w:sz w:val="22"/>
                <w:szCs w:val="22"/>
              </w:rPr>
            </w:pPr>
            <w:r w:rsidRPr="000B05BB">
              <w:rPr>
                <w:sz w:val="22"/>
                <w:szCs w:val="22"/>
              </w:rPr>
              <w:t>PBS item</w:t>
            </w:r>
          </w:p>
        </w:tc>
      </w:tr>
      <w:tr w:rsidR="004022CD" w:rsidRPr="000B05BB" w14:paraId="0C514046" w14:textId="77777777" w:rsidTr="004022CD">
        <w:trPr>
          <w:trHeight w:val="263"/>
        </w:trPr>
        <w:tc>
          <w:tcPr>
            <w:tcW w:w="2280" w:type="dxa"/>
            <w:vMerge w:val="restart"/>
          </w:tcPr>
          <w:p w14:paraId="29111ADD" w14:textId="77777777" w:rsidR="004022CD" w:rsidRPr="000B05BB" w:rsidRDefault="004022CD" w:rsidP="001F3116">
            <w:pPr>
              <w:spacing w:line="264" w:lineRule="auto"/>
              <w:rPr>
                <w:sz w:val="18"/>
                <w:szCs w:val="18"/>
              </w:rPr>
            </w:pPr>
            <w:r w:rsidRPr="000B05BB">
              <w:rPr>
                <w:sz w:val="18"/>
                <w:szCs w:val="18"/>
              </w:rPr>
              <w:t>Nucleoside analogue reverse transcriptase inhibitors</w:t>
            </w:r>
          </w:p>
        </w:tc>
        <w:tc>
          <w:tcPr>
            <w:tcW w:w="5091" w:type="dxa"/>
          </w:tcPr>
          <w:p w14:paraId="1040664E" w14:textId="77777777" w:rsidR="004022CD" w:rsidRPr="000B05BB" w:rsidRDefault="004022CD" w:rsidP="001F3116">
            <w:pPr>
              <w:spacing w:line="264" w:lineRule="auto"/>
              <w:rPr>
                <w:sz w:val="18"/>
                <w:szCs w:val="18"/>
              </w:rPr>
            </w:pPr>
            <w:r w:rsidRPr="000B05BB">
              <w:rPr>
                <w:sz w:val="18"/>
                <w:szCs w:val="18"/>
              </w:rPr>
              <w:t xml:space="preserve">abacavir (Ziagen) </w:t>
            </w:r>
          </w:p>
        </w:tc>
        <w:tc>
          <w:tcPr>
            <w:tcW w:w="1843" w:type="dxa"/>
          </w:tcPr>
          <w:p w14:paraId="11A185E5" w14:textId="77777777" w:rsidR="004022CD" w:rsidRPr="000B05BB" w:rsidRDefault="004022CD" w:rsidP="001F3116">
            <w:pPr>
              <w:spacing w:line="264" w:lineRule="auto"/>
              <w:rPr>
                <w:sz w:val="18"/>
                <w:szCs w:val="18"/>
              </w:rPr>
            </w:pPr>
            <w:r w:rsidRPr="000B05BB">
              <w:rPr>
                <w:sz w:val="18"/>
                <w:szCs w:val="18"/>
              </w:rPr>
              <w:t>J05AF06</w:t>
            </w:r>
          </w:p>
        </w:tc>
        <w:tc>
          <w:tcPr>
            <w:tcW w:w="3292" w:type="dxa"/>
          </w:tcPr>
          <w:p w14:paraId="7C9A6792" w14:textId="77777777" w:rsidR="004022CD" w:rsidRPr="000B05BB" w:rsidRDefault="004022CD" w:rsidP="001F3116">
            <w:pPr>
              <w:spacing w:line="264" w:lineRule="auto"/>
              <w:rPr>
                <w:sz w:val="18"/>
                <w:szCs w:val="18"/>
              </w:rPr>
            </w:pPr>
            <w:r w:rsidRPr="000B05BB">
              <w:rPr>
                <w:sz w:val="18"/>
                <w:szCs w:val="18"/>
              </w:rPr>
              <w:t>10294T</w:t>
            </w:r>
            <w:r>
              <w:rPr>
                <w:sz w:val="18"/>
                <w:szCs w:val="18"/>
              </w:rPr>
              <w:t xml:space="preserve"> (listed July 2015)</w:t>
            </w:r>
          </w:p>
          <w:p w14:paraId="4A8453E2" w14:textId="77777777" w:rsidR="004022CD" w:rsidRPr="000B05BB" w:rsidRDefault="004022CD" w:rsidP="001F3116">
            <w:pPr>
              <w:spacing w:line="264" w:lineRule="auto"/>
              <w:rPr>
                <w:sz w:val="18"/>
                <w:szCs w:val="18"/>
              </w:rPr>
            </w:pPr>
            <w:r w:rsidRPr="000B05BB">
              <w:rPr>
                <w:sz w:val="18"/>
                <w:szCs w:val="18"/>
              </w:rPr>
              <w:t>10356C</w:t>
            </w:r>
            <w:r>
              <w:rPr>
                <w:sz w:val="18"/>
                <w:szCs w:val="18"/>
              </w:rPr>
              <w:t xml:space="preserve"> (listed July 2015)</w:t>
            </w:r>
          </w:p>
        </w:tc>
      </w:tr>
      <w:tr w:rsidR="004022CD" w:rsidRPr="000B05BB" w14:paraId="6F3443B7" w14:textId="77777777" w:rsidTr="004022CD">
        <w:trPr>
          <w:trHeight w:val="278"/>
        </w:trPr>
        <w:tc>
          <w:tcPr>
            <w:tcW w:w="2280" w:type="dxa"/>
            <w:vMerge/>
          </w:tcPr>
          <w:p w14:paraId="241B8763" w14:textId="77777777" w:rsidR="004022CD" w:rsidRPr="000B05BB" w:rsidRDefault="004022CD" w:rsidP="001F3116">
            <w:pPr>
              <w:spacing w:line="264" w:lineRule="auto"/>
              <w:rPr>
                <w:sz w:val="18"/>
                <w:szCs w:val="18"/>
              </w:rPr>
            </w:pPr>
          </w:p>
        </w:tc>
        <w:tc>
          <w:tcPr>
            <w:tcW w:w="5091" w:type="dxa"/>
          </w:tcPr>
          <w:p w14:paraId="4F259F28" w14:textId="60854521" w:rsidR="004022CD" w:rsidRPr="000B05BB" w:rsidRDefault="00943225" w:rsidP="001F3116">
            <w:pPr>
              <w:spacing w:line="264" w:lineRule="auto"/>
              <w:rPr>
                <w:sz w:val="18"/>
                <w:szCs w:val="18"/>
              </w:rPr>
            </w:pPr>
            <w:r>
              <w:rPr>
                <w:sz w:val="18"/>
                <w:szCs w:val="18"/>
              </w:rPr>
              <w:t>l</w:t>
            </w:r>
            <w:r w:rsidR="004022CD" w:rsidRPr="000B05BB">
              <w:rPr>
                <w:sz w:val="18"/>
                <w:szCs w:val="18"/>
              </w:rPr>
              <w:t>amivudine</w:t>
            </w:r>
            <w:r>
              <w:rPr>
                <w:sz w:val="18"/>
                <w:szCs w:val="18"/>
              </w:rPr>
              <w:t xml:space="preserve"> + </w:t>
            </w:r>
            <w:r w:rsidR="004022CD" w:rsidRPr="000B05BB">
              <w:rPr>
                <w:sz w:val="18"/>
                <w:szCs w:val="18"/>
              </w:rPr>
              <w:t xml:space="preserve">zidovudine (Combivir) </w:t>
            </w:r>
          </w:p>
        </w:tc>
        <w:tc>
          <w:tcPr>
            <w:tcW w:w="1843" w:type="dxa"/>
          </w:tcPr>
          <w:p w14:paraId="7157923A" w14:textId="77777777" w:rsidR="004022CD" w:rsidRPr="000B05BB" w:rsidRDefault="004022CD" w:rsidP="001F3116">
            <w:pPr>
              <w:spacing w:line="264" w:lineRule="auto"/>
              <w:rPr>
                <w:sz w:val="18"/>
                <w:szCs w:val="18"/>
              </w:rPr>
            </w:pPr>
            <w:r w:rsidRPr="000B05BB">
              <w:rPr>
                <w:sz w:val="18"/>
                <w:szCs w:val="18"/>
              </w:rPr>
              <w:t>J05AR01</w:t>
            </w:r>
          </w:p>
        </w:tc>
        <w:tc>
          <w:tcPr>
            <w:tcW w:w="3292" w:type="dxa"/>
          </w:tcPr>
          <w:p w14:paraId="4791ACF6" w14:textId="77777777" w:rsidR="004022CD" w:rsidRPr="000B05BB" w:rsidRDefault="004022CD" w:rsidP="001F3116">
            <w:pPr>
              <w:spacing w:line="264" w:lineRule="auto"/>
              <w:rPr>
                <w:sz w:val="18"/>
                <w:szCs w:val="18"/>
              </w:rPr>
            </w:pPr>
            <w:r w:rsidRPr="000B05BB">
              <w:rPr>
                <w:sz w:val="18"/>
                <w:szCs w:val="18"/>
              </w:rPr>
              <w:t>10284G</w:t>
            </w:r>
            <w:r>
              <w:rPr>
                <w:sz w:val="18"/>
                <w:szCs w:val="18"/>
              </w:rPr>
              <w:t xml:space="preserve"> </w:t>
            </w:r>
            <w:r w:rsidRPr="005662FC">
              <w:rPr>
                <w:sz w:val="18"/>
                <w:szCs w:val="18"/>
              </w:rPr>
              <w:t>(listed July 2015)</w:t>
            </w:r>
          </w:p>
        </w:tc>
      </w:tr>
      <w:tr w:rsidR="004022CD" w:rsidRPr="000B05BB" w14:paraId="2928F7CB" w14:textId="77777777" w:rsidTr="004022CD">
        <w:trPr>
          <w:trHeight w:val="263"/>
        </w:trPr>
        <w:tc>
          <w:tcPr>
            <w:tcW w:w="2280" w:type="dxa"/>
            <w:vMerge/>
          </w:tcPr>
          <w:p w14:paraId="4316BD3D" w14:textId="77777777" w:rsidR="004022CD" w:rsidRPr="000B05BB" w:rsidRDefault="004022CD" w:rsidP="001F3116">
            <w:pPr>
              <w:spacing w:line="264" w:lineRule="auto"/>
              <w:rPr>
                <w:sz w:val="18"/>
                <w:szCs w:val="18"/>
              </w:rPr>
            </w:pPr>
          </w:p>
        </w:tc>
        <w:tc>
          <w:tcPr>
            <w:tcW w:w="5091" w:type="dxa"/>
          </w:tcPr>
          <w:p w14:paraId="5A66AD71" w14:textId="77777777" w:rsidR="004022CD" w:rsidRPr="000B05BB" w:rsidRDefault="004022CD" w:rsidP="001F3116">
            <w:pPr>
              <w:spacing w:line="264" w:lineRule="auto"/>
              <w:rPr>
                <w:sz w:val="18"/>
                <w:szCs w:val="18"/>
              </w:rPr>
            </w:pPr>
            <w:proofErr w:type="spellStart"/>
            <w:r w:rsidRPr="000B05BB">
              <w:rPr>
                <w:sz w:val="18"/>
                <w:szCs w:val="18"/>
              </w:rPr>
              <w:t>didanosine</w:t>
            </w:r>
            <w:proofErr w:type="spellEnd"/>
            <w:r w:rsidRPr="000B05BB">
              <w:rPr>
                <w:sz w:val="18"/>
                <w:szCs w:val="18"/>
              </w:rPr>
              <w:t xml:space="preserve"> (</w:t>
            </w:r>
            <w:proofErr w:type="spellStart"/>
            <w:r w:rsidRPr="000B05BB">
              <w:rPr>
                <w:sz w:val="18"/>
                <w:szCs w:val="18"/>
              </w:rPr>
              <w:t>Videx</w:t>
            </w:r>
            <w:proofErr w:type="spellEnd"/>
            <w:r w:rsidRPr="000B05BB">
              <w:rPr>
                <w:sz w:val="18"/>
                <w:szCs w:val="18"/>
              </w:rPr>
              <w:t xml:space="preserve"> EC) </w:t>
            </w:r>
          </w:p>
        </w:tc>
        <w:tc>
          <w:tcPr>
            <w:tcW w:w="1843" w:type="dxa"/>
          </w:tcPr>
          <w:p w14:paraId="3018B18D" w14:textId="77777777" w:rsidR="004022CD" w:rsidRPr="000B05BB" w:rsidRDefault="004022CD" w:rsidP="001F3116">
            <w:pPr>
              <w:spacing w:line="264" w:lineRule="auto"/>
              <w:rPr>
                <w:sz w:val="18"/>
                <w:szCs w:val="18"/>
              </w:rPr>
            </w:pPr>
            <w:r w:rsidRPr="000B05BB">
              <w:rPr>
                <w:sz w:val="18"/>
                <w:szCs w:val="18"/>
              </w:rPr>
              <w:t>J05AF02</w:t>
            </w:r>
          </w:p>
        </w:tc>
        <w:tc>
          <w:tcPr>
            <w:tcW w:w="3292" w:type="dxa"/>
          </w:tcPr>
          <w:p w14:paraId="3E603E79" w14:textId="77777777" w:rsidR="004022CD" w:rsidRPr="000B05BB" w:rsidRDefault="004022CD" w:rsidP="001F3116">
            <w:pPr>
              <w:spacing w:line="264" w:lineRule="auto"/>
              <w:rPr>
                <w:sz w:val="18"/>
                <w:szCs w:val="18"/>
              </w:rPr>
            </w:pPr>
            <w:r w:rsidRPr="000B05BB">
              <w:rPr>
                <w:sz w:val="18"/>
                <w:szCs w:val="18"/>
              </w:rPr>
              <w:t>10313T</w:t>
            </w:r>
            <w:r>
              <w:rPr>
                <w:sz w:val="18"/>
                <w:szCs w:val="18"/>
              </w:rPr>
              <w:t xml:space="preserve"> (listed July 2015; deleted May 2018)</w:t>
            </w:r>
          </w:p>
          <w:p w14:paraId="456309F5" w14:textId="77777777" w:rsidR="004022CD" w:rsidRPr="000B05BB" w:rsidRDefault="004022CD" w:rsidP="001F3116">
            <w:pPr>
              <w:spacing w:line="264" w:lineRule="auto"/>
              <w:rPr>
                <w:sz w:val="18"/>
                <w:szCs w:val="18"/>
              </w:rPr>
            </w:pPr>
            <w:r w:rsidRPr="000B05BB">
              <w:rPr>
                <w:sz w:val="18"/>
                <w:szCs w:val="18"/>
              </w:rPr>
              <w:t>10364L</w:t>
            </w:r>
            <w:r>
              <w:rPr>
                <w:sz w:val="18"/>
                <w:szCs w:val="18"/>
              </w:rPr>
              <w:t xml:space="preserve"> </w:t>
            </w:r>
            <w:r w:rsidRPr="008F4FDB">
              <w:rPr>
                <w:sz w:val="18"/>
                <w:szCs w:val="18"/>
              </w:rPr>
              <w:t xml:space="preserve">(listed July 2015; deleted </w:t>
            </w:r>
            <w:r>
              <w:rPr>
                <w:sz w:val="18"/>
                <w:szCs w:val="18"/>
              </w:rPr>
              <w:t>May 2018</w:t>
            </w:r>
            <w:r w:rsidRPr="008F4FDB">
              <w:rPr>
                <w:sz w:val="18"/>
                <w:szCs w:val="18"/>
              </w:rPr>
              <w:t>)</w:t>
            </w:r>
          </w:p>
        </w:tc>
      </w:tr>
      <w:tr w:rsidR="004022CD" w:rsidRPr="000B05BB" w14:paraId="3094C50E" w14:textId="77777777" w:rsidTr="004022CD">
        <w:trPr>
          <w:trHeight w:val="278"/>
        </w:trPr>
        <w:tc>
          <w:tcPr>
            <w:tcW w:w="2280" w:type="dxa"/>
            <w:vMerge/>
          </w:tcPr>
          <w:p w14:paraId="23B6FE0A" w14:textId="77777777" w:rsidR="004022CD" w:rsidRPr="000B05BB" w:rsidRDefault="004022CD" w:rsidP="001F3116">
            <w:pPr>
              <w:spacing w:line="264" w:lineRule="auto"/>
              <w:rPr>
                <w:sz w:val="18"/>
                <w:szCs w:val="18"/>
              </w:rPr>
            </w:pPr>
          </w:p>
        </w:tc>
        <w:tc>
          <w:tcPr>
            <w:tcW w:w="5091" w:type="dxa"/>
          </w:tcPr>
          <w:p w14:paraId="3E3C9090" w14:textId="77777777" w:rsidR="004022CD" w:rsidRPr="000B05BB" w:rsidRDefault="004022CD" w:rsidP="001F3116">
            <w:pPr>
              <w:spacing w:line="264" w:lineRule="auto"/>
              <w:rPr>
                <w:sz w:val="18"/>
                <w:szCs w:val="18"/>
              </w:rPr>
            </w:pPr>
            <w:r w:rsidRPr="000B05BB">
              <w:rPr>
                <w:sz w:val="18"/>
                <w:szCs w:val="18"/>
              </w:rPr>
              <w:t>emtricitabine (</w:t>
            </w:r>
            <w:proofErr w:type="spellStart"/>
            <w:r w:rsidRPr="000B05BB">
              <w:rPr>
                <w:sz w:val="18"/>
                <w:szCs w:val="18"/>
              </w:rPr>
              <w:t>Emtriva</w:t>
            </w:r>
            <w:proofErr w:type="spellEnd"/>
            <w:r w:rsidRPr="000B05BB">
              <w:rPr>
                <w:sz w:val="18"/>
                <w:szCs w:val="18"/>
              </w:rPr>
              <w:t xml:space="preserve">) </w:t>
            </w:r>
          </w:p>
        </w:tc>
        <w:tc>
          <w:tcPr>
            <w:tcW w:w="1843" w:type="dxa"/>
          </w:tcPr>
          <w:p w14:paraId="3482B05E" w14:textId="77777777" w:rsidR="004022CD" w:rsidRPr="000B05BB" w:rsidRDefault="004022CD" w:rsidP="001F3116">
            <w:pPr>
              <w:spacing w:line="264" w:lineRule="auto"/>
              <w:rPr>
                <w:sz w:val="18"/>
                <w:szCs w:val="18"/>
              </w:rPr>
            </w:pPr>
            <w:r w:rsidRPr="000B05BB">
              <w:rPr>
                <w:sz w:val="18"/>
                <w:szCs w:val="18"/>
              </w:rPr>
              <w:t>J05AF09</w:t>
            </w:r>
          </w:p>
        </w:tc>
        <w:tc>
          <w:tcPr>
            <w:tcW w:w="3292" w:type="dxa"/>
          </w:tcPr>
          <w:p w14:paraId="14B4C7A4" w14:textId="77777777" w:rsidR="004022CD" w:rsidRPr="000B05BB" w:rsidRDefault="004022CD" w:rsidP="001F3116">
            <w:pPr>
              <w:spacing w:line="264" w:lineRule="auto"/>
              <w:rPr>
                <w:sz w:val="18"/>
                <w:szCs w:val="18"/>
              </w:rPr>
            </w:pPr>
            <w:r w:rsidRPr="000B05BB">
              <w:rPr>
                <w:sz w:val="18"/>
                <w:szCs w:val="18"/>
              </w:rPr>
              <w:t>10274R</w:t>
            </w:r>
            <w:r>
              <w:rPr>
                <w:sz w:val="18"/>
                <w:szCs w:val="18"/>
              </w:rPr>
              <w:t xml:space="preserve"> (listed July 2015, deleted Sep 2018)</w:t>
            </w:r>
          </w:p>
        </w:tc>
      </w:tr>
      <w:tr w:rsidR="004022CD" w:rsidRPr="000B05BB" w14:paraId="1C0254B5" w14:textId="77777777" w:rsidTr="004022CD">
        <w:trPr>
          <w:trHeight w:val="263"/>
        </w:trPr>
        <w:tc>
          <w:tcPr>
            <w:tcW w:w="2280" w:type="dxa"/>
            <w:vMerge/>
          </w:tcPr>
          <w:p w14:paraId="565871A4" w14:textId="77777777" w:rsidR="004022CD" w:rsidRPr="000B05BB" w:rsidRDefault="004022CD" w:rsidP="001F3116">
            <w:pPr>
              <w:spacing w:line="264" w:lineRule="auto"/>
              <w:rPr>
                <w:sz w:val="18"/>
                <w:szCs w:val="18"/>
              </w:rPr>
            </w:pPr>
          </w:p>
        </w:tc>
        <w:tc>
          <w:tcPr>
            <w:tcW w:w="5091" w:type="dxa"/>
          </w:tcPr>
          <w:p w14:paraId="1A0C8C54" w14:textId="7234E37B" w:rsidR="004022CD" w:rsidRPr="000B05BB" w:rsidRDefault="005C200C" w:rsidP="001F3116">
            <w:pPr>
              <w:spacing w:line="264" w:lineRule="auto"/>
              <w:rPr>
                <w:sz w:val="18"/>
                <w:szCs w:val="18"/>
              </w:rPr>
            </w:pPr>
            <w:r>
              <w:rPr>
                <w:sz w:val="18"/>
                <w:szCs w:val="18"/>
              </w:rPr>
              <w:t>a</w:t>
            </w:r>
            <w:r w:rsidR="004022CD" w:rsidRPr="000B05BB">
              <w:rPr>
                <w:sz w:val="18"/>
                <w:szCs w:val="18"/>
              </w:rPr>
              <w:t>bacavir</w:t>
            </w:r>
            <w:r>
              <w:rPr>
                <w:sz w:val="18"/>
                <w:szCs w:val="18"/>
              </w:rPr>
              <w:t xml:space="preserve"> + </w:t>
            </w:r>
            <w:r w:rsidR="004022CD" w:rsidRPr="000B05BB">
              <w:rPr>
                <w:sz w:val="18"/>
                <w:szCs w:val="18"/>
              </w:rPr>
              <w:t xml:space="preserve">lamivudine (Kivexa) </w:t>
            </w:r>
          </w:p>
        </w:tc>
        <w:tc>
          <w:tcPr>
            <w:tcW w:w="1843" w:type="dxa"/>
          </w:tcPr>
          <w:p w14:paraId="6E702DA2" w14:textId="77777777" w:rsidR="004022CD" w:rsidRPr="000B05BB" w:rsidRDefault="004022CD" w:rsidP="001F3116">
            <w:pPr>
              <w:spacing w:line="264" w:lineRule="auto"/>
              <w:rPr>
                <w:sz w:val="18"/>
                <w:szCs w:val="18"/>
              </w:rPr>
            </w:pPr>
            <w:r w:rsidRPr="000B05BB">
              <w:rPr>
                <w:sz w:val="18"/>
                <w:szCs w:val="18"/>
              </w:rPr>
              <w:t>J05AR02</w:t>
            </w:r>
          </w:p>
        </w:tc>
        <w:tc>
          <w:tcPr>
            <w:tcW w:w="3292" w:type="dxa"/>
          </w:tcPr>
          <w:p w14:paraId="609385C1" w14:textId="77777777" w:rsidR="004022CD" w:rsidRPr="000B05BB" w:rsidRDefault="004022CD" w:rsidP="001F3116">
            <w:pPr>
              <w:spacing w:line="264" w:lineRule="auto"/>
              <w:rPr>
                <w:sz w:val="18"/>
                <w:szCs w:val="18"/>
              </w:rPr>
            </w:pPr>
            <w:r w:rsidRPr="000B05BB">
              <w:rPr>
                <w:sz w:val="18"/>
                <w:szCs w:val="18"/>
              </w:rPr>
              <w:t>10357D</w:t>
            </w:r>
            <w:r>
              <w:rPr>
                <w:sz w:val="18"/>
                <w:szCs w:val="18"/>
              </w:rPr>
              <w:t xml:space="preserve"> (listed July 2015)</w:t>
            </w:r>
          </w:p>
          <w:p w14:paraId="167F1827" w14:textId="77777777" w:rsidR="004022CD" w:rsidRPr="000B05BB" w:rsidRDefault="004022CD" w:rsidP="001F3116">
            <w:pPr>
              <w:spacing w:line="264" w:lineRule="auto"/>
              <w:rPr>
                <w:sz w:val="18"/>
                <w:szCs w:val="18"/>
              </w:rPr>
            </w:pPr>
            <w:r w:rsidRPr="000B05BB">
              <w:rPr>
                <w:sz w:val="18"/>
                <w:szCs w:val="18"/>
              </w:rPr>
              <w:t>11246X</w:t>
            </w:r>
            <w:r>
              <w:rPr>
                <w:sz w:val="18"/>
                <w:szCs w:val="18"/>
              </w:rPr>
              <w:t xml:space="preserve"> (listed Feb 2018)</w:t>
            </w:r>
          </w:p>
        </w:tc>
      </w:tr>
      <w:tr w:rsidR="004022CD" w:rsidRPr="000B05BB" w14:paraId="39A2E103" w14:textId="77777777" w:rsidTr="004022CD">
        <w:trPr>
          <w:trHeight w:val="278"/>
        </w:trPr>
        <w:tc>
          <w:tcPr>
            <w:tcW w:w="2280" w:type="dxa"/>
            <w:vMerge/>
          </w:tcPr>
          <w:p w14:paraId="2078519D" w14:textId="77777777" w:rsidR="004022CD" w:rsidRPr="000B05BB" w:rsidRDefault="004022CD" w:rsidP="001F3116">
            <w:pPr>
              <w:spacing w:line="264" w:lineRule="auto"/>
              <w:rPr>
                <w:sz w:val="18"/>
                <w:szCs w:val="18"/>
              </w:rPr>
            </w:pPr>
          </w:p>
        </w:tc>
        <w:tc>
          <w:tcPr>
            <w:tcW w:w="5091" w:type="dxa"/>
          </w:tcPr>
          <w:p w14:paraId="42DFADCE" w14:textId="51303FC7" w:rsidR="004022CD" w:rsidRPr="000B05BB" w:rsidRDefault="004022CD" w:rsidP="001F3116">
            <w:pPr>
              <w:spacing w:line="264" w:lineRule="auto"/>
              <w:rPr>
                <w:sz w:val="18"/>
                <w:szCs w:val="18"/>
              </w:rPr>
            </w:pPr>
            <w:r>
              <w:rPr>
                <w:sz w:val="18"/>
                <w:szCs w:val="18"/>
              </w:rPr>
              <w:t>l</w:t>
            </w:r>
            <w:r w:rsidRPr="000B05BB">
              <w:rPr>
                <w:sz w:val="18"/>
                <w:szCs w:val="18"/>
              </w:rPr>
              <w:t>amivudine (</w:t>
            </w:r>
            <w:proofErr w:type="spellStart"/>
            <w:r w:rsidRPr="000B05BB">
              <w:rPr>
                <w:sz w:val="18"/>
                <w:szCs w:val="18"/>
              </w:rPr>
              <w:t>Zeffix</w:t>
            </w:r>
            <w:proofErr w:type="spellEnd"/>
            <w:r w:rsidR="00EA5E2F">
              <w:rPr>
                <w:sz w:val="18"/>
                <w:szCs w:val="18"/>
              </w:rPr>
              <w:t xml:space="preserve"> and various generics</w:t>
            </w:r>
            <w:r w:rsidRPr="000B05BB">
              <w:rPr>
                <w:sz w:val="18"/>
                <w:szCs w:val="18"/>
              </w:rPr>
              <w:t xml:space="preserve">) </w:t>
            </w:r>
          </w:p>
        </w:tc>
        <w:tc>
          <w:tcPr>
            <w:tcW w:w="1843" w:type="dxa"/>
          </w:tcPr>
          <w:p w14:paraId="1A1B9367" w14:textId="77777777" w:rsidR="004022CD" w:rsidRPr="000B05BB" w:rsidRDefault="004022CD" w:rsidP="001F3116">
            <w:pPr>
              <w:spacing w:line="264" w:lineRule="auto"/>
              <w:rPr>
                <w:sz w:val="18"/>
                <w:szCs w:val="18"/>
              </w:rPr>
            </w:pPr>
            <w:r w:rsidRPr="000B05BB">
              <w:rPr>
                <w:sz w:val="18"/>
                <w:szCs w:val="18"/>
              </w:rPr>
              <w:t>J05AF05</w:t>
            </w:r>
          </w:p>
        </w:tc>
        <w:tc>
          <w:tcPr>
            <w:tcW w:w="3292" w:type="dxa"/>
          </w:tcPr>
          <w:p w14:paraId="2EF2888C" w14:textId="77777777" w:rsidR="004022CD" w:rsidRPr="000B05BB" w:rsidRDefault="004022CD" w:rsidP="001F3116">
            <w:pPr>
              <w:spacing w:line="264" w:lineRule="auto"/>
              <w:rPr>
                <w:sz w:val="18"/>
                <w:szCs w:val="18"/>
              </w:rPr>
            </w:pPr>
            <w:r w:rsidRPr="000B05BB">
              <w:rPr>
                <w:sz w:val="18"/>
                <w:szCs w:val="18"/>
              </w:rPr>
              <w:t>10311Q</w:t>
            </w:r>
            <w:r>
              <w:rPr>
                <w:sz w:val="18"/>
                <w:szCs w:val="18"/>
              </w:rPr>
              <w:t xml:space="preserve"> </w:t>
            </w:r>
            <w:r w:rsidRPr="008E0071">
              <w:rPr>
                <w:sz w:val="18"/>
                <w:szCs w:val="18"/>
              </w:rPr>
              <w:t>(listed July 2015)</w:t>
            </w:r>
          </w:p>
          <w:p w14:paraId="296D2A31" w14:textId="77777777" w:rsidR="004022CD" w:rsidRPr="000B05BB" w:rsidRDefault="004022CD" w:rsidP="001F3116">
            <w:pPr>
              <w:spacing w:line="264" w:lineRule="auto"/>
              <w:rPr>
                <w:sz w:val="18"/>
                <w:szCs w:val="18"/>
              </w:rPr>
            </w:pPr>
            <w:r w:rsidRPr="000B05BB">
              <w:rPr>
                <w:sz w:val="18"/>
                <w:szCs w:val="18"/>
              </w:rPr>
              <w:t>10320E</w:t>
            </w:r>
            <w:r>
              <w:rPr>
                <w:sz w:val="18"/>
                <w:szCs w:val="18"/>
              </w:rPr>
              <w:t xml:space="preserve"> </w:t>
            </w:r>
            <w:r w:rsidRPr="008E0071">
              <w:rPr>
                <w:sz w:val="18"/>
                <w:szCs w:val="18"/>
              </w:rPr>
              <w:t>(listed July 2015)</w:t>
            </w:r>
          </w:p>
          <w:p w14:paraId="5BF870A4" w14:textId="77777777" w:rsidR="004022CD" w:rsidRPr="000B05BB" w:rsidRDefault="004022CD" w:rsidP="001F3116">
            <w:pPr>
              <w:spacing w:line="264" w:lineRule="auto"/>
              <w:rPr>
                <w:sz w:val="18"/>
                <w:szCs w:val="18"/>
              </w:rPr>
            </w:pPr>
            <w:r w:rsidRPr="000B05BB">
              <w:rPr>
                <w:sz w:val="18"/>
                <w:szCs w:val="18"/>
              </w:rPr>
              <w:t>10348P</w:t>
            </w:r>
            <w:r>
              <w:rPr>
                <w:sz w:val="18"/>
                <w:szCs w:val="18"/>
              </w:rPr>
              <w:t xml:space="preserve"> </w:t>
            </w:r>
            <w:r w:rsidRPr="008E0071">
              <w:rPr>
                <w:sz w:val="18"/>
                <w:szCs w:val="18"/>
              </w:rPr>
              <w:t>(listed July 2015)</w:t>
            </w:r>
          </w:p>
        </w:tc>
      </w:tr>
      <w:tr w:rsidR="004022CD" w:rsidRPr="000B05BB" w14:paraId="30AC5CBA" w14:textId="77777777" w:rsidTr="004022CD">
        <w:trPr>
          <w:trHeight w:val="263"/>
        </w:trPr>
        <w:tc>
          <w:tcPr>
            <w:tcW w:w="2280" w:type="dxa"/>
            <w:vMerge/>
          </w:tcPr>
          <w:p w14:paraId="389F15B2" w14:textId="77777777" w:rsidR="004022CD" w:rsidRPr="000B05BB" w:rsidRDefault="004022CD" w:rsidP="001F3116">
            <w:pPr>
              <w:spacing w:line="264" w:lineRule="auto"/>
              <w:rPr>
                <w:sz w:val="18"/>
                <w:szCs w:val="18"/>
              </w:rPr>
            </w:pPr>
          </w:p>
        </w:tc>
        <w:tc>
          <w:tcPr>
            <w:tcW w:w="5091" w:type="dxa"/>
          </w:tcPr>
          <w:p w14:paraId="4A100CD4" w14:textId="77777777" w:rsidR="004022CD" w:rsidRPr="000B05BB" w:rsidRDefault="004022CD" w:rsidP="001F3116">
            <w:pPr>
              <w:spacing w:line="264" w:lineRule="auto"/>
              <w:rPr>
                <w:sz w:val="18"/>
                <w:szCs w:val="18"/>
              </w:rPr>
            </w:pPr>
            <w:r w:rsidRPr="000B05BB">
              <w:rPr>
                <w:sz w:val="18"/>
                <w:szCs w:val="18"/>
              </w:rPr>
              <w:t>stavudine (</w:t>
            </w:r>
            <w:proofErr w:type="spellStart"/>
            <w:r w:rsidRPr="000B05BB">
              <w:rPr>
                <w:sz w:val="18"/>
                <w:szCs w:val="18"/>
              </w:rPr>
              <w:t>Zerit</w:t>
            </w:r>
            <w:proofErr w:type="spellEnd"/>
            <w:r w:rsidRPr="000B05BB">
              <w:rPr>
                <w:sz w:val="18"/>
                <w:szCs w:val="18"/>
              </w:rPr>
              <w:t xml:space="preserve">) </w:t>
            </w:r>
          </w:p>
        </w:tc>
        <w:tc>
          <w:tcPr>
            <w:tcW w:w="1843" w:type="dxa"/>
          </w:tcPr>
          <w:p w14:paraId="64C8FF93" w14:textId="77777777" w:rsidR="004022CD" w:rsidRPr="000B05BB" w:rsidRDefault="004022CD" w:rsidP="001F3116">
            <w:pPr>
              <w:spacing w:line="264" w:lineRule="auto"/>
              <w:rPr>
                <w:sz w:val="18"/>
                <w:szCs w:val="18"/>
              </w:rPr>
            </w:pPr>
            <w:r w:rsidRPr="000B05BB">
              <w:rPr>
                <w:sz w:val="18"/>
                <w:szCs w:val="18"/>
              </w:rPr>
              <w:t>J05AF04</w:t>
            </w:r>
          </w:p>
        </w:tc>
        <w:tc>
          <w:tcPr>
            <w:tcW w:w="3292" w:type="dxa"/>
          </w:tcPr>
          <w:p w14:paraId="0E018D16" w14:textId="77777777" w:rsidR="004022CD" w:rsidRPr="000B05BB" w:rsidRDefault="004022CD" w:rsidP="001F3116">
            <w:pPr>
              <w:spacing w:line="264" w:lineRule="auto"/>
              <w:rPr>
                <w:sz w:val="18"/>
                <w:szCs w:val="18"/>
              </w:rPr>
            </w:pPr>
            <w:r w:rsidRPr="000B05BB">
              <w:rPr>
                <w:sz w:val="18"/>
                <w:szCs w:val="18"/>
              </w:rPr>
              <w:t>10271N</w:t>
            </w:r>
            <w:r>
              <w:rPr>
                <w:sz w:val="18"/>
                <w:szCs w:val="18"/>
              </w:rPr>
              <w:t xml:space="preserve"> </w:t>
            </w:r>
            <w:r w:rsidRPr="00B158CF">
              <w:rPr>
                <w:sz w:val="18"/>
                <w:szCs w:val="18"/>
              </w:rPr>
              <w:t>(listed July 2015</w:t>
            </w:r>
            <w:r>
              <w:rPr>
                <w:sz w:val="18"/>
                <w:szCs w:val="18"/>
              </w:rPr>
              <w:t>; deleted May 2018</w:t>
            </w:r>
            <w:r w:rsidRPr="00B158CF">
              <w:rPr>
                <w:sz w:val="18"/>
                <w:szCs w:val="18"/>
              </w:rPr>
              <w:t>)</w:t>
            </w:r>
          </w:p>
          <w:p w14:paraId="285DF6A7" w14:textId="5682F93F" w:rsidR="004022CD" w:rsidRPr="000B05BB" w:rsidRDefault="004022CD" w:rsidP="001F3116">
            <w:pPr>
              <w:spacing w:line="264" w:lineRule="auto"/>
              <w:rPr>
                <w:sz w:val="18"/>
                <w:szCs w:val="18"/>
              </w:rPr>
            </w:pPr>
            <w:r w:rsidRPr="000B05BB">
              <w:rPr>
                <w:sz w:val="18"/>
                <w:szCs w:val="18"/>
              </w:rPr>
              <w:t>10312R</w:t>
            </w:r>
            <w:r>
              <w:rPr>
                <w:sz w:val="18"/>
                <w:szCs w:val="18"/>
              </w:rPr>
              <w:t xml:space="preserve"> </w:t>
            </w:r>
            <w:r w:rsidRPr="00EA4C50">
              <w:rPr>
                <w:sz w:val="18"/>
                <w:szCs w:val="18"/>
              </w:rPr>
              <w:t>(listed July 2015; deleted May 2018)</w:t>
            </w:r>
          </w:p>
        </w:tc>
      </w:tr>
      <w:tr w:rsidR="004022CD" w:rsidRPr="000B05BB" w14:paraId="7231E983" w14:textId="77777777" w:rsidTr="004022CD">
        <w:trPr>
          <w:trHeight w:val="278"/>
        </w:trPr>
        <w:tc>
          <w:tcPr>
            <w:tcW w:w="2280" w:type="dxa"/>
            <w:vMerge/>
          </w:tcPr>
          <w:p w14:paraId="06AFE7B2" w14:textId="77777777" w:rsidR="004022CD" w:rsidRPr="000B05BB" w:rsidRDefault="004022CD" w:rsidP="001F3116">
            <w:pPr>
              <w:spacing w:line="264" w:lineRule="auto"/>
              <w:rPr>
                <w:sz w:val="18"/>
                <w:szCs w:val="18"/>
              </w:rPr>
            </w:pPr>
          </w:p>
        </w:tc>
        <w:tc>
          <w:tcPr>
            <w:tcW w:w="5091" w:type="dxa"/>
          </w:tcPr>
          <w:p w14:paraId="25583E08" w14:textId="5FC35D75" w:rsidR="004022CD" w:rsidRPr="000B05BB" w:rsidRDefault="00807952" w:rsidP="001F3116">
            <w:pPr>
              <w:spacing w:line="264" w:lineRule="auto"/>
              <w:rPr>
                <w:sz w:val="18"/>
                <w:szCs w:val="18"/>
              </w:rPr>
            </w:pPr>
            <w:r>
              <w:rPr>
                <w:sz w:val="18"/>
                <w:szCs w:val="18"/>
              </w:rPr>
              <w:t>a</w:t>
            </w:r>
            <w:r w:rsidR="004022CD" w:rsidRPr="000B05BB">
              <w:rPr>
                <w:sz w:val="18"/>
                <w:szCs w:val="18"/>
              </w:rPr>
              <w:t>bacavir</w:t>
            </w:r>
            <w:r>
              <w:rPr>
                <w:sz w:val="18"/>
                <w:szCs w:val="18"/>
              </w:rPr>
              <w:t xml:space="preserve"> + </w:t>
            </w:r>
            <w:r w:rsidR="004022CD" w:rsidRPr="000B05BB">
              <w:rPr>
                <w:sz w:val="18"/>
                <w:szCs w:val="18"/>
              </w:rPr>
              <w:t>lamivudine</w:t>
            </w:r>
            <w:r>
              <w:rPr>
                <w:sz w:val="18"/>
                <w:szCs w:val="18"/>
              </w:rPr>
              <w:t xml:space="preserve"> + </w:t>
            </w:r>
            <w:r w:rsidR="004022CD" w:rsidRPr="000B05BB">
              <w:rPr>
                <w:sz w:val="18"/>
                <w:szCs w:val="18"/>
              </w:rPr>
              <w:t>zidovudine (</w:t>
            </w:r>
            <w:proofErr w:type="spellStart"/>
            <w:r w:rsidR="004022CD" w:rsidRPr="000B05BB">
              <w:rPr>
                <w:sz w:val="18"/>
                <w:szCs w:val="18"/>
              </w:rPr>
              <w:t>Trizivir</w:t>
            </w:r>
            <w:proofErr w:type="spellEnd"/>
            <w:r w:rsidR="004022CD" w:rsidRPr="000B05BB">
              <w:rPr>
                <w:sz w:val="18"/>
                <w:szCs w:val="18"/>
              </w:rPr>
              <w:t xml:space="preserve">) </w:t>
            </w:r>
          </w:p>
        </w:tc>
        <w:tc>
          <w:tcPr>
            <w:tcW w:w="1843" w:type="dxa"/>
          </w:tcPr>
          <w:p w14:paraId="45506C62" w14:textId="77777777" w:rsidR="004022CD" w:rsidRPr="000B05BB" w:rsidRDefault="004022CD" w:rsidP="001F3116">
            <w:pPr>
              <w:spacing w:line="264" w:lineRule="auto"/>
              <w:rPr>
                <w:sz w:val="18"/>
                <w:szCs w:val="18"/>
              </w:rPr>
            </w:pPr>
            <w:r w:rsidRPr="000B05BB">
              <w:rPr>
                <w:sz w:val="18"/>
                <w:szCs w:val="18"/>
              </w:rPr>
              <w:t>J05AR04</w:t>
            </w:r>
          </w:p>
        </w:tc>
        <w:tc>
          <w:tcPr>
            <w:tcW w:w="3292" w:type="dxa"/>
          </w:tcPr>
          <w:p w14:paraId="395ABD46" w14:textId="77777777" w:rsidR="004022CD" w:rsidRPr="000B05BB" w:rsidRDefault="004022CD" w:rsidP="001F3116">
            <w:pPr>
              <w:spacing w:line="264" w:lineRule="auto"/>
              <w:rPr>
                <w:sz w:val="18"/>
                <w:szCs w:val="18"/>
              </w:rPr>
            </w:pPr>
            <w:r w:rsidRPr="000B05BB">
              <w:rPr>
                <w:sz w:val="18"/>
                <w:szCs w:val="18"/>
              </w:rPr>
              <w:t>10305J</w:t>
            </w:r>
            <w:r>
              <w:rPr>
                <w:sz w:val="18"/>
                <w:szCs w:val="18"/>
              </w:rPr>
              <w:t xml:space="preserve"> (listed July 2015)</w:t>
            </w:r>
          </w:p>
        </w:tc>
      </w:tr>
      <w:tr w:rsidR="004022CD" w:rsidRPr="000B05BB" w14:paraId="2F965A38" w14:textId="77777777" w:rsidTr="004022CD">
        <w:trPr>
          <w:trHeight w:val="263"/>
        </w:trPr>
        <w:tc>
          <w:tcPr>
            <w:tcW w:w="2280" w:type="dxa"/>
            <w:vMerge/>
          </w:tcPr>
          <w:p w14:paraId="7FD838B4" w14:textId="77777777" w:rsidR="004022CD" w:rsidRPr="000B05BB" w:rsidRDefault="004022CD" w:rsidP="001F3116">
            <w:pPr>
              <w:spacing w:line="264" w:lineRule="auto"/>
              <w:rPr>
                <w:sz w:val="18"/>
                <w:szCs w:val="18"/>
              </w:rPr>
            </w:pPr>
          </w:p>
        </w:tc>
        <w:tc>
          <w:tcPr>
            <w:tcW w:w="5091" w:type="dxa"/>
          </w:tcPr>
          <w:p w14:paraId="250443CF" w14:textId="0FF296BE" w:rsidR="004022CD" w:rsidRPr="005F18B7" w:rsidRDefault="008168A6" w:rsidP="001F3116">
            <w:pPr>
              <w:spacing w:line="264" w:lineRule="auto"/>
              <w:rPr>
                <w:sz w:val="18"/>
                <w:szCs w:val="18"/>
                <w:lang w:val="es-ES"/>
              </w:rPr>
            </w:pPr>
            <w:proofErr w:type="spellStart"/>
            <w:r w:rsidRPr="00AF2964">
              <w:rPr>
                <w:sz w:val="18"/>
                <w:szCs w:val="18"/>
                <w:lang w:val="es-ES"/>
              </w:rPr>
              <w:t>emtricitabine</w:t>
            </w:r>
            <w:proofErr w:type="spellEnd"/>
            <w:r w:rsidR="00AA5448">
              <w:rPr>
                <w:sz w:val="18"/>
                <w:szCs w:val="18"/>
                <w:lang w:val="es-ES"/>
              </w:rPr>
              <w:t xml:space="preserve"> +</w:t>
            </w:r>
            <w:r w:rsidR="00AD12EB">
              <w:rPr>
                <w:sz w:val="18"/>
                <w:szCs w:val="18"/>
                <w:lang w:val="es-ES"/>
              </w:rPr>
              <w:t xml:space="preserve"> </w:t>
            </w:r>
            <w:proofErr w:type="spellStart"/>
            <w:r w:rsidR="004022CD" w:rsidRPr="005F18B7">
              <w:rPr>
                <w:sz w:val="18"/>
                <w:szCs w:val="18"/>
                <w:lang w:val="es-ES"/>
              </w:rPr>
              <w:t>tenofovir</w:t>
            </w:r>
            <w:proofErr w:type="spellEnd"/>
            <w:r w:rsidR="004022CD" w:rsidRPr="005F18B7">
              <w:rPr>
                <w:sz w:val="18"/>
                <w:szCs w:val="18"/>
                <w:lang w:val="es-ES"/>
              </w:rPr>
              <w:t xml:space="preserve"> </w:t>
            </w:r>
            <w:proofErr w:type="spellStart"/>
            <w:r w:rsidR="004022CD" w:rsidRPr="005F18B7">
              <w:rPr>
                <w:sz w:val="18"/>
                <w:szCs w:val="18"/>
                <w:lang w:val="es-ES"/>
              </w:rPr>
              <w:t>disoproxil</w:t>
            </w:r>
            <w:proofErr w:type="spellEnd"/>
            <w:r w:rsidR="004022CD" w:rsidRPr="005F18B7">
              <w:rPr>
                <w:sz w:val="18"/>
                <w:szCs w:val="18"/>
                <w:lang w:val="es-ES"/>
              </w:rPr>
              <w:t xml:space="preserve"> (</w:t>
            </w:r>
            <w:proofErr w:type="spellStart"/>
            <w:r w:rsidR="004022CD" w:rsidRPr="005F18B7">
              <w:rPr>
                <w:sz w:val="18"/>
                <w:szCs w:val="18"/>
                <w:lang w:val="es-ES"/>
              </w:rPr>
              <w:t>Truvada</w:t>
            </w:r>
            <w:proofErr w:type="spellEnd"/>
            <w:r w:rsidR="004022CD" w:rsidRPr="005F18B7">
              <w:rPr>
                <w:sz w:val="18"/>
                <w:szCs w:val="18"/>
                <w:lang w:val="es-ES"/>
              </w:rPr>
              <w:t xml:space="preserve">, </w:t>
            </w:r>
            <w:proofErr w:type="spellStart"/>
            <w:r w:rsidR="004022CD" w:rsidRPr="005F18B7">
              <w:rPr>
                <w:sz w:val="18"/>
                <w:szCs w:val="18"/>
                <w:lang w:val="es-ES"/>
              </w:rPr>
              <w:t>Apotex</w:t>
            </w:r>
            <w:proofErr w:type="spellEnd"/>
            <w:r w:rsidR="004022CD" w:rsidRPr="005F18B7">
              <w:rPr>
                <w:sz w:val="18"/>
                <w:szCs w:val="18"/>
                <w:lang w:val="es-ES"/>
              </w:rPr>
              <w:t xml:space="preserve">, </w:t>
            </w:r>
            <w:proofErr w:type="spellStart"/>
            <w:r w:rsidR="004022CD" w:rsidRPr="005F18B7">
              <w:rPr>
                <w:sz w:val="18"/>
                <w:szCs w:val="18"/>
                <w:lang w:val="es-ES"/>
              </w:rPr>
              <w:t>Cipla</w:t>
            </w:r>
            <w:proofErr w:type="spellEnd"/>
            <w:r w:rsidR="004022CD" w:rsidRPr="005F18B7">
              <w:rPr>
                <w:sz w:val="18"/>
                <w:szCs w:val="18"/>
                <w:lang w:val="es-ES"/>
              </w:rPr>
              <w:t xml:space="preserve">) </w:t>
            </w:r>
          </w:p>
        </w:tc>
        <w:tc>
          <w:tcPr>
            <w:tcW w:w="1843" w:type="dxa"/>
          </w:tcPr>
          <w:p w14:paraId="2FAA1DC3" w14:textId="77777777" w:rsidR="004022CD" w:rsidRPr="000B05BB" w:rsidRDefault="004022CD" w:rsidP="001F3116">
            <w:pPr>
              <w:spacing w:line="264" w:lineRule="auto"/>
              <w:rPr>
                <w:sz w:val="18"/>
                <w:szCs w:val="18"/>
              </w:rPr>
            </w:pPr>
            <w:r w:rsidRPr="000B05BB">
              <w:rPr>
                <w:sz w:val="18"/>
                <w:szCs w:val="18"/>
              </w:rPr>
              <w:t>J05AR03</w:t>
            </w:r>
          </w:p>
        </w:tc>
        <w:tc>
          <w:tcPr>
            <w:tcW w:w="3292" w:type="dxa"/>
          </w:tcPr>
          <w:p w14:paraId="2C449935" w14:textId="77777777" w:rsidR="004022CD" w:rsidRPr="00486CE7" w:rsidRDefault="004022CD" w:rsidP="001F3116">
            <w:pPr>
              <w:tabs>
                <w:tab w:val="center" w:pos="1538"/>
              </w:tabs>
              <w:spacing w:line="264" w:lineRule="auto"/>
              <w:rPr>
                <w:sz w:val="18"/>
                <w:szCs w:val="18"/>
              </w:rPr>
            </w:pPr>
            <w:r w:rsidRPr="00486CE7">
              <w:rPr>
                <w:sz w:val="18"/>
                <w:szCs w:val="18"/>
              </w:rPr>
              <w:t>10347N (listed July 2015; deleted J</w:t>
            </w:r>
            <w:r>
              <w:rPr>
                <w:sz w:val="18"/>
                <w:szCs w:val="18"/>
              </w:rPr>
              <w:t>uly 2017)</w:t>
            </w:r>
          </w:p>
          <w:p w14:paraId="5EB65826" w14:textId="77777777" w:rsidR="004022CD" w:rsidRPr="00B900D8" w:rsidRDefault="004022CD" w:rsidP="001F3116">
            <w:pPr>
              <w:spacing w:line="264" w:lineRule="auto"/>
              <w:rPr>
                <w:sz w:val="18"/>
                <w:szCs w:val="18"/>
              </w:rPr>
            </w:pPr>
            <w:r w:rsidRPr="00B900D8">
              <w:rPr>
                <w:sz w:val="18"/>
                <w:szCs w:val="18"/>
              </w:rPr>
              <w:t xml:space="preserve">10946D (listed Dec 2016; deleted </w:t>
            </w:r>
            <w:r>
              <w:rPr>
                <w:sz w:val="18"/>
                <w:szCs w:val="18"/>
              </w:rPr>
              <w:t>Apr 2017)</w:t>
            </w:r>
          </w:p>
          <w:p w14:paraId="1460981A" w14:textId="77777777" w:rsidR="004022CD" w:rsidRPr="00B900D8" w:rsidRDefault="004022CD" w:rsidP="001F3116">
            <w:pPr>
              <w:spacing w:line="264" w:lineRule="auto"/>
              <w:rPr>
                <w:sz w:val="18"/>
                <w:szCs w:val="18"/>
              </w:rPr>
            </w:pPr>
            <w:r w:rsidRPr="00B900D8">
              <w:rPr>
                <w:sz w:val="18"/>
                <w:szCs w:val="18"/>
              </w:rPr>
              <w:t>10966E</w:t>
            </w:r>
            <w:r>
              <w:rPr>
                <w:sz w:val="18"/>
                <w:szCs w:val="18"/>
              </w:rPr>
              <w:t xml:space="preserve"> (listed Dec 2016; deleted Apr 2017)</w:t>
            </w:r>
          </w:p>
          <w:p w14:paraId="58B7DF4E" w14:textId="77777777" w:rsidR="004022CD" w:rsidRPr="001E56AE" w:rsidRDefault="004022CD" w:rsidP="001F3116">
            <w:pPr>
              <w:spacing w:line="264" w:lineRule="auto"/>
              <w:rPr>
                <w:sz w:val="18"/>
                <w:szCs w:val="18"/>
              </w:rPr>
            </w:pPr>
            <w:r w:rsidRPr="001E56AE">
              <w:rPr>
                <w:sz w:val="18"/>
                <w:szCs w:val="18"/>
              </w:rPr>
              <w:t>11146P (l</w:t>
            </w:r>
            <w:r>
              <w:rPr>
                <w:sz w:val="18"/>
                <w:szCs w:val="18"/>
              </w:rPr>
              <w:t>isted June 2021)</w:t>
            </w:r>
          </w:p>
          <w:p w14:paraId="20FEA694" w14:textId="77777777" w:rsidR="004022CD" w:rsidRPr="00753A48" w:rsidRDefault="004022CD" w:rsidP="001F3116">
            <w:pPr>
              <w:spacing w:line="264" w:lineRule="auto"/>
              <w:rPr>
                <w:sz w:val="18"/>
                <w:szCs w:val="18"/>
              </w:rPr>
            </w:pPr>
            <w:r w:rsidRPr="00753A48">
              <w:rPr>
                <w:sz w:val="18"/>
                <w:szCs w:val="18"/>
              </w:rPr>
              <w:t>11149T (l</w:t>
            </w:r>
            <w:r>
              <w:rPr>
                <w:sz w:val="18"/>
                <w:szCs w:val="18"/>
              </w:rPr>
              <w:t>isted June 2021)</w:t>
            </w:r>
          </w:p>
          <w:p w14:paraId="64493D2D" w14:textId="77777777" w:rsidR="004022CD" w:rsidRPr="00753A48" w:rsidRDefault="004022CD" w:rsidP="001F3116">
            <w:pPr>
              <w:spacing w:line="264" w:lineRule="auto"/>
              <w:rPr>
                <w:sz w:val="18"/>
                <w:szCs w:val="18"/>
              </w:rPr>
            </w:pPr>
            <w:r w:rsidRPr="00753A48">
              <w:rPr>
                <w:sz w:val="18"/>
                <w:szCs w:val="18"/>
              </w:rPr>
              <w:t>12506F (listed June 2021)</w:t>
            </w:r>
          </w:p>
        </w:tc>
      </w:tr>
      <w:tr w:rsidR="004022CD" w:rsidRPr="000B05BB" w14:paraId="6BC3C660" w14:textId="77777777" w:rsidTr="004022CD">
        <w:trPr>
          <w:trHeight w:val="278"/>
        </w:trPr>
        <w:tc>
          <w:tcPr>
            <w:tcW w:w="2280" w:type="dxa"/>
            <w:vMerge/>
          </w:tcPr>
          <w:p w14:paraId="360FDD87" w14:textId="77777777" w:rsidR="004022CD" w:rsidRPr="000B05BB" w:rsidRDefault="004022CD" w:rsidP="001F3116">
            <w:pPr>
              <w:spacing w:line="264" w:lineRule="auto"/>
              <w:rPr>
                <w:sz w:val="18"/>
                <w:szCs w:val="18"/>
              </w:rPr>
            </w:pPr>
          </w:p>
        </w:tc>
        <w:tc>
          <w:tcPr>
            <w:tcW w:w="5091" w:type="dxa"/>
          </w:tcPr>
          <w:p w14:paraId="19B24CF3" w14:textId="72517090" w:rsidR="004022CD" w:rsidRPr="000B05BB" w:rsidRDefault="008168A6" w:rsidP="001F3116">
            <w:pPr>
              <w:spacing w:line="264" w:lineRule="auto"/>
              <w:rPr>
                <w:sz w:val="18"/>
                <w:szCs w:val="18"/>
              </w:rPr>
            </w:pPr>
            <w:r>
              <w:rPr>
                <w:sz w:val="18"/>
                <w:szCs w:val="18"/>
              </w:rPr>
              <w:t>e</w:t>
            </w:r>
            <w:r w:rsidR="004022CD" w:rsidRPr="000B05BB">
              <w:rPr>
                <w:sz w:val="18"/>
                <w:szCs w:val="18"/>
              </w:rPr>
              <w:t>mtricitabine</w:t>
            </w:r>
            <w:r>
              <w:rPr>
                <w:sz w:val="18"/>
                <w:szCs w:val="18"/>
              </w:rPr>
              <w:t xml:space="preserve"> + </w:t>
            </w:r>
            <w:r w:rsidR="004022CD" w:rsidRPr="000B05BB">
              <w:rPr>
                <w:sz w:val="18"/>
                <w:szCs w:val="18"/>
              </w:rPr>
              <w:t xml:space="preserve">tenofovir alafenamide (Descovy) </w:t>
            </w:r>
          </w:p>
        </w:tc>
        <w:tc>
          <w:tcPr>
            <w:tcW w:w="1843" w:type="dxa"/>
          </w:tcPr>
          <w:p w14:paraId="683ED600" w14:textId="77777777" w:rsidR="004022CD" w:rsidRPr="000B05BB" w:rsidRDefault="004022CD" w:rsidP="001F3116">
            <w:pPr>
              <w:spacing w:line="264" w:lineRule="auto"/>
              <w:rPr>
                <w:sz w:val="18"/>
                <w:szCs w:val="18"/>
              </w:rPr>
            </w:pPr>
            <w:r w:rsidRPr="000B05BB">
              <w:rPr>
                <w:sz w:val="18"/>
                <w:szCs w:val="18"/>
              </w:rPr>
              <w:t>J05AR17</w:t>
            </w:r>
          </w:p>
        </w:tc>
        <w:tc>
          <w:tcPr>
            <w:tcW w:w="3292" w:type="dxa"/>
          </w:tcPr>
          <w:p w14:paraId="4DA4A207" w14:textId="77777777" w:rsidR="004022CD" w:rsidRPr="000B05BB" w:rsidRDefault="004022CD" w:rsidP="001F3116">
            <w:pPr>
              <w:spacing w:line="264" w:lineRule="auto"/>
              <w:rPr>
                <w:sz w:val="18"/>
                <w:szCs w:val="18"/>
              </w:rPr>
            </w:pPr>
            <w:r w:rsidRPr="000B05BB">
              <w:rPr>
                <w:sz w:val="18"/>
                <w:szCs w:val="18"/>
              </w:rPr>
              <w:t>11099E</w:t>
            </w:r>
            <w:r>
              <w:rPr>
                <w:sz w:val="18"/>
                <w:szCs w:val="18"/>
              </w:rPr>
              <w:t xml:space="preserve"> (listed May 2017)</w:t>
            </w:r>
          </w:p>
          <w:p w14:paraId="3FE8D330" w14:textId="77777777" w:rsidR="004022CD" w:rsidRPr="000B05BB" w:rsidRDefault="004022CD" w:rsidP="001F3116">
            <w:pPr>
              <w:spacing w:line="264" w:lineRule="auto"/>
              <w:rPr>
                <w:sz w:val="18"/>
                <w:szCs w:val="18"/>
              </w:rPr>
            </w:pPr>
            <w:r w:rsidRPr="000B05BB">
              <w:rPr>
                <w:sz w:val="18"/>
                <w:szCs w:val="18"/>
              </w:rPr>
              <w:t>11113X</w:t>
            </w:r>
            <w:r>
              <w:rPr>
                <w:sz w:val="18"/>
                <w:szCs w:val="18"/>
              </w:rPr>
              <w:t xml:space="preserve"> (listed May 2017)</w:t>
            </w:r>
          </w:p>
        </w:tc>
      </w:tr>
      <w:tr w:rsidR="001C52E7" w:rsidRPr="000B05BB" w14:paraId="15E24035" w14:textId="77777777" w:rsidTr="004022CD">
        <w:trPr>
          <w:trHeight w:val="263"/>
        </w:trPr>
        <w:tc>
          <w:tcPr>
            <w:tcW w:w="2280" w:type="dxa"/>
            <w:vMerge/>
          </w:tcPr>
          <w:p w14:paraId="60D656B2" w14:textId="77777777" w:rsidR="001C52E7" w:rsidRPr="000B05BB" w:rsidRDefault="001C52E7" w:rsidP="001C52E7">
            <w:pPr>
              <w:spacing w:line="264" w:lineRule="auto"/>
              <w:rPr>
                <w:sz w:val="18"/>
                <w:szCs w:val="18"/>
              </w:rPr>
            </w:pPr>
          </w:p>
        </w:tc>
        <w:tc>
          <w:tcPr>
            <w:tcW w:w="5091" w:type="dxa"/>
          </w:tcPr>
          <w:p w14:paraId="19C8C6C1" w14:textId="0EB40062" w:rsidR="001C52E7" w:rsidRPr="000B05BB" w:rsidRDefault="001C52E7" w:rsidP="001C52E7">
            <w:pPr>
              <w:spacing w:line="264" w:lineRule="auto"/>
              <w:rPr>
                <w:sz w:val="18"/>
                <w:szCs w:val="18"/>
              </w:rPr>
            </w:pPr>
            <w:r>
              <w:rPr>
                <w:sz w:val="18"/>
                <w:szCs w:val="18"/>
              </w:rPr>
              <w:t>t</w:t>
            </w:r>
            <w:r w:rsidRPr="000B05BB">
              <w:rPr>
                <w:sz w:val="18"/>
                <w:szCs w:val="18"/>
              </w:rPr>
              <w:t>enofovir disoproxil (</w:t>
            </w:r>
            <w:proofErr w:type="spellStart"/>
            <w:r w:rsidRPr="000B05BB">
              <w:rPr>
                <w:sz w:val="18"/>
                <w:szCs w:val="18"/>
              </w:rPr>
              <w:t>Viread</w:t>
            </w:r>
            <w:proofErr w:type="spellEnd"/>
            <w:r w:rsidRPr="000B05BB">
              <w:rPr>
                <w:sz w:val="18"/>
                <w:szCs w:val="18"/>
              </w:rPr>
              <w:t xml:space="preserve">) </w:t>
            </w:r>
          </w:p>
        </w:tc>
        <w:tc>
          <w:tcPr>
            <w:tcW w:w="1843" w:type="dxa"/>
          </w:tcPr>
          <w:p w14:paraId="467D96A8" w14:textId="2A7F6E8B" w:rsidR="001C52E7" w:rsidRPr="000B05BB" w:rsidRDefault="001C52E7" w:rsidP="001C52E7">
            <w:pPr>
              <w:spacing w:line="264" w:lineRule="auto"/>
              <w:rPr>
                <w:sz w:val="18"/>
                <w:szCs w:val="18"/>
              </w:rPr>
            </w:pPr>
            <w:r w:rsidRPr="000B05BB">
              <w:rPr>
                <w:sz w:val="18"/>
                <w:szCs w:val="18"/>
              </w:rPr>
              <w:t>J05AF07</w:t>
            </w:r>
          </w:p>
        </w:tc>
        <w:tc>
          <w:tcPr>
            <w:tcW w:w="3292" w:type="dxa"/>
          </w:tcPr>
          <w:p w14:paraId="75C09426" w14:textId="77777777" w:rsidR="001C52E7" w:rsidRPr="000B05BB" w:rsidRDefault="001C52E7" w:rsidP="001C52E7">
            <w:pPr>
              <w:spacing w:line="264" w:lineRule="auto"/>
              <w:rPr>
                <w:sz w:val="18"/>
                <w:szCs w:val="18"/>
              </w:rPr>
            </w:pPr>
            <w:r w:rsidRPr="000B05BB">
              <w:rPr>
                <w:sz w:val="18"/>
                <w:szCs w:val="18"/>
              </w:rPr>
              <w:t>10310P</w:t>
            </w:r>
            <w:r>
              <w:rPr>
                <w:sz w:val="18"/>
                <w:szCs w:val="18"/>
              </w:rPr>
              <w:t xml:space="preserve"> (listed July 2015; deleted July 2017)</w:t>
            </w:r>
          </w:p>
          <w:p w14:paraId="780064D8" w14:textId="77777777" w:rsidR="001C52E7" w:rsidRPr="000B05BB" w:rsidRDefault="001C52E7" w:rsidP="001C52E7">
            <w:pPr>
              <w:spacing w:line="264" w:lineRule="auto"/>
              <w:rPr>
                <w:sz w:val="18"/>
                <w:szCs w:val="18"/>
              </w:rPr>
            </w:pPr>
            <w:r w:rsidRPr="000B05BB">
              <w:rPr>
                <w:sz w:val="18"/>
                <w:szCs w:val="18"/>
              </w:rPr>
              <w:t>11142K</w:t>
            </w:r>
            <w:r>
              <w:rPr>
                <w:sz w:val="18"/>
                <w:szCs w:val="18"/>
              </w:rPr>
              <w:t xml:space="preserve"> (listed Aug 2017)</w:t>
            </w:r>
          </w:p>
          <w:p w14:paraId="5B097BE1" w14:textId="4229BA2A" w:rsidR="001C52E7" w:rsidRPr="000B05BB" w:rsidRDefault="001C52E7" w:rsidP="001C52E7">
            <w:pPr>
              <w:spacing w:line="264" w:lineRule="auto"/>
              <w:rPr>
                <w:sz w:val="18"/>
                <w:szCs w:val="18"/>
              </w:rPr>
            </w:pPr>
            <w:r w:rsidRPr="000B05BB">
              <w:rPr>
                <w:sz w:val="18"/>
                <w:szCs w:val="18"/>
              </w:rPr>
              <w:t>11155D</w:t>
            </w:r>
            <w:r>
              <w:rPr>
                <w:sz w:val="18"/>
                <w:szCs w:val="18"/>
              </w:rPr>
              <w:t xml:space="preserve"> (listed Aug 2017)</w:t>
            </w:r>
          </w:p>
        </w:tc>
      </w:tr>
      <w:tr w:rsidR="004022CD" w:rsidRPr="000B05BB" w14:paraId="34543DBB" w14:textId="77777777" w:rsidTr="004022CD">
        <w:trPr>
          <w:trHeight w:val="263"/>
        </w:trPr>
        <w:tc>
          <w:tcPr>
            <w:tcW w:w="2280" w:type="dxa"/>
            <w:vMerge/>
          </w:tcPr>
          <w:p w14:paraId="509E3068" w14:textId="77777777" w:rsidR="004022CD" w:rsidRPr="000B05BB" w:rsidRDefault="004022CD" w:rsidP="001F3116">
            <w:pPr>
              <w:spacing w:line="264" w:lineRule="auto"/>
              <w:rPr>
                <w:sz w:val="18"/>
                <w:szCs w:val="18"/>
              </w:rPr>
            </w:pPr>
          </w:p>
        </w:tc>
        <w:tc>
          <w:tcPr>
            <w:tcW w:w="5091" w:type="dxa"/>
          </w:tcPr>
          <w:p w14:paraId="5FB3F666" w14:textId="77777777" w:rsidR="004022CD" w:rsidRPr="000B05BB" w:rsidRDefault="004022CD" w:rsidP="001F3116">
            <w:pPr>
              <w:spacing w:line="264" w:lineRule="auto"/>
              <w:rPr>
                <w:sz w:val="18"/>
                <w:szCs w:val="18"/>
              </w:rPr>
            </w:pPr>
            <w:r w:rsidRPr="000B05BB">
              <w:rPr>
                <w:sz w:val="18"/>
                <w:szCs w:val="18"/>
              </w:rPr>
              <w:t xml:space="preserve">zidovudine (Retrovir) </w:t>
            </w:r>
          </w:p>
        </w:tc>
        <w:tc>
          <w:tcPr>
            <w:tcW w:w="1843" w:type="dxa"/>
          </w:tcPr>
          <w:p w14:paraId="1600811F" w14:textId="77777777" w:rsidR="004022CD" w:rsidRPr="000B05BB" w:rsidRDefault="004022CD" w:rsidP="001F3116">
            <w:pPr>
              <w:spacing w:line="264" w:lineRule="auto"/>
              <w:rPr>
                <w:sz w:val="18"/>
                <w:szCs w:val="18"/>
              </w:rPr>
            </w:pPr>
            <w:r w:rsidRPr="000B05BB">
              <w:rPr>
                <w:sz w:val="18"/>
                <w:szCs w:val="18"/>
              </w:rPr>
              <w:t>J05AF01</w:t>
            </w:r>
          </w:p>
        </w:tc>
        <w:tc>
          <w:tcPr>
            <w:tcW w:w="3292" w:type="dxa"/>
          </w:tcPr>
          <w:p w14:paraId="2C66427A" w14:textId="77777777" w:rsidR="004022CD" w:rsidRPr="000B05BB" w:rsidRDefault="004022CD" w:rsidP="001F3116">
            <w:pPr>
              <w:spacing w:line="264" w:lineRule="auto"/>
              <w:rPr>
                <w:sz w:val="18"/>
                <w:szCs w:val="18"/>
              </w:rPr>
            </w:pPr>
            <w:r w:rsidRPr="000B05BB">
              <w:rPr>
                <w:sz w:val="18"/>
                <w:szCs w:val="18"/>
              </w:rPr>
              <w:t>10266H</w:t>
            </w:r>
            <w:r>
              <w:rPr>
                <w:sz w:val="18"/>
                <w:szCs w:val="18"/>
              </w:rPr>
              <w:t xml:space="preserve"> (listed July 2015)</w:t>
            </w:r>
          </w:p>
          <w:p w14:paraId="6A110F58" w14:textId="77777777" w:rsidR="004022CD" w:rsidRPr="000B05BB" w:rsidRDefault="004022CD" w:rsidP="001F3116">
            <w:pPr>
              <w:spacing w:line="264" w:lineRule="auto"/>
              <w:rPr>
                <w:sz w:val="18"/>
                <w:szCs w:val="18"/>
              </w:rPr>
            </w:pPr>
            <w:r w:rsidRPr="000B05BB">
              <w:rPr>
                <w:sz w:val="18"/>
                <w:szCs w:val="18"/>
              </w:rPr>
              <w:t>10360G</w:t>
            </w:r>
            <w:r>
              <w:rPr>
                <w:sz w:val="18"/>
                <w:szCs w:val="18"/>
              </w:rPr>
              <w:t xml:space="preserve"> </w:t>
            </w:r>
            <w:r w:rsidRPr="003808E8">
              <w:rPr>
                <w:sz w:val="18"/>
                <w:szCs w:val="18"/>
              </w:rPr>
              <w:t>(listed July 2015)</w:t>
            </w:r>
          </w:p>
          <w:p w14:paraId="2B8698AF" w14:textId="77777777" w:rsidR="004022CD" w:rsidRPr="000B05BB" w:rsidRDefault="004022CD" w:rsidP="001F3116">
            <w:pPr>
              <w:spacing w:line="264" w:lineRule="auto"/>
              <w:rPr>
                <w:sz w:val="18"/>
                <w:szCs w:val="18"/>
              </w:rPr>
            </w:pPr>
            <w:r w:rsidRPr="000B05BB">
              <w:rPr>
                <w:sz w:val="18"/>
                <w:szCs w:val="18"/>
              </w:rPr>
              <w:t>10361H</w:t>
            </w:r>
            <w:r>
              <w:rPr>
                <w:sz w:val="18"/>
                <w:szCs w:val="18"/>
              </w:rPr>
              <w:t xml:space="preserve"> </w:t>
            </w:r>
            <w:r w:rsidRPr="003808E8">
              <w:rPr>
                <w:sz w:val="18"/>
                <w:szCs w:val="18"/>
              </w:rPr>
              <w:t>(listed July 2015)</w:t>
            </w:r>
          </w:p>
        </w:tc>
      </w:tr>
      <w:tr w:rsidR="004022CD" w:rsidRPr="000B05BB" w14:paraId="69CA4F05" w14:textId="77777777" w:rsidTr="004022CD">
        <w:trPr>
          <w:trHeight w:val="263"/>
        </w:trPr>
        <w:tc>
          <w:tcPr>
            <w:tcW w:w="2280" w:type="dxa"/>
            <w:vMerge w:val="restart"/>
          </w:tcPr>
          <w:p w14:paraId="1ED0EF13" w14:textId="77777777" w:rsidR="004022CD" w:rsidRPr="000B05BB" w:rsidRDefault="004022CD" w:rsidP="001F3116">
            <w:pPr>
              <w:spacing w:line="264" w:lineRule="auto"/>
              <w:rPr>
                <w:sz w:val="18"/>
                <w:szCs w:val="18"/>
              </w:rPr>
            </w:pPr>
            <w:r w:rsidRPr="000B05BB">
              <w:rPr>
                <w:sz w:val="18"/>
                <w:szCs w:val="18"/>
              </w:rPr>
              <w:t>Non</w:t>
            </w:r>
            <w:r w:rsidRPr="000B05BB">
              <w:rPr>
                <w:rFonts w:ascii="Cambria Math" w:hAnsi="Cambria Math" w:cs="Cambria Math"/>
                <w:sz w:val="18"/>
                <w:szCs w:val="18"/>
              </w:rPr>
              <w:t>‑</w:t>
            </w:r>
            <w:r w:rsidRPr="000B05BB">
              <w:rPr>
                <w:sz w:val="18"/>
                <w:szCs w:val="18"/>
              </w:rPr>
              <w:t>nucleoside analogue reverse transcriptase inhibitors</w:t>
            </w:r>
          </w:p>
        </w:tc>
        <w:tc>
          <w:tcPr>
            <w:tcW w:w="5091" w:type="dxa"/>
          </w:tcPr>
          <w:p w14:paraId="507071F6" w14:textId="77777777" w:rsidR="004022CD" w:rsidRPr="000B05BB" w:rsidRDefault="004022CD" w:rsidP="001F3116">
            <w:pPr>
              <w:spacing w:line="264" w:lineRule="auto"/>
              <w:rPr>
                <w:sz w:val="18"/>
                <w:szCs w:val="18"/>
              </w:rPr>
            </w:pPr>
            <w:r w:rsidRPr="000B05BB">
              <w:rPr>
                <w:sz w:val="18"/>
                <w:szCs w:val="18"/>
              </w:rPr>
              <w:t>efavirenz (</w:t>
            </w:r>
            <w:proofErr w:type="spellStart"/>
            <w:r w:rsidRPr="000B05BB">
              <w:rPr>
                <w:sz w:val="18"/>
                <w:szCs w:val="18"/>
              </w:rPr>
              <w:t>Stocrin</w:t>
            </w:r>
            <w:proofErr w:type="spellEnd"/>
            <w:r w:rsidRPr="000B05BB">
              <w:rPr>
                <w:sz w:val="18"/>
                <w:szCs w:val="18"/>
              </w:rPr>
              <w:t xml:space="preserve">) </w:t>
            </w:r>
          </w:p>
        </w:tc>
        <w:tc>
          <w:tcPr>
            <w:tcW w:w="1843" w:type="dxa"/>
          </w:tcPr>
          <w:p w14:paraId="04D0BDD7" w14:textId="77777777" w:rsidR="004022CD" w:rsidRPr="000B05BB" w:rsidRDefault="004022CD" w:rsidP="001F3116">
            <w:pPr>
              <w:spacing w:line="264" w:lineRule="auto"/>
              <w:rPr>
                <w:sz w:val="18"/>
                <w:szCs w:val="18"/>
              </w:rPr>
            </w:pPr>
            <w:r w:rsidRPr="000B05BB">
              <w:rPr>
                <w:sz w:val="18"/>
                <w:szCs w:val="18"/>
              </w:rPr>
              <w:t>J05AG03</w:t>
            </w:r>
          </w:p>
        </w:tc>
        <w:tc>
          <w:tcPr>
            <w:tcW w:w="3292" w:type="dxa"/>
          </w:tcPr>
          <w:p w14:paraId="570FA1EB" w14:textId="77777777" w:rsidR="004022CD" w:rsidRPr="000B05BB" w:rsidRDefault="004022CD" w:rsidP="001F3116">
            <w:pPr>
              <w:spacing w:line="264" w:lineRule="auto"/>
              <w:rPr>
                <w:sz w:val="18"/>
                <w:szCs w:val="18"/>
              </w:rPr>
            </w:pPr>
            <w:r w:rsidRPr="000B05BB">
              <w:rPr>
                <w:sz w:val="18"/>
                <w:szCs w:val="18"/>
              </w:rPr>
              <w:t>10275T</w:t>
            </w:r>
            <w:r>
              <w:rPr>
                <w:sz w:val="18"/>
                <w:szCs w:val="18"/>
              </w:rPr>
              <w:t xml:space="preserve"> (listed July 2015)</w:t>
            </w:r>
          </w:p>
          <w:p w14:paraId="0DC392C9" w14:textId="77777777" w:rsidR="004022CD" w:rsidRPr="000B05BB" w:rsidRDefault="004022CD" w:rsidP="001F3116">
            <w:pPr>
              <w:spacing w:line="264" w:lineRule="auto"/>
              <w:rPr>
                <w:sz w:val="18"/>
                <w:szCs w:val="18"/>
              </w:rPr>
            </w:pPr>
            <w:r w:rsidRPr="000B05BB">
              <w:rPr>
                <w:sz w:val="18"/>
                <w:szCs w:val="18"/>
              </w:rPr>
              <w:t>10336B</w:t>
            </w:r>
            <w:r>
              <w:rPr>
                <w:sz w:val="18"/>
                <w:szCs w:val="18"/>
              </w:rPr>
              <w:t xml:space="preserve"> (listed July 2015)</w:t>
            </w:r>
          </w:p>
          <w:p w14:paraId="22E2D767" w14:textId="77777777" w:rsidR="004022CD" w:rsidRPr="000B05BB" w:rsidRDefault="004022CD" w:rsidP="001F3116">
            <w:pPr>
              <w:spacing w:line="264" w:lineRule="auto"/>
              <w:rPr>
                <w:sz w:val="18"/>
                <w:szCs w:val="18"/>
              </w:rPr>
            </w:pPr>
            <w:r w:rsidRPr="000B05BB">
              <w:rPr>
                <w:sz w:val="18"/>
                <w:szCs w:val="18"/>
              </w:rPr>
              <w:t>10366N</w:t>
            </w:r>
            <w:r>
              <w:rPr>
                <w:sz w:val="18"/>
                <w:szCs w:val="18"/>
              </w:rPr>
              <w:t xml:space="preserve"> (listed July 2015)</w:t>
            </w:r>
          </w:p>
        </w:tc>
      </w:tr>
      <w:tr w:rsidR="004022CD" w:rsidRPr="000B05BB" w14:paraId="0716BA54" w14:textId="77777777" w:rsidTr="004022CD">
        <w:trPr>
          <w:trHeight w:val="263"/>
        </w:trPr>
        <w:tc>
          <w:tcPr>
            <w:tcW w:w="2280" w:type="dxa"/>
            <w:vMerge/>
          </w:tcPr>
          <w:p w14:paraId="1146745F" w14:textId="77777777" w:rsidR="004022CD" w:rsidRPr="000B05BB" w:rsidRDefault="004022CD" w:rsidP="001F3116">
            <w:pPr>
              <w:spacing w:line="264" w:lineRule="auto"/>
              <w:rPr>
                <w:sz w:val="18"/>
                <w:szCs w:val="18"/>
              </w:rPr>
            </w:pPr>
          </w:p>
        </w:tc>
        <w:tc>
          <w:tcPr>
            <w:tcW w:w="5091" w:type="dxa"/>
          </w:tcPr>
          <w:p w14:paraId="56EB1629" w14:textId="77777777" w:rsidR="004022CD" w:rsidRPr="000B05BB" w:rsidRDefault="004022CD" w:rsidP="001F3116">
            <w:pPr>
              <w:spacing w:line="264" w:lineRule="auto"/>
              <w:rPr>
                <w:sz w:val="18"/>
                <w:szCs w:val="18"/>
              </w:rPr>
            </w:pPr>
            <w:r w:rsidRPr="000B05BB">
              <w:rPr>
                <w:sz w:val="18"/>
                <w:szCs w:val="18"/>
              </w:rPr>
              <w:t>etravirine (</w:t>
            </w:r>
            <w:proofErr w:type="spellStart"/>
            <w:r w:rsidRPr="000B05BB">
              <w:rPr>
                <w:sz w:val="18"/>
                <w:szCs w:val="18"/>
              </w:rPr>
              <w:t>Intelence</w:t>
            </w:r>
            <w:proofErr w:type="spellEnd"/>
            <w:r w:rsidRPr="000B05BB">
              <w:rPr>
                <w:sz w:val="18"/>
                <w:szCs w:val="18"/>
              </w:rPr>
              <w:t xml:space="preserve">) </w:t>
            </w:r>
          </w:p>
        </w:tc>
        <w:tc>
          <w:tcPr>
            <w:tcW w:w="1843" w:type="dxa"/>
          </w:tcPr>
          <w:p w14:paraId="13BDFED6" w14:textId="77777777" w:rsidR="004022CD" w:rsidRPr="000B05BB" w:rsidRDefault="004022CD" w:rsidP="001F3116">
            <w:pPr>
              <w:spacing w:line="264" w:lineRule="auto"/>
              <w:rPr>
                <w:sz w:val="18"/>
                <w:szCs w:val="18"/>
              </w:rPr>
            </w:pPr>
            <w:r w:rsidRPr="000B05BB">
              <w:rPr>
                <w:sz w:val="18"/>
                <w:szCs w:val="18"/>
              </w:rPr>
              <w:t>J05AG04</w:t>
            </w:r>
          </w:p>
        </w:tc>
        <w:tc>
          <w:tcPr>
            <w:tcW w:w="3292" w:type="dxa"/>
          </w:tcPr>
          <w:p w14:paraId="21A2D107" w14:textId="77777777" w:rsidR="004022CD" w:rsidRPr="005E4178" w:rsidRDefault="004022CD" w:rsidP="001F3116">
            <w:pPr>
              <w:spacing w:line="264" w:lineRule="auto"/>
              <w:rPr>
                <w:sz w:val="18"/>
                <w:szCs w:val="18"/>
              </w:rPr>
            </w:pPr>
            <w:r w:rsidRPr="005E4178">
              <w:rPr>
                <w:sz w:val="18"/>
                <w:szCs w:val="18"/>
              </w:rPr>
              <w:t>10301E (listed July 2015)</w:t>
            </w:r>
          </w:p>
        </w:tc>
      </w:tr>
      <w:tr w:rsidR="004022CD" w:rsidRPr="000B05BB" w14:paraId="325DA535" w14:textId="77777777" w:rsidTr="004022CD">
        <w:trPr>
          <w:trHeight w:val="278"/>
        </w:trPr>
        <w:tc>
          <w:tcPr>
            <w:tcW w:w="2280" w:type="dxa"/>
            <w:vMerge/>
          </w:tcPr>
          <w:p w14:paraId="0DF6CB36" w14:textId="77777777" w:rsidR="004022CD" w:rsidRPr="000B05BB" w:rsidRDefault="004022CD" w:rsidP="001F3116">
            <w:pPr>
              <w:spacing w:line="264" w:lineRule="auto"/>
              <w:rPr>
                <w:sz w:val="18"/>
                <w:szCs w:val="18"/>
              </w:rPr>
            </w:pPr>
          </w:p>
        </w:tc>
        <w:tc>
          <w:tcPr>
            <w:tcW w:w="5091" w:type="dxa"/>
          </w:tcPr>
          <w:p w14:paraId="4FDE8DEA" w14:textId="77777777" w:rsidR="004022CD" w:rsidRPr="000B05BB" w:rsidRDefault="004022CD" w:rsidP="001F3116">
            <w:pPr>
              <w:spacing w:line="264" w:lineRule="auto"/>
              <w:rPr>
                <w:sz w:val="18"/>
                <w:szCs w:val="18"/>
              </w:rPr>
            </w:pPr>
            <w:r w:rsidRPr="000B05BB">
              <w:rPr>
                <w:sz w:val="18"/>
                <w:szCs w:val="18"/>
              </w:rPr>
              <w:t>nevirapine (</w:t>
            </w:r>
            <w:proofErr w:type="spellStart"/>
            <w:r w:rsidRPr="000B05BB">
              <w:rPr>
                <w:sz w:val="18"/>
                <w:szCs w:val="18"/>
              </w:rPr>
              <w:t>Viramune</w:t>
            </w:r>
            <w:proofErr w:type="spellEnd"/>
            <w:r w:rsidRPr="000B05BB">
              <w:rPr>
                <w:sz w:val="18"/>
                <w:szCs w:val="18"/>
              </w:rPr>
              <w:t xml:space="preserve">) </w:t>
            </w:r>
          </w:p>
        </w:tc>
        <w:tc>
          <w:tcPr>
            <w:tcW w:w="1843" w:type="dxa"/>
          </w:tcPr>
          <w:p w14:paraId="27F725CC" w14:textId="77777777" w:rsidR="004022CD" w:rsidRPr="000B05BB" w:rsidRDefault="004022CD" w:rsidP="001F3116">
            <w:pPr>
              <w:spacing w:line="264" w:lineRule="auto"/>
              <w:rPr>
                <w:sz w:val="18"/>
                <w:szCs w:val="18"/>
              </w:rPr>
            </w:pPr>
            <w:r w:rsidRPr="000B05BB">
              <w:rPr>
                <w:sz w:val="18"/>
                <w:szCs w:val="18"/>
              </w:rPr>
              <w:t>J05AG01</w:t>
            </w:r>
          </w:p>
        </w:tc>
        <w:tc>
          <w:tcPr>
            <w:tcW w:w="3292" w:type="dxa"/>
          </w:tcPr>
          <w:p w14:paraId="3F9D9C1C" w14:textId="77777777" w:rsidR="004022CD" w:rsidRDefault="004022CD" w:rsidP="001F3116">
            <w:pPr>
              <w:spacing w:line="264" w:lineRule="auto"/>
              <w:rPr>
                <w:sz w:val="18"/>
                <w:szCs w:val="18"/>
              </w:rPr>
            </w:pPr>
            <w:r w:rsidRPr="000B05BB">
              <w:rPr>
                <w:sz w:val="18"/>
                <w:szCs w:val="18"/>
              </w:rPr>
              <w:t>1030</w:t>
            </w:r>
            <w:r>
              <w:rPr>
                <w:sz w:val="18"/>
                <w:szCs w:val="18"/>
              </w:rPr>
              <w:t>3G (listed July 2015)</w:t>
            </w:r>
          </w:p>
          <w:p w14:paraId="1C7AC174" w14:textId="77777777" w:rsidR="004022CD" w:rsidRPr="000B05BB" w:rsidRDefault="004022CD" w:rsidP="001F3116">
            <w:pPr>
              <w:spacing w:line="264" w:lineRule="auto"/>
              <w:rPr>
                <w:sz w:val="18"/>
                <w:szCs w:val="18"/>
              </w:rPr>
            </w:pPr>
            <w:r>
              <w:rPr>
                <w:sz w:val="18"/>
                <w:szCs w:val="18"/>
              </w:rPr>
              <w:t>10304H (listed July 2015)</w:t>
            </w:r>
          </w:p>
          <w:p w14:paraId="2C5C4C78" w14:textId="77777777" w:rsidR="004022CD" w:rsidRPr="000B05BB" w:rsidRDefault="004022CD" w:rsidP="001F3116">
            <w:pPr>
              <w:spacing w:line="264" w:lineRule="auto"/>
              <w:rPr>
                <w:sz w:val="18"/>
                <w:szCs w:val="18"/>
              </w:rPr>
            </w:pPr>
            <w:r w:rsidRPr="000B05BB">
              <w:rPr>
                <w:sz w:val="18"/>
                <w:szCs w:val="18"/>
              </w:rPr>
              <w:t>10319D</w:t>
            </w:r>
            <w:r>
              <w:rPr>
                <w:sz w:val="18"/>
                <w:szCs w:val="18"/>
              </w:rPr>
              <w:t xml:space="preserve"> (listed July 2015)</w:t>
            </w:r>
          </w:p>
        </w:tc>
      </w:tr>
      <w:tr w:rsidR="004022CD" w:rsidRPr="000B05BB" w14:paraId="7CA2549A" w14:textId="77777777" w:rsidTr="004022CD">
        <w:trPr>
          <w:trHeight w:val="278"/>
        </w:trPr>
        <w:tc>
          <w:tcPr>
            <w:tcW w:w="2280" w:type="dxa"/>
            <w:vMerge/>
          </w:tcPr>
          <w:p w14:paraId="4D97BECA" w14:textId="77777777" w:rsidR="004022CD" w:rsidRPr="000B05BB" w:rsidRDefault="004022CD" w:rsidP="001F3116">
            <w:pPr>
              <w:spacing w:line="264" w:lineRule="auto"/>
              <w:rPr>
                <w:sz w:val="18"/>
                <w:szCs w:val="18"/>
              </w:rPr>
            </w:pPr>
          </w:p>
        </w:tc>
        <w:tc>
          <w:tcPr>
            <w:tcW w:w="5091" w:type="dxa"/>
          </w:tcPr>
          <w:p w14:paraId="517F31BC" w14:textId="77777777" w:rsidR="004022CD" w:rsidRPr="000B05BB" w:rsidRDefault="004022CD" w:rsidP="001F3116">
            <w:pPr>
              <w:spacing w:line="264" w:lineRule="auto"/>
              <w:rPr>
                <w:sz w:val="18"/>
                <w:szCs w:val="18"/>
              </w:rPr>
            </w:pPr>
            <w:proofErr w:type="spellStart"/>
            <w:r w:rsidRPr="000B05BB">
              <w:rPr>
                <w:sz w:val="18"/>
                <w:szCs w:val="18"/>
              </w:rPr>
              <w:t>rilpivirine</w:t>
            </w:r>
            <w:proofErr w:type="spellEnd"/>
            <w:r w:rsidRPr="000B05BB">
              <w:rPr>
                <w:sz w:val="18"/>
                <w:szCs w:val="18"/>
              </w:rPr>
              <w:t xml:space="preserve"> (</w:t>
            </w:r>
            <w:proofErr w:type="spellStart"/>
            <w:r w:rsidRPr="000B05BB">
              <w:rPr>
                <w:sz w:val="18"/>
                <w:szCs w:val="18"/>
              </w:rPr>
              <w:t>Edurant</w:t>
            </w:r>
            <w:proofErr w:type="spellEnd"/>
            <w:r w:rsidRPr="000B05BB">
              <w:rPr>
                <w:sz w:val="18"/>
                <w:szCs w:val="18"/>
              </w:rPr>
              <w:t xml:space="preserve">) </w:t>
            </w:r>
          </w:p>
        </w:tc>
        <w:tc>
          <w:tcPr>
            <w:tcW w:w="1843" w:type="dxa"/>
          </w:tcPr>
          <w:p w14:paraId="17A3D7C9" w14:textId="77777777" w:rsidR="004022CD" w:rsidRPr="000B05BB" w:rsidRDefault="004022CD" w:rsidP="001F3116">
            <w:pPr>
              <w:spacing w:line="264" w:lineRule="auto"/>
              <w:rPr>
                <w:sz w:val="18"/>
                <w:szCs w:val="18"/>
              </w:rPr>
            </w:pPr>
            <w:r w:rsidRPr="000B05BB">
              <w:rPr>
                <w:sz w:val="18"/>
                <w:szCs w:val="18"/>
              </w:rPr>
              <w:t>J05AG05</w:t>
            </w:r>
          </w:p>
        </w:tc>
        <w:tc>
          <w:tcPr>
            <w:tcW w:w="3292" w:type="dxa"/>
          </w:tcPr>
          <w:p w14:paraId="3FA81FDB" w14:textId="77777777" w:rsidR="004022CD" w:rsidRPr="000B05BB" w:rsidRDefault="004022CD" w:rsidP="001F3116">
            <w:pPr>
              <w:spacing w:line="264" w:lineRule="auto"/>
              <w:rPr>
                <w:sz w:val="18"/>
                <w:szCs w:val="18"/>
              </w:rPr>
            </w:pPr>
            <w:r w:rsidRPr="000B05BB">
              <w:rPr>
                <w:sz w:val="18"/>
                <w:szCs w:val="18"/>
              </w:rPr>
              <w:t>10298B</w:t>
            </w:r>
            <w:r>
              <w:rPr>
                <w:sz w:val="18"/>
                <w:szCs w:val="18"/>
              </w:rPr>
              <w:t xml:space="preserve"> (listed July 2015)</w:t>
            </w:r>
          </w:p>
        </w:tc>
      </w:tr>
      <w:tr w:rsidR="004022CD" w:rsidRPr="000B05BB" w14:paraId="7269E3B6" w14:textId="77777777" w:rsidTr="004022CD">
        <w:trPr>
          <w:trHeight w:val="278"/>
        </w:trPr>
        <w:tc>
          <w:tcPr>
            <w:tcW w:w="2280" w:type="dxa"/>
            <w:vMerge w:val="restart"/>
          </w:tcPr>
          <w:p w14:paraId="7A94A03D" w14:textId="77777777" w:rsidR="004022CD" w:rsidRPr="000B05BB" w:rsidRDefault="004022CD" w:rsidP="001F3116">
            <w:pPr>
              <w:spacing w:line="264" w:lineRule="auto"/>
              <w:rPr>
                <w:sz w:val="18"/>
                <w:szCs w:val="18"/>
              </w:rPr>
            </w:pPr>
            <w:r w:rsidRPr="000B05BB">
              <w:rPr>
                <w:sz w:val="18"/>
                <w:szCs w:val="18"/>
              </w:rPr>
              <w:t>Protease inhibitors</w:t>
            </w:r>
          </w:p>
        </w:tc>
        <w:tc>
          <w:tcPr>
            <w:tcW w:w="5091" w:type="dxa"/>
          </w:tcPr>
          <w:p w14:paraId="32D42D96" w14:textId="77777777" w:rsidR="004022CD" w:rsidRPr="000B05BB" w:rsidRDefault="004022CD" w:rsidP="001F3116">
            <w:pPr>
              <w:spacing w:line="264" w:lineRule="auto"/>
              <w:rPr>
                <w:sz w:val="18"/>
                <w:szCs w:val="18"/>
              </w:rPr>
            </w:pPr>
            <w:r w:rsidRPr="000B05BB">
              <w:rPr>
                <w:sz w:val="18"/>
                <w:szCs w:val="18"/>
              </w:rPr>
              <w:t xml:space="preserve">atazanavir (Reyataz) </w:t>
            </w:r>
          </w:p>
        </w:tc>
        <w:tc>
          <w:tcPr>
            <w:tcW w:w="1843" w:type="dxa"/>
          </w:tcPr>
          <w:p w14:paraId="10E59CDA" w14:textId="77777777" w:rsidR="004022CD" w:rsidRPr="000B05BB" w:rsidRDefault="004022CD" w:rsidP="001F3116">
            <w:pPr>
              <w:spacing w:line="264" w:lineRule="auto"/>
              <w:rPr>
                <w:sz w:val="18"/>
                <w:szCs w:val="18"/>
              </w:rPr>
            </w:pPr>
            <w:r w:rsidRPr="000B05BB">
              <w:rPr>
                <w:sz w:val="18"/>
                <w:szCs w:val="18"/>
              </w:rPr>
              <w:t>J05AE08</w:t>
            </w:r>
          </w:p>
        </w:tc>
        <w:tc>
          <w:tcPr>
            <w:tcW w:w="3292" w:type="dxa"/>
          </w:tcPr>
          <w:p w14:paraId="53BF0400" w14:textId="77777777" w:rsidR="004022CD" w:rsidRPr="000B05BB" w:rsidRDefault="004022CD" w:rsidP="001F3116">
            <w:pPr>
              <w:spacing w:line="264" w:lineRule="auto"/>
              <w:rPr>
                <w:sz w:val="18"/>
                <w:szCs w:val="18"/>
              </w:rPr>
            </w:pPr>
            <w:r w:rsidRPr="000B05BB">
              <w:rPr>
                <w:sz w:val="18"/>
                <w:szCs w:val="18"/>
              </w:rPr>
              <w:t>10276W</w:t>
            </w:r>
            <w:r>
              <w:rPr>
                <w:sz w:val="18"/>
                <w:szCs w:val="18"/>
              </w:rPr>
              <w:t xml:space="preserve"> </w:t>
            </w:r>
            <w:r w:rsidRPr="005C27B6">
              <w:rPr>
                <w:sz w:val="18"/>
                <w:szCs w:val="18"/>
              </w:rPr>
              <w:t>(listed J</w:t>
            </w:r>
            <w:r>
              <w:rPr>
                <w:sz w:val="18"/>
                <w:szCs w:val="18"/>
              </w:rPr>
              <w:t>uly 2015</w:t>
            </w:r>
            <w:r w:rsidRPr="005C27B6">
              <w:rPr>
                <w:sz w:val="18"/>
                <w:szCs w:val="18"/>
              </w:rPr>
              <w:t xml:space="preserve">; deleted </w:t>
            </w:r>
            <w:r>
              <w:rPr>
                <w:sz w:val="18"/>
                <w:szCs w:val="18"/>
              </w:rPr>
              <w:t>Mar 2020</w:t>
            </w:r>
            <w:r w:rsidRPr="005C27B6">
              <w:rPr>
                <w:sz w:val="18"/>
                <w:szCs w:val="18"/>
              </w:rPr>
              <w:t>)</w:t>
            </w:r>
          </w:p>
          <w:p w14:paraId="620965AA" w14:textId="77777777" w:rsidR="004022CD" w:rsidRPr="000B05BB" w:rsidRDefault="004022CD" w:rsidP="001F3116">
            <w:pPr>
              <w:spacing w:line="264" w:lineRule="auto"/>
              <w:rPr>
                <w:sz w:val="18"/>
                <w:szCs w:val="18"/>
              </w:rPr>
            </w:pPr>
            <w:r w:rsidRPr="000B05BB">
              <w:rPr>
                <w:sz w:val="18"/>
                <w:szCs w:val="18"/>
              </w:rPr>
              <w:t>10321F</w:t>
            </w:r>
            <w:r>
              <w:rPr>
                <w:sz w:val="18"/>
                <w:szCs w:val="18"/>
              </w:rPr>
              <w:t xml:space="preserve"> </w:t>
            </w:r>
            <w:r w:rsidRPr="0052757F">
              <w:rPr>
                <w:sz w:val="18"/>
                <w:szCs w:val="18"/>
              </w:rPr>
              <w:t xml:space="preserve">(listed </w:t>
            </w:r>
            <w:r>
              <w:rPr>
                <w:sz w:val="18"/>
                <w:szCs w:val="18"/>
              </w:rPr>
              <w:t>July 2015</w:t>
            </w:r>
            <w:r w:rsidRPr="0052757F">
              <w:rPr>
                <w:sz w:val="18"/>
                <w:szCs w:val="18"/>
              </w:rPr>
              <w:t>)</w:t>
            </w:r>
          </w:p>
          <w:p w14:paraId="1D8E19A7" w14:textId="77777777" w:rsidR="004022CD" w:rsidRPr="000B05BB" w:rsidRDefault="004022CD" w:rsidP="001F3116">
            <w:pPr>
              <w:spacing w:line="264" w:lineRule="auto"/>
              <w:rPr>
                <w:sz w:val="18"/>
                <w:szCs w:val="18"/>
              </w:rPr>
            </w:pPr>
            <w:r w:rsidRPr="000B05BB">
              <w:rPr>
                <w:sz w:val="18"/>
                <w:szCs w:val="18"/>
              </w:rPr>
              <w:t>10349Q</w:t>
            </w:r>
            <w:r>
              <w:rPr>
                <w:sz w:val="18"/>
                <w:szCs w:val="18"/>
              </w:rPr>
              <w:t xml:space="preserve"> </w:t>
            </w:r>
            <w:r w:rsidRPr="0052757F">
              <w:rPr>
                <w:sz w:val="18"/>
                <w:szCs w:val="18"/>
              </w:rPr>
              <w:t>(listed Ju</w:t>
            </w:r>
            <w:r>
              <w:rPr>
                <w:sz w:val="18"/>
                <w:szCs w:val="18"/>
              </w:rPr>
              <w:t>ly</w:t>
            </w:r>
            <w:r w:rsidRPr="0052757F">
              <w:rPr>
                <w:sz w:val="18"/>
                <w:szCs w:val="18"/>
              </w:rPr>
              <w:t xml:space="preserve"> 2015)</w:t>
            </w:r>
          </w:p>
          <w:p w14:paraId="6F7AEEE9" w14:textId="77777777" w:rsidR="004022CD" w:rsidRPr="000B05BB" w:rsidRDefault="004022CD" w:rsidP="001F3116">
            <w:pPr>
              <w:spacing w:line="264" w:lineRule="auto"/>
              <w:rPr>
                <w:sz w:val="18"/>
                <w:szCs w:val="18"/>
              </w:rPr>
            </w:pPr>
            <w:r w:rsidRPr="000B05BB">
              <w:rPr>
                <w:sz w:val="18"/>
                <w:szCs w:val="18"/>
              </w:rPr>
              <w:t>11657M</w:t>
            </w:r>
            <w:r>
              <w:rPr>
                <w:sz w:val="18"/>
                <w:szCs w:val="18"/>
              </w:rPr>
              <w:t xml:space="preserve"> (listed April 2019)</w:t>
            </w:r>
          </w:p>
        </w:tc>
      </w:tr>
      <w:tr w:rsidR="004022CD" w:rsidRPr="000B05BB" w14:paraId="54179618" w14:textId="77777777" w:rsidTr="004022CD">
        <w:trPr>
          <w:trHeight w:val="263"/>
        </w:trPr>
        <w:tc>
          <w:tcPr>
            <w:tcW w:w="2280" w:type="dxa"/>
            <w:vMerge/>
          </w:tcPr>
          <w:p w14:paraId="6351C509" w14:textId="77777777" w:rsidR="004022CD" w:rsidRPr="000B05BB" w:rsidRDefault="004022CD" w:rsidP="001F3116">
            <w:pPr>
              <w:spacing w:line="264" w:lineRule="auto"/>
              <w:rPr>
                <w:sz w:val="18"/>
                <w:szCs w:val="18"/>
              </w:rPr>
            </w:pPr>
          </w:p>
        </w:tc>
        <w:tc>
          <w:tcPr>
            <w:tcW w:w="5091" w:type="dxa"/>
          </w:tcPr>
          <w:p w14:paraId="5300D74A" w14:textId="77777777" w:rsidR="004022CD" w:rsidRPr="000B05BB" w:rsidRDefault="004022CD" w:rsidP="001F3116">
            <w:pPr>
              <w:spacing w:line="264" w:lineRule="auto"/>
              <w:rPr>
                <w:sz w:val="18"/>
                <w:szCs w:val="18"/>
              </w:rPr>
            </w:pPr>
            <w:r w:rsidRPr="000B05BB">
              <w:rPr>
                <w:sz w:val="18"/>
                <w:szCs w:val="18"/>
              </w:rPr>
              <w:t>darunavir (</w:t>
            </w:r>
            <w:proofErr w:type="spellStart"/>
            <w:r w:rsidRPr="000B05BB">
              <w:rPr>
                <w:sz w:val="18"/>
                <w:szCs w:val="18"/>
              </w:rPr>
              <w:t>Prezista</w:t>
            </w:r>
            <w:proofErr w:type="spellEnd"/>
            <w:r w:rsidRPr="000B05BB">
              <w:rPr>
                <w:sz w:val="18"/>
                <w:szCs w:val="18"/>
              </w:rPr>
              <w:t xml:space="preserve">) </w:t>
            </w:r>
          </w:p>
        </w:tc>
        <w:tc>
          <w:tcPr>
            <w:tcW w:w="1843" w:type="dxa"/>
          </w:tcPr>
          <w:p w14:paraId="358516DE" w14:textId="005CA6A0" w:rsidR="004022CD" w:rsidRPr="000B05BB" w:rsidRDefault="004022CD" w:rsidP="00EF6144">
            <w:pPr>
              <w:spacing w:line="264" w:lineRule="auto"/>
              <w:rPr>
                <w:sz w:val="18"/>
                <w:szCs w:val="18"/>
              </w:rPr>
            </w:pPr>
            <w:r w:rsidRPr="000B05BB">
              <w:rPr>
                <w:sz w:val="18"/>
                <w:szCs w:val="18"/>
              </w:rPr>
              <w:t>J05AE10</w:t>
            </w:r>
          </w:p>
        </w:tc>
        <w:tc>
          <w:tcPr>
            <w:tcW w:w="3292" w:type="dxa"/>
          </w:tcPr>
          <w:p w14:paraId="50333A82" w14:textId="77777777" w:rsidR="004022CD" w:rsidRPr="000B05BB" w:rsidRDefault="004022CD" w:rsidP="001F3116">
            <w:pPr>
              <w:spacing w:line="264" w:lineRule="auto"/>
              <w:rPr>
                <w:sz w:val="18"/>
                <w:szCs w:val="18"/>
              </w:rPr>
            </w:pPr>
            <w:r w:rsidRPr="000B05BB">
              <w:rPr>
                <w:sz w:val="18"/>
                <w:szCs w:val="18"/>
              </w:rPr>
              <w:t>10367P</w:t>
            </w:r>
            <w:r>
              <w:rPr>
                <w:sz w:val="18"/>
                <w:szCs w:val="18"/>
              </w:rPr>
              <w:t xml:space="preserve"> </w:t>
            </w:r>
            <w:r w:rsidRPr="00F84684">
              <w:rPr>
                <w:sz w:val="18"/>
                <w:szCs w:val="18"/>
              </w:rPr>
              <w:t>(listed Ju</w:t>
            </w:r>
            <w:r>
              <w:rPr>
                <w:sz w:val="18"/>
                <w:szCs w:val="18"/>
              </w:rPr>
              <w:t>ly</w:t>
            </w:r>
            <w:r w:rsidRPr="00F84684">
              <w:rPr>
                <w:sz w:val="18"/>
                <w:szCs w:val="18"/>
              </w:rPr>
              <w:t xml:space="preserve"> 2015)</w:t>
            </w:r>
          </w:p>
        </w:tc>
      </w:tr>
      <w:tr w:rsidR="004022CD" w:rsidRPr="000B05BB" w14:paraId="265FD2CD" w14:textId="77777777" w:rsidTr="004022CD">
        <w:trPr>
          <w:trHeight w:val="263"/>
        </w:trPr>
        <w:tc>
          <w:tcPr>
            <w:tcW w:w="2280" w:type="dxa"/>
            <w:vMerge/>
          </w:tcPr>
          <w:p w14:paraId="27E6005F" w14:textId="77777777" w:rsidR="004022CD" w:rsidRPr="000B05BB" w:rsidRDefault="004022CD" w:rsidP="001F3116">
            <w:pPr>
              <w:spacing w:line="264" w:lineRule="auto"/>
              <w:rPr>
                <w:sz w:val="18"/>
                <w:szCs w:val="18"/>
              </w:rPr>
            </w:pPr>
          </w:p>
        </w:tc>
        <w:tc>
          <w:tcPr>
            <w:tcW w:w="5091" w:type="dxa"/>
          </w:tcPr>
          <w:p w14:paraId="3DA8F455" w14:textId="7069B055" w:rsidR="004022CD" w:rsidRPr="000B05BB" w:rsidRDefault="00943225" w:rsidP="001F3116">
            <w:pPr>
              <w:spacing w:line="264" w:lineRule="auto"/>
              <w:rPr>
                <w:sz w:val="18"/>
                <w:szCs w:val="18"/>
              </w:rPr>
            </w:pPr>
            <w:r>
              <w:rPr>
                <w:sz w:val="18"/>
                <w:szCs w:val="18"/>
              </w:rPr>
              <w:t>d</w:t>
            </w:r>
            <w:r w:rsidR="004022CD" w:rsidRPr="000B05BB">
              <w:rPr>
                <w:sz w:val="18"/>
                <w:szCs w:val="18"/>
              </w:rPr>
              <w:t>arunavir</w:t>
            </w:r>
            <w:r>
              <w:rPr>
                <w:sz w:val="18"/>
                <w:szCs w:val="18"/>
              </w:rPr>
              <w:t xml:space="preserve"> + </w:t>
            </w:r>
            <w:r w:rsidR="004022CD" w:rsidRPr="000B05BB">
              <w:rPr>
                <w:sz w:val="18"/>
                <w:szCs w:val="18"/>
              </w:rPr>
              <w:t>cobi</w:t>
            </w:r>
            <w:r w:rsidR="00EA1B9C">
              <w:rPr>
                <w:sz w:val="18"/>
                <w:szCs w:val="18"/>
              </w:rPr>
              <w:t>ci</w:t>
            </w:r>
            <w:r w:rsidR="004022CD" w:rsidRPr="000B05BB">
              <w:rPr>
                <w:sz w:val="18"/>
                <w:szCs w:val="18"/>
              </w:rPr>
              <w:t>stat (</w:t>
            </w:r>
            <w:proofErr w:type="spellStart"/>
            <w:r w:rsidR="004022CD" w:rsidRPr="000B05BB">
              <w:rPr>
                <w:sz w:val="18"/>
                <w:szCs w:val="18"/>
              </w:rPr>
              <w:t>Prezcobix</w:t>
            </w:r>
            <w:proofErr w:type="spellEnd"/>
            <w:r w:rsidR="004022CD" w:rsidRPr="000B05BB">
              <w:rPr>
                <w:sz w:val="18"/>
                <w:szCs w:val="18"/>
              </w:rPr>
              <w:t>)</w:t>
            </w:r>
          </w:p>
        </w:tc>
        <w:tc>
          <w:tcPr>
            <w:tcW w:w="1843" w:type="dxa"/>
          </w:tcPr>
          <w:p w14:paraId="15B24716" w14:textId="77777777" w:rsidR="004022CD" w:rsidRPr="000B05BB" w:rsidRDefault="004022CD" w:rsidP="001F3116">
            <w:pPr>
              <w:spacing w:line="264" w:lineRule="auto"/>
              <w:rPr>
                <w:sz w:val="18"/>
                <w:szCs w:val="18"/>
              </w:rPr>
            </w:pPr>
            <w:r w:rsidRPr="000B05BB">
              <w:rPr>
                <w:sz w:val="18"/>
                <w:szCs w:val="18"/>
              </w:rPr>
              <w:t>J05AR14</w:t>
            </w:r>
          </w:p>
        </w:tc>
        <w:tc>
          <w:tcPr>
            <w:tcW w:w="3292" w:type="dxa"/>
          </w:tcPr>
          <w:p w14:paraId="735DC12D" w14:textId="77777777" w:rsidR="004022CD" w:rsidRPr="000B05BB" w:rsidRDefault="004022CD" w:rsidP="001F3116">
            <w:pPr>
              <w:spacing w:line="264" w:lineRule="auto"/>
              <w:rPr>
                <w:sz w:val="18"/>
                <w:szCs w:val="18"/>
              </w:rPr>
            </w:pPr>
            <w:r w:rsidRPr="00EF6144">
              <w:rPr>
                <w:sz w:val="18"/>
                <w:szCs w:val="18"/>
              </w:rPr>
              <w:t>10903W (listed Oct 2016)</w:t>
            </w:r>
          </w:p>
        </w:tc>
      </w:tr>
      <w:tr w:rsidR="004022CD" w:rsidRPr="000B05BB" w14:paraId="2E52D099" w14:textId="77777777" w:rsidTr="004022CD">
        <w:trPr>
          <w:trHeight w:val="263"/>
        </w:trPr>
        <w:tc>
          <w:tcPr>
            <w:tcW w:w="2280" w:type="dxa"/>
            <w:vMerge/>
          </w:tcPr>
          <w:p w14:paraId="4526D69E" w14:textId="77777777" w:rsidR="004022CD" w:rsidRPr="000B05BB" w:rsidRDefault="004022CD" w:rsidP="001F3116">
            <w:pPr>
              <w:spacing w:line="264" w:lineRule="auto"/>
              <w:rPr>
                <w:sz w:val="18"/>
                <w:szCs w:val="18"/>
              </w:rPr>
            </w:pPr>
          </w:p>
        </w:tc>
        <w:tc>
          <w:tcPr>
            <w:tcW w:w="5091" w:type="dxa"/>
          </w:tcPr>
          <w:p w14:paraId="7E04448F" w14:textId="40F03108" w:rsidR="004022CD" w:rsidRPr="000B05BB" w:rsidRDefault="00033690" w:rsidP="001F3116">
            <w:pPr>
              <w:spacing w:line="264" w:lineRule="auto"/>
              <w:rPr>
                <w:sz w:val="18"/>
                <w:szCs w:val="18"/>
              </w:rPr>
            </w:pPr>
            <w:r>
              <w:rPr>
                <w:sz w:val="18"/>
                <w:szCs w:val="18"/>
              </w:rPr>
              <w:t>f</w:t>
            </w:r>
            <w:r w:rsidR="004022CD" w:rsidRPr="000B05BB">
              <w:rPr>
                <w:sz w:val="18"/>
                <w:szCs w:val="18"/>
              </w:rPr>
              <w:t>osamprenavir</w:t>
            </w:r>
            <w:r w:rsidR="00555B37">
              <w:rPr>
                <w:sz w:val="18"/>
                <w:szCs w:val="18"/>
              </w:rPr>
              <w:t xml:space="preserve"> (Telzir)</w:t>
            </w:r>
          </w:p>
        </w:tc>
        <w:tc>
          <w:tcPr>
            <w:tcW w:w="1843" w:type="dxa"/>
          </w:tcPr>
          <w:p w14:paraId="04C72800" w14:textId="77777777" w:rsidR="004022CD" w:rsidRPr="000B05BB" w:rsidRDefault="004022CD" w:rsidP="001F3116">
            <w:pPr>
              <w:spacing w:line="264" w:lineRule="auto"/>
              <w:rPr>
                <w:sz w:val="18"/>
                <w:szCs w:val="18"/>
              </w:rPr>
            </w:pPr>
            <w:r w:rsidRPr="000B05BB">
              <w:rPr>
                <w:sz w:val="18"/>
                <w:szCs w:val="18"/>
              </w:rPr>
              <w:t>J05AE07</w:t>
            </w:r>
          </w:p>
        </w:tc>
        <w:tc>
          <w:tcPr>
            <w:tcW w:w="3292" w:type="dxa"/>
          </w:tcPr>
          <w:p w14:paraId="71F54BD6" w14:textId="3BF56440" w:rsidR="004022CD" w:rsidRPr="000B05BB" w:rsidRDefault="004022CD" w:rsidP="001F3116">
            <w:pPr>
              <w:spacing w:line="264" w:lineRule="auto"/>
              <w:rPr>
                <w:sz w:val="18"/>
                <w:szCs w:val="18"/>
              </w:rPr>
            </w:pPr>
            <w:r w:rsidRPr="000B05BB">
              <w:rPr>
                <w:sz w:val="18"/>
                <w:szCs w:val="18"/>
              </w:rPr>
              <w:t>10337C</w:t>
            </w:r>
            <w:r>
              <w:rPr>
                <w:sz w:val="18"/>
                <w:szCs w:val="18"/>
              </w:rPr>
              <w:t xml:space="preserve"> (listed July 2015)</w:t>
            </w:r>
          </w:p>
        </w:tc>
      </w:tr>
      <w:tr w:rsidR="004022CD" w:rsidRPr="000B05BB" w14:paraId="1078FCF2" w14:textId="77777777" w:rsidTr="004022CD">
        <w:trPr>
          <w:trHeight w:val="278"/>
        </w:trPr>
        <w:tc>
          <w:tcPr>
            <w:tcW w:w="2280" w:type="dxa"/>
            <w:vMerge/>
          </w:tcPr>
          <w:p w14:paraId="3A19510E" w14:textId="77777777" w:rsidR="004022CD" w:rsidRPr="000B05BB" w:rsidRDefault="004022CD" w:rsidP="001F3116">
            <w:pPr>
              <w:spacing w:line="264" w:lineRule="auto"/>
              <w:rPr>
                <w:sz w:val="18"/>
                <w:szCs w:val="18"/>
              </w:rPr>
            </w:pPr>
          </w:p>
        </w:tc>
        <w:tc>
          <w:tcPr>
            <w:tcW w:w="5091" w:type="dxa"/>
          </w:tcPr>
          <w:p w14:paraId="784746E5" w14:textId="77777777" w:rsidR="004022CD" w:rsidRPr="000B05BB" w:rsidRDefault="004022CD" w:rsidP="001F3116">
            <w:pPr>
              <w:spacing w:line="264" w:lineRule="auto"/>
              <w:rPr>
                <w:sz w:val="18"/>
                <w:szCs w:val="18"/>
              </w:rPr>
            </w:pPr>
            <w:r w:rsidRPr="000B05BB">
              <w:rPr>
                <w:sz w:val="18"/>
                <w:szCs w:val="18"/>
              </w:rPr>
              <w:t>indinavir (</w:t>
            </w:r>
            <w:proofErr w:type="spellStart"/>
            <w:r w:rsidRPr="000B05BB">
              <w:rPr>
                <w:sz w:val="18"/>
                <w:szCs w:val="18"/>
              </w:rPr>
              <w:t>Crixivan</w:t>
            </w:r>
            <w:proofErr w:type="spellEnd"/>
            <w:r w:rsidRPr="000B05BB">
              <w:rPr>
                <w:sz w:val="18"/>
                <w:szCs w:val="18"/>
              </w:rPr>
              <w:t xml:space="preserve">) </w:t>
            </w:r>
          </w:p>
        </w:tc>
        <w:tc>
          <w:tcPr>
            <w:tcW w:w="1843" w:type="dxa"/>
          </w:tcPr>
          <w:p w14:paraId="6177C3F6" w14:textId="77777777" w:rsidR="004022CD" w:rsidRPr="000B05BB" w:rsidRDefault="004022CD" w:rsidP="001F3116">
            <w:pPr>
              <w:spacing w:line="264" w:lineRule="auto"/>
              <w:rPr>
                <w:sz w:val="18"/>
                <w:szCs w:val="18"/>
              </w:rPr>
            </w:pPr>
            <w:r w:rsidRPr="000B05BB">
              <w:rPr>
                <w:sz w:val="18"/>
                <w:szCs w:val="18"/>
              </w:rPr>
              <w:t>J05AE02</w:t>
            </w:r>
          </w:p>
        </w:tc>
        <w:tc>
          <w:tcPr>
            <w:tcW w:w="3292" w:type="dxa"/>
          </w:tcPr>
          <w:p w14:paraId="4AA5AF79" w14:textId="77777777" w:rsidR="004022CD" w:rsidRPr="000B05BB" w:rsidRDefault="004022CD" w:rsidP="001F3116">
            <w:pPr>
              <w:spacing w:line="264" w:lineRule="auto"/>
              <w:rPr>
                <w:sz w:val="18"/>
                <w:szCs w:val="18"/>
              </w:rPr>
            </w:pPr>
            <w:r w:rsidRPr="000B05BB">
              <w:rPr>
                <w:sz w:val="18"/>
                <w:szCs w:val="18"/>
              </w:rPr>
              <w:t>10363K</w:t>
            </w:r>
            <w:r>
              <w:rPr>
                <w:sz w:val="18"/>
                <w:szCs w:val="18"/>
              </w:rPr>
              <w:t xml:space="preserve"> (listed July 2015; deleted Sep 2018)</w:t>
            </w:r>
          </w:p>
        </w:tc>
      </w:tr>
      <w:tr w:rsidR="004022CD" w:rsidRPr="000B05BB" w14:paraId="700D4C4D" w14:textId="77777777" w:rsidTr="004022CD">
        <w:trPr>
          <w:trHeight w:val="263"/>
        </w:trPr>
        <w:tc>
          <w:tcPr>
            <w:tcW w:w="2280" w:type="dxa"/>
            <w:vMerge/>
          </w:tcPr>
          <w:p w14:paraId="0C8C84AB" w14:textId="77777777" w:rsidR="004022CD" w:rsidRPr="000B05BB" w:rsidRDefault="004022CD" w:rsidP="001F3116">
            <w:pPr>
              <w:spacing w:line="264" w:lineRule="auto"/>
              <w:rPr>
                <w:sz w:val="18"/>
                <w:szCs w:val="18"/>
              </w:rPr>
            </w:pPr>
          </w:p>
        </w:tc>
        <w:tc>
          <w:tcPr>
            <w:tcW w:w="5091" w:type="dxa"/>
          </w:tcPr>
          <w:p w14:paraId="05CA42CE" w14:textId="65185648" w:rsidR="004022CD" w:rsidRPr="000B05BB" w:rsidRDefault="00412419" w:rsidP="001F3116">
            <w:pPr>
              <w:spacing w:line="264" w:lineRule="auto"/>
              <w:rPr>
                <w:sz w:val="18"/>
                <w:szCs w:val="18"/>
              </w:rPr>
            </w:pPr>
            <w:r>
              <w:rPr>
                <w:sz w:val="18"/>
                <w:szCs w:val="18"/>
              </w:rPr>
              <w:t>l</w:t>
            </w:r>
            <w:r w:rsidR="004022CD" w:rsidRPr="000B05BB">
              <w:rPr>
                <w:sz w:val="18"/>
                <w:szCs w:val="18"/>
              </w:rPr>
              <w:t>opinavir</w:t>
            </w:r>
            <w:r>
              <w:rPr>
                <w:sz w:val="18"/>
                <w:szCs w:val="18"/>
              </w:rPr>
              <w:t xml:space="preserve">+ </w:t>
            </w:r>
            <w:r w:rsidR="004022CD" w:rsidRPr="000B05BB">
              <w:rPr>
                <w:sz w:val="18"/>
                <w:szCs w:val="18"/>
              </w:rPr>
              <w:t>ritonavir (</w:t>
            </w:r>
            <w:proofErr w:type="spellStart"/>
            <w:r w:rsidR="004022CD" w:rsidRPr="000B05BB">
              <w:rPr>
                <w:sz w:val="18"/>
                <w:szCs w:val="18"/>
              </w:rPr>
              <w:t>Kaletra</w:t>
            </w:r>
            <w:proofErr w:type="spellEnd"/>
            <w:r w:rsidR="004022CD" w:rsidRPr="000B05BB">
              <w:rPr>
                <w:sz w:val="18"/>
                <w:szCs w:val="18"/>
              </w:rPr>
              <w:t xml:space="preserve">) </w:t>
            </w:r>
          </w:p>
        </w:tc>
        <w:tc>
          <w:tcPr>
            <w:tcW w:w="1843" w:type="dxa"/>
          </w:tcPr>
          <w:p w14:paraId="3B719288" w14:textId="77777777" w:rsidR="004022CD" w:rsidRPr="000B05BB" w:rsidRDefault="004022CD" w:rsidP="001F3116">
            <w:pPr>
              <w:spacing w:line="264" w:lineRule="auto"/>
              <w:rPr>
                <w:sz w:val="18"/>
                <w:szCs w:val="18"/>
              </w:rPr>
            </w:pPr>
            <w:r w:rsidRPr="000B05BB">
              <w:rPr>
                <w:sz w:val="18"/>
                <w:szCs w:val="18"/>
              </w:rPr>
              <w:t>J05AR10</w:t>
            </w:r>
          </w:p>
        </w:tc>
        <w:tc>
          <w:tcPr>
            <w:tcW w:w="3292" w:type="dxa"/>
          </w:tcPr>
          <w:p w14:paraId="0F0F4001" w14:textId="77777777" w:rsidR="004022CD" w:rsidRPr="000B05BB" w:rsidRDefault="004022CD" w:rsidP="001F3116">
            <w:pPr>
              <w:spacing w:line="264" w:lineRule="auto"/>
              <w:rPr>
                <w:sz w:val="18"/>
                <w:szCs w:val="18"/>
              </w:rPr>
            </w:pPr>
            <w:r w:rsidRPr="000B05BB">
              <w:rPr>
                <w:sz w:val="18"/>
                <w:szCs w:val="18"/>
              </w:rPr>
              <w:t>10272P</w:t>
            </w:r>
            <w:r>
              <w:rPr>
                <w:sz w:val="18"/>
                <w:szCs w:val="18"/>
              </w:rPr>
              <w:t xml:space="preserve"> (listed July 2015)</w:t>
            </w:r>
          </w:p>
          <w:p w14:paraId="57171C9C" w14:textId="77777777" w:rsidR="004022CD" w:rsidRPr="000B05BB" w:rsidRDefault="004022CD" w:rsidP="001F3116">
            <w:pPr>
              <w:spacing w:line="264" w:lineRule="auto"/>
              <w:rPr>
                <w:sz w:val="18"/>
                <w:szCs w:val="18"/>
              </w:rPr>
            </w:pPr>
            <w:r w:rsidRPr="000B05BB">
              <w:rPr>
                <w:sz w:val="18"/>
                <w:szCs w:val="18"/>
              </w:rPr>
              <w:t>10285H</w:t>
            </w:r>
            <w:r>
              <w:rPr>
                <w:sz w:val="18"/>
                <w:szCs w:val="18"/>
              </w:rPr>
              <w:t xml:space="preserve"> </w:t>
            </w:r>
            <w:r w:rsidRPr="00F432DD">
              <w:rPr>
                <w:sz w:val="18"/>
                <w:szCs w:val="18"/>
              </w:rPr>
              <w:t>(listed July 2015)</w:t>
            </w:r>
          </w:p>
          <w:p w14:paraId="2CB179FE" w14:textId="77777777" w:rsidR="004022CD" w:rsidRPr="000B05BB" w:rsidRDefault="004022CD" w:rsidP="001F3116">
            <w:pPr>
              <w:spacing w:line="264" w:lineRule="auto"/>
              <w:rPr>
                <w:sz w:val="18"/>
                <w:szCs w:val="18"/>
              </w:rPr>
            </w:pPr>
            <w:r w:rsidRPr="000B05BB">
              <w:rPr>
                <w:sz w:val="18"/>
                <w:szCs w:val="18"/>
              </w:rPr>
              <w:t>10327M</w:t>
            </w:r>
            <w:r>
              <w:rPr>
                <w:sz w:val="18"/>
                <w:szCs w:val="18"/>
              </w:rPr>
              <w:t xml:space="preserve"> </w:t>
            </w:r>
            <w:r w:rsidRPr="00F432DD">
              <w:rPr>
                <w:sz w:val="18"/>
                <w:szCs w:val="18"/>
              </w:rPr>
              <w:t>(listed July 2015)</w:t>
            </w:r>
          </w:p>
        </w:tc>
      </w:tr>
      <w:tr w:rsidR="004022CD" w:rsidRPr="000B05BB" w14:paraId="171ED76C" w14:textId="77777777" w:rsidTr="004022CD">
        <w:trPr>
          <w:trHeight w:val="263"/>
        </w:trPr>
        <w:tc>
          <w:tcPr>
            <w:tcW w:w="2280" w:type="dxa"/>
            <w:vMerge/>
          </w:tcPr>
          <w:p w14:paraId="23FE4024" w14:textId="77777777" w:rsidR="004022CD" w:rsidRPr="000B05BB" w:rsidRDefault="004022CD" w:rsidP="001F3116">
            <w:pPr>
              <w:spacing w:line="264" w:lineRule="auto"/>
              <w:rPr>
                <w:sz w:val="18"/>
                <w:szCs w:val="18"/>
              </w:rPr>
            </w:pPr>
          </w:p>
        </w:tc>
        <w:tc>
          <w:tcPr>
            <w:tcW w:w="5091" w:type="dxa"/>
          </w:tcPr>
          <w:p w14:paraId="6BEF6570" w14:textId="3A83AAA0" w:rsidR="004022CD" w:rsidRPr="000B05BB" w:rsidRDefault="004022CD" w:rsidP="001F3116">
            <w:pPr>
              <w:spacing w:line="264" w:lineRule="auto"/>
              <w:rPr>
                <w:sz w:val="18"/>
                <w:szCs w:val="18"/>
              </w:rPr>
            </w:pPr>
            <w:r w:rsidRPr="000B05BB">
              <w:rPr>
                <w:sz w:val="18"/>
                <w:szCs w:val="18"/>
              </w:rPr>
              <w:t xml:space="preserve">ritonavir (Norvir) </w:t>
            </w:r>
          </w:p>
        </w:tc>
        <w:tc>
          <w:tcPr>
            <w:tcW w:w="1843" w:type="dxa"/>
          </w:tcPr>
          <w:p w14:paraId="38630FB6" w14:textId="409A2498" w:rsidR="004022CD" w:rsidRPr="000B05BB" w:rsidRDefault="004022CD" w:rsidP="00351882">
            <w:pPr>
              <w:spacing w:line="264" w:lineRule="auto"/>
              <w:rPr>
                <w:sz w:val="18"/>
                <w:szCs w:val="18"/>
              </w:rPr>
            </w:pPr>
            <w:r w:rsidRPr="000B05BB">
              <w:rPr>
                <w:sz w:val="18"/>
                <w:szCs w:val="18"/>
              </w:rPr>
              <w:t>J05AE03</w:t>
            </w:r>
          </w:p>
        </w:tc>
        <w:tc>
          <w:tcPr>
            <w:tcW w:w="3292" w:type="dxa"/>
          </w:tcPr>
          <w:p w14:paraId="4B5E88FE" w14:textId="77777777" w:rsidR="004022CD" w:rsidRPr="000B05BB" w:rsidRDefault="004022CD" w:rsidP="001F3116">
            <w:pPr>
              <w:spacing w:line="264" w:lineRule="auto"/>
              <w:rPr>
                <w:sz w:val="18"/>
                <w:szCs w:val="18"/>
              </w:rPr>
            </w:pPr>
            <w:r w:rsidRPr="000B05BB">
              <w:rPr>
                <w:sz w:val="18"/>
                <w:szCs w:val="18"/>
              </w:rPr>
              <w:t>10273Q</w:t>
            </w:r>
            <w:r>
              <w:rPr>
                <w:sz w:val="18"/>
                <w:szCs w:val="18"/>
              </w:rPr>
              <w:t xml:space="preserve"> </w:t>
            </w:r>
            <w:r w:rsidRPr="00F023C5">
              <w:rPr>
                <w:sz w:val="18"/>
                <w:szCs w:val="18"/>
              </w:rPr>
              <w:t>(listed July 2015)</w:t>
            </w:r>
          </w:p>
          <w:p w14:paraId="04BA43E1" w14:textId="77777777" w:rsidR="004022CD" w:rsidRPr="000B05BB" w:rsidRDefault="004022CD" w:rsidP="001F3116">
            <w:pPr>
              <w:spacing w:line="264" w:lineRule="auto"/>
              <w:rPr>
                <w:sz w:val="18"/>
                <w:szCs w:val="18"/>
              </w:rPr>
            </w:pPr>
            <w:r w:rsidRPr="000B05BB">
              <w:rPr>
                <w:sz w:val="18"/>
                <w:szCs w:val="18"/>
              </w:rPr>
              <w:t>10300D</w:t>
            </w:r>
            <w:r>
              <w:rPr>
                <w:sz w:val="18"/>
                <w:szCs w:val="18"/>
              </w:rPr>
              <w:t xml:space="preserve"> </w:t>
            </w:r>
            <w:r w:rsidRPr="007861E5">
              <w:rPr>
                <w:sz w:val="18"/>
                <w:szCs w:val="18"/>
              </w:rPr>
              <w:t>(listed July 2015</w:t>
            </w:r>
            <w:r>
              <w:rPr>
                <w:sz w:val="18"/>
                <w:szCs w:val="18"/>
              </w:rPr>
              <w:t>; deleted June 2019)</w:t>
            </w:r>
            <w:r w:rsidRPr="007861E5">
              <w:rPr>
                <w:sz w:val="18"/>
                <w:szCs w:val="18"/>
              </w:rPr>
              <w:t>)</w:t>
            </w:r>
          </w:p>
        </w:tc>
      </w:tr>
      <w:tr w:rsidR="004022CD" w:rsidRPr="000B05BB" w14:paraId="5F09960E" w14:textId="77777777" w:rsidTr="004022CD">
        <w:trPr>
          <w:trHeight w:val="278"/>
        </w:trPr>
        <w:tc>
          <w:tcPr>
            <w:tcW w:w="2280" w:type="dxa"/>
            <w:vMerge/>
          </w:tcPr>
          <w:p w14:paraId="153AF7B8" w14:textId="77777777" w:rsidR="004022CD" w:rsidRPr="000B05BB" w:rsidRDefault="004022CD" w:rsidP="001F3116">
            <w:pPr>
              <w:spacing w:line="264" w:lineRule="auto"/>
              <w:rPr>
                <w:sz w:val="18"/>
                <w:szCs w:val="18"/>
              </w:rPr>
            </w:pPr>
          </w:p>
        </w:tc>
        <w:tc>
          <w:tcPr>
            <w:tcW w:w="5091" w:type="dxa"/>
          </w:tcPr>
          <w:p w14:paraId="123E0B23" w14:textId="77777777" w:rsidR="004022CD" w:rsidRPr="000B05BB" w:rsidRDefault="004022CD" w:rsidP="001F3116">
            <w:pPr>
              <w:spacing w:line="264" w:lineRule="auto"/>
              <w:rPr>
                <w:sz w:val="18"/>
                <w:szCs w:val="18"/>
              </w:rPr>
            </w:pPr>
            <w:r w:rsidRPr="000B05BB">
              <w:rPr>
                <w:sz w:val="18"/>
                <w:szCs w:val="18"/>
              </w:rPr>
              <w:t xml:space="preserve">saquinavir (Invirase) </w:t>
            </w:r>
          </w:p>
        </w:tc>
        <w:tc>
          <w:tcPr>
            <w:tcW w:w="1843" w:type="dxa"/>
          </w:tcPr>
          <w:p w14:paraId="713E0784" w14:textId="77777777" w:rsidR="004022CD" w:rsidRPr="000B05BB" w:rsidRDefault="004022CD" w:rsidP="001F3116">
            <w:pPr>
              <w:spacing w:line="264" w:lineRule="auto"/>
              <w:rPr>
                <w:sz w:val="18"/>
                <w:szCs w:val="18"/>
              </w:rPr>
            </w:pPr>
            <w:r w:rsidRPr="000B05BB">
              <w:rPr>
                <w:sz w:val="18"/>
                <w:szCs w:val="18"/>
              </w:rPr>
              <w:t>J05AE01</w:t>
            </w:r>
          </w:p>
        </w:tc>
        <w:tc>
          <w:tcPr>
            <w:tcW w:w="3292" w:type="dxa"/>
          </w:tcPr>
          <w:p w14:paraId="73B34FEE" w14:textId="77777777" w:rsidR="004022CD" w:rsidRPr="000B05BB" w:rsidRDefault="004022CD" w:rsidP="001F3116">
            <w:pPr>
              <w:spacing w:line="264" w:lineRule="auto"/>
              <w:rPr>
                <w:sz w:val="18"/>
                <w:szCs w:val="18"/>
              </w:rPr>
            </w:pPr>
            <w:r w:rsidRPr="000B05BB">
              <w:rPr>
                <w:sz w:val="18"/>
                <w:szCs w:val="18"/>
              </w:rPr>
              <w:t>10335Y</w:t>
            </w:r>
            <w:r>
              <w:rPr>
                <w:sz w:val="18"/>
                <w:szCs w:val="18"/>
              </w:rPr>
              <w:t xml:space="preserve"> </w:t>
            </w:r>
            <w:r w:rsidRPr="00B158CF">
              <w:rPr>
                <w:sz w:val="18"/>
                <w:szCs w:val="18"/>
              </w:rPr>
              <w:t>(listed July 2015)</w:t>
            </w:r>
          </w:p>
        </w:tc>
      </w:tr>
      <w:tr w:rsidR="004022CD" w:rsidRPr="000B05BB" w14:paraId="245DF76E" w14:textId="77777777" w:rsidTr="004022CD">
        <w:trPr>
          <w:trHeight w:val="278"/>
        </w:trPr>
        <w:tc>
          <w:tcPr>
            <w:tcW w:w="2280" w:type="dxa"/>
            <w:vMerge/>
          </w:tcPr>
          <w:p w14:paraId="0DCE8289" w14:textId="77777777" w:rsidR="004022CD" w:rsidRPr="000B05BB" w:rsidRDefault="004022CD" w:rsidP="001F3116">
            <w:pPr>
              <w:spacing w:line="264" w:lineRule="auto"/>
              <w:rPr>
                <w:sz w:val="18"/>
                <w:szCs w:val="18"/>
              </w:rPr>
            </w:pPr>
          </w:p>
        </w:tc>
        <w:tc>
          <w:tcPr>
            <w:tcW w:w="5091" w:type="dxa"/>
          </w:tcPr>
          <w:p w14:paraId="46728761" w14:textId="77777777" w:rsidR="004022CD" w:rsidRPr="000B05BB" w:rsidRDefault="004022CD" w:rsidP="001F3116">
            <w:pPr>
              <w:spacing w:line="264" w:lineRule="auto"/>
              <w:rPr>
                <w:sz w:val="18"/>
                <w:szCs w:val="18"/>
              </w:rPr>
            </w:pPr>
            <w:r w:rsidRPr="000B05BB">
              <w:rPr>
                <w:sz w:val="18"/>
                <w:szCs w:val="18"/>
              </w:rPr>
              <w:t>tipranavir (</w:t>
            </w:r>
            <w:proofErr w:type="spellStart"/>
            <w:r w:rsidRPr="000B05BB">
              <w:rPr>
                <w:sz w:val="18"/>
                <w:szCs w:val="18"/>
              </w:rPr>
              <w:t>Aptivus</w:t>
            </w:r>
            <w:proofErr w:type="spellEnd"/>
            <w:r w:rsidRPr="000B05BB">
              <w:rPr>
                <w:sz w:val="18"/>
                <w:szCs w:val="18"/>
              </w:rPr>
              <w:t xml:space="preserve">) </w:t>
            </w:r>
          </w:p>
        </w:tc>
        <w:tc>
          <w:tcPr>
            <w:tcW w:w="1843" w:type="dxa"/>
          </w:tcPr>
          <w:p w14:paraId="32C06443" w14:textId="77777777" w:rsidR="004022CD" w:rsidRPr="000B05BB" w:rsidRDefault="004022CD" w:rsidP="001F3116">
            <w:pPr>
              <w:spacing w:line="264" w:lineRule="auto"/>
              <w:rPr>
                <w:sz w:val="18"/>
                <w:szCs w:val="18"/>
              </w:rPr>
            </w:pPr>
            <w:r w:rsidRPr="000B05BB">
              <w:rPr>
                <w:sz w:val="18"/>
                <w:szCs w:val="18"/>
              </w:rPr>
              <w:t>J05AE09</w:t>
            </w:r>
          </w:p>
        </w:tc>
        <w:tc>
          <w:tcPr>
            <w:tcW w:w="3292" w:type="dxa"/>
          </w:tcPr>
          <w:p w14:paraId="19D337E2" w14:textId="77777777" w:rsidR="004022CD" w:rsidRPr="000B05BB" w:rsidRDefault="004022CD" w:rsidP="001F3116">
            <w:pPr>
              <w:spacing w:line="264" w:lineRule="auto"/>
              <w:rPr>
                <w:sz w:val="18"/>
                <w:szCs w:val="18"/>
              </w:rPr>
            </w:pPr>
            <w:r w:rsidRPr="000B05BB">
              <w:rPr>
                <w:sz w:val="18"/>
                <w:szCs w:val="18"/>
              </w:rPr>
              <w:t>10344K</w:t>
            </w:r>
            <w:r>
              <w:rPr>
                <w:sz w:val="18"/>
                <w:szCs w:val="18"/>
              </w:rPr>
              <w:t xml:space="preserve"> (listed July 2015)</w:t>
            </w:r>
          </w:p>
        </w:tc>
      </w:tr>
      <w:tr w:rsidR="004022CD" w:rsidRPr="000B05BB" w14:paraId="1BD2522A" w14:textId="77777777" w:rsidTr="004022CD">
        <w:trPr>
          <w:trHeight w:val="263"/>
        </w:trPr>
        <w:tc>
          <w:tcPr>
            <w:tcW w:w="2280" w:type="dxa"/>
            <w:vMerge/>
          </w:tcPr>
          <w:p w14:paraId="43EA03B0" w14:textId="77777777" w:rsidR="004022CD" w:rsidRPr="000B05BB" w:rsidRDefault="004022CD" w:rsidP="001F3116">
            <w:pPr>
              <w:spacing w:line="264" w:lineRule="auto"/>
              <w:rPr>
                <w:sz w:val="18"/>
                <w:szCs w:val="18"/>
              </w:rPr>
            </w:pPr>
          </w:p>
        </w:tc>
        <w:tc>
          <w:tcPr>
            <w:tcW w:w="5091" w:type="dxa"/>
          </w:tcPr>
          <w:p w14:paraId="039C50C8" w14:textId="6C1FD259" w:rsidR="004022CD" w:rsidRPr="000B05BB" w:rsidRDefault="00651FAD" w:rsidP="001F3116">
            <w:pPr>
              <w:spacing w:line="264" w:lineRule="auto"/>
              <w:rPr>
                <w:sz w:val="18"/>
                <w:szCs w:val="18"/>
              </w:rPr>
            </w:pPr>
            <w:r>
              <w:rPr>
                <w:sz w:val="18"/>
                <w:szCs w:val="18"/>
              </w:rPr>
              <w:t>a</w:t>
            </w:r>
            <w:r w:rsidR="004022CD" w:rsidRPr="000B05BB">
              <w:rPr>
                <w:sz w:val="18"/>
                <w:szCs w:val="18"/>
              </w:rPr>
              <w:t>tazanavir</w:t>
            </w:r>
            <w:r>
              <w:rPr>
                <w:sz w:val="18"/>
                <w:szCs w:val="18"/>
              </w:rPr>
              <w:t xml:space="preserve"> + </w:t>
            </w:r>
            <w:r w:rsidR="004022CD" w:rsidRPr="000B05BB">
              <w:rPr>
                <w:sz w:val="18"/>
                <w:szCs w:val="18"/>
              </w:rPr>
              <w:t>cobicistat (</w:t>
            </w:r>
            <w:proofErr w:type="spellStart"/>
            <w:r w:rsidR="004022CD" w:rsidRPr="000B05BB">
              <w:rPr>
                <w:sz w:val="18"/>
                <w:szCs w:val="18"/>
              </w:rPr>
              <w:t>Evotaz</w:t>
            </w:r>
            <w:proofErr w:type="spellEnd"/>
            <w:r w:rsidR="004022CD" w:rsidRPr="000B05BB">
              <w:rPr>
                <w:sz w:val="18"/>
                <w:szCs w:val="18"/>
              </w:rPr>
              <w:t xml:space="preserve">) </w:t>
            </w:r>
          </w:p>
        </w:tc>
        <w:tc>
          <w:tcPr>
            <w:tcW w:w="1843" w:type="dxa"/>
            <w:shd w:val="clear" w:color="auto" w:fill="auto"/>
          </w:tcPr>
          <w:p w14:paraId="1ED3B3F8" w14:textId="77777777" w:rsidR="004022CD" w:rsidRPr="000B05BB" w:rsidRDefault="004022CD" w:rsidP="001F3116">
            <w:pPr>
              <w:spacing w:line="264" w:lineRule="auto"/>
              <w:rPr>
                <w:sz w:val="18"/>
                <w:szCs w:val="18"/>
              </w:rPr>
            </w:pPr>
            <w:r w:rsidRPr="000B05BB">
              <w:rPr>
                <w:sz w:val="18"/>
                <w:szCs w:val="18"/>
              </w:rPr>
              <w:t>J05AR15</w:t>
            </w:r>
          </w:p>
        </w:tc>
        <w:tc>
          <w:tcPr>
            <w:tcW w:w="3292" w:type="dxa"/>
          </w:tcPr>
          <w:p w14:paraId="3AABE41F" w14:textId="77777777" w:rsidR="004022CD" w:rsidRPr="000B05BB" w:rsidRDefault="004022CD" w:rsidP="001F3116">
            <w:pPr>
              <w:spacing w:line="264" w:lineRule="auto"/>
              <w:rPr>
                <w:sz w:val="18"/>
                <w:szCs w:val="18"/>
              </w:rPr>
            </w:pPr>
            <w:r w:rsidRPr="000B05BB">
              <w:rPr>
                <w:sz w:val="18"/>
                <w:szCs w:val="18"/>
              </w:rPr>
              <w:t>10692R</w:t>
            </w:r>
            <w:r>
              <w:rPr>
                <w:sz w:val="18"/>
                <w:szCs w:val="18"/>
              </w:rPr>
              <w:t xml:space="preserve"> (listed Apr 2016)</w:t>
            </w:r>
          </w:p>
        </w:tc>
      </w:tr>
      <w:tr w:rsidR="004022CD" w:rsidRPr="000B05BB" w14:paraId="3E9434C5" w14:textId="77777777" w:rsidTr="004022CD">
        <w:trPr>
          <w:trHeight w:val="263"/>
        </w:trPr>
        <w:tc>
          <w:tcPr>
            <w:tcW w:w="2280" w:type="dxa"/>
            <w:vMerge w:val="restart"/>
          </w:tcPr>
          <w:p w14:paraId="6EA6E14F" w14:textId="77777777" w:rsidR="004022CD" w:rsidRPr="000B05BB" w:rsidRDefault="004022CD" w:rsidP="001F3116">
            <w:pPr>
              <w:spacing w:line="264" w:lineRule="auto"/>
              <w:rPr>
                <w:sz w:val="18"/>
                <w:szCs w:val="18"/>
              </w:rPr>
            </w:pPr>
            <w:r w:rsidRPr="000B05BB">
              <w:rPr>
                <w:sz w:val="18"/>
                <w:szCs w:val="18"/>
              </w:rPr>
              <w:t>Entry inhibitors</w:t>
            </w:r>
          </w:p>
        </w:tc>
        <w:tc>
          <w:tcPr>
            <w:tcW w:w="5091" w:type="dxa"/>
          </w:tcPr>
          <w:p w14:paraId="131E7B8E" w14:textId="77777777" w:rsidR="004022CD" w:rsidRPr="000B05BB" w:rsidRDefault="004022CD" w:rsidP="001F3116">
            <w:pPr>
              <w:spacing w:line="264" w:lineRule="auto"/>
              <w:rPr>
                <w:sz w:val="18"/>
                <w:szCs w:val="18"/>
              </w:rPr>
            </w:pPr>
            <w:r w:rsidRPr="000B05BB">
              <w:rPr>
                <w:sz w:val="18"/>
                <w:szCs w:val="18"/>
              </w:rPr>
              <w:t>enfuvirtide (</w:t>
            </w:r>
            <w:proofErr w:type="spellStart"/>
            <w:r w:rsidRPr="000B05BB">
              <w:rPr>
                <w:sz w:val="18"/>
                <w:szCs w:val="18"/>
              </w:rPr>
              <w:t>Fuzeon</w:t>
            </w:r>
            <w:proofErr w:type="spellEnd"/>
            <w:r w:rsidRPr="000B05BB">
              <w:rPr>
                <w:sz w:val="18"/>
                <w:szCs w:val="18"/>
              </w:rPr>
              <w:t xml:space="preserve">) </w:t>
            </w:r>
          </w:p>
        </w:tc>
        <w:tc>
          <w:tcPr>
            <w:tcW w:w="1843" w:type="dxa"/>
          </w:tcPr>
          <w:p w14:paraId="1376A0C6" w14:textId="77777777" w:rsidR="004022CD" w:rsidRPr="000B05BB" w:rsidRDefault="004022CD" w:rsidP="001F3116">
            <w:pPr>
              <w:spacing w:line="264" w:lineRule="auto"/>
              <w:rPr>
                <w:sz w:val="18"/>
                <w:szCs w:val="18"/>
              </w:rPr>
            </w:pPr>
            <w:r w:rsidRPr="000B05BB">
              <w:rPr>
                <w:sz w:val="18"/>
                <w:szCs w:val="18"/>
              </w:rPr>
              <w:t>J05AX07</w:t>
            </w:r>
          </w:p>
        </w:tc>
        <w:tc>
          <w:tcPr>
            <w:tcW w:w="3292" w:type="dxa"/>
          </w:tcPr>
          <w:p w14:paraId="49028985" w14:textId="77777777" w:rsidR="004022CD" w:rsidRPr="000B05BB" w:rsidRDefault="004022CD" w:rsidP="001F3116">
            <w:pPr>
              <w:spacing w:line="264" w:lineRule="auto"/>
              <w:rPr>
                <w:sz w:val="18"/>
                <w:szCs w:val="18"/>
              </w:rPr>
            </w:pPr>
            <w:r w:rsidRPr="000B05BB">
              <w:rPr>
                <w:sz w:val="18"/>
                <w:szCs w:val="18"/>
              </w:rPr>
              <w:t>10365M</w:t>
            </w:r>
            <w:r>
              <w:rPr>
                <w:sz w:val="18"/>
                <w:szCs w:val="18"/>
              </w:rPr>
              <w:t xml:space="preserve"> (listed July 2015)</w:t>
            </w:r>
          </w:p>
        </w:tc>
      </w:tr>
      <w:tr w:rsidR="004022CD" w:rsidRPr="000B05BB" w14:paraId="1BC18537" w14:textId="77777777" w:rsidTr="004022CD">
        <w:trPr>
          <w:trHeight w:val="263"/>
        </w:trPr>
        <w:tc>
          <w:tcPr>
            <w:tcW w:w="2280" w:type="dxa"/>
            <w:vMerge/>
          </w:tcPr>
          <w:p w14:paraId="56B94401" w14:textId="77777777" w:rsidR="004022CD" w:rsidRPr="000B05BB" w:rsidRDefault="004022CD" w:rsidP="001F3116">
            <w:pPr>
              <w:spacing w:line="264" w:lineRule="auto"/>
              <w:rPr>
                <w:sz w:val="18"/>
                <w:szCs w:val="18"/>
              </w:rPr>
            </w:pPr>
          </w:p>
        </w:tc>
        <w:tc>
          <w:tcPr>
            <w:tcW w:w="5091" w:type="dxa"/>
          </w:tcPr>
          <w:p w14:paraId="1C72C8E3" w14:textId="77777777" w:rsidR="004022CD" w:rsidRPr="000B05BB" w:rsidRDefault="004022CD" w:rsidP="001F3116">
            <w:pPr>
              <w:spacing w:line="264" w:lineRule="auto"/>
              <w:rPr>
                <w:sz w:val="18"/>
                <w:szCs w:val="18"/>
              </w:rPr>
            </w:pPr>
            <w:r w:rsidRPr="000B05BB">
              <w:rPr>
                <w:sz w:val="18"/>
                <w:szCs w:val="18"/>
              </w:rPr>
              <w:t>maraviroc (</w:t>
            </w:r>
            <w:proofErr w:type="spellStart"/>
            <w:r w:rsidRPr="000B05BB">
              <w:rPr>
                <w:sz w:val="18"/>
                <w:szCs w:val="18"/>
              </w:rPr>
              <w:t>Celsentri</w:t>
            </w:r>
            <w:proofErr w:type="spellEnd"/>
            <w:r w:rsidRPr="000B05BB">
              <w:rPr>
                <w:sz w:val="18"/>
                <w:szCs w:val="18"/>
              </w:rPr>
              <w:t xml:space="preserve">) </w:t>
            </w:r>
          </w:p>
        </w:tc>
        <w:tc>
          <w:tcPr>
            <w:tcW w:w="1843" w:type="dxa"/>
          </w:tcPr>
          <w:p w14:paraId="7A915CDE" w14:textId="77777777" w:rsidR="004022CD" w:rsidRPr="000B05BB" w:rsidRDefault="004022CD" w:rsidP="001F3116">
            <w:pPr>
              <w:spacing w:line="264" w:lineRule="auto"/>
              <w:rPr>
                <w:sz w:val="18"/>
                <w:szCs w:val="18"/>
              </w:rPr>
            </w:pPr>
            <w:r w:rsidRPr="000B05BB">
              <w:rPr>
                <w:sz w:val="18"/>
                <w:szCs w:val="18"/>
              </w:rPr>
              <w:t>J05AX09</w:t>
            </w:r>
          </w:p>
        </w:tc>
        <w:tc>
          <w:tcPr>
            <w:tcW w:w="3292" w:type="dxa"/>
          </w:tcPr>
          <w:p w14:paraId="35A49787" w14:textId="77777777" w:rsidR="004022CD" w:rsidRPr="000B05BB" w:rsidRDefault="004022CD" w:rsidP="001F3116">
            <w:pPr>
              <w:spacing w:line="264" w:lineRule="auto"/>
              <w:rPr>
                <w:sz w:val="18"/>
                <w:szCs w:val="18"/>
              </w:rPr>
            </w:pPr>
            <w:r w:rsidRPr="000B05BB">
              <w:rPr>
                <w:sz w:val="18"/>
                <w:szCs w:val="18"/>
              </w:rPr>
              <w:t>10318C</w:t>
            </w:r>
            <w:r>
              <w:rPr>
                <w:sz w:val="18"/>
                <w:szCs w:val="18"/>
              </w:rPr>
              <w:t xml:space="preserve"> (listed July 2015)</w:t>
            </w:r>
          </w:p>
          <w:p w14:paraId="0655D8A8" w14:textId="77777777" w:rsidR="004022CD" w:rsidRPr="000B05BB" w:rsidRDefault="004022CD" w:rsidP="001F3116">
            <w:pPr>
              <w:spacing w:line="264" w:lineRule="auto"/>
              <w:rPr>
                <w:sz w:val="18"/>
                <w:szCs w:val="18"/>
              </w:rPr>
            </w:pPr>
            <w:r w:rsidRPr="000B05BB">
              <w:rPr>
                <w:sz w:val="18"/>
                <w:szCs w:val="18"/>
              </w:rPr>
              <w:t>10355B</w:t>
            </w:r>
            <w:r>
              <w:rPr>
                <w:sz w:val="18"/>
                <w:szCs w:val="18"/>
              </w:rPr>
              <w:t xml:space="preserve"> (listed July 2015)</w:t>
            </w:r>
          </w:p>
        </w:tc>
      </w:tr>
      <w:tr w:rsidR="004022CD" w:rsidRPr="000B05BB" w14:paraId="4E8C2CA9" w14:textId="77777777" w:rsidTr="004022CD">
        <w:trPr>
          <w:trHeight w:val="263"/>
        </w:trPr>
        <w:tc>
          <w:tcPr>
            <w:tcW w:w="2280" w:type="dxa"/>
            <w:vMerge w:val="restart"/>
          </w:tcPr>
          <w:p w14:paraId="6A205C28" w14:textId="77777777" w:rsidR="004022CD" w:rsidRPr="000B05BB" w:rsidRDefault="004022CD" w:rsidP="001F3116">
            <w:pPr>
              <w:spacing w:line="264" w:lineRule="auto"/>
              <w:rPr>
                <w:sz w:val="18"/>
                <w:szCs w:val="18"/>
              </w:rPr>
            </w:pPr>
            <w:r w:rsidRPr="000B05BB">
              <w:rPr>
                <w:sz w:val="18"/>
                <w:szCs w:val="18"/>
              </w:rPr>
              <w:t>Integrase inhibitors</w:t>
            </w:r>
          </w:p>
        </w:tc>
        <w:tc>
          <w:tcPr>
            <w:tcW w:w="5091" w:type="dxa"/>
          </w:tcPr>
          <w:p w14:paraId="767C47D0" w14:textId="77777777" w:rsidR="004022CD" w:rsidRPr="000B05BB" w:rsidRDefault="004022CD" w:rsidP="001F3116">
            <w:pPr>
              <w:spacing w:line="264" w:lineRule="auto"/>
              <w:rPr>
                <w:sz w:val="18"/>
                <w:szCs w:val="18"/>
              </w:rPr>
            </w:pPr>
            <w:r w:rsidRPr="000B05BB">
              <w:rPr>
                <w:sz w:val="18"/>
                <w:szCs w:val="18"/>
              </w:rPr>
              <w:t>dolutegravir (</w:t>
            </w:r>
            <w:proofErr w:type="spellStart"/>
            <w:r w:rsidRPr="000B05BB">
              <w:rPr>
                <w:sz w:val="18"/>
                <w:szCs w:val="18"/>
              </w:rPr>
              <w:t>Tivicay</w:t>
            </w:r>
            <w:proofErr w:type="spellEnd"/>
            <w:r w:rsidRPr="000B05BB">
              <w:rPr>
                <w:sz w:val="18"/>
                <w:szCs w:val="18"/>
              </w:rPr>
              <w:t xml:space="preserve">) </w:t>
            </w:r>
          </w:p>
        </w:tc>
        <w:tc>
          <w:tcPr>
            <w:tcW w:w="1843" w:type="dxa"/>
          </w:tcPr>
          <w:p w14:paraId="18DBFC3D" w14:textId="77777777" w:rsidR="004022CD" w:rsidRPr="000B05BB" w:rsidRDefault="004022CD" w:rsidP="001F3116">
            <w:pPr>
              <w:spacing w:line="264" w:lineRule="auto"/>
              <w:rPr>
                <w:sz w:val="18"/>
                <w:szCs w:val="18"/>
              </w:rPr>
            </w:pPr>
            <w:r w:rsidRPr="000B05BB">
              <w:rPr>
                <w:sz w:val="18"/>
                <w:szCs w:val="18"/>
              </w:rPr>
              <w:t xml:space="preserve">J05AX12 </w:t>
            </w:r>
          </w:p>
          <w:p w14:paraId="4A68656F" w14:textId="77777777" w:rsidR="004022CD" w:rsidRPr="000B05BB" w:rsidRDefault="004022CD" w:rsidP="001F3116">
            <w:pPr>
              <w:spacing w:line="264" w:lineRule="auto"/>
              <w:rPr>
                <w:sz w:val="18"/>
                <w:szCs w:val="18"/>
              </w:rPr>
            </w:pPr>
            <w:r w:rsidRPr="000B05BB">
              <w:rPr>
                <w:sz w:val="18"/>
                <w:szCs w:val="18"/>
              </w:rPr>
              <w:t>J05AJ03</w:t>
            </w:r>
          </w:p>
        </w:tc>
        <w:tc>
          <w:tcPr>
            <w:tcW w:w="3292" w:type="dxa"/>
          </w:tcPr>
          <w:p w14:paraId="6A8F0AA6" w14:textId="77777777" w:rsidR="004022CD" w:rsidRPr="000B05BB" w:rsidRDefault="004022CD" w:rsidP="001F3116">
            <w:pPr>
              <w:spacing w:line="264" w:lineRule="auto"/>
              <w:rPr>
                <w:sz w:val="18"/>
                <w:szCs w:val="18"/>
              </w:rPr>
            </w:pPr>
            <w:r w:rsidRPr="00351882">
              <w:rPr>
                <w:sz w:val="18"/>
                <w:szCs w:val="18"/>
              </w:rPr>
              <w:t>10283F (listed July 2015)</w:t>
            </w:r>
          </w:p>
        </w:tc>
      </w:tr>
      <w:tr w:rsidR="004022CD" w:rsidRPr="000B05BB" w14:paraId="75AC8CDD" w14:textId="77777777" w:rsidTr="004022CD">
        <w:trPr>
          <w:trHeight w:val="263"/>
        </w:trPr>
        <w:tc>
          <w:tcPr>
            <w:tcW w:w="2280" w:type="dxa"/>
            <w:vMerge/>
          </w:tcPr>
          <w:p w14:paraId="729A36DE" w14:textId="77777777" w:rsidR="004022CD" w:rsidRPr="000B05BB" w:rsidRDefault="004022CD" w:rsidP="001F3116">
            <w:pPr>
              <w:spacing w:line="264" w:lineRule="auto"/>
              <w:rPr>
                <w:sz w:val="18"/>
                <w:szCs w:val="18"/>
              </w:rPr>
            </w:pPr>
          </w:p>
        </w:tc>
        <w:tc>
          <w:tcPr>
            <w:tcW w:w="5091" w:type="dxa"/>
          </w:tcPr>
          <w:p w14:paraId="2137DCEF" w14:textId="77777777" w:rsidR="004022CD" w:rsidRPr="000B05BB" w:rsidRDefault="004022CD" w:rsidP="001F3116">
            <w:pPr>
              <w:spacing w:line="264" w:lineRule="auto"/>
              <w:rPr>
                <w:sz w:val="18"/>
                <w:szCs w:val="18"/>
              </w:rPr>
            </w:pPr>
            <w:proofErr w:type="spellStart"/>
            <w:r w:rsidRPr="000B05BB">
              <w:rPr>
                <w:sz w:val="18"/>
                <w:szCs w:val="18"/>
              </w:rPr>
              <w:t>raltegravir</w:t>
            </w:r>
            <w:proofErr w:type="spellEnd"/>
            <w:r w:rsidRPr="000B05BB">
              <w:rPr>
                <w:sz w:val="18"/>
                <w:szCs w:val="18"/>
              </w:rPr>
              <w:t xml:space="preserve"> (</w:t>
            </w:r>
            <w:proofErr w:type="spellStart"/>
            <w:r w:rsidRPr="000B05BB">
              <w:rPr>
                <w:sz w:val="18"/>
                <w:szCs w:val="18"/>
              </w:rPr>
              <w:t>Isentress</w:t>
            </w:r>
            <w:proofErr w:type="spellEnd"/>
            <w:r w:rsidRPr="000B05BB">
              <w:rPr>
                <w:sz w:val="18"/>
                <w:szCs w:val="18"/>
              </w:rPr>
              <w:t xml:space="preserve">) </w:t>
            </w:r>
          </w:p>
        </w:tc>
        <w:tc>
          <w:tcPr>
            <w:tcW w:w="1843" w:type="dxa"/>
          </w:tcPr>
          <w:p w14:paraId="77238115" w14:textId="77777777" w:rsidR="004022CD" w:rsidRPr="000B05BB" w:rsidRDefault="004022CD" w:rsidP="001F3116">
            <w:pPr>
              <w:spacing w:line="264" w:lineRule="auto"/>
              <w:rPr>
                <w:sz w:val="18"/>
                <w:szCs w:val="18"/>
              </w:rPr>
            </w:pPr>
            <w:r w:rsidRPr="000B05BB">
              <w:rPr>
                <w:sz w:val="18"/>
                <w:szCs w:val="18"/>
              </w:rPr>
              <w:t>J05AX08</w:t>
            </w:r>
          </w:p>
          <w:p w14:paraId="281BEEAD" w14:textId="77777777" w:rsidR="004022CD" w:rsidRPr="000B05BB" w:rsidRDefault="004022CD" w:rsidP="001F3116">
            <w:pPr>
              <w:spacing w:line="264" w:lineRule="auto"/>
              <w:rPr>
                <w:sz w:val="18"/>
                <w:szCs w:val="18"/>
              </w:rPr>
            </w:pPr>
            <w:r w:rsidRPr="000B05BB">
              <w:rPr>
                <w:sz w:val="18"/>
                <w:szCs w:val="18"/>
              </w:rPr>
              <w:t>J05AJ01</w:t>
            </w:r>
          </w:p>
        </w:tc>
        <w:tc>
          <w:tcPr>
            <w:tcW w:w="3292" w:type="dxa"/>
          </w:tcPr>
          <w:p w14:paraId="0CF2611B" w14:textId="77777777" w:rsidR="004022CD" w:rsidRPr="009B7E29" w:rsidRDefault="004022CD" w:rsidP="001F3116">
            <w:pPr>
              <w:spacing w:line="264" w:lineRule="auto"/>
              <w:rPr>
                <w:sz w:val="18"/>
                <w:szCs w:val="18"/>
              </w:rPr>
            </w:pPr>
            <w:r w:rsidRPr="009B7E29">
              <w:rPr>
                <w:sz w:val="18"/>
                <w:szCs w:val="18"/>
              </w:rPr>
              <w:t>10286J (listed July 2015)</w:t>
            </w:r>
          </w:p>
          <w:p w14:paraId="4983FB63" w14:textId="77777777" w:rsidR="004022CD" w:rsidRPr="009B7E29" w:rsidRDefault="004022CD" w:rsidP="001F3116">
            <w:pPr>
              <w:spacing w:line="264" w:lineRule="auto"/>
              <w:rPr>
                <w:sz w:val="18"/>
                <w:szCs w:val="18"/>
              </w:rPr>
            </w:pPr>
            <w:r w:rsidRPr="009B7E29">
              <w:rPr>
                <w:sz w:val="18"/>
                <w:szCs w:val="18"/>
              </w:rPr>
              <w:t>10299C (listed July 2015)</w:t>
            </w:r>
          </w:p>
          <w:p w14:paraId="674FCFBE" w14:textId="77777777" w:rsidR="004022CD" w:rsidRPr="009B7E29" w:rsidRDefault="004022CD" w:rsidP="001F3116">
            <w:pPr>
              <w:spacing w:line="264" w:lineRule="auto"/>
              <w:rPr>
                <w:sz w:val="18"/>
                <w:szCs w:val="18"/>
              </w:rPr>
            </w:pPr>
            <w:r w:rsidRPr="009B7E29">
              <w:rPr>
                <w:sz w:val="18"/>
                <w:szCs w:val="18"/>
              </w:rPr>
              <w:t>10326L (listed July 2015)</w:t>
            </w:r>
          </w:p>
          <w:p w14:paraId="7BE19080" w14:textId="77777777" w:rsidR="004022CD" w:rsidRPr="009B7E29" w:rsidRDefault="004022CD" w:rsidP="001F3116">
            <w:pPr>
              <w:spacing w:line="264" w:lineRule="auto"/>
              <w:rPr>
                <w:sz w:val="18"/>
                <w:szCs w:val="18"/>
              </w:rPr>
            </w:pPr>
            <w:r w:rsidRPr="009B7E29">
              <w:rPr>
                <w:sz w:val="18"/>
                <w:szCs w:val="18"/>
              </w:rPr>
              <w:t xml:space="preserve">11248B (listed </w:t>
            </w:r>
            <w:r>
              <w:rPr>
                <w:sz w:val="18"/>
                <w:szCs w:val="18"/>
              </w:rPr>
              <w:t>Feb 2018</w:t>
            </w:r>
            <w:r w:rsidRPr="009B7E29">
              <w:rPr>
                <w:sz w:val="18"/>
                <w:szCs w:val="18"/>
              </w:rPr>
              <w:t>)</w:t>
            </w:r>
          </w:p>
        </w:tc>
      </w:tr>
      <w:tr w:rsidR="004022CD" w:rsidRPr="000B05BB" w14:paraId="45DC860F" w14:textId="77777777" w:rsidTr="004022CD">
        <w:trPr>
          <w:trHeight w:val="263"/>
        </w:trPr>
        <w:tc>
          <w:tcPr>
            <w:tcW w:w="2280" w:type="dxa"/>
            <w:vMerge w:val="restart"/>
          </w:tcPr>
          <w:p w14:paraId="77A4FDB5" w14:textId="77777777" w:rsidR="004022CD" w:rsidRPr="000B05BB" w:rsidRDefault="004022CD" w:rsidP="001F3116">
            <w:pPr>
              <w:spacing w:line="264" w:lineRule="auto"/>
              <w:rPr>
                <w:sz w:val="18"/>
                <w:szCs w:val="18"/>
              </w:rPr>
            </w:pPr>
            <w:r w:rsidRPr="000B05BB">
              <w:rPr>
                <w:sz w:val="18"/>
                <w:szCs w:val="18"/>
              </w:rPr>
              <w:t>Combination class agents</w:t>
            </w:r>
          </w:p>
        </w:tc>
        <w:tc>
          <w:tcPr>
            <w:tcW w:w="5091" w:type="dxa"/>
          </w:tcPr>
          <w:p w14:paraId="0FA5F9AD" w14:textId="401F9672" w:rsidR="004022CD" w:rsidRPr="005F18B7" w:rsidRDefault="00AF2964" w:rsidP="001F3116">
            <w:pPr>
              <w:spacing w:line="264" w:lineRule="auto"/>
              <w:rPr>
                <w:sz w:val="18"/>
                <w:szCs w:val="18"/>
                <w:lang w:val="es-ES"/>
              </w:rPr>
            </w:pPr>
            <w:proofErr w:type="spellStart"/>
            <w:r>
              <w:rPr>
                <w:sz w:val="18"/>
                <w:szCs w:val="18"/>
                <w:lang w:val="es-ES"/>
              </w:rPr>
              <w:t>e</w:t>
            </w:r>
            <w:r w:rsidR="004022CD" w:rsidRPr="005F18B7">
              <w:rPr>
                <w:sz w:val="18"/>
                <w:szCs w:val="18"/>
                <w:lang w:val="es-ES"/>
              </w:rPr>
              <w:t>favirenz</w:t>
            </w:r>
            <w:proofErr w:type="spellEnd"/>
            <w:r>
              <w:rPr>
                <w:sz w:val="18"/>
                <w:szCs w:val="18"/>
                <w:lang w:val="es-ES"/>
              </w:rPr>
              <w:t xml:space="preserve"> + </w:t>
            </w:r>
            <w:proofErr w:type="spellStart"/>
            <w:r w:rsidR="004022CD" w:rsidRPr="005F18B7">
              <w:rPr>
                <w:sz w:val="18"/>
                <w:szCs w:val="18"/>
                <w:lang w:val="es-ES"/>
              </w:rPr>
              <w:t>emtricitabine</w:t>
            </w:r>
            <w:proofErr w:type="spellEnd"/>
            <w:r>
              <w:rPr>
                <w:sz w:val="18"/>
                <w:szCs w:val="18"/>
                <w:lang w:val="es-ES"/>
              </w:rPr>
              <w:t xml:space="preserve"> + </w:t>
            </w:r>
            <w:proofErr w:type="spellStart"/>
            <w:r w:rsidR="004022CD" w:rsidRPr="005F18B7">
              <w:rPr>
                <w:sz w:val="18"/>
                <w:szCs w:val="18"/>
                <w:lang w:val="es-ES"/>
              </w:rPr>
              <w:t>tenofovir</w:t>
            </w:r>
            <w:proofErr w:type="spellEnd"/>
            <w:r w:rsidR="004022CD" w:rsidRPr="005F18B7">
              <w:rPr>
                <w:sz w:val="18"/>
                <w:szCs w:val="18"/>
                <w:lang w:val="es-ES"/>
              </w:rPr>
              <w:t xml:space="preserve"> </w:t>
            </w:r>
            <w:proofErr w:type="spellStart"/>
            <w:r w:rsidR="004022CD" w:rsidRPr="005F18B7">
              <w:rPr>
                <w:sz w:val="18"/>
                <w:szCs w:val="18"/>
                <w:lang w:val="es-ES"/>
              </w:rPr>
              <w:t>disoproxil</w:t>
            </w:r>
            <w:proofErr w:type="spellEnd"/>
            <w:r w:rsidR="004022CD" w:rsidRPr="005F18B7">
              <w:rPr>
                <w:sz w:val="18"/>
                <w:szCs w:val="18"/>
                <w:lang w:val="es-ES"/>
              </w:rPr>
              <w:t xml:space="preserve"> (</w:t>
            </w:r>
            <w:proofErr w:type="spellStart"/>
            <w:r w:rsidR="004022CD" w:rsidRPr="005F18B7">
              <w:rPr>
                <w:sz w:val="18"/>
                <w:szCs w:val="18"/>
                <w:lang w:val="es-ES"/>
              </w:rPr>
              <w:t>Atripla</w:t>
            </w:r>
            <w:proofErr w:type="spellEnd"/>
            <w:r w:rsidR="004022CD" w:rsidRPr="005F18B7">
              <w:rPr>
                <w:sz w:val="18"/>
                <w:szCs w:val="18"/>
                <w:lang w:val="es-ES"/>
              </w:rPr>
              <w:t xml:space="preserve">) </w:t>
            </w:r>
          </w:p>
        </w:tc>
        <w:tc>
          <w:tcPr>
            <w:tcW w:w="1843" w:type="dxa"/>
          </w:tcPr>
          <w:p w14:paraId="6D680B21" w14:textId="77777777" w:rsidR="004022CD" w:rsidRPr="000B05BB" w:rsidRDefault="004022CD" w:rsidP="001F3116">
            <w:pPr>
              <w:spacing w:line="264" w:lineRule="auto"/>
              <w:rPr>
                <w:sz w:val="18"/>
                <w:szCs w:val="18"/>
              </w:rPr>
            </w:pPr>
            <w:r w:rsidRPr="000B05BB">
              <w:rPr>
                <w:sz w:val="18"/>
                <w:szCs w:val="18"/>
              </w:rPr>
              <w:t>J05AR06</w:t>
            </w:r>
          </w:p>
        </w:tc>
        <w:tc>
          <w:tcPr>
            <w:tcW w:w="3292" w:type="dxa"/>
          </w:tcPr>
          <w:p w14:paraId="4B7FF46A" w14:textId="77777777" w:rsidR="004022CD" w:rsidRPr="000B05BB" w:rsidRDefault="004022CD" w:rsidP="001F3116">
            <w:pPr>
              <w:spacing w:line="264" w:lineRule="auto"/>
              <w:rPr>
                <w:sz w:val="18"/>
                <w:szCs w:val="18"/>
              </w:rPr>
            </w:pPr>
            <w:r w:rsidRPr="000B05BB">
              <w:rPr>
                <w:sz w:val="18"/>
                <w:szCs w:val="18"/>
              </w:rPr>
              <w:t>10297Y</w:t>
            </w:r>
            <w:r>
              <w:rPr>
                <w:sz w:val="18"/>
                <w:szCs w:val="18"/>
              </w:rPr>
              <w:t xml:space="preserve"> (listed July 2015)</w:t>
            </w:r>
          </w:p>
          <w:p w14:paraId="06D05111" w14:textId="77777777" w:rsidR="004022CD" w:rsidRPr="000B05BB" w:rsidRDefault="004022CD" w:rsidP="001F3116">
            <w:pPr>
              <w:spacing w:line="264" w:lineRule="auto"/>
              <w:rPr>
                <w:sz w:val="18"/>
                <w:szCs w:val="18"/>
              </w:rPr>
            </w:pPr>
            <w:r w:rsidRPr="000B05BB">
              <w:rPr>
                <w:sz w:val="18"/>
                <w:szCs w:val="18"/>
              </w:rPr>
              <w:t>11732L</w:t>
            </w:r>
            <w:r>
              <w:rPr>
                <w:sz w:val="18"/>
                <w:szCs w:val="18"/>
              </w:rPr>
              <w:t xml:space="preserve"> (listed Aug 2019)</w:t>
            </w:r>
          </w:p>
        </w:tc>
      </w:tr>
      <w:tr w:rsidR="004022CD" w:rsidRPr="000B05BB" w14:paraId="08299E9D" w14:textId="77777777" w:rsidTr="004022CD">
        <w:trPr>
          <w:trHeight w:val="263"/>
        </w:trPr>
        <w:tc>
          <w:tcPr>
            <w:tcW w:w="2280" w:type="dxa"/>
            <w:vMerge/>
          </w:tcPr>
          <w:p w14:paraId="380FBBFA" w14:textId="77777777" w:rsidR="004022CD" w:rsidRPr="000B05BB" w:rsidRDefault="004022CD" w:rsidP="001F3116">
            <w:pPr>
              <w:spacing w:line="264" w:lineRule="auto"/>
              <w:rPr>
                <w:sz w:val="18"/>
                <w:szCs w:val="18"/>
              </w:rPr>
            </w:pPr>
          </w:p>
        </w:tc>
        <w:tc>
          <w:tcPr>
            <w:tcW w:w="5091" w:type="dxa"/>
          </w:tcPr>
          <w:p w14:paraId="4EAB328C" w14:textId="24A4286C" w:rsidR="004022CD" w:rsidRPr="005E6EDB" w:rsidRDefault="00AF2964" w:rsidP="001F3116">
            <w:pPr>
              <w:spacing w:line="264" w:lineRule="auto"/>
              <w:rPr>
                <w:sz w:val="18"/>
                <w:szCs w:val="18"/>
                <w:lang w:val="es-ES"/>
              </w:rPr>
            </w:pPr>
            <w:proofErr w:type="spellStart"/>
            <w:r>
              <w:rPr>
                <w:sz w:val="18"/>
                <w:szCs w:val="18"/>
                <w:lang w:val="es-ES"/>
              </w:rPr>
              <w:t>r</w:t>
            </w:r>
            <w:r w:rsidR="004022CD" w:rsidRPr="005E6EDB">
              <w:rPr>
                <w:sz w:val="18"/>
                <w:szCs w:val="18"/>
                <w:lang w:val="es-ES"/>
              </w:rPr>
              <w:t>ilpivirine</w:t>
            </w:r>
            <w:proofErr w:type="spellEnd"/>
            <w:r>
              <w:rPr>
                <w:sz w:val="18"/>
                <w:szCs w:val="18"/>
                <w:lang w:val="es-ES"/>
              </w:rPr>
              <w:t xml:space="preserve"> + </w:t>
            </w:r>
            <w:proofErr w:type="spellStart"/>
            <w:r w:rsidR="004022CD" w:rsidRPr="005E6EDB">
              <w:rPr>
                <w:sz w:val="18"/>
                <w:szCs w:val="18"/>
                <w:lang w:val="es-ES"/>
              </w:rPr>
              <w:t>emtricitabine</w:t>
            </w:r>
            <w:proofErr w:type="spellEnd"/>
            <w:r>
              <w:rPr>
                <w:sz w:val="18"/>
                <w:szCs w:val="18"/>
                <w:lang w:val="es-ES"/>
              </w:rPr>
              <w:t xml:space="preserve"> + </w:t>
            </w:r>
            <w:proofErr w:type="spellStart"/>
            <w:r w:rsidR="004022CD" w:rsidRPr="005E6EDB">
              <w:rPr>
                <w:sz w:val="18"/>
                <w:szCs w:val="18"/>
                <w:lang w:val="es-ES"/>
              </w:rPr>
              <w:t>tenofovir</w:t>
            </w:r>
            <w:proofErr w:type="spellEnd"/>
            <w:r w:rsidR="004022CD" w:rsidRPr="005E6EDB">
              <w:rPr>
                <w:sz w:val="18"/>
                <w:szCs w:val="18"/>
                <w:lang w:val="es-ES"/>
              </w:rPr>
              <w:t xml:space="preserve"> </w:t>
            </w:r>
            <w:proofErr w:type="spellStart"/>
            <w:r w:rsidR="0035556D" w:rsidRPr="005E6EDB">
              <w:rPr>
                <w:sz w:val="18"/>
                <w:szCs w:val="18"/>
                <w:lang w:val="es-ES"/>
              </w:rPr>
              <w:t>disoproxil</w:t>
            </w:r>
            <w:proofErr w:type="spellEnd"/>
            <w:r w:rsidR="0035556D" w:rsidRPr="005E6EDB">
              <w:rPr>
                <w:sz w:val="18"/>
                <w:szCs w:val="18"/>
                <w:lang w:val="es-ES"/>
              </w:rPr>
              <w:t xml:space="preserve"> </w:t>
            </w:r>
            <w:r w:rsidR="004022CD" w:rsidRPr="005E6EDB">
              <w:rPr>
                <w:sz w:val="18"/>
                <w:szCs w:val="18"/>
                <w:lang w:val="es-ES"/>
              </w:rPr>
              <w:t>(</w:t>
            </w:r>
            <w:proofErr w:type="spellStart"/>
            <w:r w:rsidR="004022CD" w:rsidRPr="005E6EDB">
              <w:rPr>
                <w:sz w:val="18"/>
                <w:szCs w:val="18"/>
                <w:lang w:val="es-ES"/>
              </w:rPr>
              <w:t>Evipler</w:t>
            </w:r>
            <w:r w:rsidR="004F446D" w:rsidRPr="005E6EDB">
              <w:rPr>
                <w:sz w:val="18"/>
                <w:szCs w:val="18"/>
                <w:lang w:val="es-ES"/>
              </w:rPr>
              <w:t>a</w:t>
            </w:r>
            <w:proofErr w:type="spellEnd"/>
            <w:r w:rsidR="004022CD" w:rsidRPr="005E6EDB">
              <w:rPr>
                <w:sz w:val="18"/>
                <w:szCs w:val="18"/>
                <w:lang w:val="es-ES"/>
              </w:rPr>
              <w:t xml:space="preserve">) </w:t>
            </w:r>
          </w:p>
        </w:tc>
        <w:tc>
          <w:tcPr>
            <w:tcW w:w="1843" w:type="dxa"/>
          </w:tcPr>
          <w:p w14:paraId="18BEFEB3" w14:textId="77777777" w:rsidR="004022CD" w:rsidRPr="000B05BB" w:rsidRDefault="004022CD" w:rsidP="001F3116">
            <w:pPr>
              <w:spacing w:line="264" w:lineRule="auto"/>
              <w:rPr>
                <w:sz w:val="18"/>
                <w:szCs w:val="18"/>
              </w:rPr>
            </w:pPr>
            <w:r w:rsidRPr="00651FAD">
              <w:rPr>
                <w:sz w:val="18"/>
                <w:szCs w:val="18"/>
              </w:rPr>
              <w:t>J05AR08</w:t>
            </w:r>
          </w:p>
        </w:tc>
        <w:tc>
          <w:tcPr>
            <w:tcW w:w="3292" w:type="dxa"/>
          </w:tcPr>
          <w:p w14:paraId="5A6D0D2B" w14:textId="77777777" w:rsidR="004022CD" w:rsidRPr="000B05BB" w:rsidRDefault="004022CD" w:rsidP="001F3116">
            <w:pPr>
              <w:spacing w:line="264" w:lineRule="auto"/>
              <w:rPr>
                <w:sz w:val="18"/>
                <w:szCs w:val="18"/>
              </w:rPr>
            </w:pPr>
            <w:r w:rsidRPr="000B05BB">
              <w:rPr>
                <w:sz w:val="18"/>
                <w:szCs w:val="18"/>
              </w:rPr>
              <w:t>10314W</w:t>
            </w:r>
            <w:r>
              <w:rPr>
                <w:sz w:val="18"/>
                <w:szCs w:val="18"/>
              </w:rPr>
              <w:t xml:space="preserve"> </w:t>
            </w:r>
            <w:r w:rsidRPr="00EA17CD">
              <w:rPr>
                <w:sz w:val="18"/>
                <w:szCs w:val="18"/>
              </w:rPr>
              <w:t>(listed Ju</w:t>
            </w:r>
            <w:r>
              <w:rPr>
                <w:sz w:val="18"/>
                <w:szCs w:val="18"/>
              </w:rPr>
              <w:t>ly 2015</w:t>
            </w:r>
            <w:r w:rsidRPr="00EA17CD">
              <w:rPr>
                <w:sz w:val="18"/>
                <w:szCs w:val="18"/>
              </w:rPr>
              <w:t xml:space="preserve">; deleted </w:t>
            </w:r>
            <w:r>
              <w:rPr>
                <w:sz w:val="18"/>
                <w:szCs w:val="18"/>
              </w:rPr>
              <w:t>Feb 2020</w:t>
            </w:r>
            <w:r w:rsidRPr="00EA17CD">
              <w:rPr>
                <w:sz w:val="18"/>
                <w:szCs w:val="18"/>
              </w:rPr>
              <w:t>)</w:t>
            </w:r>
          </w:p>
        </w:tc>
      </w:tr>
      <w:tr w:rsidR="004022CD" w:rsidRPr="000B05BB" w14:paraId="0F907853" w14:textId="77777777" w:rsidTr="004022CD">
        <w:trPr>
          <w:trHeight w:val="278"/>
        </w:trPr>
        <w:tc>
          <w:tcPr>
            <w:tcW w:w="2280" w:type="dxa"/>
            <w:vMerge/>
          </w:tcPr>
          <w:p w14:paraId="3FB6A7EE" w14:textId="77777777" w:rsidR="004022CD" w:rsidRPr="000B05BB" w:rsidRDefault="004022CD" w:rsidP="001F3116">
            <w:pPr>
              <w:spacing w:line="264" w:lineRule="auto"/>
              <w:rPr>
                <w:sz w:val="18"/>
                <w:szCs w:val="18"/>
              </w:rPr>
            </w:pPr>
          </w:p>
        </w:tc>
        <w:tc>
          <w:tcPr>
            <w:tcW w:w="5091" w:type="dxa"/>
          </w:tcPr>
          <w:p w14:paraId="5D552675" w14:textId="04E1D409" w:rsidR="004022CD" w:rsidRPr="000B05BB" w:rsidRDefault="004022CD" w:rsidP="001F3116">
            <w:pPr>
              <w:spacing w:line="264" w:lineRule="auto"/>
              <w:rPr>
                <w:sz w:val="18"/>
                <w:szCs w:val="18"/>
                <w:lang w:val="es-ES"/>
              </w:rPr>
            </w:pPr>
            <w:proofErr w:type="spellStart"/>
            <w:r w:rsidRPr="000B05BB">
              <w:rPr>
                <w:sz w:val="18"/>
                <w:szCs w:val="18"/>
                <w:lang w:val="es-ES"/>
              </w:rPr>
              <w:t>elvitegravir</w:t>
            </w:r>
            <w:proofErr w:type="spellEnd"/>
            <w:r w:rsidR="00AF2964">
              <w:rPr>
                <w:sz w:val="18"/>
                <w:szCs w:val="18"/>
                <w:lang w:val="es-ES"/>
              </w:rPr>
              <w:t xml:space="preserve"> + </w:t>
            </w:r>
            <w:proofErr w:type="spellStart"/>
            <w:r w:rsidRPr="000B05BB">
              <w:rPr>
                <w:sz w:val="18"/>
                <w:szCs w:val="18"/>
                <w:lang w:val="es-ES"/>
              </w:rPr>
              <w:t>cobicistat</w:t>
            </w:r>
            <w:proofErr w:type="spellEnd"/>
            <w:r w:rsidR="00AF2964">
              <w:rPr>
                <w:sz w:val="18"/>
                <w:szCs w:val="18"/>
                <w:lang w:val="es-ES"/>
              </w:rPr>
              <w:t xml:space="preserve"> + </w:t>
            </w:r>
            <w:proofErr w:type="spellStart"/>
            <w:r w:rsidRPr="000B05BB">
              <w:rPr>
                <w:sz w:val="18"/>
                <w:szCs w:val="18"/>
                <w:lang w:val="es-ES"/>
              </w:rPr>
              <w:t>tenofovir</w:t>
            </w:r>
            <w:proofErr w:type="spellEnd"/>
            <w:r w:rsidRPr="000B05BB">
              <w:rPr>
                <w:sz w:val="18"/>
                <w:szCs w:val="18"/>
                <w:lang w:val="es-ES"/>
              </w:rPr>
              <w:t xml:space="preserve"> </w:t>
            </w:r>
            <w:proofErr w:type="spellStart"/>
            <w:r w:rsidRPr="000B05BB">
              <w:rPr>
                <w:sz w:val="18"/>
                <w:szCs w:val="18"/>
                <w:lang w:val="es-ES"/>
              </w:rPr>
              <w:t>disoproxil</w:t>
            </w:r>
            <w:proofErr w:type="spellEnd"/>
            <w:r w:rsidR="00AF2964">
              <w:rPr>
                <w:sz w:val="18"/>
                <w:szCs w:val="18"/>
                <w:lang w:val="es-ES"/>
              </w:rPr>
              <w:t xml:space="preserve"> + </w:t>
            </w:r>
            <w:proofErr w:type="spellStart"/>
            <w:r w:rsidRPr="000B05BB">
              <w:rPr>
                <w:sz w:val="18"/>
                <w:szCs w:val="18"/>
                <w:lang w:val="es-ES"/>
              </w:rPr>
              <w:t>emtricitabine</w:t>
            </w:r>
            <w:proofErr w:type="spellEnd"/>
            <w:r w:rsidRPr="000B05BB">
              <w:rPr>
                <w:sz w:val="18"/>
                <w:szCs w:val="18"/>
                <w:lang w:val="es-ES"/>
              </w:rPr>
              <w:t xml:space="preserve"> (</w:t>
            </w:r>
            <w:proofErr w:type="spellStart"/>
            <w:r w:rsidRPr="000B05BB">
              <w:rPr>
                <w:sz w:val="18"/>
                <w:szCs w:val="18"/>
                <w:lang w:val="es-ES"/>
              </w:rPr>
              <w:t>Stribild</w:t>
            </w:r>
            <w:proofErr w:type="spellEnd"/>
            <w:r w:rsidRPr="000B05BB">
              <w:rPr>
                <w:sz w:val="18"/>
                <w:szCs w:val="18"/>
                <w:lang w:val="es-ES"/>
              </w:rPr>
              <w:t>)</w:t>
            </w:r>
          </w:p>
        </w:tc>
        <w:tc>
          <w:tcPr>
            <w:tcW w:w="1843" w:type="dxa"/>
            <w:shd w:val="clear" w:color="auto" w:fill="auto"/>
          </w:tcPr>
          <w:p w14:paraId="26B13DE8" w14:textId="77777777" w:rsidR="004022CD" w:rsidRPr="000B05BB" w:rsidRDefault="004022CD" w:rsidP="001F3116">
            <w:pPr>
              <w:spacing w:line="264" w:lineRule="auto"/>
              <w:rPr>
                <w:sz w:val="18"/>
                <w:szCs w:val="18"/>
                <w:lang w:val="es-ES"/>
              </w:rPr>
            </w:pPr>
            <w:r w:rsidRPr="000B05BB">
              <w:rPr>
                <w:sz w:val="18"/>
                <w:szCs w:val="18"/>
                <w:lang w:val="es-ES"/>
              </w:rPr>
              <w:t>J05AR09</w:t>
            </w:r>
          </w:p>
        </w:tc>
        <w:tc>
          <w:tcPr>
            <w:tcW w:w="3292" w:type="dxa"/>
            <w:shd w:val="clear" w:color="auto" w:fill="auto"/>
          </w:tcPr>
          <w:p w14:paraId="52E4A22B" w14:textId="77777777" w:rsidR="004022CD" w:rsidRPr="00D20BED" w:rsidRDefault="004022CD" w:rsidP="001F3116">
            <w:pPr>
              <w:spacing w:line="264" w:lineRule="auto"/>
              <w:rPr>
                <w:sz w:val="18"/>
                <w:szCs w:val="18"/>
              </w:rPr>
            </w:pPr>
            <w:r w:rsidRPr="00D20BED">
              <w:rPr>
                <w:sz w:val="18"/>
                <w:szCs w:val="18"/>
              </w:rPr>
              <w:t xml:space="preserve">10307L (listed </w:t>
            </w:r>
            <w:r>
              <w:rPr>
                <w:sz w:val="18"/>
                <w:szCs w:val="18"/>
              </w:rPr>
              <w:t>July</w:t>
            </w:r>
            <w:r w:rsidRPr="00D20BED">
              <w:rPr>
                <w:sz w:val="18"/>
                <w:szCs w:val="18"/>
              </w:rPr>
              <w:t xml:space="preserve"> 2015; deleted </w:t>
            </w:r>
            <w:r>
              <w:rPr>
                <w:sz w:val="18"/>
                <w:szCs w:val="18"/>
              </w:rPr>
              <w:t>Feb 2020</w:t>
            </w:r>
            <w:r w:rsidRPr="00D20BED">
              <w:rPr>
                <w:sz w:val="18"/>
                <w:szCs w:val="18"/>
              </w:rPr>
              <w:t>)</w:t>
            </w:r>
          </w:p>
        </w:tc>
      </w:tr>
      <w:tr w:rsidR="004022CD" w:rsidRPr="000B05BB" w14:paraId="7DE36FFF" w14:textId="77777777" w:rsidTr="004022CD">
        <w:trPr>
          <w:trHeight w:val="278"/>
        </w:trPr>
        <w:tc>
          <w:tcPr>
            <w:tcW w:w="2280" w:type="dxa"/>
            <w:vMerge/>
          </w:tcPr>
          <w:p w14:paraId="3464BD34" w14:textId="77777777" w:rsidR="004022CD" w:rsidRPr="000B05BB" w:rsidRDefault="004022CD" w:rsidP="001F3116">
            <w:pPr>
              <w:spacing w:line="264" w:lineRule="auto"/>
              <w:rPr>
                <w:sz w:val="18"/>
                <w:szCs w:val="18"/>
              </w:rPr>
            </w:pPr>
          </w:p>
        </w:tc>
        <w:tc>
          <w:tcPr>
            <w:tcW w:w="5091" w:type="dxa"/>
          </w:tcPr>
          <w:p w14:paraId="17BB3E72" w14:textId="55DF5994" w:rsidR="004022CD" w:rsidRPr="000B05BB" w:rsidRDefault="00EE2686" w:rsidP="001F3116">
            <w:pPr>
              <w:spacing w:line="264" w:lineRule="auto"/>
              <w:rPr>
                <w:sz w:val="18"/>
                <w:szCs w:val="18"/>
              </w:rPr>
            </w:pPr>
            <w:r>
              <w:rPr>
                <w:sz w:val="18"/>
                <w:szCs w:val="18"/>
              </w:rPr>
              <w:t>a</w:t>
            </w:r>
            <w:r w:rsidR="004022CD" w:rsidRPr="000B05BB">
              <w:rPr>
                <w:sz w:val="18"/>
                <w:szCs w:val="18"/>
              </w:rPr>
              <w:t>bacavir</w:t>
            </w:r>
            <w:r>
              <w:rPr>
                <w:sz w:val="18"/>
                <w:szCs w:val="18"/>
              </w:rPr>
              <w:t xml:space="preserve"> + </w:t>
            </w:r>
            <w:r w:rsidR="004022CD" w:rsidRPr="000B05BB">
              <w:rPr>
                <w:sz w:val="18"/>
                <w:szCs w:val="18"/>
              </w:rPr>
              <w:t>dolutegravir</w:t>
            </w:r>
            <w:r>
              <w:rPr>
                <w:sz w:val="18"/>
                <w:szCs w:val="18"/>
              </w:rPr>
              <w:t xml:space="preserve"> + </w:t>
            </w:r>
            <w:r w:rsidR="004022CD" w:rsidRPr="000B05BB">
              <w:rPr>
                <w:sz w:val="18"/>
                <w:szCs w:val="18"/>
              </w:rPr>
              <w:t>lamivudine (</w:t>
            </w:r>
            <w:proofErr w:type="spellStart"/>
            <w:r w:rsidR="004022CD" w:rsidRPr="000B05BB">
              <w:rPr>
                <w:sz w:val="18"/>
                <w:szCs w:val="18"/>
              </w:rPr>
              <w:t>Triumeq</w:t>
            </w:r>
            <w:proofErr w:type="spellEnd"/>
            <w:r w:rsidR="004022CD" w:rsidRPr="000B05BB">
              <w:rPr>
                <w:sz w:val="18"/>
                <w:szCs w:val="18"/>
              </w:rPr>
              <w:t xml:space="preserve">) </w:t>
            </w:r>
          </w:p>
        </w:tc>
        <w:tc>
          <w:tcPr>
            <w:tcW w:w="1843" w:type="dxa"/>
          </w:tcPr>
          <w:p w14:paraId="05576AFE" w14:textId="77777777" w:rsidR="004022CD" w:rsidRPr="000B05BB" w:rsidRDefault="004022CD" w:rsidP="001F3116">
            <w:pPr>
              <w:spacing w:line="264" w:lineRule="auto"/>
              <w:rPr>
                <w:sz w:val="18"/>
                <w:szCs w:val="18"/>
              </w:rPr>
            </w:pPr>
            <w:r w:rsidRPr="000B05BB">
              <w:rPr>
                <w:sz w:val="18"/>
                <w:szCs w:val="18"/>
              </w:rPr>
              <w:t>J05AR13</w:t>
            </w:r>
          </w:p>
        </w:tc>
        <w:tc>
          <w:tcPr>
            <w:tcW w:w="3292" w:type="dxa"/>
          </w:tcPr>
          <w:p w14:paraId="31396218" w14:textId="52614737" w:rsidR="004022CD" w:rsidRPr="000B05BB" w:rsidRDefault="004022CD" w:rsidP="001F3116">
            <w:pPr>
              <w:spacing w:line="264" w:lineRule="auto"/>
              <w:rPr>
                <w:sz w:val="18"/>
                <w:szCs w:val="18"/>
              </w:rPr>
            </w:pPr>
            <w:r w:rsidRPr="000B05BB">
              <w:rPr>
                <w:sz w:val="18"/>
                <w:szCs w:val="18"/>
              </w:rPr>
              <w:t>10345L</w:t>
            </w:r>
            <w:r>
              <w:rPr>
                <w:sz w:val="18"/>
                <w:szCs w:val="18"/>
              </w:rPr>
              <w:t xml:space="preserve"> (listed July 2015)</w:t>
            </w:r>
          </w:p>
        </w:tc>
      </w:tr>
      <w:tr w:rsidR="004022CD" w:rsidRPr="000B05BB" w14:paraId="02DF531C" w14:textId="77777777" w:rsidTr="004022CD">
        <w:trPr>
          <w:trHeight w:val="422"/>
        </w:trPr>
        <w:tc>
          <w:tcPr>
            <w:tcW w:w="2280" w:type="dxa"/>
            <w:vMerge/>
          </w:tcPr>
          <w:p w14:paraId="194C7670" w14:textId="77777777" w:rsidR="004022CD" w:rsidRPr="000B05BB" w:rsidRDefault="004022CD" w:rsidP="001F3116">
            <w:pPr>
              <w:spacing w:line="264" w:lineRule="auto"/>
              <w:rPr>
                <w:sz w:val="18"/>
                <w:szCs w:val="18"/>
              </w:rPr>
            </w:pPr>
          </w:p>
        </w:tc>
        <w:tc>
          <w:tcPr>
            <w:tcW w:w="5091" w:type="dxa"/>
          </w:tcPr>
          <w:p w14:paraId="25685BD0" w14:textId="02B377CC" w:rsidR="004022CD" w:rsidRPr="000B05BB" w:rsidRDefault="00CB5485" w:rsidP="001F3116">
            <w:pPr>
              <w:spacing w:line="264" w:lineRule="auto"/>
              <w:rPr>
                <w:sz w:val="18"/>
                <w:szCs w:val="18"/>
              </w:rPr>
            </w:pPr>
            <w:r>
              <w:rPr>
                <w:sz w:val="18"/>
                <w:szCs w:val="18"/>
              </w:rPr>
              <w:t>e</w:t>
            </w:r>
            <w:r w:rsidR="004022CD" w:rsidRPr="000B05BB">
              <w:rPr>
                <w:sz w:val="18"/>
                <w:szCs w:val="18"/>
              </w:rPr>
              <w:t>mtricitabine</w:t>
            </w:r>
            <w:r w:rsidR="00357506">
              <w:rPr>
                <w:sz w:val="18"/>
                <w:szCs w:val="18"/>
              </w:rPr>
              <w:t xml:space="preserve"> + </w:t>
            </w:r>
            <w:r w:rsidR="004022CD" w:rsidRPr="000B05BB">
              <w:rPr>
                <w:sz w:val="18"/>
                <w:szCs w:val="18"/>
              </w:rPr>
              <w:t>rilpivirine</w:t>
            </w:r>
            <w:r w:rsidR="00357506">
              <w:rPr>
                <w:sz w:val="18"/>
                <w:szCs w:val="18"/>
              </w:rPr>
              <w:t xml:space="preserve"> + </w:t>
            </w:r>
            <w:r w:rsidR="004022CD" w:rsidRPr="000B05BB">
              <w:rPr>
                <w:sz w:val="18"/>
                <w:szCs w:val="18"/>
              </w:rPr>
              <w:t>tenofovir alafenamide (</w:t>
            </w:r>
            <w:proofErr w:type="spellStart"/>
            <w:r w:rsidR="004022CD" w:rsidRPr="000B05BB">
              <w:rPr>
                <w:sz w:val="18"/>
                <w:szCs w:val="18"/>
              </w:rPr>
              <w:t>Odefsey</w:t>
            </w:r>
            <w:proofErr w:type="spellEnd"/>
            <w:r w:rsidR="004022CD" w:rsidRPr="000B05BB">
              <w:rPr>
                <w:sz w:val="18"/>
                <w:szCs w:val="18"/>
              </w:rPr>
              <w:t xml:space="preserve">) </w:t>
            </w:r>
          </w:p>
        </w:tc>
        <w:tc>
          <w:tcPr>
            <w:tcW w:w="1843" w:type="dxa"/>
          </w:tcPr>
          <w:p w14:paraId="2F970C16" w14:textId="77777777" w:rsidR="004022CD" w:rsidRPr="000B05BB" w:rsidRDefault="004022CD" w:rsidP="001F3116">
            <w:pPr>
              <w:spacing w:line="264" w:lineRule="auto"/>
              <w:rPr>
                <w:sz w:val="18"/>
                <w:szCs w:val="18"/>
              </w:rPr>
            </w:pPr>
            <w:r w:rsidRPr="000B05BB">
              <w:rPr>
                <w:sz w:val="18"/>
                <w:szCs w:val="18"/>
              </w:rPr>
              <w:t>J05AR19</w:t>
            </w:r>
          </w:p>
        </w:tc>
        <w:tc>
          <w:tcPr>
            <w:tcW w:w="3292" w:type="dxa"/>
          </w:tcPr>
          <w:p w14:paraId="50B77372" w14:textId="77777777" w:rsidR="004022CD" w:rsidRPr="000B05BB" w:rsidRDefault="004022CD" w:rsidP="001F3116">
            <w:pPr>
              <w:spacing w:line="264" w:lineRule="auto"/>
              <w:rPr>
                <w:sz w:val="18"/>
                <w:szCs w:val="18"/>
              </w:rPr>
            </w:pPr>
            <w:r w:rsidRPr="000B05BB">
              <w:rPr>
                <w:sz w:val="18"/>
                <w:szCs w:val="18"/>
              </w:rPr>
              <w:t>11104K</w:t>
            </w:r>
            <w:r>
              <w:rPr>
                <w:sz w:val="18"/>
                <w:szCs w:val="18"/>
              </w:rPr>
              <w:t xml:space="preserve"> (listed May 2017)</w:t>
            </w:r>
          </w:p>
        </w:tc>
      </w:tr>
      <w:tr w:rsidR="004022CD" w:rsidRPr="000B05BB" w14:paraId="7F0B6CE2" w14:textId="77777777" w:rsidTr="004022CD">
        <w:trPr>
          <w:trHeight w:val="543"/>
        </w:trPr>
        <w:tc>
          <w:tcPr>
            <w:tcW w:w="2280" w:type="dxa"/>
            <w:vMerge/>
          </w:tcPr>
          <w:p w14:paraId="4C8405D4" w14:textId="77777777" w:rsidR="004022CD" w:rsidRPr="000B05BB" w:rsidRDefault="004022CD" w:rsidP="001F3116">
            <w:pPr>
              <w:spacing w:line="264" w:lineRule="auto"/>
              <w:rPr>
                <w:sz w:val="18"/>
                <w:szCs w:val="18"/>
              </w:rPr>
            </w:pPr>
          </w:p>
        </w:tc>
        <w:tc>
          <w:tcPr>
            <w:tcW w:w="5091" w:type="dxa"/>
            <w:shd w:val="clear" w:color="auto" w:fill="auto"/>
          </w:tcPr>
          <w:p w14:paraId="7FE079BE" w14:textId="2BF25C67" w:rsidR="004022CD" w:rsidRPr="000B05BB" w:rsidRDefault="00AF36B6" w:rsidP="001F3116">
            <w:pPr>
              <w:spacing w:line="264" w:lineRule="auto"/>
              <w:rPr>
                <w:sz w:val="18"/>
                <w:szCs w:val="18"/>
                <w:lang w:val="es-ES"/>
              </w:rPr>
            </w:pPr>
            <w:proofErr w:type="spellStart"/>
            <w:r>
              <w:rPr>
                <w:sz w:val="18"/>
                <w:szCs w:val="18"/>
                <w:lang w:val="es-ES"/>
              </w:rPr>
              <w:t>e</w:t>
            </w:r>
            <w:r w:rsidR="004022CD" w:rsidRPr="000B05BB">
              <w:rPr>
                <w:sz w:val="18"/>
                <w:szCs w:val="18"/>
                <w:lang w:val="es-ES"/>
              </w:rPr>
              <w:t>lvitegravir</w:t>
            </w:r>
            <w:proofErr w:type="spellEnd"/>
            <w:r w:rsidR="00357506">
              <w:rPr>
                <w:sz w:val="18"/>
                <w:szCs w:val="18"/>
                <w:lang w:val="es-ES"/>
              </w:rPr>
              <w:t xml:space="preserve"> + </w:t>
            </w:r>
            <w:proofErr w:type="spellStart"/>
            <w:r w:rsidR="004022CD" w:rsidRPr="000B05BB">
              <w:rPr>
                <w:sz w:val="18"/>
                <w:szCs w:val="18"/>
                <w:lang w:val="es-ES"/>
              </w:rPr>
              <w:t>cobicistat</w:t>
            </w:r>
            <w:proofErr w:type="spellEnd"/>
            <w:r w:rsidR="00357506">
              <w:rPr>
                <w:sz w:val="18"/>
                <w:szCs w:val="18"/>
                <w:lang w:val="es-ES"/>
              </w:rPr>
              <w:t xml:space="preserve"> + </w:t>
            </w:r>
            <w:proofErr w:type="spellStart"/>
            <w:r w:rsidR="004022CD" w:rsidRPr="000B05BB">
              <w:rPr>
                <w:sz w:val="18"/>
                <w:szCs w:val="18"/>
                <w:lang w:val="es-ES"/>
              </w:rPr>
              <w:t>emtricitabine</w:t>
            </w:r>
            <w:proofErr w:type="spellEnd"/>
            <w:r w:rsidR="00357506">
              <w:rPr>
                <w:sz w:val="18"/>
                <w:szCs w:val="18"/>
                <w:lang w:val="es-ES"/>
              </w:rPr>
              <w:t xml:space="preserve"> + </w:t>
            </w:r>
            <w:proofErr w:type="spellStart"/>
            <w:r w:rsidR="004022CD" w:rsidRPr="000B05BB">
              <w:rPr>
                <w:sz w:val="18"/>
                <w:szCs w:val="18"/>
                <w:lang w:val="es-ES"/>
              </w:rPr>
              <w:t>tenofovir</w:t>
            </w:r>
            <w:proofErr w:type="spellEnd"/>
            <w:r w:rsidR="004022CD" w:rsidRPr="000B05BB">
              <w:rPr>
                <w:sz w:val="18"/>
                <w:szCs w:val="18"/>
                <w:lang w:val="es-ES"/>
              </w:rPr>
              <w:t xml:space="preserve"> </w:t>
            </w:r>
            <w:proofErr w:type="spellStart"/>
            <w:r w:rsidR="004022CD" w:rsidRPr="000B05BB">
              <w:rPr>
                <w:sz w:val="18"/>
                <w:szCs w:val="18"/>
                <w:lang w:val="es-ES"/>
              </w:rPr>
              <w:t>alafenamide</w:t>
            </w:r>
            <w:proofErr w:type="spellEnd"/>
            <w:r w:rsidR="004022CD" w:rsidRPr="000B05BB">
              <w:rPr>
                <w:sz w:val="18"/>
                <w:szCs w:val="18"/>
                <w:lang w:val="es-ES"/>
              </w:rPr>
              <w:t xml:space="preserve"> (</w:t>
            </w:r>
            <w:proofErr w:type="spellStart"/>
            <w:r w:rsidR="004022CD" w:rsidRPr="000B05BB">
              <w:rPr>
                <w:sz w:val="18"/>
                <w:szCs w:val="18"/>
                <w:lang w:val="es-ES"/>
              </w:rPr>
              <w:t>Genvoya</w:t>
            </w:r>
            <w:proofErr w:type="spellEnd"/>
            <w:r w:rsidR="004022CD" w:rsidRPr="000B05BB">
              <w:rPr>
                <w:sz w:val="18"/>
                <w:szCs w:val="18"/>
                <w:lang w:val="es-ES"/>
              </w:rPr>
              <w:t>)</w:t>
            </w:r>
          </w:p>
        </w:tc>
        <w:tc>
          <w:tcPr>
            <w:tcW w:w="1843" w:type="dxa"/>
          </w:tcPr>
          <w:p w14:paraId="61AB7C29" w14:textId="77777777" w:rsidR="004022CD" w:rsidRPr="000B05BB" w:rsidRDefault="004022CD" w:rsidP="001F3116">
            <w:pPr>
              <w:spacing w:line="264" w:lineRule="auto"/>
              <w:rPr>
                <w:sz w:val="18"/>
                <w:szCs w:val="18"/>
                <w:lang w:val="es-ES"/>
              </w:rPr>
            </w:pPr>
            <w:r w:rsidRPr="000B05BB">
              <w:rPr>
                <w:sz w:val="18"/>
                <w:szCs w:val="18"/>
                <w:lang w:val="es-ES"/>
              </w:rPr>
              <w:t>J05AR18</w:t>
            </w:r>
          </w:p>
        </w:tc>
        <w:tc>
          <w:tcPr>
            <w:tcW w:w="3292" w:type="dxa"/>
          </w:tcPr>
          <w:p w14:paraId="1440B9F3" w14:textId="77777777" w:rsidR="004022CD" w:rsidRPr="001B44CD" w:rsidRDefault="004022CD" w:rsidP="001F3116">
            <w:pPr>
              <w:spacing w:line="264" w:lineRule="auto"/>
              <w:rPr>
                <w:sz w:val="18"/>
                <w:szCs w:val="18"/>
              </w:rPr>
            </w:pPr>
            <w:r w:rsidRPr="001B44CD">
              <w:rPr>
                <w:sz w:val="18"/>
                <w:szCs w:val="18"/>
              </w:rPr>
              <w:t>11114Y (listed May 2017)</w:t>
            </w:r>
          </w:p>
        </w:tc>
      </w:tr>
      <w:tr w:rsidR="004022CD" w:rsidRPr="000B05BB" w14:paraId="371C2DD1" w14:textId="77777777" w:rsidTr="004022CD">
        <w:trPr>
          <w:trHeight w:val="438"/>
        </w:trPr>
        <w:tc>
          <w:tcPr>
            <w:tcW w:w="2280" w:type="dxa"/>
            <w:vMerge/>
          </w:tcPr>
          <w:p w14:paraId="745D0CAA" w14:textId="77777777" w:rsidR="004022CD" w:rsidRPr="000B05BB" w:rsidRDefault="004022CD" w:rsidP="001F3116">
            <w:pPr>
              <w:spacing w:line="264" w:lineRule="auto"/>
              <w:rPr>
                <w:sz w:val="18"/>
                <w:szCs w:val="18"/>
              </w:rPr>
            </w:pPr>
          </w:p>
        </w:tc>
        <w:tc>
          <w:tcPr>
            <w:tcW w:w="5091" w:type="dxa"/>
          </w:tcPr>
          <w:p w14:paraId="30BBCB9F" w14:textId="7C99D698" w:rsidR="004022CD" w:rsidRPr="000B05BB" w:rsidRDefault="00357506" w:rsidP="001F3116">
            <w:pPr>
              <w:spacing w:line="264" w:lineRule="auto"/>
              <w:rPr>
                <w:sz w:val="18"/>
                <w:szCs w:val="18"/>
                <w:lang w:val="es-ES"/>
              </w:rPr>
            </w:pPr>
            <w:proofErr w:type="spellStart"/>
            <w:r>
              <w:rPr>
                <w:sz w:val="18"/>
                <w:szCs w:val="18"/>
                <w:lang w:val="es-ES"/>
              </w:rPr>
              <w:t>b</w:t>
            </w:r>
            <w:r w:rsidR="004022CD" w:rsidRPr="000B05BB">
              <w:rPr>
                <w:sz w:val="18"/>
                <w:szCs w:val="18"/>
                <w:lang w:val="es-ES"/>
              </w:rPr>
              <w:t>ictegravir</w:t>
            </w:r>
            <w:proofErr w:type="spellEnd"/>
            <w:r w:rsidR="004022CD" w:rsidRPr="000B05BB">
              <w:rPr>
                <w:sz w:val="18"/>
                <w:szCs w:val="18"/>
                <w:lang w:val="es-ES"/>
              </w:rPr>
              <w:t xml:space="preserve"> </w:t>
            </w:r>
            <w:r>
              <w:rPr>
                <w:sz w:val="18"/>
                <w:szCs w:val="18"/>
                <w:lang w:val="es-ES"/>
              </w:rPr>
              <w:t xml:space="preserve">+ </w:t>
            </w:r>
            <w:proofErr w:type="spellStart"/>
            <w:r w:rsidR="004022CD" w:rsidRPr="000B05BB">
              <w:rPr>
                <w:sz w:val="18"/>
                <w:szCs w:val="18"/>
                <w:lang w:val="es-ES"/>
              </w:rPr>
              <w:t>tenofovir</w:t>
            </w:r>
            <w:proofErr w:type="spellEnd"/>
            <w:r w:rsidR="004022CD" w:rsidRPr="000B05BB">
              <w:rPr>
                <w:sz w:val="18"/>
                <w:szCs w:val="18"/>
                <w:lang w:val="es-ES"/>
              </w:rPr>
              <w:t xml:space="preserve"> </w:t>
            </w:r>
            <w:proofErr w:type="spellStart"/>
            <w:r w:rsidR="004022CD" w:rsidRPr="000B05BB">
              <w:rPr>
                <w:sz w:val="18"/>
                <w:szCs w:val="18"/>
                <w:lang w:val="es-ES"/>
              </w:rPr>
              <w:t>alafenamide</w:t>
            </w:r>
            <w:proofErr w:type="spellEnd"/>
            <w:r>
              <w:rPr>
                <w:sz w:val="18"/>
                <w:szCs w:val="18"/>
                <w:lang w:val="es-ES"/>
              </w:rPr>
              <w:t xml:space="preserve"> + </w:t>
            </w:r>
            <w:proofErr w:type="spellStart"/>
            <w:r w:rsidR="004022CD" w:rsidRPr="000B05BB">
              <w:rPr>
                <w:sz w:val="18"/>
                <w:szCs w:val="18"/>
                <w:lang w:val="es-ES"/>
              </w:rPr>
              <w:t>emtricitabine</w:t>
            </w:r>
            <w:proofErr w:type="spellEnd"/>
            <w:r w:rsidR="004022CD" w:rsidRPr="000B05BB">
              <w:rPr>
                <w:sz w:val="18"/>
                <w:szCs w:val="18"/>
                <w:lang w:val="es-ES"/>
              </w:rPr>
              <w:t xml:space="preserve"> (</w:t>
            </w:r>
            <w:proofErr w:type="spellStart"/>
            <w:r w:rsidR="004022CD" w:rsidRPr="00CB4E1C">
              <w:rPr>
                <w:sz w:val="18"/>
                <w:szCs w:val="18"/>
                <w:lang w:val="es-ES"/>
              </w:rPr>
              <w:t>Biktarvy</w:t>
            </w:r>
            <w:proofErr w:type="spellEnd"/>
            <w:r w:rsidR="004022CD" w:rsidRPr="00CB4E1C">
              <w:rPr>
                <w:sz w:val="18"/>
                <w:szCs w:val="18"/>
                <w:lang w:val="es-ES"/>
              </w:rPr>
              <w:t>)</w:t>
            </w:r>
          </w:p>
        </w:tc>
        <w:tc>
          <w:tcPr>
            <w:tcW w:w="1843" w:type="dxa"/>
          </w:tcPr>
          <w:p w14:paraId="2F7F61F6" w14:textId="77777777" w:rsidR="004022CD" w:rsidRPr="000B05BB" w:rsidRDefault="004022CD" w:rsidP="001F3116">
            <w:pPr>
              <w:spacing w:line="264" w:lineRule="auto"/>
              <w:rPr>
                <w:sz w:val="18"/>
                <w:szCs w:val="18"/>
                <w:lang w:val="es-ES"/>
              </w:rPr>
            </w:pPr>
            <w:r w:rsidRPr="000B05BB">
              <w:rPr>
                <w:sz w:val="18"/>
                <w:szCs w:val="18"/>
                <w:lang w:val="es-ES"/>
              </w:rPr>
              <w:t>J05AR20</w:t>
            </w:r>
          </w:p>
        </w:tc>
        <w:tc>
          <w:tcPr>
            <w:tcW w:w="3292" w:type="dxa"/>
          </w:tcPr>
          <w:p w14:paraId="44DDF3FB" w14:textId="77777777" w:rsidR="004022CD" w:rsidRPr="000B05BB" w:rsidRDefault="004022CD" w:rsidP="001F3116">
            <w:pPr>
              <w:spacing w:line="264" w:lineRule="auto"/>
              <w:rPr>
                <w:sz w:val="18"/>
                <w:szCs w:val="18"/>
                <w:lang w:val="es-ES"/>
              </w:rPr>
            </w:pPr>
            <w:r w:rsidRPr="000B05BB">
              <w:rPr>
                <w:sz w:val="18"/>
                <w:szCs w:val="18"/>
                <w:lang w:val="es-ES"/>
              </w:rPr>
              <w:t>11649D</w:t>
            </w:r>
            <w:r>
              <w:rPr>
                <w:sz w:val="18"/>
                <w:szCs w:val="18"/>
                <w:lang w:val="es-ES"/>
              </w:rPr>
              <w:t xml:space="preserve"> (</w:t>
            </w:r>
            <w:proofErr w:type="spellStart"/>
            <w:r>
              <w:rPr>
                <w:sz w:val="18"/>
                <w:szCs w:val="18"/>
                <w:lang w:val="es-ES"/>
              </w:rPr>
              <w:t>listed</w:t>
            </w:r>
            <w:proofErr w:type="spellEnd"/>
            <w:r>
              <w:rPr>
                <w:sz w:val="18"/>
                <w:szCs w:val="18"/>
                <w:lang w:val="es-ES"/>
              </w:rPr>
              <w:t xml:space="preserve"> Mar 2019)</w:t>
            </w:r>
          </w:p>
        </w:tc>
      </w:tr>
      <w:tr w:rsidR="004022CD" w:rsidRPr="000B05BB" w14:paraId="0C04605E" w14:textId="77777777" w:rsidTr="004022CD">
        <w:trPr>
          <w:trHeight w:val="543"/>
        </w:trPr>
        <w:tc>
          <w:tcPr>
            <w:tcW w:w="2280" w:type="dxa"/>
            <w:vMerge/>
          </w:tcPr>
          <w:p w14:paraId="4F167807" w14:textId="77777777" w:rsidR="004022CD" w:rsidRPr="000B05BB" w:rsidRDefault="004022CD" w:rsidP="001F3116">
            <w:pPr>
              <w:spacing w:line="264" w:lineRule="auto"/>
              <w:rPr>
                <w:sz w:val="18"/>
                <w:szCs w:val="18"/>
                <w:lang w:val="es-ES"/>
              </w:rPr>
            </w:pPr>
          </w:p>
        </w:tc>
        <w:tc>
          <w:tcPr>
            <w:tcW w:w="5091" w:type="dxa"/>
          </w:tcPr>
          <w:p w14:paraId="2C077ADD" w14:textId="6B06F4E2" w:rsidR="004022CD" w:rsidRPr="000B05BB" w:rsidRDefault="00EB1D7D" w:rsidP="001F3116">
            <w:pPr>
              <w:spacing w:line="264" w:lineRule="auto"/>
              <w:rPr>
                <w:sz w:val="18"/>
                <w:szCs w:val="18"/>
              </w:rPr>
            </w:pPr>
            <w:r>
              <w:rPr>
                <w:sz w:val="18"/>
                <w:szCs w:val="18"/>
              </w:rPr>
              <w:t>d</w:t>
            </w:r>
            <w:r w:rsidR="004022CD" w:rsidRPr="000B05BB">
              <w:rPr>
                <w:sz w:val="18"/>
                <w:szCs w:val="18"/>
              </w:rPr>
              <w:t xml:space="preserve">olutegravir </w:t>
            </w:r>
            <w:r>
              <w:rPr>
                <w:sz w:val="18"/>
                <w:szCs w:val="18"/>
              </w:rPr>
              <w:t>+</w:t>
            </w:r>
            <w:r w:rsidR="004022CD" w:rsidRPr="000B05BB">
              <w:rPr>
                <w:sz w:val="18"/>
                <w:szCs w:val="18"/>
              </w:rPr>
              <w:t xml:space="preserve"> </w:t>
            </w:r>
            <w:proofErr w:type="spellStart"/>
            <w:r w:rsidR="004022CD" w:rsidRPr="000B05BB">
              <w:rPr>
                <w:sz w:val="18"/>
                <w:szCs w:val="18"/>
              </w:rPr>
              <w:t>rilpivirine</w:t>
            </w:r>
            <w:proofErr w:type="spellEnd"/>
            <w:r w:rsidR="004022CD" w:rsidRPr="000B05BB">
              <w:rPr>
                <w:sz w:val="18"/>
                <w:szCs w:val="18"/>
              </w:rPr>
              <w:t xml:space="preserve"> (</w:t>
            </w:r>
            <w:proofErr w:type="spellStart"/>
            <w:r w:rsidR="004022CD" w:rsidRPr="000B05BB">
              <w:rPr>
                <w:sz w:val="18"/>
                <w:szCs w:val="18"/>
              </w:rPr>
              <w:t>Juluca</w:t>
            </w:r>
            <w:proofErr w:type="spellEnd"/>
            <w:r w:rsidR="004022CD" w:rsidRPr="000B05BB">
              <w:rPr>
                <w:sz w:val="18"/>
                <w:szCs w:val="18"/>
              </w:rPr>
              <w:t>)</w:t>
            </w:r>
          </w:p>
        </w:tc>
        <w:tc>
          <w:tcPr>
            <w:tcW w:w="1843" w:type="dxa"/>
          </w:tcPr>
          <w:p w14:paraId="36012D5A" w14:textId="77777777" w:rsidR="004022CD" w:rsidRPr="000B05BB" w:rsidRDefault="004022CD" w:rsidP="001F3116">
            <w:pPr>
              <w:spacing w:line="264" w:lineRule="auto"/>
              <w:rPr>
                <w:sz w:val="18"/>
                <w:szCs w:val="18"/>
              </w:rPr>
            </w:pPr>
            <w:r w:rsidRPr="000B05BB">
              <w:rPr>
                <w:sz w:val="18"/>
                <w:szCs w:val="18"/>
              </w:rPr>
              <w:t>J05AR21</w:t>
            </w:r>
          </w:p>
        </w:tc>
        <w:tc>
          <w:tcPr>
            <w:tcW w:w="3292" w:type="dxa"/>
          </w:tcPr>
          <w:p w14:paraId="6635B0F5" w14:textId="77777777" w:rsidR="004022CD" w:rsidRPr="000B05BB" w:rsidRDefault="004022CD" w:rsidP="001F3116">
            <w:pPr>
              <w:spacing w:line="264" w:lineRule="auto"/>
              <w:rPr>
                <w:sz w:val="18"/>
                <w:szCs w:val="18"/>
              </w:rPr>
            </w:pPr>
            <w:r w:rsidRPr="000B05BB">
              <w:rPr>
                <w:sz w:val="18"/>
                <w:szCs w:val="18"/>
              </w:rPr>
              <w:t>11540J</w:t>
            </w:r>
            <w:r>
              <w:rPr>
                <w:sz w:val="18"/>
                <w:szCs w:val="18"/>
              </w:rPr>
              <w:t xml:space="preserve"> (listed Dec 2018)</w:t>
            </w:r>
          </w:p>
        </w:tc>
      </w:tr>
      <w:tr w:rsidR="004022CD" w:rsidRPr="000B05BB" w14:paraId="6E6FCFBE" w14:textId="77777777" w:rsidTr="004022CD">
        <w:trPr>
          <w:trHeight w:val="543"/>
        </w:trPr>
        <w:tc>
          <w:tcPr>
            <w:tcW w:w="2280" w:type="dxa"/>
            <w:vMerge/>
          </w:tcPr>
          <w:p w14:paraId="1EF1A521" w14:textId="77777777" w:rsidR="004022CD" w:rsidRPr="000B05BB" w:rsidRDefault="004022CD" w:rsidP="001F3116">
            <w:pPr>
              <w:spacing w:line="264" w:lineRule="auto"/>
              <w:rPr>
                <w:sz w:val="18"/>
                <w:szCs w:val="18"/>
                <w:lang w:val="es-ES"/>
              </w:rPr>
            </w:pPr>
          </w:p>
        </w:tc>
        <w:tc>
          <w:tcPr>
            <w:tcW w:w="5091" w:type="dxa"/>
          </w:tcPr>
          <w:p w14:paraId="3758B88F" w14:textId="7C0EF872" w:rsidR="004022CD" w:rsidRPr="005F18B7" w:rsidRDefault="00EB1D7D" w:rsidP="001F3116">
            <w:pPr>
              <w:spacing w:line="264" w:lineRule="auto"/>
              <w:rPr>
                <w:sz w:val="18"/>
                <w:szCs w:val="18"/>
                <w:lang w:val="es-ES"/>
              </w:rPr>
            </w:pPr>
            <w:proofErr w:type="spellStart"/>
            <w:r>
              <w:rPr>
                <w:sz w:val="18"/>
                <w:szCs w:val="18"/>
                <w:lang w:val="es-ES"/>
              </w:rPr>
              <w:t>d</w:t>
            </w:r>
            <w:r w:rsidR="004022CD" w:rsidRPr="005F18B7">
              <w:rPr>
                <w:sz w:val="18"/>
                <w:szCs w:val="18"/>
                <w:lang w:val="es-ES"/>
              </w:rPr>
              <w:t>arunavir</w:t>
            </w:r>
            <w:proofErr w:type="spellEnd"/>
            <w:r>
              <w:rPr>
                <w:sz w:val="18"/>
                <w:szCs w:val="18"/>
                <w:lang w:val="es-ES"/>
              </w:rPr>
              <w:t xml:space="preserve"> + </w:t>
            </w:r>
            <w:proofErr w:type="spellStart"/>
            <w:r w:rsidR="004022CD" w:rsidRPr="005F18B7">
              <w:rPr>
                <w:sz w:val="18"/>
                <w:szCs w:val="18"/>
                <w:lang w:val="es-ES"/>
              </w:rPr>
              <w:t>cobi</w:t>
            </w:r>
            <w:r w:rsidR="00C57E96">
              <w:rPr>
                <w:sz w:val="18"/>
                <w:szCs w:val="18"/>
                <w:lang w:val="es-ES"/>
              </w:rPr>
              <w:t>ci</w:t>
            </w:r>
            <w:r w:rsidR="004022CD" w:rsidRPr="005F18B7">
              <w:rPr>
                <w:sz w:val="18"/>
                <w:szCs w:val="18"/>
                <w:lang w:val="es-ES"/>
              </w:rPr>
              <w:t>stat</w:t>
            </w:r>
            <w:proofErr w:type="spellEnd"/>
            <w:r>
              <w:rPr>
                <w:sz w:val="18"/>
                <w:szCs w:val="18"/>
                <w:lang w:val="es-ES"/>
              </w:rPr>
              <w:t xml:space="preserve"> +</w:t>
            </w:r>
            <w:r w:rsidR="004022CD" w:rsidRPr="000B05BB">
              <w:rPr>
                <w:sz w:val="18"/>
                <w:szCs w:val="18"/>
                <w:lang w:val="es-ES"/>
              </w:rPr>
              <w:t xml:space="preserve"> </w:t>
            </w:r>
            <w:proofErr w:type="spellStart"/>
            <w:r w:rsidR="004022CD" w:rsidRPr="000B05BB">
              <w:rPr>
                <w:sz w:val="18"/>
                <w:szCs w:val="18"/>
                <w:lang w:val="es-ES"/>
              </w:rPr>
              <w:t>emtricitabine</w:t>
            </w:r>
            <w:proofErr w:type="spellEnd"/>
            <w:r>
              <w:rPr>
                <w:sz w:val="18"/>
                <w:szCs w:val="18"/>
                <w:lang w:val="es-ES"/>
              </w:rPr>
              <w:t xml:space="preserve"> + </w:t>
            </w:r>
            <w:proofErr w:type="spellStart"/>
            <w:r w:rsidR="004022CD" w:rsidRPr="000B05BB">
              <w:rPr>
                <w:sz w:val="18"/>
                <w:szCs w:val="18"/>
                <w:lang w:val="es-ES"/>
              </w:rPr>
              <w:t>tenofovir</w:t>
            </w:r>
            <w:proofErr w:type="spellEnd"/>
            <w:r w:rsidR="004022CD" w:rsidRPr="000B05BB">
              <w:rPr>
                <w:sz w:val="18"/>
                <w:szCs w:val="18"/>
                <w:lang w:val="es-ES"/>
              </w:rPr>
              <w:t xml:space="preserve"> </w:t>
            </w:r>
            <w:proofErr w:type="spellStart"/>
            <w:r w:rsidR="004022CD" w:rsidRPr="000B05BB">
              <w:rPr>
                <w:sz w:val="18"/>
                <w:szCs w:val="18"/>
                <w:lang w:val="es-ES"/>
              </w:rPr>
              <w:t>alafenamide</w:t>
            </w:r>
            <w:proofErr w:type="spellEnd"/>
            <w:r w:rsidR="004022CD" w:rsidRPr="000B05BB">
              <w:rPr>
                <w:sz w:val="18"/>
                <w:szCs w:val="18"/>
                <w:lang w:val="es-ES"/>
              </w:rPr>
              <w:t xml:space="preserve"> (</w:t>
            </w:r>
            <w:proofErr w:type="spellStart"/>
            <w:r w:rsidR="004022CD" w:rsidRPr="000B05BB">
              <w:rPr>
                <w:sz w:val="18"/>
                <w:szCs w:val="18"/>
                <w:lang w:val="es-ES"/>
              </w:rPr>
              <w:t>Symtuza</w:t>
            </w:r>
            <w:proofErr w:type="spellEnd"/>
            <w:r w:rsidR="004022CD" w:rsidRPr="000B05BB">
              <w:rPr>
                <w:sz w:val="18"/>
                <w:szCs w:val="18"/>
                <w:lang w:val="es-ES"/>
              </w:rPr>
              <w:t>)</w:t>
            </w:r>
          </w:p>
        </w:tc>
        <w:tc>
          <w:tcPr>
            <w:tcW w:w="1843" w:type="dxa"/>
          </w:tcPr>
          <w:p w14:paraId="61AD0A0F" w14:textId="77777777" w:rsidR="004022CD" w:rsidRPr="000B05BB" w:rsidRDefault="004022CD" w:rsidP="001F3116">
            <w:pPr>
              <w:spacing w:line="264" w:lineRule="auto"/>
              <w:rPr>
                <w:sz w:val="18"/>
                <w:szCs w:val="18"/>
              </w:rPr>
            </w:pPr>
            <w:r w:rsidRPr="000B05BB">
              <w:rPr>
                <w:sz w:val="18"/>
                <w:szCs w:val="18"/>
              </w:rPr>
              <w:t>J05AR22</w:t>
            </w:r>
          </w:p>
        </w:tc>
        <w:tc>
          <w:tcPr>
            <w:tcW w:w="3292" w:type="dxa"/>
          </w:tcPr>
          <w:p w14:paraId="4667BF8F" w14:textId="77777777" w:rsidR="004022CD" w:rsidRPr="000B05BB" w:rsidRDefault="004022CD" w:rsidP="001F3116">
            <w:pPr>
              <w:spacing w:line="264" w:lineRule="auto"/>
              <w:rPr>
                <w:sz w:val="18"/>
                <w:szCs w:val="18"/>
              </w:rPr>
            </w:pPr>
            <w:r w:rsidRPr="00094422">
              <w:rPr>
                <w:sz w:val="18"/>
                <w:szCs w:val="18"/>
              </w:rPr>
              <w:t>11955F (listed Oct 2016)</w:t>
            </w:r>
          </w:p>
        </w:tc>
      </w:tr>
      <w:tr w:rsidR="004022CD" w:rsidRPr="000B05BB" w14:paraId="415ADFC1" w14:textId="77777777" w:rsidTr="004022CD">
        <w:trPr>
          <w:trHeight w:val="543"/>
        </w:trPr>
        <w:tc>
          <w:tcPr>
            <w:tcW w:w="2280" w:type="dxa"/>
            <w:vMerge/>
          </w:tcPr>
          <w:p w14:paraId="52818F9A" w14:textId="77777777" w:rsidR="004022CD" w:rsidRPr="000B05BB" w:rsidRDefault="004022CD" w:rsidP="001F3116">
            <w:pPr>
              <w:spacing w:line="264" w:lineRule="auto"/>
              <w:rPr>
                <w:sz w:val="18"/>
                <w:szCs w:val="18"/>
                <w:lang w:val="es-ES"/>
              </w:rPr>
            </w:pPr>
          </w:p>
        </w:tc>
        <w:tc>
          <w:tcPr>
            <w:tcW w:w="5091" w:type="dxa"/>
          </w:tcPr>
          <w:p w14:paraId="4F6EF038" w14:textId="32C8B537" w:rsidR="004022CD" w:rsidRPr="000B05BB" w:rsidRDefault="00AF36B6" w:rsidP="001F3116">
            <w:pPr>
              <w:spacing w:line="264" w:lineRule="auto"/>
              <w:rPr>
                <w:sz w:val="18"/>
                <w:szCs w:val="18"/>
              </w:rPr>
            </w:pPr>
            <w:r>
              <w:rPr>
                <w:sz w:val="18"/>
                <w:szCs w:val="18"/>
              </w:rPr>
              <w:t>d</w:t>
            </w:r>
            <w:r w:rsidR="004022CD" w:rsidRPr="000B05BB">
              <w:rPr>
                <w:sz w:val="18"/>
                <w:szCs w:val="18"/>
              </w:rPr>
              <w:t xml:space="preserve">olutegravir </w:t>
            </w:r>
            <w:r>
              <w:rPr>
                <w:sz w:val="18"/>
                <w:szCs w:val="18"/>
              </w:rPr>
              <w:t>+</w:t>
            </w:r>
            <w:r w:rsidR="004022CD" w:rsidRPr="000B05BB">
              <w:rPr>
                <w:sz w:val="18"/>
                <w:szCs w:val="18"/>
              </w:rPr>
              <w:t xml:space="preserve"> lamivudine (</w:t>
            </w:r>
            <w:proofErr w:type="spellStart"/>
            <w:r w:rsidR="004022CD" w:rsidRPr="000B05BB">
              <w:rPr>
                <w:sz w:val="18"/>
                <w:szCs w:val="18"/>
              </w:rPr>
              <w:t>Dovato</w:t>
            </w:r>
            <w:proofErr w:type="spellEnd"/>
            <w:r w:rsidR="004022CD" w:rsidRPr="000B05BB">
              <w:rPr>
                <w:sz w:val="18"/>
                <w:szCs w:val="18"/>
              </w:rPr>
              <w:t>)</w:t>
            </w:r>
          </w:p>
        </w:tc>
        <w:tc>
          <w:tcPr>
            <w:tcW w:w="1843" w:type="dxa"/>
          </w:tcPr>
          <w:p w14:paraId="6E02760C" w14:textId="77777777" w:rsidR="004022CD" w:rsidRPr="000B05BB" w:rsidRDefault="004022CD" w:rsidP="001F3116">
            <w:pPr>
              <w:spacing w:line="264" w:lineRule="auto"/>
              <w:rPr>
                <w:sz w:val="18"/>
                <w:szCs w:val="18"/>
              </w:rPr>
            </w:pPr>
            <w:r w:rsidRPr="000B05BB">
              <w:rPr>
                <w:sz w:val="18"/>
                <w:szCs w:val="18"/>
              </w:rPr>
              <w:t>J05AR25</w:t>
            </w:r>
          </w:p>
        </w:tc>
        <w:tc>
          <w:tcPr>
            <w:tcW w:w="3292" w:type="dxa"/>
          </w:tcPr>
          <w:p w14:paraId="6F77A52A" w14:textId="05214DF5" w:rsidR="004022CD" w:rsidRPr="000B05BB" w:rsidRDefault="004022CD" w:rsidP="001F3116">
            <w:pPr>
              <w:spacing w:line="264" w:lineRule="auto"/>
              <w:rPr>
                <w:sz w:val="18"/>
                <w:szCs w:val="18"/>
              </w:rPr>
            </w:pPr>
            <w:r w:rsidRPr="000B05BB">
              <w:rPr>
                <w:sz w:val="18"/>
                <w:szCs w:val="18"/>
              </w:rPr>
              <w:t>11843H</w:t>
            </w:r>
            <w:r>
              <w:rPr>
                <w:sz w:val="18"/>
                <w:szCs w:val="18"/>
              </w:rPr>
              <w:t xml:space="preserve"> (listed Dec 2019; deleted Nov 2020)</w:t>
            </w:r>
          </w:p>
        </w:tc>
      </w:tr>
    </w:tbl>
    <w:p w14:paraId="5E99112D" w14:textId="77777777" w:rsidR="003E18FD" w:rsidRDefault="003E18FD" w:rsidP="000B0EBA">
      <w:pPr>
        <w:sectPr w:rsidR="003E18FD" w:rsidSect="008D1980">
          <w:headerReference w:type="even" r:id="rId14"/>
          <w:headerReference w:type="default" r:id="rId15"/>
          <w:footerReference w:type="even" r:id="rId16"/>
          <w:footerReference w:type="default" r:id="rId17"/>
          <w:headerReference w:type="first" r:id="rId18"/>
          <w:footerReference w:type="first" r:id="rId19"/>
          <w:footnotePr>
            <w:numFmt w:val="lowerLetter"/>
          </w:footnotePr>
          <w:pgSz w:w="16838" w:h="11906" w:orient="landscape"/>
          <w:pgMar w:top="1588" w:right="1644" w:bottom="1361" w:left="1644" w:header="709" w:footer="709" w:gutter="0"/>
          <w:cols w:space="708"/>
          <w:docGrid w:linePitch="360"/>
        </w:sectPr>
      </w:pPr>
    </w:p>
    <w:p w14:paraId="383E312E" w14:textId="724CF700" w:rsidR="00736041" w:rsidRPr="005E22C2" w:rsidRDefault="00394AEE" w:rsidP="00CF5E22">
      <w:pPr>
        <w:pStyle w:val="Heading2"/>
      </w:pPr>
      <w:r>
        <w:lastRenderedPageBreak/>
        <w:t>Relevant aspects of</w:t>
      </w:r>
      <w:r w:rsidR="00736041" w:rsidRPr="005E22C2">
        <w:t xml:space="preserve"> consideration</w:t>
      </w:r>
      <w:r>
        <w:t xml:space="preserve"> by the Pharmaceutical Benefits Advisory Committee (PBAC)</w:t>
      </w:r>
    </w:p>
    <w:p w14:paraId="237188E5" w14:textId="24468C34" w:rsidR="00E541A1" w:rsidRDefault="00E541A1" w:rsidP="00E541A1">
      <w:r>
        <w:t xml:space="preserve">At its November 2013 meeting, the PBAC recommended </w:t>
      </w:r>
      <w:r w:rsidR="003D76B0" w:rsidRPr="003D76B0">
        <w:t xml:space="preserve">the removal of the CD4+ requirement from the PBS restrictions for initiation of first-line </w:t>
      </w:r>
      <w:r w:rsidR="001A14CB">
        <w:t>antiretroviral therapy</w:t>
      </w:r>
      <w:r w:rsidR="003D76B0" w:rsidRPr="003D76B0">
        <w:t>. The change to the listings was recommended on the basis of acceptable cost-effectiveness over no treatment (deferred therapy)</w:t>
      </w:r>
      <w:r>
        <w:t>.</w:t>
      </w:r>
      <w:r w:rsidR="001F3116">
        <w:fldChar w:fldCharType="begin"/>
      </w:r>
      <w:r w:rsidR="001F3116">
        <w:instrText xml:space="preserve"> ADDIN EN.CITE &lt;EndNote&gt;&lt;Cite&gt;&lt;Author&gt;Pharmaceutical Benefits Advisory Committee&lt;/Author&gt;&lt;Year&gt;2013&lt;/Year&gt;&lt;RecNum&gt;12&lt;/RecNum&gt;&lt;DisplayText&gt;&lt;style face="superscript"&gt;1&lt;/style&gt;&lt;/DisplayText&gt;&lt;record&gt;&lt;rec-number&gt;12&lt;/rec-number&gt;&lt;foreign-keys&gt;&lt;key app="EN" db-id="vwfdxvwwn0rrs6ea9sex9v2hafxp5zf2dexd" timestamp="1628718821"&gt;12&lt;/key&gt;&lt;/foreign-keys&gt;&lt;ref-type name="Report"&gt;27&lt;/ref-type&gt;&lt;contributors&gt;&lt;authors&gt;&lt;author&gt;Pharmaceutical Benefits Advisory Committee,&lt;/author&gt;&lt;/authors&gt;&lt;tertiary-authors&gt;&lt;author&gt;Australian Department of Health&lt;/author&gt;&lt;/tertiary-authors&gt;&lt;/contributors&gt;&lt;titles&gt;&lt;title&gt;Public summary document: first-line anti-retroviral therapy (ART) - November 2013&lt;/title&gt;&lt;/titles&gt;&lt;dates&gt;&lt;year&gt;2013&lt;/year&gt;&lt;/dates&gt;&lt;pub-location&gt;Canberra&lt;/pub-location&gt;&lt;publisher&gt;Australian Department of Health&lt;/publisher&gt;&lt;urls&gt;&lt;related-urls&gt;&lt;url&gt;https://www.pbs.gov.au/pbs/industry/listing/elements/pbac-meetings/psd/2013-11/first-line-art&lt;/url&gt;&lt;/related-urls&gt;&lt;/urls&gt;&lt;access-date&gt;11 August 2021&lt;/access-date&gt;&lt;/record&gt;&lt;/Cite&gt;&lt;/EndNote&gt;</w:instrText>
      </w:r>
      <w:r w:rsidR="001F3116">
        <w:fldChar w:fldCharType="separate"/>
      </w:r>
      <w:r w:rsidR="001F3116" w:rsidRPr="001F3116">
        <w:rPr>
          <w:noProof/>
          <w:vertAlign w:val="superscript"/>
        </w:rPr>
        <w:t>1</w:t>
      </w:r>
      <w:r w:rsidR="001F3116">
        <w:fldChar w:fldCharType="end"/>
      </w:r>
      <w:r>
        <w:t xml:space="preserve"> </w:t>
      </w:r>
    </w:p>
    <w:p w14:paraId="417D65C1" w14:textId="4516E5CF" w:rsidR="001213CF" w:rsidRDefault="001213CF" w:rsidP="00E541A1">
      <w:r>
        <w:t xml:space="preserve">Since this date the PBAC has </w:t>
      </w:r>
      <w:r w:rsidR="00BB1080">
        <w:t>recommended</w:t>
      </w:r>
      <w:r w:rsidR="00C206B3">
        <w:t xml:space="preserve"> the </w:t>
      </w:r>
      <w:r w:rsidR="0045267E">
        <w:t xml:space="preserve">listing of the </w:t>
      </w:r>
      <w:r w:rsidR="00C206B3">
        <w:t>following medicines for the treatment of HIV</w:t>
      </w:r>
      <w:r>
        <w:t>:</w:t>
      </w:r>
    </w:p>
    <w:p w14:paraId="2A929BE0" w14:textId="1BABAE39" w:rsidR="001213CF" w:rsidRDefault="00EC7745" w:rsidP="00102944">
      <w:pPr>
        <w:pStyle w:val="ListParagraph"/>
        <w:numPr>
          <w:ilvl w:val="0"/>
          <w:numId w:val="2"/>
        </w:numPr>
      </w:pPr>
      <w:r w:rsidRPr="00EC7745">
        <w:t xml:space="preserve">dolutegravir + abacavir + lamivudine </w:t>
      </w:r>
      <w:r>
        <w:t>(</w:t>
      </w:r>
      <w:proofErr w:type="spellStart"/>
      <w:r w:rsidR="00136570" w:rsidRPr="00136570">
        <w:t>Triumeq</w:t>
      </w:r>
      <w:proofErr w:type="spellEnd"/>
      <w:r>
        <w:t>)</w:t>
      </w:r>
      <w:r w:rsidR="009510D3">
        <w:t xml:space="preserve"> in November 2014</w:t>
      </w:r>
      <w:r w:rsidR="00BE770D">
        <w:t>;</w:t>
      </w:r>
    </w:p>
    <w:p w14:paraId="1131E37C" w14:textId="244783EB" w:rsidR="009510D3" w:rsidRDefault="006944B4" w:rsidP="00102944">
      <w:pPr>
        <w:pStyle w:val="ListParagraph"/>
        <w:numPr>
          <w:ilvl w:val="0"/>
          <w:numId w:val="2"/>
        </w:numPr>
      </w:pPr>
      <w:r w:rsidRPr="006944B4">
        <w:t>atazanavir + cobicistat</w:t>
      </w:r>
      <w:r>
        <w:t xml:space="preserve"> (</w:t>
      </w:r>
      <w:proofErr w:type="spellStart"/>
      <w:r>
        <w:t>Evotaz</w:t>
      </w:r>
      <w:proofErr w:type="spellEnd"/>
      <w:r>
        <w:t xml:space="preserve">) in </w:t>
      </w:r>
      <w:r w:rsidR="00116D29">
        <w:t>November 2015</w:t>
      </w:r>
      <w:r w:rsidR="00BE770D">
        <w:t>;</w:t>
      </w:r>
    </w:p>
    <w:p w14:paraId="1A8537E3" w14:textId="228955D1" w:rsidR="0045267E" w:rsidRDefault="00934084" w:rsidP="00102944">
      <w:pPr>
        <w:pStyle w:val="ListParagraph"/>
        <w:numPr>
          <w:ilvl w:val="0"/>
          <w:numId w:val="2"/>
        </w:numPr>
      </w:pPr>
      <w:r w:rsidRPr="00934084">
        <w:t>tenofovir alafenamide + emtricitabine + elvitegravir + cobicistat</w:t>
      </w:r>
      <w:r>
        <w:t xml:space="preserve"> (</w:t>
      </w:r>
      <w:proofErr w:type="spellStart"/>
      <w:r w:rsidR="005650E9">
        <w:t>Genvoya</w:t>
      </w:r>
      <w:proofErr w:type="spellEnd"/>
      <w:r w:rsidR="005650E9">
        <w:t>)</w:t>
      </w:r>
      <w:r w:rsidR="006011A4" w:rsidRPr="006011A4">
        <w:t xml:space="preserve"> </w:t>
      </w:r>
      <w:r w:rsidR="0045267E">
        <w:t>in November 2015;</w:t>
      </w:r>
    </w:p>
    <w:p w14:paraId="37A9EADF" w14:textId="77777777" w:rsidR="004B22DC" w:rsidRDefault="00F6122F" w:rsidP="00102944">
      <w:pPr>
        <w:pStyle w:val="ListParagraph"/>
        <w:numPr>
          <w:ilvl w:val="0"/>
          <w:numId w:val="2"/>
        </w:numPr>
      </w:pPr>
      <w:r w:rsidRPr="00F6122F">
        <w:t>darunavir + cobicistat</w:t>
      </w:r>
      <w:r>
        <w:t xml:space="preserve"> (</w:t>
      </w:r>
      <w:proofErr w:type="spellStart"/>
      <w:r>
        <w:t>Prezc</w:t>
      </w:r>
      <w:r w:rsidR="00DD7899">
        <w:t>obix</w:t>
      </w:r>
      <w:proofErr w:type="spellEnd"/>
      <w:r w:rsidR="00DD7899">
        <w:t>) in March 2016</w:t>
      </w:r>
      <w:r w:rsidR="004B22DC">
        <w:t>;</w:t>
      </w:r>
    </w:p>
    <w:p w14:paraId="4A9C5FB4" w14:textId="4279D4A8" w:rsidR="001E2464" w:rsidRDefault="00C75216" w:rsidP="00102944">
      <w:pPr>
        <w:pStyle w:val="ListParagraph"/>
        <w:numPr>
          <w:ilvl w:val="0"/>
          <w:numId w:val="2"/>
        </w:numPr>
      </w:pPr>
      <w:r>
        <w:t xml:space="preserve">tenofovir alafenamide + emtricitabine + </w:t>
      </w:r>
      <w:proofErr w:type="spellStart"/>
      <w:r>
        <w:t>rilpivirine</w:t>
      </w:r>
      <w:proofErr w:type="spellEnd"/>
      <w:r>
        <w:t xml:space="preserve"> (</w:t>
      </w:r>
      <w:proofErr w:type="spellStart"/>
      <w:r>
        <w:t>Odefsey</w:t>
      </w:r>
      <w:proofErr w:type="spellEnd"/>
      <w:r>
        <w:t>)</w:t>
      </w:r>
      <w:r w:rsidR="009D5D1D">
        <w:t xml:space="preserve"> in November 2016</w:t>
      </w:r>
    </w:p>
    <w:p w14:paraId="724807E8" w14:textId="77777777" w:rsidR="007235F8" w:rsidRDefault="001E2464" w:rsidP="00102944">
      <w:pPr>
        <w:pStyle w:val="ListParagraph"/>
        <w:numPr>
          <w:ilvl w:val="0"/>
          <w:numId w:val="2"/>
        </w:numPr>
        <w:rPr>
          <w:lang w:val="es-ES"/>
        </w:rPr>
      </w:pPr>
      <w:r w:rsidRPr="007070BF">
        <w:rPr>
          <w:lang w:val="es-ES"/>
        </w:rPr>
        <w:t xml:space="preserve">tenofovir alafenamide + emtricitabine </w:t>
      </w:r>
      <w:r w:rsidR="007070BF">
        <w:rPr>
          <w:lang w:val="es-ES"/>
        </w:rPr>
        <w:t xml:space="preserve">(Descovy) in </w:t>
      </w:r>
      <w:r w:rsidR="009D5D1D">
        <w:rPr>
          <w:lang w:val="es-ES"/>
        </w:rPr>
        <w:t>November 2016</w:t>
      </w:r>
    </w:p>
    <w:p w14:paraId="12B56E3C" w14:textId="77777777" w:rsidR="009B05D6" w:rsidRDefault="0024690C" w:rsidP="00102944">
      <w:pPr>
        <w:pStyle w:val="ListParagraph"/>
        <w:numPr>
          <w:ilvl w:val="0"/>
          <w:numId w:val="2"/>
        </w:numPr>
      </w:pPr>
      <w:r w:rsidRPr="0024690C">
        <w:t>a new 600mg formula</w:t>
      </w:r>
      <w:r>
        <w:t xml:space="preserve">tion of </w:t>
      </w:r>
      <w:proofErr w:type="spellStart"/>
      <w:r w:rsidR="007235F8" w:rsidRPr="0024690C">
        <w:t>raltegravir</w:t>
      </w:r>
      <w:proofErr w:type="spellEnd"/>
      <w:r w:rsidR="007235F8" w:rsidRPr="0024690C">
        <w:t xml:space="preserve"> (</w:t>
      </w:r>
      <w:proofErr w:type="spellStart"/>
      <w:r w:rsidR="00BA409C" w:rsidRPr="0024690C">
        <w:t>Isentress</w:t>
      </w:r>
      <w:proofErr w:type="spellEnd"/>
      <w:r w:rsidR="00BA409C" w:rsidRPr="0024690C">
        <w:t xml:space="preserve">) in November 2017 </w:t>
      </w:r>
    </w:p>
    <w:p w14:paraId="3A635BFF" w14:textId="76CADA7A" w:rsidR="001F5EDC" w:rsidRPr="00D91A3A" w:rsidRDefault="001F5EDC" w:rsidP="00102944">
      <w:pPr>
        <w:pStyle w:val="ListParagraph"/>
        <w:numPr>
          <w:ilvl w:val="0"/>
          <w:numId w:val="2"/>
        </w:numPr>
      </w:pPr>
      <w:r w:rsidRPr="00D91A3A">
        <w:t xml:space="preserve">dolutegravir + </w:t>
      </w:r>
      <w:proofErr w:type="spellStart"/>
      <w:r w:rsidRPr="00D91A3A">
        <w:t>rilpivirine</w:t>
      </w:r>
      <w:proofErr w:type="spellEnd"/>
      <w:r w:rsidRPr="00D91A3A">
        <w:t xml:space="preserve"> (</w:t>
      </w:r>
      <w:proofErr w:type="spellStart"/>
      <w:r w:rsidRPr="00D91A3A">
        <w:t>Juluca</w:t>
      </w:r>
      <w:proofErr w:type="spellEnd"/>
      <w:r w:rsidRPr="00D91A3A">
        <w:t xml:space="preserve">) in </w:t>
      </w:r>
      <w:r w:rsidR="0071724D" w:rsidRPr="00D91A3A">
        <w:t>July 2018</w:t>
      </w:r>
    </w:p>
    <w:p w14:paraId="5F2C6731" w14:textId="494017BA" w:rsidR="004174F4" w:rsidRDefault="004174F4" w:rsidP="00102944">
      <w:pPr>
        <w:pStyle w:val="ListParagraph"/>
        <w:numPr>
          <w:ilvl w:val="0"/>
          <w:numId w:val="2"/>
        </w:numPr>
      </w:pPr>
      <w:r w:rsidRPr="00D91A3A">
        <w:t xml:space="preserve">tenofovir alafenamide + emtricitabine + </w:t>
      </w:r>
      <w:proofErr w:type="spellStart"/>
      <w:r w:rsidRPr="00D91A3A">
        <w:t>bictegravir</w:t>
      </w:r>
      <w:proofErr w:type="spellEnd"/>
      <w:r w:rsidRPr="00D91A3A">
        <w:t xml:space="preserve"> (</w:t>
      </w:r>
      <w:proofErr w:type="spellStart"/>
      <w:r w:rsidRPr="00D91A3A">
        <w:t>Biktarvy</w:t>
      </w:r>
      <w:proofErr w:type="spellEnd"/>
      <w:r w:rsidRPr="00D91A3A">
        <w:t xml:space="preserve">) in </w:t>
      </w:r>
      <w:r w:rsidR="00D91A3A" w:rsidRPr="00D91A3A">
        <w:t>July 2018</w:t>
      </w:r>
    </w:p>
    <w:p w14:paraId="3ADB1BE7" w14:textId="3BA8D311" w:rsidR="00D42588" w:rsidRDefault="00E23CB9" w:rsidP="00102944">
      <w:pPr>
        <w:pStyle w:val="ListParagraph"/>
        <w:numPr>
          <w:ilvl w:val="0"/>
          <w:numId w:val="2"/>
        </w:numPr>
      </w:pPr>
      <w:r>
        <w:t>dolutegravir + lamivudine (</w:t>
      </w:r>
      <w:proofErr w:type="spellStart"/>
      <w:r>
        <w:t>Dovato</w:t>
      </w:r>
      <w:proofErr w:type="spellEnd"/>
      <w:r>
        <w:t>) in August 2019</w:t>
      </w:r>
      <w:r w:rsidR="007A1FED">
        <w:t xml:space="preserve">. In July 2020, this listing was extended to </w:t>
      </w:r>
      <w:r w:rsidR="00197B0E">
        <w:t>include the treatment of HIV infection in antiretroviral therapy experienced patients</w:t>
      </w:r>
    </w:p>
    <w:p w14:paraId="4610BE7B" w14:textId="6F156F16" w:rsidR="00A82296" w:rsidRDefault="00A82296" w:rsidP="00102944">
      <w:pPr>
        <w:pStyle w:val="ListParagraph"/>
        <w:numPr>
          <w:ilvl w:val="0"/>
          <w:numId w:val="2"/>
        </w:numPr>
        <w:rPr>
          <w:lang w:val="es-ES"/>
        </w:rPr>
      </w:pPr>
      <w:proofErr w:type="spellStart"/>
      <w:r w:rsidRPr="00570711">
        <w:rPr>
          <w:lang w:val="es-ES"/>
        </w:rPr>
        <w:t>darunavir</w:t>
      </w:r>
      <w:proofErr w:type="spellEnd"/>
      <w:r w:rsidRPr="00570711">
        <w:rPr>
          <w:lang w:val="es-ES"/>
        </w:rPr>
        <w:t xml:space="preserve"> + </w:t>
      </w:r>
      <w:proofErr w:type="spellStart"/>
      <w:r w:rsidRPr="00570711">
        <w:rPr>
          <w:lang w:val="es-ES"/>
        </w:rPr>
        <w:t>cobicistat</w:t>
      </w:r>
      <w:proofErr w:type="spellEnd"/>
      <w:r w:rsidRPr="00570711">
        <w:rPr>
          <w:lang w:val="es-ES"/>
        </w:rPr>
        <w:t xml:space="preserve"> + </w:t>
      </w:r>
      <w:proofErr w:type="spellStart"/>
      <w:r w:rsidRPr="00570711">
        <w:rPr>
          <w:lang w:val="es-ES"/>
        </w:rPr>
        <w:t>emtricitabine</w:t>
      </w:r>
      <w:proofErr w:type="spellEnd"/>
      <w:r w:rsidRPr="00570711">
        <w:rPr>
          <w:lang w:val="es-ES"/>
        </w:rPr>
        <w:t xml:space="preserve"> + </w:t>
      </w:r>
      <w:proofErr w:type="spellStart"/>
      <w:r w:rsidRPr="00570711">
        <w:rPr>
          <w:lang w:val="es-ES"/>
        </w:rPr>
        <w:t>tenofovir</w:t>
      </w:r>
      <w:proofErr w:type="spellEnd"/>
      <w:r w:rsidRPr="00570711">
        <w:rPr>
          <w:lang w:val="es-ES"/>
        </w:rPr>
        <w:t xml:space="preserve"> </w:t>
      </w:r>
      <w:proofErr w:type="spellStart"/>
      <w:r w:rsidRPr="00570711">
        <w:rPr>
          <w:lang w:val="es-ES"/>
        </w:rPr>
        <w:t>alafenamide</w:t>
      </w:r>
      <w:proofErr w:type="spellEnd"/>
      <w:r w:rsidRPr="00570711">
        <w:rPr>
          <w:lang w:val="es-ES"/>
        </w:rPr>
        <w:t xml:space="preserve"> (</w:t>
      </w:r>
      <w:proofErr w:type="spellStart"/>
      <w:r w:rsidRPr="00570711">
        <w:rPr>
          <w:lang w:val="es-ES"/>
        </w:rPr>
        <w:t>Symtuza</w:t>
      </w:r>
      <w:proofErr w:type="spellEnd"/>
      <w:r w:rsidRPr="00570711">
        <w:rPr>
          <w:lang w:val="es-ES"/>
        </w:rPr>
        <w:t>)</w:t>
      </w:r>
      <w:r w:rsidR="00570711">
        <w:rPr>
          <w:lang w:val="es-ES"/>
        </w:rPr>
        <w:t xml:space="preserve"> in </w:t>
      </w:r>
      <w:proofErr w:type="spellStart"/>
      <w:r w:rsidR="00570711">
        <w:rPr>
          <w:lang w:val="es-ES"/>
        </w:rPr>
        <w:t>November</w:t>
      </w:r>
      <w:proofErr w:type="spellEnd"/>
      <w:r w:rsidR="00570711">
        <w:rPr>
          <w:lang w:val="es-ES"/>
        </w:rPr>
        <w:t xml:space="preserve"> 2019</w:t>
      </w:r>
      <w:r w:rsidR="00C2700D">
        <w:rPr>
          <w:lang w:val="es-ES"/>
        </w:rPr>
        <w:t>.</w:t>
      </w:r>
    </w:p>
    <w:p w14:paraId="24539681" w14:textId="36A92A5B" w:rsidR="00C2700D" w:rsidRPr="00C2700D" w:rsidRDefault="00C2700D" w:rsidP="00C2700D">
      <w:r w:rsidRPr="00C2700D">
        <w:t>In</w:t>
      </w:r>
      <w:r>
        <w:t xml:space="preserve"> December 2017, the PBAC recommended the listing of </w:t>
      </w:r>
      <w:r w:rsidRPr="00C2700D">
        <w:t>tenofovir disoproxil + emtricitabine (Truvada and generics) for HIV pre-exposure prophylaxis (PrEP)</w:t>
      </w:r>
      <w:r w:rsidR="00310C25">
        <w:t xml:space="preserve"> for adults a</w:t>
      </w:r>
      <w:r w:rsidRPr="00C2700D">
        <w:t>t medium to high risk of HIV infections. In September 2020, the PBAC recommended amending th</w:t>
      </w:r>
      <w:r w:rsidR="00315239">
        <w:t xml:space="preserve">is listing </w:t>
      </w:r>
      <w:r w:rsidRPr="00C2700D">
        <w:t>to allow use in a broader population of at-risk individuals, following the 2019 update to the Australasian Society for HIV, Viral Hepatitis and Sexual Health Medicine (ASHM) Guidelines.</w:t>
      </w:r>
    </w:p>
    <w:p w14:paraId="4EDB9CA0" w14:textId="6264A17C" w:rsidR="00E71CCC" w:rsidRPr="007A1B7D" w:rsidRDefault="00E71CCC" w:rsidP="007A1B7D">
      <w:r w:rsidRPr="007A1B7D">
        <w:t xml:space="preserve">In November 2019, </w:t>
      </w:r>
      <w:r w:rsidR="001C13FD">
        <w:t>t</w:t>
      </w:r>
      <w:r w:rsidR="007A1B7D" w:rsidRPr="007A1B7D">
        <w:t>he PBAC endorsed authorised nurse practitioner prescribing for HIV medicines under the Highly Specialised Drugs program.</w:t>
      </w:r>
    </w:p>
    <w:p w14:paraId="1EB8BEAE" w14:textId="77777777" w:rsidR="00850E8E" w:rsidRDefault="00850E8E" w:rsidP="00850E8E">
      <w:pPr>
        <w:pStyle w:val="Heading2"/>
      </w:pPr>
      <w:r>
        <w:t>Previous reviews by the DUSC</w:t>
      </w:r>
    </w:p>
    <w:p w14:paraId="36F96B41" w14:textId="24DD036D" w:rsidR="00CC57D7" w:rsidRPr="004E5CD5" w:rsidRDefault="00CC57D7" w:rsidP="00CC57D7">
      <w:r w:rsidRPr="004E5CD5">
        <w:t xml:space="preserve">In </w:t>
      </w:r>
      <w:r>
        <w:t>2013</w:t>
      </w:r>
      <w:r w:rsidRPr="004E5CD5">
        <w:t xml:space="preserve">, DUSC reviewed the utilisation of </w:t>
      </w:r>
      <w:r>
        <w:t>antiretroviral medicines for the treatment of HIV</w:t>
      </w:r>
      <w:r w:rsidRPr="004E5CD5">
        <w:t>.</w:t>
      </w:r>
      <w:r w:rsidR="001F3116">
        <w:fldChar w:fldCharType="begin"/>
      </w:r>
      <w:r w:rsidR="001F3116">
        <w:instrText xml:space="preserve"> ADDIN EN.CITE &lt;EndNote&gt;&lt;Cite&gt;&lt;Author&gt;Drug Utilisation Sub-Committee&lt;/Author&gt;&lt;Year&gt;2021&lt;/Year&gt;&lt;RecNum&gt;13&lt;/RecNum&gt;&lt;DisplayText&gt;&lt;style face="superscript"&gt;2&lt;/style&gt;&lt;/DisplayText&gt;&lt;record&gt;&lt;rec-number&gt;13&lt;/rec-number&gt;&lt;foreign-keys&gt;&lt;key app="EN" db-id="vwfdxvwwn0rrs6ea9sex9v2hafxp5zf2dexd" timestamp="1628718918"&gt;13&lt;/key&gt;&lt;/foreign-keys&gt;&lt;ref-type name="Report"&gt;27&lt;/ref-type&gt;&lt;contributors&gt;&lt;authors&gt;&lt;author&gt;Drug Utilisation Sub-Committee,&lt;/author&gt;&lt;/authors&gt;&lt;tertiary-authors&gt;&lt;author&gt;Australian Department of Health&lt;/author&gt;&lt;/tertiary-authors&gt;&lt;/contributors&gt;&lt;titles&gt;&lt;title&gt;Drug Utilisation Sub-Committee Outcome Statement 3 - 4 June 2021&lt;/title&gt;&lt;/titles&gt;&lt;dates&gt;&lt;year&gt;2021&lt;/year&gt;&lt;/dates&gt;&lt;pub-location&gt;Canberra&lt;/pub-location&gt;&lt;publisher&gt;Australian Department of Health&lt;/publisher&gt;&lt;urls&gt;&lt;related-urls&gt;&lt;url&gt;https://www.pbs.gov.au/industry/listing/elements/dusc-meetings/dos/DUSC-Outcome-Statement-June-2021.pdf&lt;/url&gt;&lt;/related-urls&gt;&lt;/urls&gt;&lt;access-date&gt;11 August 2021&lt;/access-date&gt;&lt;/record&gt;&lt;/Cite&gt;&lt;/EndNote&gt;</w:instrText>
      </w:r>
      <w:r w:rsidR="001F3116">
        <w:fldChar w:fldCharType="separate"/>
      </w:r>
      <w:r w:rsidR="001F3116" w:rsidRPr="001F3116">
        <w:rPr>
          <w:noProof/>
          <w:vertAlign w:val="superscript"/>
        </w:rPr>
        <w:t>2</w:t>
      </w:r>
      <w:r w:rsidR="001F3116">
        <w:fldChar w:fldCharType="end"/>
      </w:r>
      <w:r w:rsidRPr="004E5CD5">
        <w:t xml:space="preserve"> </w:t>
      </w:r>
      <w:r>
        <w:t>At this meeting, it noted</w:t>
      </w:r>
      <w:r w:rsidRPr="004E5CD5">
        <w:t>:</w:t>
      </w:r>
    </w:p>
    <w:p w14:paraId="19945FE7" w14:textId="7D0296DE" w:rsidR="00CC57D7" w:rsidRDefault="00CC57D7" w:rsidP="00102944">
      <w:pPr>
        <w:pStyle w:val="ListParagraph"/>
        <w:numPr>
          <w:ilvl w:val="0"/>
          <w:numId w:val="2"/>
        </w:numPr>
      </w:pPr>
      <w:r w:rsidRPr="005E7794">
        <w:t xml:space="preserve">increasing utilisation of medicines for the treatment of HIV infection </w:t>
      </w:r>
      <w:r>
        <w:t xml:space="preserve">was aligned with </w:t>
      </w:r>
      <w:r w:rsidRPr="005E7794">
        <w:t xml:space="preserve">the increasing population of people living with HIV, increased awareness and diagnosis, lifelong therapy, and government endorsed treatment targets </w:t>
      </w:r>
    </w:p>
    <w:p w14:paraId="6C2FD8BD" w14:textId="6762ADB8" w:rsidR="00CC57D7" w:rsidRDefault="00CC57D7" w:rsidP="00102944">
      <w:pPr>
        <w:pStyle w:val="ListParagraph"/>
        <w:numPr>
          <w:ilvl w:val="0"/>
          <w:numId w:val="2"/>
        </w:numPr>
      </w:pPr>
      <w:r w:rsidRPr="005E7794">
        <w:t xml:space="preserve">prescribing </w:t>
      </w:r>
      <w:r>
        <w:t xml:space="preserve">was </w:t>
      </w:r>
      <w:r w:rsidRPr="005E7794">
        <w:t xml:space="preserve">in accordance with clinical guidelines </w:t>
      </w:r>
    </w:p>
    <w:p w14:paraId="029AB0DE" w14:textId="77777777" w:rsidR="00CC57D7" w:rsidRDefault="00CC57D7" w:rsidP="00102944">
      <w:pPr>
        <w:pStyle w:val="ListParagraph"/>
        <w:numPr>
          <w:ilvl w:val="0"/>
          <w:numId w:val="2"/>
        </w:numPr>
      </w:pPr>
      <w:r>
        <w:lastRenderedPageBreak/>
        <w:t xml:space="preserve">consistent with </w:t>
      </w:r>
      <w:r w:rsidRPr="005E7794">
        <w:t xml:space="preserve">best practice recommendations </w:t>
      </w:r>
      <w:r>
        <w:t xml:space="preserve">patients were being started earlier on </w:t>
      </w:r>
      <w:r w:rsidRPr="005E7794">
        <w:t xml:space="preserve">treatment. </w:t>
      </w:r>
    </w:p>
    <w:p w14:paraId="037FDED6" w14:textId="77777777" w:rsidR="00CC57D7" w:rsidRDefault="00CC57D7" w:rsidP="00CC57D7">
      <w:r>
        <w:t xml:space="preserve">At the time, DUSC noted that the </w:t>
      </w:r>
      <w:r w:rsidRPr="005E7794">
        <w:t xml:space="preserve">PBS restrictions for most </w:t>
      </w:r>
      <w:r>
        <w:t xml:space="preserve">antiretrovirals limited use to </w:t>
      </w:r>
      <w:r w:rsidRPr="005E7794">
        <w:t>patients with a CD4</w:t>
      </w:r>
      <w:r>
        <w:t>+</w:t>
      </w:r>
      <w:r w:rsidRPr="005E7794">
        <w:t xml:space="preserve"> count less than 500</w:t>
      </w:r>
      <w:r>
        <w:t xml:space="preserve"> cells/mm</w:t>
      </w:r>
      <w:r w:rsidRPr="00644571">
        <w:rPr>
          <w:vertAlign w:val="superscript"/>
        </w:rPr>
        <w:t>3</w:t>
      </w:r>
      <w:r w:rsidRPr="005E7794">
        <w:t xml:space="preserve"> or symptomatic HIV. </w:t>
      </w:r>
    </w:p>
    <w:p w14:paraId="17AB26EF" w14:textId="6DC0237D" w:rsidR="00B024A6" w:rsidRPr="00ED633B" w:rsidRDefault="00CC57D7" w:rsidP="00355A06">
      <w:r>
        <w:t xml:space="preserve">For details of the DUSC consideration of HIV medicines, refer to the </w:t>
      </w:r>
      <w:hyperlink r:id="rId20" w:history="1">
        <w:r w:rsidRPr="001C2B3A">
          <w:rPr>
            <w:rStyle w:val="Hyperlink"/>
          </w:rPr>
          <w:t>Public Release Document</w:t>
        </w:r>
      </w:hyperlink>
      <w:r>
        <w:t xml:space="preserve"> from the 2013 DUSC meeting.</w:t>
      </w:r>
    </w:p>
    <w:p w14:paraId="6A5BE8D6" w14:textId="77777777" w:rsidR="00637E52" w:rsidRPr="00C960B0" w:rsidRDefault="00637E52" w:rsidP="00637E52">
      <w:pPr>
        <w:pStyle w:val="Heading1"/>
      </w:pPr>
      <w:r w:rsidRPr="00C960B0">
        <w:t>Methods</w:t>
      </w:r>
    </w:p>
    <w:p w14:paraId="630046FC" w14:textId="77777777" w:rsidR="00637E52" w:rsidRDefault="00637E52" w:rsidP="00637E52">
      <w:pPr>
        <w:pStyle w:val="Heading2"/>
      </w:pPr>
      <w:r w:rsidRPr="001C2B3A">
        <w:t>MedicineInsight</w:t>
      </w:r>
    </w:p>
    <w:p w14:paraId="1CB02B4F" w14:textId="77777777" w:rsidR="00637E52" w:rsidRDefault="00637E52" w:rsidP="00637E52">
      <w:r>
        <w:t>MedicineInsight is a large-scale primary care data set of longitudinal de-identified electronic health records (EHR) in Australia. MedicineInsight was initially established by NPS MedicineWise in 2011, with core funding from the Australian Government Department of Health, to collect general practice data to support quality improvement in Australian primary care and post-market surveillance of medicines. The monthly collation of collected data can be analysed for the purposes of improving patient care, quality improvement and evaluation, performing population health analysis, research and developing health policy.</w:t>
      </w:r>
    </w:p>
    <w:p w14:paraId="2D7A2F8C" w14:textId="2A303953" w:rsidR="00637E52" w:rsidRPr="00EB5694" w:rsidRDefault="00637E52" w:rsidP="00637E52">
      <w:r>
        <w:t xml:space="preserve">MedicineInsight uses third-party data extraction tools which extract, de-identify, encrypt and securely transmit whole-of-practice data from the clinical information systems (CIS) of over 700 general practices. Patient level data are de-identified ‘at source’ meaning patients’ personal identifiers such as name, date of birth and address are not extracted by the tool, although year of birth and postcode are extracted, enabling the calculation of age and Socio-Economic Indexes for Areas [SEIFA]. Each patient is assigned a unique number within the dataset which allows all the records (clinical, prescription, referral etc) held in the database to be linked to the associated patient identifying number. Further information is available online: </w:t>
      </w:r>
      <w:hyperlink r:id="rId21">
        <w:r w:rsidRPr="1157C17F">
          <w:rPr>
            <w:rStyle w:val="Hyperlink"/>
          </w:rPr>
          <w:t>https://www.nps.org.au/medicine-insight</w:t>
        </w:r>
      </w:hyperlink>
    </w:p>
    <w:p w14:paraId="437ECA07" w14:textId="5FC26C04" w:rsidR="00637E52" w:rsidRDefault="00637E52" w:rsidP="00637E52">
      <w:r w:rsidRPr="00683A18">
        <w:t xml:space="preserve">This is a descriptive analysis of </w:t>
      </w:r>
      <w:r w:rsidR="0046306D">
        <w:t>3</w:t>
      </w:r>
      <w:r w:rsidR="000F6C0F">
        <w:t xml:space="preserve"> </w:t>
      </w:r>
      <w:r w:rsidRPr="00683A18">
        <w:t>years of data extracted from</w:t>
      </w:r>
      <w:r w:rsidR="00AB73AC">
        <w:t xml:space="preserve"> </w:t>
      </w:r>
      <w:r>
        <w:t>practices that participate in the national MedicineInsight program</w:t>
      </w:r>
      <w:r w:rsidRPr="00683A18">
        <w:t xml:space="preserve"> </w:t>
      </w:r>
      <w:r>
        <w:t>and meet data quality criteria</w:t>
      </w:r>
      <w:r w:rsidR="7FDC1AD4">
        <w:t>. The</w:t>
      </w:r>
      <w:r w:rsidR="544A9ECB">
        <w:t xml:space="preserve"> </w:t>
      </w:r>
      <w:r w:rsidR="7FDC1AD4">
        <w:t>study period is from</w:t>
      </w:r>
      <w:r>
        <w:t xml:space="preserve"> </w:t>
      </w:r>
      <w:r w:rsidRPr="00683A18">
        <w:t>1 January 201</w:t>
      </w:r>
      <w:r w:rsidR="00135D6D">
        <w:t>8</w:t>
      </w:r>
      <w:r w:rsidRPr="00683A18">
        <w:t xml:space="preserve"> to 31 December 20</w:t>
      </w:r>
      <w:r>
        <w:t>20</w:t>
      </w:r>
      <w:r w:rsidR="00E36922">
        <w:t xml:space="preserve">. </w:t>
      </w:r>
      <w:r w:rsidR="00E36922" w:rsidRPr="00E36922">
        <w:t xml:space="preserve">Historical records outside of this study period </w:t>
      </w:r>
      <w:r w:rsidR="0046306D">
        <w:t>were</w:t>
      </w:r>
      <w:r w:rsidR="00E36922" w:rsidRPr="00E36922">
        <w:t xml:space="preserve"> consulted when exploring patient demographics and diagnoses.</w:t>
      </w:r>
      <w:r w:rsidRPr="00683A18">
        <w:t xml:space="preserve"> </w:t>
      </w:r>
    </w:p>
    <w:p w14:paraId="721942E9" w14:textId="77777777" w:rsidR="00637E52" w:rsidRDefault="00637E52" w:rsidP="00637E52">
      <w:pPr>
        <w:pStyle w:val="Heading3"/>
      </w:pPr>
      <w:r>
        <w:t>Study ethics and approval</w:t>
      </w:r>
    </w:p>
    <w:p w14:paraId="4E28D2B7" w14:textId="5EA59EDC" w:rsidR="00637E52" w:rsidRDefault="00637E52" w:rsidP="00637E52">
      <w:r w:rsidRPr="00BD2994">
        <w:t xml:space="preserve">This project was given approval in July 2021 by the </w:t>
      </w:r>
      <w:r w:rsidR="00281293" w:rsidRPr="00281293">
        <w:t>Royal Australian College of General Practitioners</w:t>
      </w:r>
      <w:r w:rsidR="00281293">
        <w:t xml:space="preserve"> </w:t>
      </w:r>
      <w:r w:rsidR="009621E4">
        <w:t>(RACGP)</w:t>
      </w:r>
      <w:r w:rsidR="009621E4" w:rsidRPr="009621E4">
        <w:t xml:space="preserve"> National Research and Evaluation Ethics Committee</w:t>
      </w:r>
      <w:r w:rsidRPr="00BD2994">
        <w:t xml:space="preserve"> (NREEC 21-0</w:t>
      </w:r>
      <w:r w:rsidR="00BD2994" w:rsidRPr="00BD2994">
        <w:t>86</w:t>
      </w:r>
      <w:r w:rsidRPr="00BD2994">
        <w:t>).</w:t>
      </w:r>
      <w:r>
        <w:t xml:space="preserve"> </w:t>
      </w:r>
    </w:p>
    <w:p w14:paraId="0F2889E1" w14:textId="755F052F" w:rsidR="00637E52" w:rsidRDefault="00637E52" w:rsidP="00637E52">
      <w:r>
        <w:t>The use of MedicineInsight data for the purposes of this report was approved by the independent Data Governance Committee (2021–0</w:t>
      </w:r>
      <w:r w:rsidR="00BD2994">
        <w:t>12</w:t>
      </w:r>
      <w:r>
        <w:t>) in July 2021.</w:t>
      </w:r>
    </w:p>
    <w:p w14:paraId="5956E052" w14:textId="7642D250" w:rsidR="00107FCD" w:rsidRDefault="00107FCD" w:rsidP="00107FCD">
      <w:pPr>
        <w:ind w:left="60"/>
      </w:pPr>
      <w:r>
        <w:t xml:space="preserve">Practices and patients that had withdrawn their consent to participate in MedicineInsight </w:t>
      </w:r>
      <w:r w:rsidR="00DA3C63">
        <w:t>were</w:t>
      </w:r>
      <w:r>
        <w:t xml:space="preserve"> not included in th</w:t>
      </w:r>
      <w:r w:rsidR="00DA3C63">
        <w:t>e</w:t>
      </w:r>
      <w:r>
        <w:t xml:space="preserve"> study.</w:t>
      </w:r>
    </w:p>
    <w:p w14:paraId="407300A1" w14:textId="77777777" w:rsidR="00525891" w:rsidRDefault="00525891" w:rsidP="00637E52">
      <w:pPr>
        <w:pStyle w:val="Heading3"/>
      </w:pPr>
    </w:p>
    <w:p w14:paraId="213E3696" w14:textId="6F6CEAA7" w:rsidR="00637E52" w:rsidRDefault="00637E52" w:rsidP="00637E52">
      <w:pPr>
        <w:pStyle w:val="Heading3"/>
      </w:pPr>
      <w:r>
        <w:lastRenderedPageBreak/>
        <w:t>Eligible practices</w:t>
      </w:r>
    </w:p>
    <w:p w14:paraId="708AC30A" w14:textId="40B6CCAA" w:rsidR="00501EC7" w:rsidRDefault="00501EC7" w:rsidP="00637E52">
      <w:r w:rsidRPr="00284A7F">
        <w:t>T</w:t>
      </w:r>
      <w:r>
        <w:t xml:space="preserve">wo separate studies with different study periods were conducted </w:t>
      </w:r>
      <w:r w:rsidR="402B4196">
        <w:t>on</w:t>
      </w:r>
      <w:r>
        <w:t xml:space="preserve"> antiretroviral medicine use in patients diagnosed with HIV.</w:t>
      </w:r>
    </w:p>
    <w:p w14:paraId="762E71CA" w14:textId="77777777" w:rsidR="00501EC7" w:rsidRDefault="00637E52" w:rsidP="00637E52">
      <w:r>
        <w:t>Analyses were conducted using de-identified patient data from</w:t>
      </w:r>
      <w:r w:rsidR="00501EC7">
        <w:t>:</w:t>
      </w:r>
    </w:p>
    <w:p w14:paraId="675FF139" w14:textId="77777777" w:rsidR="00501EC7" w:rsidRDefault="007E520F" w:rsidP="00102944">
      <w:pPr>
        <w:pStyle w:val="ListParagraph"/>
        <w:numPr>
          <w:ilvl w:val="0"/>
          <w:numId w:val="14"/>
        </w:numPr>
      </w:pPr>
      <w:r>
        <w:t xml:space="preserve">145 </w:t>
      </w:r>
      <w:r w:rsidR="00637E52">
        <w:t>individual general practices which met the standard data quality criteria</w:t>
      </w:r>
      <w:r>
        <w:t xml:space="preserve"> in between 1 January 2018 and 31 December 2019</w:t>
      </w:r>
      <w:r w:rsidR="008A2B5A">
        <w:t xml:space="preserve"> </w:t>
      </w:r>
      <w:r w:rsidR="00501EC7">
        <w:t xml:space="preserve">(study 1) </w:t>
      </w:r>
      <w:r w:rsidR="00E97F1B">
        <w:t>and had at least one patient with diagnosed HIV</w:t>
      </w:r>
      <w:r w:rsidR="00501EC7">
        <w:t>; and</w:t>
      </w:r>
    </w:p>
    <w:p w14:paraId="6AC0D4A8" w14:textId="2075B2E7" w:rsidR="00637E52" w:rsidRPr="006779E1" w:rsidRDefault="00E97F1B" w:rsidP="00102944">
      <w:pPr>
        <w:pStyle w:val="ListParagraph"/>
        <w:numPr>
          <w:ilvl w:val="0"/>
          <w:numId w:val="14"/>
        </w:numPr>
      </w:pPr>
      <w:r>
        <w:t>117 individual general practices</w:t>
      </w:r>
      <w:r w:rsidR="00501EC7" w:rsidRPr="00501EC7">
        <w:t xml:space="preserve"> which met the standard data quality criteria in </w:t>
      </w:r>
      <w:r w:rsidR="00501EC7">
        <w:t xml:space="preserve">calendar year 2020 </w:t>
      </w:r>
      <w:r w:rsidR="00501EC7" w:rsidRPr="00501EC7">
        <w:t xml:space="preserve">(study </w:t>
      </w:r>
      <w:r w:rsidR="00501EC7">
        <w:t>2</w:t>
      </w:r>
      <w:r w:rsidR="00501EC7" w:rsidRPr="00501EC7">
        <w:t>) and had at least one patient with diagnosed HIV</w:t>
      </w:r>
      <w:r w:rsidR="00501EC7" w:rsidRPr="00501EC7">
        <w:rPr>
          <w:rStyle w:val="FootnoteReference"/>
          <w:vertAlign w:val="baseline"/>
        </w:rPr>
        <w:t xml:space="preserve"> </w:t>
      </w:r>
      <w:r w:rsidR="00637E52">
        <w:rPr>
          <w:rStyle w:val="FootnoteReference"/>
        </w:rPr>
        <w:footnoteReference w:id="6"/>
      </w:r>
    </w:p>
    <w:p w14:paraId="02AB2BC5" w14:textId="77777777" w:rsidR="00637E52" w:rsidRDefault="00637E52" w:rsidP="00637E52">
      <w:pPr>
        <w:pStyle w:val="Heading3"/>
      </w:pPr>
      <w:r>
        <w:t>Eligible patients</w:t>
      </w:r>
    </w:p>
    <w:p w14:paraId="7BBAC5E8" w14:textId="3697D6B8" w:rsidR="00637E52" w:rsidRDefault="00B12E7F" w:rsidP="009A4ACD">
      <w:r w:rsidRPr="00B12E7F">
        <w:t xml:space="preserve">Records outside </w:t>
      </w:r>
      <w:r w:rsidR="00EF1A6D">
        <w:t xml:space="preserve">the two study periods were </w:t>
      </w:r>
      <w:r w:rsidRPr="00B12E7F">
        <w:t>consulted when exploring patient demographics and diagnoses.</w:t>
      </w:r>
    </w:p>
    <w:p w14:paraId="67158A16" w14:textId="34765FDA" w:rsidR="001509E6" w:rsidRPr="00B17CF9" w:rsidRDefault="007500D5" w:rsidP="00B17CF9">
      <w:pPr>
        <w:ind w:left="60"/>
        <w:rPr>
          <w:highlight w:val="yellow"/>
        </w:rPr>
      </w:pPr>
      <w:r>
        <w:t>F</w:t>
      </w:r>
      <w:r w:rsidR="001509E6">
        <w:t xml:space="preserve">ewer than 5 patients </w:t>
      </w:r>
      <w:r>
        <w:t xml:space="preserve">were </w:t>
      </w:r>
      <w:r w:rsidR="001509E6">
        <w:t xml:space="preserve">identified as being </w:t>
      </w:r>
      <w:r>
        <w:t xml:space="preserve">of indeterminate gender in </w:t>
      </w:r>
      <w:r w:rsidR="01FDF900">
        <w:t xml:space="preserve">the </w:t>
      </w:r>
      <w:r>
        <w:t>study cohort</w:t>
      </w:r>
      <w:r w:rsidR="00A92EDB">
        <w:t>. To preserve privacy, these</w:t>
      </w:r>
      <w:r w:rsidR="00D0604C">
        <w:t xml:space="preserve"> patients were excluded from the study.</w:t>
      </w:r>
    </w:p>
    <w:p w14:paraId="35C5DD83" w14:textId="77777777" w:rsidR="00556A6B" w:rsidRPr="00556A6B" w:rsidRDefault="00556A6B" w:rsidP="004D52D5">
      <w:pPr>
        <w:ind w:left="60"/>
        <w:rPr>
          <w:b/>
          <w:bCs/>
        </w:rPr>
      </w:pPr>
      <w:r w:rsidRPr="00556A6B">
        <w:rPr>
          <w:b/>
          <w:bCs/>
        </w:rPr>
        <w:t>Study 1</w:t>
      </w:r>
    </w:p>
    <w:p w14:paraId="29DE8870" w14:textId="3CF3398A" w:rsidR="00F92989" w:rsidRDefault="00545295" w:rsidP="004D52D5">
      <w:pPr>
        <w:ind w:left="60"/>
      </w:pPr>
      <w:r>
        <w:t xml:space="preserve">Study 1 </w:t>
      </w:r>
      <w:r w:rsidR="00F92989" w:rsidRPr="00F92989">
        <w:t>describe</w:t>
      </w:r>
      <w:r w:rsidR="00F92989">
        <w:t>s</w:t>
      </w:r>
      <w:r w:rsidR="00F92989" w:rsidRPr="00F92989">
        <w:t xml:space="preserve"> patients prescribed at least one antiretroviral HIV medicine from 1 January 2018 to 31 December 2019</w:t>
      </w:r>
      <w:r w:rsidR="00F92989">
        <w:t xml:space="preserve">. </w:t>
      </w:r>
      <w:r w:rsidR="00F92989" w:rsidRPr="00F92989">
        <w:t xml:space="preserve">Records outside </w:t>
      </w:r>
      <w:r w:rsidR="00F92989">
        <w:t xml:space="preserve">the study period </w:t>
      </w:r>
      <w:r w:rsidR="00F92989" w:rsidRPr="00F92989">
        <w:t>were consulted when exploring patient demographics and diagnoses.</w:t>
      </w:r>
    </w:p>
    <w:p w14:paraId="666C7200" w14:textId="59F327B1" w:rsidR="00796114" w:rsidRDefault="00496CF7" w:rsidP="004D52D5">
      <w:pPr>
        <w:ind w:left="60"/>
      </w:pPr>
      <w:r w:rsidRPr="00496CF7">
        <w:t xml:space="preserve">Patients were eligible for inclusion in the </w:t>
      </w:r>
      <w:r>
        <w:t>study 1</w:t>
      </w:r>
      <w:r w:rsidRPr="00496CF7">
        <w:t xml:space="preserve"> population if</w:t>
      </w:r>
      <w:r w:rsidR="00810B53">
        <w:t xml:space="preserve"> they</w:t>
      </w:r>
      <w:r w:rsidRPr="00496CF7">
        <w:t>:</w:t>
      </w:r>
    </w:p>
    <w:p w14:paraId="63E62017" w14:textId="7C8AE470" w:rsidR="00796114" w:rsidRDefault="00796114" w:rsidP="00102944">
      <w:pPr>
        <w:pStyle w:val="ListParagraph"/>
        <w:numPr>
          <w:ilvl w:val="0"/>
          <w:numId w:val="8"/>
        </w:numPr>
      </w:pPr>
      <w:r>
        <w:t>ha</w:t>
      </w:r>
      <w:r w:rsidR="00D40773">
        <w:t>d</w:t>
      </w:r>
      <w:r>
        <w:t xml:space="preserve"> valid information for age and sex</w:t>
      </w:r>
      <w:r w:rsidR="00775E44">
        <w:t xml:space="preserve"> (male or female</w:t>
      </w:r>
      <w:r w:rsidR="00B400F7">
        <w:t xml:space="preserve"> only</w:t>
      </w:r>
      <w:r w:rsidR="00775E44">
        <w:t>)</w:t>
      </w:r>
    </w:p>
    <w:p w14:paraId="0E69F4BD" w14:textId="28A95C15" w:rsidR="00796114" w:rsidRDefault="00775E44" w:rsidP="00102944">
      <w:pPr>
        <w:pStyle w:val="ListParagraph"/>
        <w:numPr>
          <w:ilvl w:val="0"/>
          <w:numId w:val="8"/>
        </w:numPr>
      </w:pPr>
      <w:r>
        <w:t xml:space="preserve">were aged 18–74 years </w:t>
      </w:r>
      <w:r w:rsidR="00796114">
        <w:t>in 2019</w:t>
      </w:r>
      <w:r w:rsidR="00107FCD">
        <w:t xml:space="preserve">; </w:t>
      </w:r>
    </w:p>
    <w:p w14:paraId="06B1E8B2" w14:textId="2A58AA2A" w:rsidR="003768FF" w:rsidRDefault="00796114" w:rsidP="00102944">
      <w:pPr>
        <w:pStyle w:val="ListParagraph"/>
        <w:numPr>
          <w:ilvl w:val="0"/>
          <w:numId w:val="8"/>
        </w:numPr>
      </w:pPr>
      <w:r>
        <w:t>had at least two clinical encounters</w:t>
      </w:r>
      <w:r w:rsidR="00F92989">
        <w:rPr>
          <w:rStyle w:val="FootnoteReference"/>
        </w:rPr>
        <w:footnoteReference w:id="7"/>
      </w:r>
      <w:r>
        <w:t xml:space="preserve"> during the 2-year study period (1 January 2018 to 31 December 2019)</w:t>
      </w:r>
      <w:r w:rsidR="003768FF">
        <w:t>;</w:t>
      </w:r>
    </w:p>
    <w:p w14:paraId="60EA95B5" w14:textId="4B927B20" w:rsidR="00C61183" w:rsidRDefault="003768FF" w:rsidP="00102944">
      <w:pPr>
        <w:pStyle w:val="ListParagraph"/>
        <w:numPr>
          <w:ilvl w:val="0"/>
          <w:numId w:val="8"/>
        </w:numPr>
      </w:pPr>
      <w:r>
        <w:t xml:space="preserve">had a record of </w:t>
      </w:r>
      <w:r w:rsidR="00BC2549">
        <w:t>being diagnosed with HIV at any period up until the end of the study period</w:t>
      </w:r>
      <w:r w:rsidR="00C61183">
        <w:t>; and</w:t>
      </w:r>
    </w:p>
    <w:p w14:paraId="11DEBD19" w14:textId="59A542AF" w:rsidR="00796114" w:rsidRDefault="00C61183" w:rsidP="00102944">
      <w:pPr>
        <w:pStyle w:val="ListParagraph"/>
        <w:numPr>
          <w:ilvl w:val="0"/>
          <w:numId w:val="8"/>
        </w:numPr>
      </w:pPr>
      <w:r>
        <w:t>were prescribed at least one antiretroviral HIV medicine in the study period</w:t>
      </w:r>
      <w:r w:rsidR="00107FCD">
        <w:t>.</w:t>
      </w:r>
    </w:p>
    <w:p w14:paraId="5B6C5939" w14:textId="5ACD071D" w:rsidR="00C26268" w:rsidRPr="0045680F" w:rsidRDefault="00C26268" w:rsidP="004D52D5">
      <w:pPr>
        <w:ind w:left="60"/>
        <w:rPr>
          <w:b/>
          <w:bCs/>
        </w:rPr>
      </w:pPr>
      <w:r w:rsidRPr="0045680F">
        <w:rPr>
          <w:b/>
          <w:bCs/>
        </w:rPr>
        <w:t>Study 2</w:t>
      </w:r>
    </w:p>
    <w:p w14:paraId="46C2F018" w14:textId="4FAF5B69" w:rsidR="00B92CC6" w:rsidRDefault="0045680F" w:rsidP="004D52D5">
      <w:pPr>
        <w:ind w:left="60"/>
      </w:pPr>
      <w:r>
        <w:t xml:space="preserve">Study 2 </w:t>
      </w:r>
      <w:r w:rsidRPr="0045680F">
        <w:t>describe</w:t>
      </w:r>
      <w:r>
        <w:t>s</w:t>
      </w:r>
      <w:r w:rsidRPr="0045680F">
        <w:t xml:space="preserve"> patients prescribed at least one antiretroviral HIV medicine during calendar year 2020. </w:t>
      </w:r>
      <w:r w:rsidR="00B92CC6" w:rsidRPr="00B92CC6">
        <w:t>Records outside the study period were consulted when exploring patient demographics and diagnoses.</w:t>
      </w:r>
    </w:p>
    <w:p w14:paraId="23B25556" w14:textId="5E7FD158" w:rsidR="00B92CC6" w:rsidRDefault="00B92CC6" w:rsidP="00B92CC6">
      <w:pPr>
        <w:ind w:left="60"/>
      </w:pPr>
      <w:r w:rsidRPr="00496CF7">
        <w:lastRenderedPageBreak/>
        <w:t xml:space="preserve">Patients were eligible for inclusion in the </w:t>
      </w:r>
      <w:r>
        <w:t>study 2</w:t>
      </w:r>
      <w:r w:rsidRPr="00496CF7">
        <w:t xml:space="preserve"> population if</w:t>
      </w:r>
      <w:r>
        <w:t xml:space="preserve"> they</w:t>
      </w:r>
      <w:r w:rsidRPr="00496CF7">
        <w:t>:</w:t>
      </w:r>
    </w:p>
    <w:p w14:paraId="45B62995" w14:textId="0700C386" w:rsidR="00796114" w:rsidRDefault="00796114" w:rsidP="00102944">
      <w:pPr>
        <w:pStyle w:val="ListParagraph"/>
        <w:numPr>
          <w:ilvl w:val="0"/>
          <w:numId w:val="9"/>
        </w:numPr>
      </w:pPr>
      <w:r>
        <w:t>ha</w:t>
      </w:r>
      <w:r w:rsidR="00656361">
        <w:t>d</w:t>
      </w:r>
      <w:r>
        <w:t xml:space="preserve"> valid information for age and sex</w:t>
      </w:r>
      <w:r w:rsidR="00656361">
        <w:t xml:space="preserve"> (male or female</w:t>
      </w:r>
      <w:r w:rsidR="00B400F7">
        <w:t xml:space="preserve"> only</w:t>
      </w:r>
      <w:r w:rsidR="00656361">
        <w:t>)</w:t>
      </w:r>
      <w:r w:rsidR="00B400F7">
        <w:t>;</w:t>
      </w:r>
    </w:p>
    <w:p w14:paraId="786622A0" w14:textId="44A1515A" w:rsidR="00796114" w:rsidRDefault="00656361" w:rsidP="00102944">
      <w:pPr>
        <w:pStyle w:val="ListParagraph"/>
        <w:numPr>
          <w:ilvl w:val="0"/>
          <w:numId w:val="9"/>
        </w:numPr>
      </w:pPr>
      <w:r>
        <w:t xml:space="preserve">were </w:t>
      </w:r>
      <w:r w:rsidR="00796114">
        <w:t>aged 18</w:t>
      </w:r>
      <w:r>
        <w:t>–</w:t>
      </w:r>
      <w:r w:rsidR="00796114">
        <w:t>74 years in 2020</w:t>
      </w:r>
      <w:r w:rsidR="00B400F7">
        <w:t>;</w:t>
      </w:r>
      <w:r w:rsidR="00796114">
        <w:t xml:space="preserve"> </w:t>
      </w:r>
    </w:p>
    <w:p w14:paraId="7DD05BEF" w14:textId="77777777" w:rsidR="00C61183" w:rsidRDefault="00796114" w:rsidP="00102944">
      <w:pPr>
        <w:pStyle w:val="ListParagraph"/>
        <w:numPr>
          <w:ilvl w:val="0"/>
          <w:numId w:val="9"/>
        </w:numPr>
      </w:pPr>
      <w:r>
        <w:t xml:space="preserve">had at least two clinical encounters </w:t>
      </w:r>
      <w:r w:rsidR="00107FCD">
        <w:t xml:space="preserve">between </w:t>
      </w:r>
      <w:r>
        <w:t>1 January 2019 to 31 December 2020</w:t>
      </w:r>
      <w:r w:rsidR="00107FCD">
        <w:t xml:space="preserve">; </w:t>
      </w:r>
    </w:p>
    <w:p w14:paraId="014B4ABE" w14:textId="3C3AA514" w:rsidR="00796114" w:rsidRDefault="00C61183" w:rsidP="00102944">
      <w:pPr>
        <w:pStyle w:val="ListParagraph"/>
        <w:numPr>
          <w:ilvl w:val="0"/>
          <w:numId w:val="9"/>
        </w:numPr>
      </w:pPr>
      <w:r>
        <w:t xml:space="preserve">had a record of being diagnosed with HIV at any period up until the end of the study period; </w:t>
      </w:r>
      <w:r w:rsidR="00107FCD">
        <w:t>and</w:t>
      </w:r>
    </w:p>
    <w:p w14:paraId="407EFCD1" w14:textId="30DBC8E8" w:rsidR="00796114" w:rsidRDefault="00656361" w:rsidP="00102944">
      <w:pPr>
        <w:pStyle w:val="ListParagraph"/>
        <w:numPr>
          <w:ilvl w:val="0"/>
          <w:numId w:val="9"/>
        </w:numPr>
      </w:pPr>
      <w:r>
        <w:t>were prescribed at least on</w:t>
      </w:r>
      <w:r w:rsidR="00C61183">
        <w:t>e</w:t>
      </w:r>
      <w:r>
        <w:t xml:space="preserve"> antiretroviral HIV medicine </w:t>
      </w:r>
      <w:r w:rsidR="00796114">
        <w:t xml:space="preserve">in </w:t>
      </w:r>
      <w:r w:rsidR="007305D6">
        <w:t xml:space="preserve">calendar year </w:t>
      </w:r>
      <w:r w:rsidR="00796114">
        <w:t>2020</w:t>
      </w:r>
      <w:r w:rsidR="007305D6">
        <w:t>.</w:t>
      </w:r>
    </w:p>
    <w:p w14:paraId="62CEDFD7" w14:textId="0CF513A5" w:rsidR="00637E52" w:rsidRDefault="00957388" w:rsidP="00637E52">
      <w:pPr>
        <w:pStyle w:val="Heading3"/>
      </w:pPr>
      <w:r w:rsidRPr="00FD1EA8">
        <w:t>Antiretroviral HIV medicines</w:t>
      </w:r>
    </w:p>
    <w:p w14:paraId="77B894E3" w14:textId="3ACF71CC" w:rsidR="006C766D" w:rsidRDefault="00A44BCE" w:rsidP="00637E52">
      <w:r w:rsidRPr="00A44BCE">
        <w:t xml:space="preserve">Patients were defined as having had a prescription for an </w:t>
      </w:r>
      <w:r>
        <w:t xml:space="preserve">antiretroviral HIV medicine </w:t>
      </w:r>
      <w:r w:rsidRPr="00A44BCE">
        <w:t>if they had at least one record of a medicine in Table 1</w:t>
      </w:r>
      <w:r w:rsidR="00EB33AB">
        <w:t>. Information abou</w:t>
      </w:r>
      <w:r w:rsidR="006C766D">
        <w:t>t</w:t>
      </w:r>
      <w:r w:rsidR="00EB33AB">
        <w:t xml:space="preserve"> antiretroviral </w:t>
      </w:r>
      <w:r w:rsidR="00AC41C9" w:rsidRPr="00AC41C9">
        <w:t xml:space="preserve">HIV medicines </w:t>
      </w:r>
      <w:r w:rsidR="00EB33AB">
        <w:t xml:space="preserve">was taken </w:t>
      </w:r>
      <w:r w:rsidR="00046642">
        <w:t xml:space="preserve">from </w:t>
      </w:r>
      <w:r w:rsidR="006C766D">
        <w:t>four fields in the clinical information software:</w:t>
      </w:r>
    </w:p>
    <w:p w14:paraId="045032FE" w14:textId="77777777" w:rsidR="006C766D" w:rsidRPr="00F7759A" w:rsidRDefault="006C766D" w:rsidP="00102944">
      <w:pPr>
        <w:pStyle w:val="ListParagraph"/>
        <w:numPr>
          <w:ilvl w:val="0"/>
          <w:numId w:val="10"/>
        </w:numPr>
      </w:pPr>
      <w:r w:rsidRPr="00F7759A">
        <w:t>the</w:t>
      </w:r>
      <w:r w:rsidR="00EB33AB" w:rsidRPr="00F7759A">
        <w:t xml:space="preserve"> </w:t>
      </w:r>
      <w:r w:rsidR="00AC41C9" w:rsidRPr="00F7759A">
        <w:t xml:space="preserve">‘script item’ table using ATC codes </w:t>
      </w:r>
    </w:p>
    <w:p w14:paraId="0B26567C" w14:textId="77777777" w:rsidR="00046642" w:rsidRPr="00F7759A" w:rsidRDefault="0053277E" w:rsidP="00102944">
      <w:pPr>
        <w:pStyle w:val="ListParagraph"/>
        <w:numPr>
          <w:ilvl w:val="0"/>
          <w:numId w:val="10"/>
        </w:numPr>
      </w:pPr>
      <w:r w:rsidRPr="00F7759A">
        <w:t xml:space="preserve">the </w:t>
      </w:r>
      <w:r w:rsidR="00AC41C9" w:rsidRPr="00F7759A">
        <w:t>‘medicine active ingredient’</w:t>
      </w:r>
      <w:r w:rsidRPr="00F7759A">
        <w:t xml:space="preserve"> or</w:t>
      </w:r>
      <w:r w:rsidR="00AC41C9" w:rsidRPr="00F7759A">
        <w:t xml:space="preserve"> ‘medicine name’ fields (provided the script date is between 1 January 2018 and 31 December 2020) </w:t>
      </w:r>
    </w:p>
    <w:p w14:paraId="356E1B50" w14:textId="62C4BC05" w:rsidR="00637E52" w:rsidRPr="00F7759A" w:rsidRDefault="00AC41C9" w:rsidP="00102944">
      <w:pPr>
        <w:pStyle w:val="ListParagraph"/>
        <w:numPr>
          <w:ilvl w:val="0"/>
          <w:numId w:val="10"/>
        </w:numPr>
      </w:pPr>
      <w:r w:rsidRPr="00F7759A">
        <w:t>the ‘</w:t>
      </w:r>
      <w:r w:rsidR="00046642" w:rsidRPr="00F7759A">
        <w:t>p</w:t>
      </w:r>
      <w:r w:rsidRPr="00F7759A">
        <w:t>rescription’ table (provided the ‘last date’ is between 1 January 2018 and 31 December 2020).</w:t>
      </w:r>
    </w:p>
    <w:p w14:paraId="5C1AAE98" w14:textId="77777777" w:rsidR="00637E52" w:rsidRDefault="00637E52" w:rsidP="00637E52">
      <w:pPr>
        <w:pStyle w:val="Heading3"/>
      </w:pPr>
      <w:r>
        <w:t>Definitions</w:t>
      </w:r>
    </w:p>
    <w:p w14:paraId="06A8D198" w14:textId="77777777" w:rsidR="00637E52" w:rsidRDefault="00637E52" w:rsidP="00637E52">
      <w:r>
        <w:t xml:space="preserve">Socio-demographics in the analysis included age, sex, SEIFA, remoteness and Aboriginal and Torres Strait Islander status (as reported in the CIS). </w:t>
      </w:r>
    </w:p>
    <w:p w14:paraId="157D5591" w14:textId="55EF405E" w:rsidR="00637E52" w:rsidRDefault="00637E52" w:rsidP="00637E52">
      <w:r>
        <w:t>Patients were defined as having a condition if they had a relevant coded (Docle, Pyefinch) or free text entry in one of the three diagnosis fields – diagnosis, reason for encounter or reason for prescription - recorded at any time from the patient's earliest record up to the end of the study period.</w:t>
      </w:r>
      <w:r w:rsidR="009C3902">
        <w:t xml:space="preserve"> The conditions of interest were:</w:t>
      </w:r>
    </w:p>
    <w:p w14:paraId="5FFE5311" w14:textId="3DFC413C" w:rsidR="009C3902" w:rsidRDefault="009C3902" w:rsidP="00102944">
      <w:pPr>
        <w:pStyle w:val="ListParagraph"/>
        <w:numPr>
          <w:ilvl w:val="0"/>
          <w:numId w:val="11"/>
        </w:numPr>
      </w:pPr>
      <w:r>
        <w:t>HIV</w:t>
      </w:r>
    </w:p>
    <w:p w14:paraId="115F66B4" w14:textId="1F952DA2" w:rsidR="00522687" w:rsidRDefault="00522687" w:rsidP="00102944">
      <w:pPr>
        <w:pStyle w:val="ListParagraph"/>
        <w:numPr>
          <w:ilvl w:val="0"/>
          <w:numId w:val="11"/>
        </w:numPr>
      </w:pPr>
      <w:r>
        <w:t>chronic hepatitis C</w:t>
      </w:r>
    </w:p>
    <w:p w14:paraId="1ACEEB0B" w14:textId="3A93ED7E" w:rsidR="00522687" w:rsidRDefault="00522687" w:rsidP="00102944">
      <w:pPr>
        <w:pStyle w:val="ListParagraph"/>
        <w:numPr>
          <w:ilvl w:val="0"/>
          <w:numId w:val="11"/>
        </w:numPr>
      </w:pPr>
      <w:r>
        <w:t>hepatitis B</w:t>
      </w:r>
    </w:p>
    <w:p w14:paraId="580AC207" w14:textId="2F7BBDDC" w:rsidR="00522687" w:rsidRDefault="00522687" w:rsidP="00102944">
      <w:pPr>
        <w:pStyle w:val="ListParagraph"/>
        <w:numPr>
          <w:ilvl w:val="0"/>
          <w:numId w:val="11"/>
        </w:numPr>
      </w:pPr>
      <w:r>
        <w:t>cardiovascular disease (CVD)</w:t>
      </w:r>
    </w:p>
    <w:p w14:paraId="392F61BC" w14:textId="68BEBD28" w:rsidR="0029687F" w:rsidRDefault="0029687F" w:rsidP="00102944">
      <w:pPr>
        <w:pStyle w:val="ListParagraph"/>
        <w:numPr>
          <w:ilvl w:val="0"/>
          <w:numId w:val="11"/>
        </w:numPr>
      </w:pPr>
      <w:r>
        <w:t>at risk of CVD (</w:t>
      </w:r>
      <w:r w:rsidR="00AC4401">
        <w:t>defined as patients with type 2 diabetes, hypertension or dyslipidaemia)</w:t>
      </w:r>
    </w:p>
    <w:p w14:paraId="00F64BDE" w14:textId="786B90E1" w:rsidR="00522687" w:rsidRDefault="00CB0AD2" w:rsidP="00102944">
      <w:pPr>
        <w:pStyle w:val="ListParagraph"/>
        <w:numPr>
          <w:ilvl w:val="0"/>
          <w:numId w:val="11"/>
        </w:numPr>
      </w:pPr>
      <w:r>
        <w:t>chronic kidney disease (CKD)</w:t>
      </w:r>
    </w:p>
    <w:p w14:paraId="51A1F06A" w14:textId="30038286" w:rsidR="00AC4401" w:rsidRDefault="00AC4401" w:rsidP="00102944">
      <w:pPr>
        <w:pStyle w:val="ListParagraph"/>
        <w:numPr>
          <w:ilvl w:val="0"/>
          <w:numId w:val="11"/>
        </w:numPr>
      </w:pPr>
      <w:r>
        <w:t xml:space="preserve">at risk of CKD </w:t>
      </w:r>
      <w:r w:rsidRPr="00AC4401">
        <w:t>(defined as patients with type 2 diabetes</w:t>
      </w:r>
      <w:r w:rsidR="001653E1">
        <w:t xml:space="preserve"> or </w:t>
      </w:r>
      <w:r w:rsidRPr="00AC4401">
        <w:t>hypertension)</w:t>
      </w:r>
    </w:p>
    <w:p w14:paraId="1EAE6D3E" w14:textId="0F65D63D" w:rsidR="00CB0AD2" w:rsidRDefault="002A3D9C" w:rsidP="00102944">
      <w:pPr>
        <w:pStyle w:val="ListParagraph"/>
        <w:numPr>
          <w:ilvl w:val="0"/>
          <w:numId w:val="11"/>
        </w:numPr>
      </w:pPr>
      <w:r>
        <w:t>mental illness (depression, anxiety, bipolar disorder or schizophrenia)</w:t>
      </w:r>
    </w:p>
    <w:p w14:paraId="50D88F0B" w14:textId="7465C165" w:rsidR="002A3D9C" w:rsidRDefault="00B94041" w:rsidP="00102944">
      <w:pPr>
        <w:pStyle w:val="ListParagraph"/>
        <w:numPr>
          <w:ilvl w:val="0"/>
          <w:numId w:val="11"/>
        </w:numPr>
      </w:pPr>
      <w:r>
        <w:t>osteoporosis</w:t>
      </w:r>
      <w:r w:rsidR="0028078E">
        <w:t>.</w:t>
      </w:r>
    </w:p>
    <w:p w14:paraId="5C82F0F5" w14:textId="52E1F199" w:rsidR="00637E52" w:rsidRDefault="00A868D3" w:rsidP="00F7759A">
      <w:r>
        <w:t xml:space="preserve">A list of the terms used to </w:t>
      </w:r>
      <w:r w:rsidR="009C3902">
        <w:t xml:space="preserve">identify patients with each of the above conditions can be found </w:t>
      </w:r>
      <w:r w:rsidR="00F26DFF">
        <w:t>in Appendix C.</w:t>
      </w:r>
    </w:p>
    <w:p w14:paraId="40FE6E59" w14:textId="05A349A7" w:rsidR="00D8210E" w:rsidRDefault="00D8210E" w:rsidP="00D8210E">
      <w:r>
        <w:t xml:space="preserve">Medicines that should be avoided or used with caution in patients with </w:t>
      </w:r>
      <w:r w:rsidR="009726C0">
        <w:t>certain co-morbidities were identified from Australian and US guidelines (Table 2).</w:t>
      </w:r>
      <w:r w:rsidR="001F3116">
        <w:fldChar w:fldCharType="begin"/>
      </w:r>
      <w:r w:rsidR="00FC11B4">
        <w:instrText xml:space="preserve"> ADDIN EN.CITE &lt;EndNote&gt;&lt;Cite&gt;&lt;Author&gt;ASHM Sub-Committee for Guidance on HIV Management in Australia&lt;/Author&gt;&lt;Year&gt;2020&lt;/Year&gt;&lt;RecNum&gt;1&lt;/RecNum&gt;&lt;DisplayText&gt;&lt;style face="superscript"&gt;8,10&lt;/style&gt;&lt;/DisplayText&gt;&lt;record&gt;&lt;rec-number&gt;1&lt;/rec-number&gt;&lt;foreign-keys&gt;&lt;key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2021&lt;/access-date&gt;&lt;/record&gt;&lt;/Cite&gt;&lt;Cite&gt;&lt;Author&gt;Panel on Antiretroviral Guidelines for Adults and Adolescents&lt;/Author&gt;&lt;Year&gt;2021&lt;/Year&gt;&lt;RecNum&gt;2&lt;/RecNum&gt;&lt;record&gt;&lt;rec-number&gt;2&lt;/rec-number&gt;&lt;foreign-keys&gt;&lt;key app="EN" db-id="vwfdxvwwn0rrs6ea9sex9v2hafxp5zf2dexd" timestamp="1628641370"&gt;2&lt;/key&gt;&lt;/foreign-keys&gt;&lt;ref-type name="Report"&gt;27&lt;/ref-type&gt;&lt;contributors&gt;&lt;authors&gt;&lt;author&gt;Panel on Antiretroviral Guidelines for Adults and Adolescents,&lt;/author&gt;&lt;/authors&gt;&lt;/contributors&gt;&lt;titles&gt;&lt;title&gt;Guidelines for the use of antiretroviral agents in adults and adolescents living with HIV&lt;/title&gt;&lt;/titles&gt;&lt;dates&gt;&lt;year&gt;2021&lt;/year&gt;&lt;/dates&gt;&lt;pub-location&gt;Rockville&lt;/pub-location&gt;&lt;publisher&gt;Office of AIDS Research&lt;/publisher&gt;&lt;urls&gt;&lt;related-urls&gt;&lt;url&gt;https://clinicalinfo.hiv.gov/sites/default/files/guidelines/documents/AdultandAdolescentGL.pdf&lt;/url&gt;&lt;/related-urls&gt;&lt;/urls&gt;&lt;access-date&gt;11 August 2021&lt;/access-date&gt;&lt;/record&gt;&lt;/Cite&gt;&lt;/EndNote&gt;</w:instrText>
      </w:r>
      <w:r w:rsidR="001F3116">
        <w:fldChar w:fldCharType="separate"/>
      </w:r>
      <w:r w:rsidR="00FC11B4" w:rsidRPr="00FC11B4">
        <w:rPr>
          <w:noProof/>
          <w:vertAlign w:val="superscript"/>
        </w:rPr>
        <w:t>8,10</w:t>
      </w:r>
      <w:r w:rsidR="001F3116">
        <w:fldChar w:fldCharType="end"/>
      </w:r>
      <w:r>
        <w:t xml:space="preserve"> </w:t>
      </w:r>
    </w:p>
    <w:p w14:paraId="3C55A4BF" w14:textId="1A02FB68" w:rsidR="003730FC" w:rsidRDefault="00A906F7" w:rsidP="00A906F7">
      <w:pPr>
        <w:pStyle w:val="Tabletitle"/>
      </w:pPr>
      <w:r>
        <w:lastRenderedPageBreak/>
        <w:t xml:space="preserve">Table 2: </w:t>
      </w:r>
      <w:r w:rsidR="007C522C">
        <w:t>C</w:t>
      </w:r>
      <w:r>
        <w:t xml:space="preserve">onsiderations </w:t>
      </w:r>
      <w:r w:rsidR="007C522C">
        <w:t xml:space="preserve">for initial antiretroviral medicine choice </w:t>
      </w:r>
      <w:r w:rsidR="00D97E1C">
        <w:t>based upon patient comorbi</w:t>
      </w:r>
      <w:r w:rsidR="00651245">
        <w:t>di</w:t>
      </w:r>
      <w:r w:rsidR="00D97E1C">
        <w:t>ties</w:t>
      </w:r>
      <w:r w:rsidR="001F3116">
        <w:fldChar w:fldCharType="begin"/>
      </w:r>
      <w:r w:rsidR="00FC11B4">
        <w:instrText xml:space="preserve"> ADDIN EN.CITE &lt;EndNote&gt;&lt;Cite&gt;&lt;Author&gt;ASHM Sub-Committee for Guidance on HIV Management in Australia&lt;/Author&gt;&lt;Year&gt;2020&lt;/Year&gt;&lt;RecNum&gt;1&lt;/RecNum&gt;&lt;DisplayText&gt;&lt;style face="superscript"&gt;8,10&lt;/style&gt;&lt;/DisplayText&gt;&lt;record&gt;&lt;rec-number&gt;1&lt;/rec-number&gt;&lt;foreign-keys&gt;&lt;key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2021&lt;/access-date&gt;&lt;/record&gt;&lt;/Cite&gt;&lt;Cite&gt;&lt;Author&gt;Panel on Antiretroviral Guidelines for Adults and Adolescents&lt;/Author&gt;&lt;Year&gt;2021&lt;/Year&gt;&lt;RecNum&gt;2&lt;/RecNum&gt;&lt;record&gt;&lt;rec-number&gt;2&lt;/rec-number&gt;&lt;foreign-keys&gt;&lt;key app="EN" db-id="vwfdxvwwn0rrs6ea9sex9v2hafxp5zf2dexd" timestamp="1628641370"&gt;2&lt;/key&gt;&lt;/foreign-keys&gt;&lt;ref-type name="Report"&gt;27&lt;/ref-type&gt;&lt;contributors&gt;&lt;authors&gt;&lt;author&gt;Panel on Antiretroviral Guidelines for Adults and Adolescents,&lt;/author&gt;&lt;/authors&gt;&lt;/contributors&gt;&lt;titles&gt;&lt;title&gt;Guidelines for the use of antiretroviral agents in adults and adolescents living with HIV&lt;/title&gt;&lt;/titles&gt;&lt;dates&gt;&lt;year&gt;2021&lt;/year&gt;&lt;/dates&gt;&lt;pub-location&gt;Rockville&lt;/pub-location&gt;&lt;publisher&gt;Office of AIDS Research&lt;/publisher&gt;&lt;urls&gt;&lt;related-urls&gt;&lt;url&gt;https://clinicalinfo.hiv.gov/sites/default/files/guidelines/documents/AdultandAdolescentGL.pdf&lt;/url&gt;&lt;/related-urls&gt;&lt;/urls&gt;&lt;access-date&gt;11 August 2021&lt;/access-date&gt;&lt;/record&gt;&lt;/Cite&gt;&lt;/EndNote&gt;</w:instrText>
      </w:r>
      <w:r w:rsidR="001F3116">
        <w:fldChar w:fldCharType="separate"/>
      </w:r>
      <w:r w:rsidR="00FC11B4" w:rsidRPr="00FC11B4">
        <w:rPr>
          <w:noProof/>
          <w:vertAlign w:val="superscript"/>
        </w:rPr>
        <w:t>8,10</w:t>
      </w:r>
      <w:r w:rsidR="001F3116">
        <w:fldChar w:fldCharType="end"/>
      </w:r>
    </w:p>
    <w:tbl>
      <w:tblPr>
        <w:tblStyle w:val="TableGrid"/>
        <w:tblW w:w="5000" w:type="pct"/>
        <w:tblLook w:val="04A0" w:firstRow="1" w:lastRow="0" w:firstColumn="1" w:lastColumn="0" w:noHBand="0" w:noVBand="1"/>
      </w:tblPr>
      <w:tblGrid>
        <w:gridCol w:w="2546"/>
        <w:gridCol w:w="6401"/>
      </w:tblGrid>
      <w:tr w:rsidR="00D77112" w:rsidRPr="001D0858" w14:paraId="28EB1610" w14:textId="77777777" w:rsidTr="006362EB">
        <w:trPr>
          <w:trHeight w:val="20"/>
          <w:tblHeader/>
        </w:trPr>
        <w:tc>
          <w:tcPr>
            <w:tcW w:w="1423" w:type="pct"/>
            <w:shd w:val="clear" w:color="auto" w:fill="BFBFBF" w:themeFill="background1" w:themeFillShade="BF"/>
            <w:vAlign w:val="center"/>
          </w:tcPr>
          <w:p w14:paraId="132A1FE2" w14:textId="0BED8D14" w:rsidR="00D77112" w:rsidRPr="001D0858" w:rsidRDefault="00D77112" w:rsidP="00BE1581">
            <w:pPr>
              <w:pStyle w:val="Tableheading"/>
              <w:jc w:val="left"/>
              <w:rPr>
                <w:sz w:val="20"/>
                <w:szCs w:val="20"/>
              </w:rPr>
            </w:pPr>
            <w:r>
              <w:rPr>
                <w:sz w:val="20"/>
                <w:szCs w:val="20"/>
              </w:rPr>
              <w:t>Condition/group</w:t>
            </w:r>
          </w:p>
        </w:tc>
        <w:tc>
          <w:tcPr>
            <w:tcW w:w="3577" w:type="pct"/>
            <w:shd w:val="clear" w:color="auto" w:fill="BFBFBF" w:themeFill="background1" w:themeFillShade="BF"/>
            <w:vAlign w:val="center"/>
          </w:tcPr>
          <w:p w14:paraId="5215C9C9" w14:textId="5584F8B0" w:rsidR="00D77112" w:rsidRDefault="00496892" w:rsidP="00BE1581">
            <w:pPr>
              <w:pStyle w:val="Tableheading"/>
              <w:jc w:val="left"/>
              <w:rPr>
                <w:sz w:val="20"/>
                <w:szCs w:val="20"/>
              </w:rPr>
            </w:pPr>
            <w:r>
              <w:rPr>
                <w:sz w:val="20"/>
                <w:szCs w:val="20"/>
              </w:rPr>
              <w:t>Medicines to use with caution</w:t>
            </w:r>
          </w:p>
        </w:tc>
      </w:tr>
      <w:tr w:rsidR="00D77112" w:rsidRPr="001D0858" w14:paraId="6EB54263" w14:textId="77777777" w:rsidTr="006362EB">
        <w:trPr>
          <w:trHeight w:val="20"/>
        </w:trPr>
        <w:tc>
          <w:tcPr>
            <w:tcW w:w="1423" w:type="pct"/>
            <w:vAlign w:val="center"/>
          </w:tcPr>
          <w:p w14:paraId="5DBA28D2" w14:textId="2D2E483C" w:rsidR="00D77112" w:rsidRPr="005D1A28" w:rsidRDefault="00496892" w:rsidP="00BE1581">
            <w:pPr>
              <w:pStyle w:val="Tableheading"/>
              <w:jc w:val="left"/>
              <w:rPr>
                <w:rFonts w:cstheme="minorHAnsi"/>
                <w:b w:val="0"/>
                <w:sz w:val="20"/>
                <w:szCs w:val="20"/>
              </w:rPr>
            </w:pPr>
            <w:r w:rsidRPr="005D1A28">
              <w:rPr>
                <w:rFonts w:cstheme="minorHAnsi"/>
                <w:b w:val="0"/>
                <w:sz w:val="20"/>
                <w:szCs w:val="20"/>
              </w:rPr>
              <w:t>At risk of CKD</w:t>
            </w:r>
          </w:p>
        </w:tc>
        <w:tc>
          <w:tcPr>
            <w:tcW w:w="3577" w:type="pct"/>
            <w:vAlign w:val="center"/>
          </w:tcPr>
          <w:p w14:paraId="49BCE54B" w14:textId="60146475" w:rsidR="00D77112" w:rsidRPr="005D12E3" w:rsidRDefault="000B2FAB" w:rsidP="00BE1581">
            <w:pPr>
              <w:pStyle w:val="Tableheading"/>
              <w:jc w:val="left"/>
              <w:rPr>
                <w:rFonts w:cstheme="minorHAnsi"/>
                <w:b w:val="0"/>
                <w:sz w:val="20"/>
                <w:szCs w:val="20"/>
              </w:rPr>
            </w:pPr>
            <w:r w:rsidRPr="005D1A28">
              <w:rPr>
                <w:rFonts w:cstheme="minorHAnsi"/>
                <w:b w:val="0"/>
                <w:sz w:val="20"/>
                <w:szCs w:val="20"/>
              </w:rPr>
              <w:t xml:space="preserve">Avoid: tenofovir disoproxil </w:t>
            </w:r>
            <w:r w:rsidR="001F3116">
              <w:rPr>
                <w:rFonts w:cstheme="minorHAnsi"/>
                <w:b w:val="0"/>
                <w:sz w:val="20"/>
                <w:szCs w:val="20"/>
              </w:rPr>
              <w:fldChar w:fldCharType="begin"/>
            </w:r>
            <w:r w:rsidR="001F3116">
              <w:rPr>
                <w:rFonts w:cstheme="minorHAnsi"/>
                <w:b w:val="0"/>
                <w:sz w:val="20"/>
                <w:szCs w:val="20"/>
              </w:rP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rPr>
                <w:rFonts w:cstheme="minorHAnsi"/>
                <w:b w:val="0"/>
                <w:sz w:val="20"/>
                <w:szCs w:val="20"/>
              </w:rPr>
              <w:fldChar w:fldCharType="separate"/>
            </w:r>
            <w:r w:rsidR="001F3116" w:rsidRPr="001F3116">
              <w:rPr>
                <w:rFonts w:cstheme="minorHAnsi"/>
                <w:b w:val="0"/>
                <w:noProof/>
                <w:sz w:val="20"/>
                <w:szCs w:val="20"/>
                <w:vertAlign w:val="superscript"/>
              </w:rPr>
              <w:t>8</w:t>
            </w:r>
            <w:r w:rsidR="001F3116">
              <w:rPr>
                <w:rFonts w:cstheme="minorHAnsi"/>
                <w:b w:val="0"/>
                <w:sz w:val="20"/>
                <w:szCs w:val="20"/>
              </w:rPr>
              <w:fldChar w:fldCharType="end"/>
            </w:r>
          </w:p>
        </w:tc>
      </w:tr>
      <w:tr w:rsidR="00D77112" w:rsidRPr="001D0858" w14:paraId="1788C45D" w14:textId="77777777" w:rsidTr="006362EB">
        <w:trPr>
          <w:trHeight w:val="20"/>
        </w:trPr>
        <w:tc>
          <w:tcPr>
            <w:tcW w:w="1423" w:type="pct"/>
            <w:vAlign w:val="center"/>
          </w:tcPr>
          <w:p w14:paraId="3AC0CF7E" w14:textId="7395D3A2" w:rsidR="00D77112" w:rsidRPr="005D1A28" w:rsidRDefault="00BE1581" w:rsidP="00BE1581">
            <w:pPr>
              <w:pStyle w:val="Tableheading"/>
              <w:jc w:val="left"/>
              <w:rPr>
                <w:rFonts w:cstheme="minorHAnsi"/>
                <w:b w:val="0"/>
                <w:sz w:val="20"/>
                <w:szCs w:val="20"/>
              </w:rPr>
            </w:pPr>
            <w:r w:rsidRPr="005D1A28">
              <w:rPr>
                <w:rFonts w:cstheme="minorHAnsi"/>
                <w:b w:val="0"/>
                <w:sz w:val="20"/>
                <w:szCs w:val="20"/>
              </w:rPr>
              <w:t>CKD</w:t>
            </w:r>
          </w:p>
        </w:tc>
        <w:tc>
          <w:tcPr>
            <w:tcW w:w="3577" w:type="pct"/>
            <w:vAlign w:val="center"/>
          </w:tcPr>
          <w:p w14:paraId="5F46A08E" w14:textId="79BA0409" w:rsidR="00BE1581" w:rsidRPr="005D1A28" w:rsidRDefault="00BE1581" w:rsidP="00BE1581">
            <w:pPr>
              <w:pStyle w:val="Tableheading"/>
              <w:jc w:val="left"/>
              <w:rPr>
                <w:rFonts w:cstheme="minorBidi"/>
                <w:b w:val="0"/>
                <w:sz w:val="20"/>
                <w:szCs w:val="20"/>
              </w:rPr>
            </w:pPr>
            <w:r w:rsidRPr="005D1A28">
              <w:rPr>
                <w:rFonts w:cstheme="minorBidi"/>
                <w:b w:val="0"/>
                <w:sz w:val="20"/>
                <w:szCs w:val="20"/>
              </w:rPr>
              <w:t xml:space="preserve">Avoid: tenofovir disoproxil </w:t>
            </w:r>
            <w:r w:rsidR="001F3116">
              <w:rPr>
                <w:rFonts w:cstheme="minorBidi"/>
                <w:b w:val="0"/>
                <w:sz w:val="20"/>
                <w:szCs w:val="20"/>
              </w:rPr>
              <w:fldChar w:fldCharType="begin"/>
            </w:r>
            <w:r w:rsidR="001F3116">
              <w:rPr>
                <w:rFonts w:cstheme="minorBidi"/>
                <w:b w:val="0"/>
                <w:sz w:val="20"/>
                <w:szCs w:val="20"/>
              </w:rP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rPr>
                <w:rFonts w:cstheme="minorBidi"/>
                <w:b w:val="0"/>
                <w:sz w:val="20"/>
                <w:szCs w:val="20"/>
              </w:rPr>
              <w:fldChar w:fldCharType="separate"/>
            </w:r>
            <w:r w:rsidR="001F3116" w:rsidRPr="001F3116">
              <w:rPr>
                <w:rFonts w:cstheme="minorBidi"/>
                <w:b w:val="0"/>
                <w:noProof/>
                <w:sz w:val="20"/>
                <w:szCs w:val="20"/>
                <w:vertAlign w:val="superscript"/>
              </w:rPr>
              <w:t>8</w:t>
            </w:r>
            <w:r w:rsidR="001F3116">
              <w:rPr>
                <w:rFonts w:cstheme="minorBidi"/>
                <w:b w:val="0"/>
                <w:sz w:val="20"/>
                <w:szCs w:val="20"/>
              </w:rPr>
              <w:fldChar w:fldCharType="end"/>
            </w:r>
          </w:p>
          <w:p w14:paraId="12A7A64E" w14:textId="54B1D4D5" w:rsidR="00CA34B8" w:rsidRPr="005D1A28" w:rsidRDefault="00CA34B8" w:rsidP="00BE1581">
            <w:pPr>
              <w:pStyle w:val="Tableheading"/>
              <w:jc w:val="left"/>
              <w:rPr>
                <w:rFonts w:cstheme="minorBidi"/>
                <w:b w:val="0"/>
                <w:sz w:val="20"/>
                <w:szCs w:val="20"/>
              </w:rPr>
            </w:pPr>
            <w:r w:rsidRPr="005D1A28">
              <w:rPr>
                <w:rFonts w:cstheme="minorBidi"/>
                <w:b w:val="0"/>
                <w:sz w:val="20"/>
                <w:szCs w:val="20"/>
              </w:rPr>
              <w:t xml:space="preserve">Moderate </w:t>
            </w:r>
            <w:r w:rsidR="00EE35DC" w:rsidRPr="005D1A28">
              <w:rPr>
                <w:rFonts w:cstheme="minorBidi"/>
                <w:b w:val="0"/>
                <w:sz w:val="20"/>
                <w:szCs w:val="20"/>
              </w:rPr>
              <w:t xml:space="preserve">CKD (&lt;50ml/min): not recommended FDC </w:t>
            </w:r>
            <w:proofErr w:type="spellStart"/>
            <w:r w:rsidR="00FE44B7" w:rsidRPr="005D1A28">
              <w:rPr>
                <w:rFonts w:cstheme="minorBidi"/>
                <w:b w:val="0"/>
                <w:sz w:val="20"/>
                <w:szCs w:val="20"/>
              </w:rPr>
              <w:t>Atripla</w:t>
            </w:r>
            <w:proofErr w:type="spellEnd"/>
            <w:r w:rsidR="00FE44B7" w:rsidRPr="005D1A28">
              <w:rPr>
                <w:rFonts w:cstheme="minorBidi"/>
                <w:b w:val="0"/>
                <w:sz w:val="20"/>
                <w:szCs w:val="20"/>
              </w:rPr>
              <w:t xml:space="preserve">, </w:t>
            </w:r>
            <w:proofErr w:type="spellStart"/>
            <w:r w:rsidR="00FE44B7" w:rsidRPr="005D1A28">
              <w:rPr>
                <w:rFonts w:cstheme="minorBidi"/>
                <w:b w:val="0"/>
                <w:sz w:val="20"/>
                <w:szCs w:val="20"/>
              </w:rPr>
              <w:t>Combivir</w:t>
            </w:r>
            <w:proofErr w:type="spellEnd"/>
            <w:r w:rsidR="00FE44B7" w:rsidRPr="005D1A28">
              <w:rPr>
                <w:rFonts w:cstheme="minorBidi"/>
                <w:b w:val="0"/>
                <w:sz w:val="20"/>
                <w:szCs w:val="20"/>
              </w:rPr>
              <w:t xml:space="preserve">, </w:t>
            </w:r>
            <w:proofErr w:type="spellStart"/>
            <w:r w:rsidR="00FE44B7" w:rsidRPr="005D1A28">
              <w:rPr>
                <w:rFonts w:cstheme="minorBidi"/>
                <w:b w:val="0"/>
                <w:sz w:val="20"/>
                <w:szCs w:val="20"/>
              </w:rPr>
              <w:t>Triumeq</w:t>
            </w:r>
            <w:proofErr w:type="spellEnd"/>
            <w:r w:rsidR="00FE44B7" w:rsidRPr="005D1A28">
              <w:rPr>
                <w:rFonts w:cstheme="minorBidi"/>
                <w:b w:val="0"/>
                <w:sz w:val="20"/>
                <w:szCs w:val="20"/>
              </w:rPr>
              <w:t>, or Trizivir</w:t>
            </w:r>
            <w:r w:rsidR="001F3116">
              <w:rPr>
                <w:rFonts w:cstheme="minorBidi"/>
                <w:b w:val="0"/>
                <w:sz w:val="20"/>
                <w:szCs w:val="20"/>
              </w:rPr>
              <w:fldChar w:fldCharType="begin"/>
            </w:r>
            <w:r w:rsidR="001F3116">
              <w:rPr>
                <w:rFonts w:cstheme="minorBidi"/>
                <w:b w:val="0"/>
                <w:sz w:val="20"/>
                <w:szCs w:val="20"/>
              </w:rP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rPr>
                <w:rFonts w:cstheme="minorBidi"/>
                <w:b w:val="0"/>
                <w:sz w:val="20"/>
                <w:szCs w:val="20"/>
              </w:rPr>
              <w:fldChar w:fldCharType="separate"/>
            </w:r>
            <w:r w:rsidR="001F3116" w:rsidRPr="001F3116">
              <w:rPr>
                <w:rFonts w:cstheme="minorBidi"/>
                <w:b w:val="0"/>
                <w:noProof/>
                <w:sz w:val="20"/>
                <w:szCs w:val="20"/>
                <w:vertAlign w:val="superscript"/>
              </w:rPr>
              <w:t>8</w:t>
            </w:r>
            <w:r w:rsidR="001F3116">
              <w:rPr>
                <w:rFonts w:cstheme="minorBidi"/>
                <w:b w:val="0"/>
                <w:sz w:val="20"/>
                <w:szCs w:val="20"/>
              </w:rPr>
              <w:fldChar w:fldCharType="end"/>
            </w:r>
          </w:p>
          <w:p w14:paraId="11E4F49C" w14:textId="1AEB5DC7" w:rsidR="00FE44B7" w:rsidRPr="005D1A28" w:rsidRDefault="00FE44B7" w:rsidP="00BE1581">
            <w:pPr>
              <w:pStyle w:val="Tableheading"/>
              <w:jc w:val="left"/>
              <w:rPr>
                <w:rFonts w:cstheme="minorBidi"/>
                <w:b w:val="0"/>
                <w:sz w:val="20"/>
                <w:szCs w:val="20"/>
              </w:rPr>
            </w:pPr>
            <w:r w:rsidRPr="005D1A28">
              <w:rPr>
                <w:rFonts w:cstheme="minorBidi"/>
                <w:b w:val="0"/>
                <w:sz w:val="20"/>
                <w:szCs w:val="20"/>
              </w:rPr>
              <w:t>Severe CKD (&lt;30)</w:t>
            </w:r>
            <w:r w:rsidR="00827548" w:rsidRPr="005D1A28">
              <w:rPr>
                <w:rFonts w:cstheme="minorBidi"/>
                <w:b w:val="0"/>
                <w:sz w:val="20"/>
                <w:szCs w:val="20"/>
              </w:rPr>
              <w:t xml:space="preserve"> not recommended: </w:t>
            </w:r>
            <w:proofErr w:type="spellStart"/>
            <w:r w:rsidR="00827548" w:rsidRPr="005D1A28">
              <w:rPr>
                <w:rFonts w:cstheme="minorBidi"/>
                <w:b w:val="0"/>
                <w:sz w:val="20"/>
                <w:szCs w:val="20"/>
              </w:rPr>
              <w:t>Biktarvy</w:t>
            </w:r>
            <w:proofErr w:type="spellEnd"/>
            <w:r w:rsidR="00827548" w:rsidRPr="005D1A28">
              <w:rPr>
                <w:rFonts w:cstheme="minorBidi"/>
                <w:b w:val="0"/>
                <w:sz w:val="20"/>
                <w:szCs w:val="20"/>
              </w:rPr>
              <w:t xml:space="preserve">, </w:t>
            </w:r>
            <w:proofErr w:type="spellStart"/>
            <w:r w:rsidR="00827548" w:rsidRPr="005D1A28">
              <w:rPr>
                <w:rFonts w:cstheme="minorBidi"/>
                <w:b w:val="0"/>
                <w:sz w:val="20"/>
                <w:szCs w:val="20"/>
              </w:rPr>
              <w:t>Descovy</w:t>
            </w:r>
            <w:proofErr w:type="spellEnd"/>
            <w:r w:rsidR="00827548" w:rsidRPr="005D1A28">
              <w:rPr>
                <w:rFonts w:cstheme="minorBidi"/>
                <w:b w:val="0"/>
                <w:sz w:val="20"/>
                <w:szCs w:val="20"/>
              </w:rPr>
              <w:t xml:space="preserve">, </w:t>
            </w:r>
            <w:proofErr w:type="spellStart"/>
            <w:r w:rsidR="00827548" w:rsidRPr="005D1A28">
              <w:rPr>
                <w:rFonts w:cstheme="minorBidi"/>
                <w:b w:val="0"/>
                <w:sz w:val="20"/>
                <w:szCs w:val="20"/>
              </w:rPr>
              <w:t>Genvoya</w:t>
            </w:r>
            <w:proofErr w:type="spellEnd"/>
            <w:r w:rsidR="00827548" w:rsidRPr="005D1A28">
              <w:rPr>
                <w:rFonts w:cstheme="minorBidi"/>
                <w:b w:val="0"/>
                <w:sz w:val="20"/>
                <w:szCs w:val="20"/>
              </w:rPr>
              <w:t xml:space="preserve">, </w:t>
            </w:r>
            <w:proofErr w:type="spellStart"/>
            <w:r w:rsidR="00827548" w:rsidRPr="005D1A28">
              <w:rPr>
                <w:rFonts w:cstheme="minorBidi"/>
                <w:b w:val="0"/>
                <w:sz w:val="20"/>
                <w:szCs w:val="20"/>
              </w:rPr>
              <w:t>Odefsey</w:t>
            </w:r>
            <w:proofErr w:type="spellEnd"/>
            <w:r w:rsidR="00827548" w:rsidRPr="005D1A28">
              <w:rPr>
                <w:rFonts w:cstheme="minorBidi"/>
                <w:b w:val="0"/>
                <w:sz w:val="20"/>
                <w:szCs w:val="20"/>
              </w:rPr>
              <w:t xml:space="preserve">, </w:t>
            </w:r>
            <w:proofErr w:type="spellStart"/>
            <w:r w:rsidR="00827548" w:rsidRPr="005D1A28">
              <w:rPr>
                <w:rFonts w:cstheme="minorBidi"/>
                <w:b w:val="0"/>
                <w:sz w:val="20"/>
                <w:szCs w:val="20"/>
              </w:rPr>
              <w:t>Symtuza</w:t>
            </w:r>
            <w:proofErr w:type="spellEnd"/>
            <w:r w:rsidR="00827548" w:rsidRPr="005D1A28">
              <w:rPr>
                <w:rFonts w:cstheme="minorBidi"/>
                <w:b w:val="0"/>
                <w:sz w:val="20"/>
                <w:szCs w:val="20"/>
              </w:rPr>
              <w:t>, and Truvada</w:t>
            </w:r>
            <w:r w:rsidR="001F3116">
              <w:rPr>
                <w:rFonts w:cstheme="minorBidi"/>
                <w:b w:val="0"/>
                <w:sz w:val="20"/>
                <w:szCs w:val="20"/>
              </w:rPr>
              <w:fldChar w:fldCharType="begin"/>
            </w:r>
            <w:r w:rsidR="001F3116">
              <w:rPr>
                <w:rFonts w:cstheme="minorBidi"/>
                <w:b w:val="0"/>
                <w:sz w:val="20"/>
                <w:szCs w:val="20"/>
              </w:rP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rPr>
                <w:rFonts w:cstheme="minorBidi"/>
                <w:b w:val="0"/>
                <w:sz w:val="20"/>
                <w:szCs w:val="20"/>
              </w:rPr>
              <w:fldChar w:fldCharType="separate"/>
            </w:r>
            <w:r w:rsidR="001F3116" w:rsidRPr="001F3116">
              <w:rPr>
                <w:rFonts w:cstheme="minorBidi"/>
                <w:b w:val="0"/>
                <w:noProof/>
                <w:sz w:val="20"/>
                <w:szCs w:val="20"/>
                <w:vertAlign w:val="superscript"/>
              </w:rPr>
              <w:t>8</w:t>
            </w:r>
            <w:r w:rsidR="001F3116">
              <w:rPr>
                <w:rFonts w:cstheme="minorBidi"/>
                <w:b w:val="0"/>
                <w:sz w:val="20"/>
                <w:szCs w:val="20"/>
              </w:rPr>
              <w:fldChar w:fldCharType="end"/>
            </w:r>
          </w:p>
        </w:tc>
      </w:tr>
      <w:tr w:rsidR="00D77112" w:rsidRPr="001D0858" w14:paraId="449F9565" w14:textId="77777777" w:rsidTr="006362EB">
        <w:trPr>
          <w:trHeight w:val="20"/>
        </w:trPr>
        <w:tc>
          <w:tcPr>
            <w:tcW w:w="1423" w:type="pct"/>
            <w:vAlign w:val="center"/>
          </w:tcPr>
          <w:p w14:paraId="74E1E665" w14:textId="7B01572E" w:rsidR="00D77112" w:rsidRPr="00B16431" w:rsidRDefault="00C12A53" w:rsidP="00BE1581">
            <w:pPr>
              <w:pStyle w:val="Tableheading"/>
              <w:jc w:val="left"/>
              <w:rPr>
                <w:rFonts w:cstheme="minorHAnsi"/>
                <w:b w:val="0"/>
                <w:sz w:val="20"/>
                <w:szCs w:val="20"/>
              </w:rPr>
            </w:pPr>
            <w:r w:rsidRPr="00B16431">
              <w:rPr>
                <w:rFonts w:cstheme="minorHAnsi"/>
                <w:b w:val="0"/>
                <w:sz w:val="20"/>
                <w:szCs w:val="20"/>
              </w:rPr>
              <w:t>Psychiatric illnesses</w:t>
            </w:r>
          </w:p>
        </w:tc>
        <w:tc>
          <w:tcPr>
            <w:tcW w:w="3577" w:type="pct"/>
            <w:vAlign w:val="center"/>
          </w:tcPr>
          <w:p w14:paraId="19509CE4" w14:textId="7850111B" w:rsidR="00D77112" w:rsidRPr="00B16431" w:rsidRDefault="00760623" w:rsidP="00BE1581">
            <w:pPr>
              <w:pStyle w:val="Tableheading"/>
              <w:jc w:val="left"/>
              <w:rPr>
                <w:rFonts w:cstheme="minorBidi"/>
                <w:b w:val="0"/>
                <w:sz w:val="20"/>
                <w:szCs w:val="20"/>
              </w:rPr>
            </w:pPr>
            <w:r>
              <w:rPr>
                <w:rFonts w:cstheme="minorBidi"/>
                <w:b w:val="0"/>
                <w:sz w:val="20"/>
                <w:szCs w:val="20"/>
              </w:rPr>
              <w:t>Avoid</w:t>
            </w:r>
            <w:r w:rsidR="00E15998" w:rsidRPr="00B16431">
              <w:rPr>
                <w:rFonts w:cstheme="minorBidi"/>
                <w:b w:val="0"/>
                <w:sz w:val="20"/>
                <w:szCs w:val="20"/>
              </w:rPr>
              <w:t xml:space="preserve">: </w:t>
            </w:r>
            <w:r w:rsidR="006362EB" w:rsidRPr="00B16431">
              <w:rPr>
                <w:rFonts w:cstheme="minorBidi"/>
                <w:b w:val="0"/>
                <w:sz w:val="20"/>
                <w:szCs w:val="20"/>
              </w:rPr>
              <w:t>rilpivirine and efavirenz</w:t>
            </w:r>
            <w:r w:rsidR="001F3116">
              <w:rPr>
                <w:rFonts w:cstheme="minorBidi"/>
                <w:b w:val="0"/>
                <w:sz w:val="20"/>
                <w:szCs w:val="20"/>
              </w:rPr>
              <w:fldChar w:fldCharType="begin"/>
            </w:r>
            <w:r w:rsidR="00FC11B4">
              <w:rPr>
                <w:rFonts w:cstheme="minorBidi"/>
                <w:b w:val="0"/>
                <w:sz w:val="20"/>
                <w:szCs w:val="20"/>
              </w:rPr>
              <w:instrText xml:space="preserve"> ADDIN EN.CITE &lt;EndNote&gt;&lt;Cite&gt;&lt;Author&gt;ASHM Sub-Committee for Guidance on HIV Management in Australia&lt;/Author&gt;&lt;Year&gt;2020&lt;/Year&gt;&lt;RecNum&gt;1&lt;/RecNum&gt;&lt;DisplayText&gt;&lt;style face="superscript"&gt;8,10&lt;/style&gt;&lt;/DisplayText&gt;&lt;record&gt;&lt;rec-number&gt;1&lt;/rec-number&gt;&lt;foreign-keys&gt;&lt;key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2021&lt;/access-date&gt;&lt;/record&gt;&lt;/Cite&gt;&lt;Cite&gt;&lt;Author&gt;Panel on Antiretroviral Guidelines for Adults and Adolescents&lt;/Author&gt;&lt;Year&gt;2021&lt;/Year&gt;&lt;RecNum&gt;2&lt;/RecNum&gt;&lt;record&gt;&lt;rec-number&gt;2&lt;/rec-number&gt;&lt;foreign-keys&gt;&lt;key app="EN" db-id="vwfdxvwwn0rrs6ea9sex9v2hafxp5zf2dexd" timestamp="1628641370"&gt;2&lt;/key&gt;&lt;/foreign-keys&gt;&lt;ref-type name="Report"&gt;27&lt;/ref-type&gt;&lt;contributors&gt;&lt;authors&gt;&lt;author&gt;Panel on Antiretroviral Guidelines for Adults and Adolescents,&lt;/author&gt;&lt;/authors&gt;&lt;/contributors&gt;&lt;titles&gt;&lt;title&gt;Guidelines for the use of antiretroviral agents in adults and adolescents living with HIV&lt;/title&gt;&lt;/titles&gt;&lt;dates&gt;&lt;year&gt;2021&lt;/year&gt;&lt;/dates&gt;&lt;pub-location&gt;Rockville&lt;/pub-location&gt;&lt;publisher&gt;Office of AIDS Research&lt;/publisher&gt;&lt;urls&gt;&lt;related-urls&gt;&lt;url&gt;https://clinicalinfo.hiv.gov/sites/default/files/guidelines/documents/AdultandAdolescentGL.pdf&lt;/url&gt;&lt;/related-urls&gt;&lt;/urls&gt;&lt;access-date&gt;11 August 2021&lt;/access-date&gt;&lt;/record&gt;&lt;/Cite&gt;&lt;/EndNote&gt;</w:instrText>
            </w:r>
            <w:r w:rsidR="001F3116">
              <w:rPr>
                <w:rFonts w:cstheme="minorBidi"/>
                <w:b w:val="0"/>
                <w:sz w:val="20"/>
                <w:szCs w:val="20"/>
              </w:rPr>
              <w:fldChar w:fldCharType="separate"/>
            </w:r>
            <w:r w:rsidR="00FC11B4" w:rsidRPr="00FC11B4">
              <w:rPr>
                <w:rFonts w:cstheme="minorBidi"/>
                <w:b w:val="0"/>
                <w:noProof/>
                <w:sz w:val="20"/>
                <w:szCs w:val="20"/>
                <w:vertAlign w:val="superscript"/>
              </w:rPr>
              <w:t>8,10</w:t>
            </w:r>
            <w:r w:rsidR="001F3116">
              <w:rPr>
                <w:rFonts w:cstheme="minorBidi"/>
                <w:b w:val="0"/>
                <w:sz w:val="20"/>
                <w:szCs w:val="20"/>
              </w:rPr>
              <w:fldChar w:fldCharType="end"/>
            </w:r>
          </w:p>
        </w:tc>
      </w:tr>
      <w:tr w:rsidR="00D77112" w:rsidRPr="001D0858" w14:paraId="5FC03D22" w14:textId="77777777" w:rsidTr="006362EB">
        <w:trPr>
          <w:trHeight w:val="20"/>
        </w:trPr>
        <w:tc>
          <w:tcPr>
            <w:tcW w:w="1423" w:type="pct"/>
            <w:vAlign w:val="center"/>
          </w:tcPr>
          <w:p w14:paraId="393310DE" w14:textId="0BCBDC0C" w:rsidR="00D77112" w:rsidRPr="00F8671E" w:rsidRDefault="00F4597E" w:rsidP="00BE1581">
            <w:pPr>
              <w:pStyle w:val="Tableheading"/>
              <w:jc w:val="left"/>
              <w:rPr>
                <w:rFonts w:cstheme="minorBidi"/>
                <w:b w:val="0"/>
                <w:sz w:val="20"/>
                <w:szCs w:val="20"/>
              </w:rPr>
            </w:pPr>
            <w:r>
              <w:rPr>
                <w:rFonts w:cstheme="minorBidi"/>
                <w:b w:val="0"/>
                <w:sz w:val="20"/>
                <w:szCs w:val="20"/>
              </w:rPr>
              <w:t>At risk of CVD</w:t>
            </w:r>
          </w:p>
        </w:tc>
        <w:tc>
          <w:tcPr>
            <w:tcW w:w="3577" w:type="pct"/>
            <w:vAlign w:val="center"/>
          </w:tcPr>
          <w:p w14:paraId="2E41AC04" w14:textId="20482B93" w:rsidR="00D77112" w:rsidRPr="00E10F6F" w:rsidRDefault="00F4597E" w:rsidP="00BE1581">
            <w:pPr>
              <w:pStyle w:val="Tableheading"/>
              <w:tabs>
                <w:tab w:val="left" w:pos="2070"/>
              </w:tabs>
              <w:jc w:val="left"/>
              <w:rPr>
                <w:rFonts w:cstheme="minorHAnsi"/>
                <w:b w:val="0"/>
                <w:sz w:val="20"/>
                <w:szCs w:val="20"/>
              </w:rPr>
            </w:pPr>
            <w:r w:rsidRPr="00E10F6F">
              <w:rPr>
                <w:rFonts w:cstheme="minorHAnsi"/>
                <w:b w:val="0"/>
                <w:sz w:val="20"/>
                <w:szCs w:val="20"/>
              </w:rPr>
              <w:t>Avoid</w:t>
            </w:r>
            <w:r w:rsidR="00C70901" w:rsidRPr="00E10F6F">
              <w:rPr>
                <w:rFonts w:cstheme="minorHAnsi"/>
                <w:b w:val="0"/>
                <w:sz w:val="20"/>
                <w:szCs w:val="20"/>
              </w:rPr>
              <w:t>: abacavir</w:t>
            </w:r>
            <w:r w:rsidR="001F3116">
              <w:rPr>
                <w:rFonts w:cstheme="minorHAnsi"/>
                <w:b w:val="0"/>
                <w:sz w:val="20"/>
                <w:szCs w:val="20"/>
              </w:rPr>
              <w:fldChar w:fldCharType="begin"/>
            </w:r>
            <w:r w:rsidR="001F3116">
              <w:rPr>
                <w:rFonts w:cstheme="minorHAnsi"/>
                <w:b w:val="0"/>
                <w:sz w:val="20"/>
                <w:szCs w:val="20"/>
              </w:rP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rPr>
                <w:rFonts w:cstheme="minorHAnsi"/>
                <w:b w:val="0"/>
                <w:sz w:val="20"/>
                <w:szCs w:val="20"/>
              </w:rPr>
              <w:fldChar w:fldCharType="separate"/>
            </w:r>
            <w:r w:rsidR="001F3116" w:rsidRPr="001F3116">
              <w:rPr>
                <w:rFonts w:cstheme="minorHAnsi"/>
                <w:b w:val="0"/>
                <w:noProof/>
                <w:sz w:val="20"/>
                <w:szCs w:val="20"/>
                <w:vertAlign w:val="superscript"/>
              </w:rPr>
              <w:t>8</w:t>
            </w:r>
            <w:r w:rsidR="001F3116">
              <w:rPr>
                <w:rFonts w:cstheme="minorHAnsi"/>
                <w:b w:val="0"/>
                <w:sz w:val="20"/>
                <w:szCs w:val="20"/>
              </w:rPr>
              <w:fldChar w:fldCharType="end"/>
            </w:r>
          </w:p>
          <w:p w14:paraId="771AF1EE" w14:textId="626B2C7E" w:rsidR="0053046A" w:rsidRPr="005D12E3" w:rsidRDefault="00AD3D3C" w:rsidP="00EF2EC2">
            <w:pPr>
              <w:pStyle w:val="Tableheading"/>
              <w:tabs>
                <w:tab w:val="left" w:pos="2070"/>
              </w:tabs>
              <w:jc w:val="left"/>
              <w:rPr>
                <w:rFonts w:cstheme="minorHAnsi"/>
                <w:b w:val="0"/>
                <w:sz w:val="20"/>
                <w:szCs w:val="20"/>
              </w:rPr>
            </w:pPr>
            <w:r w:rsidRPr="00060643">
              <w:rPr>
                <w:rFonts w:cstheme="minorBidi"/>
                <w:b w:val="0"/>
                <w:sz w:val="20"/>
                <w:szCs w:val="20"/>
              </w:rPr>
              <w:t>Association with increased risk: HIV-PIs (with the possible exception of atazanavir</w:t>
            </w:r>
            <w:r w:rsidR="006B77E1">
              <w:rPr>
                <w:rFonts w:cstheme="minorBidi"/>
                <w:b w:val="0"/>
                <w:sz w:val="20"/>
                <w:szCs w:val="20"/>
              </w:rPr>
              <w:t>)</w:t>
            </w:r>
            <w:r w:rsidR="001F3116">
              <w:rPr>
                <w:rFonts w:cstheme="minorBidi"/>
                <w:b w:val="0"/>
                <w:sz w:val="20"/>
                <w:szCs w:val="20"/>
              </w:rPr>
              <w:fldChar w:fldCharType="begin"/>
            </w:r>
            <w:r w:rsidR="001F3116">
              <w:rPr>
                <w:rFonts w:cstheme="minorBidi"/>
                <w:b w:val="0"/>
                <w:sz w:val="20"/>
                <w:szCs w:val="20"/>
              </w:rP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rPr>
                <w:rFonts w:cstheme="minorBidi"/>
                <w:b w:val="0"/>
                <w:sz w:val="20"/>
                <w:szCs w:val="20"/>
              </w:rPr>
              <w:fldChar w:fldCharType="separate"/>
            </w:r>
            <w:r w:rsidR="001F3116" w:rsidRPr="001F3116">
              <w:rPr>
                <w:rFonts w:cstheme="minorBidi"/>
                <w:b w:val="0"/>
                <w:noProof/>
                <w:sz w:val="20"/>
                <w:szCs w:val="20"/>
                <w:vertAlign w:val="superscript"/>
              </w:rPr>
              <w:t>8</w:t>
            </w:r>
            <w:r w:rsidR="001F3116">
              <w:rPr>
                <w:rFonts w:cstheme="minorBidi"/>
                <w:b w:val="0"/>
                <w:sz w:val="20"/>
                <w:szCs w:val="20"/>
              </w:rPr>
              <w:fldChar w:fldCharType="end"/>
            </w:r>
          </w:p>
        </w:tc>
      </w:tr>
      <w:tr w:rsidR="007223C5" w:rsidRPr="001D0858" w14:paraId="503322E4" w14:textId="77777777" w:rsidTr="006362EB">
        <w:trPr>
          <w:trHeight w:val="20"/>
        </w:trPr>
        <w:tc>
          <w:tcPr>
            <w:tcW w:w="1423" w:type="pct"/>
            <w:vAlign w:val="center"/>
          </w:tcPr>
          <w:p w14:paraId="0867AF39" w14:textId="0FEE90E2" w:rsidR="007223C5" w:rsidRDefault="000A125F" w:rsidP="00BE1581">
            <w:pPr>
              <w:pStyle w:val="Tableheading"/>
              <w:jc w:val="left"/>
              <w:rPr>
                <w:rFonts w:cstheme="minorHAnsi"/>
                <w:b w:val="0"/>
                <w:sz w:val="20"/>
                <w:szCs w:val="20"/>
              </w:rPr>
            </w:pPr>
            <w:r>
              <w:rPr>
                <w:rFonts w:cstheme="minorHAnsi"/>
                <w:b w:val="0"/>
                <w:sz w:val="20"/>
                <w:szCs w:val="20"/>
              </w:rPr>
              <w:t>Cardiovascular</w:t>
            </w:r>
            <w:r w:rsidR="00C22A2B">
              <w:rPr>
                <w:rFonts w:cstheme="minorHAnsi"/>
                <w:b w:val="0"/>
                <w:sz w:val="20"/>
                <w:szCs w:val="20"/>
              </w:rPr>
              <w:t xml:space="preserve"> </w:t>
            </w:r>
            <w:r>
              <w:rPr>
                <w:rFonts w:cstheme="minorHAnsi"/>
                <w:b w:val="0"/>
                <w:sz w:val="20"/>
                <w:szCs w:val="20"/>
              </w:rPr>
              <w:t>disease</w:t>
            </w:r>
          </w:p>
        </w:tc>
        <w:tc>
          <w:tcPr>
            <w:tcW w:w="3577" w:type="pct"/>
            <w:vAlign w:val="center"/>
          </w:tcPr>
          <w:p w14:paraId="0CB9D528" w14:textId="5218DD03" w:rsidR="007223C5" w:rsidRPr="005D12E3" w:rsidRDefault="006B77E1" w:rsidP="00BD3277">
            <w:pPr>
              <w:pStyle w:val="Tableheading"/>
              <w:jc w:val="left"/>
              <w:rPr>
                <w:rFonts w:cstheme="minorHAnsi"/>
                <w:b w:val="0"/>
                <w:sz w:val="20"/>
                <w:szCs w:val="20"/>
              </w:rPr>
            </w:pPr>
            <w:r w:rsidRPr="006B77E1">
              <w:rPr>
                <w:rFonts w:cstheme="minorHAnsi"/>
                <w:b w:val="0"/>
                <w:sz w:val="20"/>
                <w:szCs w:val="20"/>
              </w:rPr>
              <w:t>Association with increased risk: HIV-PIs (with the possible exception of atazanavir</w:t>
            </w:r>
            <w:r>
              <w:rPr>
                <w:rFonts w:cstheme="minorHAnsi"/>
                <w:b w:val="0"/>
                <w:sz w:val="20"/>
                <w:szCs w:val="20"/>
              </w:rPr>
              <w:t>)</w:t>
            </w:r>
            <w:r w:rsidR="001F3116">
              <w:rPr>
                <w:rFonts w:cstheme="minorHAnsi"/>
                <w:b w:val="0"/>
                <w:sz w:val="20"/>
                <w:szCs w:val="20"/>
              </w:rPr>
              <w:fldChar w:fldCharType="begin"/>
            </w:r>
            <w:r w:rsidR="001F3116">
              <w:rPr>
                <w:rFonts w:cstheme="minorHAnsi"/>
                <w:b w:val="0"/>
                <w:sz w:val="20"/>
                <w:szCs w:val="20"/>
              </w:rP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rPr>
                <w:rFonts w:cstheme="minorHAnsi"/>
                <w:b w:val="0"/>
                <w:sz w:val="20"/>
                <w:szCs w:val="20"/>
              </w:rPr>
              <w:fldChar w:fldCharType="separate"/>
            </w:r>
            <w:r w:rsidR="001F3116" w:rsidRPr="001F3116">
              <w:rPr>
                <w:rFonts w:cstheme="minorHAnsi"/>
                <w:b w:val="0"/>
                <w:noProof/>
                <w:sz w:val="20"/>
                <w:szCs w:val="20"/>
                <w:vertAlign w:val="superscript"/>
              </w:rPr>
              <w:t>8</w:t>
            </w:r>
            <w:r w:rsidR="001F3116">
              <w:rPr>
                <w:rFonts w:cstheme="minorHAnsi"/>
                <w:b w:val="0"/>
                <w:sz w:val="20"/>
                <w:szCs w:val="20"/>
              </w:rPr>
              <w:fldChar w:fldCharType="end"/>
            </w:r>
          </w:p>
        </w:tc>
      </w:tr>
      <w:tr w:rsidR="00D77112" w:rsidRPr="001D0858" w14:paraId="35A80387" w14:textId="77777777" w:rsidTr="00B16431">
        <w:trPr>
          <w:trHeight w:val="20"/>
        </w:trPr>
        <w:tc>
          <w:tcPr>
            <w:tcW w:w="1423" w:type="pct"/>
            <w:shd w:val="clear" w:color="auto" w:fill="auto"/>
            <w:vAlign w:val="center"/>
          </w:tcPr>
          <w:p w14:paraId="40CA502A" w14:textId="694E1D87" w:rsidR="00D77112" w:rsidRPr="00B16431" w:rsidRDefault="005228B0" w:rsidP="00BE1581">
            <w:pPr>
              <w:pStyle w:val="Tableheading"/>
              <w:jc w:val="left"/>
              <w:rPr>
                <w:rFonts w:cstheme="minorHAnsi"/>
                <w:b w:val="0"/>
                <w:sz w:val="20"/>
                <w:szCs w:val="20"/>
              </w:rPr>
            </w:pPr>
            <w:r w:rsidRPr="00B16431">
              <w:rPr>
                <w:rFonts w:cstheme="minorHAnsi"/>
                <w:b w:val="0"/>
                <w:sz w:val="20"/>
                <w:szCs w:val="20"/>
              </w:rPr>
              <w:t>Osteoporosis</w:t>
            </w:r>
          </w:p>
        </w:tc>
        <w:tc>
          <w:tcPr>
            <w:tcW w:w="3577" w:type="pct"/>
            <w:shd w:val="clear" w:color="auto" w:fill="auto"/>
            <w:vAlign w:val="center"/>
          </w:tcPr>
          <w:p w14:paraId="2C723D57" w14:textId="5989F7B1" w:rsidR="00D77112" w:rsidRPr="00B16431" w:rsidRDefault="005228B0" w:rsidP="00BE1581">
            <w:pPr>
              <w:pStyle w:val="Tableheading"/>
              <w:jc w:val="left"/>
              <w:rPr>
                <w:rFonts w:cstheme="minorHAnsi"/>
                <w:b w:val="0"/>
                <w:sz w:val="20"/>
                <w:szCs w:val="20"/>
              </w:rPr>
            </w:pPr>
            <w:r w:rsidRPr="00B16431">
              <w:rPr>
                <w:rFonts w:cstheme="minorHAnsi"/>
                <w:b w:val="0"/>
                <w:sz w:val="20"/>
                <w:szCs w:val="20"/>
              </w:rPr>
              <w:t>Avoid: tenofovir disoproxil</w:t>
            </w:r>
            <w:r w:rsidR="001F3116">
              <w:rPr>
                <w:rFonts w:cstheme="minorHAnsi"/>
                <w:b w:val="0"/>
                <w:sz w:val="20"/>
                <w:szCs w:val="20"/>
              </w:rPr>
              <w:fldChar w:fldCharType="begin"/>
            </w:r>
            <w:r w:rsidR="001F3116">
              <w:rPr>
                <w:rFonts w:cstheme="minorHAnsi"/>
                <w:b w:val="0"/>
                <w:sz w:val="20"/>
                <w:szCs w:val="20"/>
              </w:rP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rPr>
                <w:rFonts w:cstheme="minorHAnsi"/>
                <w:b w:val="0"/>
                <w:sz w:val="20"/>
                <w:szCs w:val="20"/>
              </w:rPr>
              <w:fldChar w:fldCharType="separate"/>
            </w:r>
            <w:r w:rsidR="001F3116" w:rsidRPr="001F3116">
              <w:rPr>
                <w:rFonts w:cstheme="minorHAnsi"/>
                <w:b w:val="0"/>
                <w:noProof/>
                <w:sz w:val="20"/>
                <w:szCs w:val="20"/>
                <w:vertAlign w:val="superscript"/>
              </w:rPr>
              <w:t>8</w:t>
            </w:r>
            <w:r w:rsidR="001F3116">
              <w:rPr>
                <w:rFonts w:cstheme="minorHAnsi"/>
                <w:b w:val="0"/>
                <w:sz w:val="20"/>
                <w:szCs w:val="20"/>
              </w:rPr>
              <w:fldChar w:fldCharType="end"/>
            </w:r>
          </w:p>
        </w:tc>
      </w:tr>
      <w:tr w:rsidR="000D0E4D" w:rsidRPr="001D0858" w14:paraId="2A2D073F" w14:textId="77777777" w:rsidTr="006362EB">
        <w:trPr>
          <w:trHeight w:val="20"/>
        </w:trPr>
        <w:tc>
          <w:tcPr>
            <w:tcW w:w="1423" w:type="pct"/>
            <w:vAlign w:val="center"/>
          </w:tcPr>
          <w:p w14:paraId="678DF61D" w14:textId="58D10869" w:rsidR="000D0E4D" w:rsidRDefault="00245BF0" w:rsidP="00BE1581">
            <w:pPr>
              <w:pStyle w:val="Tableheading"/>
              <w:jc w:val="left"/>
              <w:rPr>
                <w:rFonts w:cstheme="minorHAnsi"/>
                <w:b w:val="0"/>
                <w:sz w:val="20"/>
                <w:szCs w:val="20"/>
              </w:rPr>
            </w:pPr>
            <w:r>
              <w:rPr>
                <w:rFonts w:cstheme="minorHAnsi"/>
                <w:b w:val="0"/>
                <w:sz w:val="20"/>
                <w:szCs w:val="20"/>
              </w:rPr>
              <w:t>D</w:t>
            </w:r>
            <w:r w:rsidR="000D0E4D">
              <w:rPr>
                <w:rFonts w:cstheme="minorHAnsi"/>
                <w:b w:val="0"/>
                <w:sz w:val="20"/>
                <w:szCs w:val="20"/>
              </w:rPr>
              <w:t>iabetes</w:t>
            </w:r>
          </w:p>
        </w:tc>
        <w:tc>
          <w:tcPr>
            <w:tcW w:w="3577" w:type="pct"/>
            <w:vAlign w:val="center"/>
          </w:tcPr>
          <w:p w14:paraId="4C27B3E4" w14:textId="2C447404" w:rsidR="000D0E4D" w:rsidRPr="005D12E3" w:rsidRDefault="0050263D" w:rsidP="00717C06">
            <w:pPr>
              <w:pStyle w:val="Tableheading"/>
              <w:jc w:val="left"/>
              <w:rPr>
                <w:rFonts w:cstheme="minorHAnsi"/>
                <w:b w:val="0"/>
                <w:sz w:val="20"/>
                <w:szCs w:val="20"/>
              </w:rPr>
            </w:pPr>
            <w:r>
              <w:rPr>
                <w:rFonts w:cstheme="minorHAnsi"/>
                <w:b w:val="0"/>
                <w:sz w:val="20"/>
                <w:szCs w:val="20"/>
              </w:rPr>
              <w:t>Associated with</w:t>
            </w:r>
            <w:r w:rsidR="006144FC">
              <w:rPr>
                <w:rFonts w:cstheme="minorHAnsi"/>
                <w:b w:val="0"/>
                <w:sz w:val="20"/>
                <w:szCs w:val="20"/>
              </w:rPr>
              <w:t xml:space="preserve"> hyperglycaemia: </w:t>
            </w:r>
            <w:r w:rsidR="00401BAB">
              <w:rPr>
                <w:rFonts w:cstheme="minorHAnsi"/>
                <w:b w:val="0"/>
                <w:sz w:val="20"/>
                <w:szCs w:val="20"/>
              </w:rPr>
              <w:t>HIV-PIs</w:t>
            </w:r>
            <w:r w:rsidR="001F3116">
              <w:rPr>
                <w:rFonts w:cstheme="minorHAnsi"/>
                <w:b w:val="0"/>
                <w:sz w:val="20"/>
                <w:szCs w:val="20"/>
              </w:rPr>
              <w:fldChar w:fldCharType="begin"/>
            </w:r>
            <w:r w:rsidR="001F3116">
              <w:rPr>
                <w:rFonts w:cstheme="minorHAnsi"/>
                <w:b w:val="0"/>
                <w:sz w:val="20"/>
                <w:szCs w:val="20"/>
              </w:rP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rPr>
                <w:rFonts w:cstheme="minorHAnsi"/>
                <w:b w:val="0"/>
                <w:sz w:val="20"/>
                <w:szCs w:val="20"/>
              </w:rPr>
              <w:fldChar w:fldCharType="separate"/>
            </w:r>
            <w:r w:rsidR="001F3116" w:rsidRPr="001F3116">
              <w:rPr>
                <w:rFonts w:cstheme="minorHAnsi"/>
                <w:b w:val="0"/>
                <w:noProof/>
                <w:sz w:val="20"/>
                <w:szCs w:val="20"/>
                <w:vertAlign w:val="superscript"/>
              </w:rPr>
              <w:t>8</w:t>
            </w:r>
            <w:r w:rsidR="001F3116">
              <w:rPr>
                <w:rFonts w:cstheme="minorHAnsi"/>
                <w:b w:val="0"/>
                <w:sz w:val="20"/>
                <w:szCs w:val="20"/>
              </w:rPr>
              <w:fldChar w:fldCharType="end"/>
            </w:r>
          </w:p>
        </w:tc>
      </w:tr>
      <w:tr w:rsidR="00717C06" w:rsidRPr="001D0858" w14:paraId="6EDCC9CA" w14:textId="77777777" w:rsidTr="006362EB">
        <w:trPr>
          <w:trHeight w:val="20"/>
        </w:trPr>
        <w:tc>
          <w:tcPr>
            <w:tcW w:w="1423" w:type="pct"/>
            <w:vAlign w:val="center"/>
          </w:tcPr>
          <w:p w14:paraId="305DA6B8" w14:textId="3025259B" w:rsidR="00717C06" w:rsidRDefault="00717C06" w:rsidP="00BE1581">
            <w:pPr>
              <w:pStyle w:val="Tableheading"/>
              <w:jc w:val="left"/>
              <w:rPr>
                <w:rFonts w:cstheme="minorHAnsi"/>
                <w:b w:val="0"/>
                <w:sz w:val="20"/>
                <w:szCs w:val="20"/>
              </w:rPr>
            </w:pPr>
            <w:r>
              <w:rPr>
                <w:rFonts w:cstheme="minorHAnsi"/>
                <w:b w:val="0"/>
                <w:sz w:val="20"/>
                <w:szCs w:val="20"/>
              </w:rPr>
              <w:t>Dyslipidaemia</w:t>
            </w:r>
          </w:p>
        </w:tc>
        <w:tc>
          <w:tcPr>
            <w:tcW w:w="3577" w:type="pct"/>
            <w:vAlign w:val="center"/>
          </w:tcPr>
          <w:p w14:paraId="615E9128" w14:textId="5E2B20DC" w:rsidR="00C351E1" w:rsidRDefault="00C351E1" w:rsidP="00C351E1">
            <w:pPr>
              <w:pStyle w:val="Tableheading"/>
              <w:jc w:val="left"/>
              <w:rPr>
                <w:rFonts w:cstheme="minorHAnsi"/>
                <w:b w:val="0"/>
                <w:sz w:val="20"/>
                <w:szCs w:val="20"/>
              </w:rPr>
            </w:pPr>
            <w:r>
              <w:rPr>
                <w:rFonts w:cstheme="minorHAnsi"/>
                <w:b w:val="0"/>
                <w:sz w:val="20"/>
                <w:szCs w:val="20"/>
              </w:rPr>
              <w:t xml:space="preserve">Associated with </w:t>
            </w:r>
            <w:r w:rsidR="00160B82">
              <w:rPr>
                <w:rFonts w:cstheme="minorHAnsi"/>
                <w:b w:val="0"/>
                <w:sz w:val="20"/>
                <w:szCs w:val="20"/>
              </w:rPr>
              <w:t>dyslipidaemia</w:t>
            </w:r>
            <w:r>
              <w:rPr>
                <w:rFonts w:cstheme="minorHAnsi"/>
                <w:b w:val="0"/>
                <w:sz w:val="20"/>
                <w:szCs w:val="20"/>
              </w:rPr>
              <w:t>:</w:t>
            </w:r>
          </w:p>
          <w:p w14:paraId="1781F7EF" w14:textId="7692F9A5" w:rsidR="00A36DFA" w:rsidRPr="006167F5" w:rsidRDefault="00C351E1" w:rsidP="00102944">
            <w:pPr>
              <w:pStyle w:val="Tableheading"/>
              <w:numPr>
                <w:ilvl w:val="0"/>
                <w:numId w:val="13"/>
              </w:numPr>
              <w:jc w:val="left"/>
              <w:rPr>
                <w:rFonts w:cstheme="minorHAnsi"/>
                <w:b w:val="0"/>
                <w:sz w:val="20"/>
                <w:szCs w:val="20"/>
              </w:rPr>
            </w:pPr>
            <w:r w:rsidRPr="006167F5">
              <w:rPr>
                <w:rFonts w:cstheme="minorHAnsi"/>
                <w:b w:val="0"/>
                <w:sz w:val="20"/>
                <w:szCs w:val="20"/>
              </w:rPr>
              <w:t xml:space="preserve">cobicistat or ritonavir-boosted </w:t>
            </w:r>
            <w:r w:rsidR="0053448B">
              <w:rPr>
                <w:rFonts w:cstheme="minorHAnsi"/>
                <w:b w:val="0"/>
                <w:sz w:val="20"/>
                <w:szCs w:val="20"/>
              </w:rPr>
              <w:t>HIV-PIs</w:t>
            </w:r>
            <w:r w:rsidR="001F3116">
              <w:rPr>
                <w:rFonts w:cstheme="minorHAnsi"/>
                <w:b w:val="0"/>
                <w:sz w:val="20"/>
                <w:szCs w:val="20"/>
              </w:rPr>
              <w:fldChar w:fldCharType="begin"/>
            </w:r>
            <w:r w:rsidR="001F3116">
              <w:rPr>
                <w:rFonts w:cstheme="minorHAnsi"/>
                <w:b w:val="0"/>
                <w:sz w:val="20"/>
                <w:szCs w:val="20"/>
              </w:rP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rPr>
                <w:rFonts w:cstheme="minorHAnsi"/>
                <w:b w:val="0"/>
                <w:sz w:val="20"/>
                <w:szCs w:val="20"/>
              </w:rPr>
              <w:fldChar w:fldCharType="separate"/>
            </w:r>
            <w:r w:rsidR="001F3116" w:rsidRPr="001F3116">
              <w:rPr>
                <w:rFonts w:cstheme="minorHAnsi"/>
                <w:b w:val="0"/>
                <w:noProof/>
                <w:sz w:val="20"/>
                <w:szCs w:val="20"/>
                <w:vertAlign w:val="superscript"/>
              </w:rPr>
              <w:t>8</w:t>
            </w:r>
            <w:r w:rsidR="001F3116">
              <w:rPr>
                <w:rFonts w:cstheme="minorHAnsi"/>
                <w:b w:val="0"/>
                <w:sz w:val="20"/>
                <w:szCs w:val="20"/>
              </w:rPr>
              <w:fldChar w:fldCharType="end"/>
            </w:r>
          </w:p>
          <w:p w14:paraId="408A09CD" w14:textId="5A244D2E" w:rsidR="005D1D68" w:rsidRPr="00B16431" w:rsidRDefault="007223C5" w:rsidP="00102944">
            <w:pPr>
              <w:pStyle w:val="Tableheading"/>
              <w:numPr>
                <w:ilvl w:val="0"/>
                <w:numId w:val="13"/>
              </w:numPr>
              <w:jc w:val="left"/>
              <w:rPr>
                <w:rFonts w:cstheme="minorHAnsi"/>
                <w:b w:val="0"/>
                <w:sz w:val="20"/>
                <w:szCs w:val="20"/>
              </w:rPr>
            </w:pPr>
            <w:r w:rsidRPr="00B16431">
              <w:rPr>
                <w:rFonts w:cstheme="minorHAnsi"/>
                <w:b w:val="0"/>
                <w:sz w:val="20"/>
                <w:szCs w:val="20"/>
              </w:rPr>
              <w:t xml:space="preserve">efavirenz </w:t>
            </w:r>
            <w:r w:rsidR="001F3116">
              <w:rPr>
                <w:rFonts w:cstheme="minorHAnsi"/>
                <w:b w:val="0"/>
                <w:sz w:val="20"/>
                <w:szCs w:val="20"/>
              </w:rPr>
              <w:fldChar w:fldCharType="begin"/>
            </w:r>
            <w:r w:rsidR="001F3116">
              <w:rPr>
                <w:rFonts w:cstheme="minorHAnsi"/>
                <w:b w:val="0"/>
                <w:sz w:val="20"/>
                <w:szCs w:val="20"/>
              </w:rP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rPr>
                <w:rFonts w:cstheme="minorHAnsi"/>
                <w:b w:val="0"/>
                <w:sz w:val="20"/>
                <w:szCs w:val="20"/>
              </w:rPr>
              <w:fldChar w:fldCharType="separate"/>
            </w:r>
            <w:r w:rsidR="001F3116" w:rsidRPr="001F3116">
              <w:rPr>
                <w:rFonts w:cstheme="minorHAnsi"/>
                <w:b w:val="0"/>
                <w:noProof/>
                <w:sz w:val="20"/>
                <w:szCs w:val="20"/>
                <w:vertAlign w:val="superscript"/>
              </w:rPr>
              <w:t>8</w:t>
            </w:r>
            <w:r w:rsidR="001F3116">
              <w:rPr>
                <w:rFonts w:cstheme="minorHAnsi"/>
                <w:b w:val="0"/>
                <w:sz w:val="20"/>
                <w:szCs w:val="20"/>
              </w:rPr>
              <w:fldChar w:fldCharType="end"/>
            </w:r>
          </w:p>
          <w:p w14:paraId="13D1B36B" w14:textId="192894BC" w:rsidR="00717C06" w:rsidRPr="005D12E3" w:rsidRDefault="005943FF" w:rsidP="00102944">
            <w:pPr>
              <w:pStyle w:val="Tableheading"/>
              <w:numPr>
                <w:ilvl w:val="0"/>
                <w:numId w:val="13"/>
              </w:numPr>
              <w:jc w:val="left"/>
              <w:rPr>
                <w:rFonts w:cstheme="minorHAnsi"/>
                <w:b w:val="0"/>
                <w:sz w:val="20"/>
                <w:szCs w:val="20"/>
              </w:rPr>
            </w:pPr>
            <w:r w:rsidRPr="00B16431">
              <w:rPr>
                <w:rFonts w:cstheme="minorHAnsi"/>
                <w:b w:val="0"/>
                <w:sz w:val="20"/>
                <w:szCs w:val="20"/>
              </w:rPr>
              <w:t>regimens containing el</w:t>
            </w:r>
            <w:r w:rsidR="00590809" w:rsidRPr="00B16431">
              <w:rPr>
                <w:rFonts w:cstheme="minorHAnsi"/>
                <w:b w:val="0"/>
                <w:sz w:val="20"/>
                <w:szCs w:val="20"/>
              </w:rPr>
              <w:t>vitegravir</w:t>
            </w:r>
            <w:r w:rsidR="00222F7B" w:rsidRPr="00B16431">
              <w:rPr>
                <w:rFonts w:cstheme="minorHAnsi"/>
                <w:b w:val="0"/>
                <w:sz w:val="20"/>
                <w:szCs w:val="20"/>
              </w:rPr>
              <w:t xml:space="preserve"> + cobicistat</w:t>
            </w:r>
            <w:r w:rsidR="001F3116">
              <w:rPr>
                <w:rFonts w:cstheme="minorHAnsi"/>
                <w:b w:val="0"/>
                <w:sz w:val="20"/>
                <w:szCs w:val="20"/>
              </w:rPr>
              <w:fldChar w:fldCharType="begin"/>
            </w:r>
            <w:r w:rsidR="001F3116">
              <w:rPr>
                <w:rFonts w:cstheme="minorHAnsi"/>
                <w:b w:val="0"/>
                <w:sz w:val="20"/>
                <w:szCs w:val="20"/>
              </w:rP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rPr>
                <w:rFonts w:cstheme="minorHAnsi"/>
                <w:b w:val="0"/>
                <w:sz w:val="20"/>
                <w:szCs w:val="20"/>
              </w:rPr>
              <w:fldChar w:fldCharType="separate"/>
            </w:r>
            <w:r w:rsidR="001F3116" w:rsidRPr="001F3116">
              <w:rPr>
                <w:rFonts w:cstheme="minorHAnsi"/>
                <w:b w:val="0"/>
                <w:noProof/>
                <w:sz w:val="20"/>
                <w:szCs w:val="20"/>
                <w:vertAlign w:val="superscript"/>
              </w:rPr>
              <w:t>8</w:t>
            </w:r>
            <w:r w:rsidR="001F3116">
              <w:rPr>
                <w:rFonts w:cstheme="minorHAnsi"/>
                <w:b w:val="0"/>
                <w:sz w:val="20"/>
                <w:szCs w:val="20"/>
              </w:rPr>
              <w:fldChar w:fldCharType="end"/>
            </w:r>
          </w:p>
        </w:tc>
      </w:tr>
    </w:tbl>
    <w:p w14:paraId="3788B8E6" w14:textId="77777777" w:rsidR="00D77112" w:rsidRDefault="00D77112" w:rsidP="00F7759A">
      <w:pPr>
        <w:rPr>
          <w:sz w:val="20"/>
          <w:szCs w:val="20"/>
        </w:rPr>
      </w:pPr>
    </w:p>
    <w:p w14:paraId="3A191BC4" w14:textId="77777777" w:rsidR="00637E52" w:rsidRDefault="00637E52" w:rsidP="00637E52">
      <w:pPr>
        <w:pStyle w:val="Heading3"/>
      </w:pPr>
      <w:r>
        <w:t>Statistical analysis</w:t>
      </w:r>
    </w:p>
    <w:p w14:paraId="704AF42F" w14:textId="77777777" w:rsidR="00637E52" w:rsidRPr="00D67A1C" w:rsidRDefault="00637E52" w:rsidP="00637E52">
      <w:r w:rsidRPr="00D67A1C">
        <w:t>Analyses were conducted on the October 2020 download of MedicineInsight data using SAS version 9.4 (SAS Institute Inc., Cary, NC, USA), including the use of the SURVEYFREQ procedure. Measures included descriptive statistics, frequencies, proportions and odds ratios as appropriate. To indicate the reliability of the estimates of prevalence and proportions, 95% confidence intervals (adjusted for clustering by practice site) and p-values are reported as needed.</w:t>
      </w:r>
    </w:p>
    <w:p w14:paraId="0686A1F1" w14:textId="77777777" w:rsidR="00637E52" w:rsidRDefault="00637E52" w:rsidP="00637E52">
      <w:r w:rsidRPr="00D67A1C">
        <w:t>If a particular result was only reported in 1–4 patients, this result has been reported as &lt; 5 (with the exception of missing variables).</w:t>
      </w:r>
    </w:p>
    <w:p w14:paraId="75FF5F8F" w14:textId="77777777" w:rsidR="00637E52" w:rsidRDefault="00637E52" w:rsidP="00637E52">
      <w:pPr>
        <w:pStyle w:val="Heading3"/>
      </w:pPr>
      <w:r>
        <w:t>Guide to interpreting MedicineInsight data</w:t>
      </w:r>
    </w:p>
    <w:p w14:paraId="6101D5F3" w14:textId="77777777" w:rsidR="00637E52" w:rsidRDefault="00637E52" w:rsidP="00637E52">
      <w:r w:rsidRPr="0017296B">
        <w:t>When interpreting the information presented in this report, readers should note some of the limitations or caveats related to the MedicineInsight data:</w:t>
      </w:r>
    </w:p>
    <w:p w14:paraId="07ED57FB" w14:textId="24ADD3CC" w:rsidR="00CC70C3" w:rsidRDefault="004D6DE9" w:rsidP="00102944">
      <w:pPr>
        <w:pStyle w:val="ListParagraph"/>
        <w:numPr>
          <w:ilvl w:val="0"/>
          <w:numId w:val="5"/>
        </w:numPr>
      </w:pPr>
      <w:r w:rsidRPr="00B66A28">
        <w:t>To be included in the study patients had to have both a record as having been diagnosed with HIV and at least one antiretroviral medicine prescribed</w:t>
      </w:r>
      <w:r w:rsidR="00CC70C3">
        <w:t>. This</w:t>
      </w:r>
      <w:r w:rsidR="00E45411">
        <w:t xml:space="preserve"> is likely to have underestimated the number of patients seen in general practice with HIV because:</w:t>
      </w:r>
    </w:p>
    <w:p w14:paraId="016415DD" w14:textId="77777777" w:rsidR="00E45411" w:rsidRDefault="00E45411" w:rsidP="00102944">
      <w:pPr>
        <w:pStyle w:val="ListParagraph"/>
        <w:numPr>
          <w:ilvl w:val="1"/>
          <w:numId w:val="5"/>
        </w:numPr>
      </w:pPr>
      <w:r>
        <w:lastRenderedPageBreak/>
        <w:t>s</w:t>
      </w:r>
      <w:r w:rsidR="005D21B8" w:rsidRPr="00B66A28">
        <w:t xml:space="preserve">ome patients </w:t>
      </w:r>
      <w:r w:rsidR="009F5109" w:rsidRPr="00B66A28">
        <w:t>and GPs may choose not to record HIV status in the CIS to preserve patient</w:t>
      </w:r>
      <w:r w:rsidR="00B62D0D" w:rsidRPr="00B66A28">
        <w:t xml:space="preserve"> confidentiality</w:t>
      </w:r>
      <w:r>
        <w:t>;</w:t>
      </w:r>
    </w:p>
    <w:p w14:paraId="665056D8" w14:textId="2BD2A858" w:rsidR="00E45411" w:rsidRDefault="00E45411" w:rsidP="00102944">
      <w:pPr>
        <w:pStyle w:val="ListParagraph"/>
        <w:numPr>
          <w:ilvl w:val="1"/>
          <w:numId w:val="5"/>
        </w:numPr>
      </w:pPr>
      <w:r>
        <w:t xml:space="preserve">HIV status </w:t>
      </w:r>
      <w:r w:rsidR="00393E65" w:rsidRPr="00B66A28">
        <w:t xml:space="preserve">may not be recorded in a </w:t>
      </w:r>
      <w:r w:rsidR="00091AE5" w:rsidRPr="00B66A28">
        <w:t>field accessible to MedicineInsight</w:t>
      </w:r>
      <w:r w:rsidR="190547FF">
        <w:t>;</w:t>
      </w:r>
    </w:p>
    <w:p w14:paraId="3F7C9DF9" w14:textId="24B0679A" w:rsidR="004D6DE9" w:rsidRPr="00B66A28" w:rsidRDefault="00B352A9" w:rsidP="00102944">
      <w:pPr>
        <w:pStyle w:val="ListParagraph"/>
        <w:numPr>
          <w:ilvl w:val="1"/>
          <w:numId w:val="5"/>
        </w:numPr>
      </w:pPr>
      <w:r>
        <w:t>p</w:t>
      </w:r>
      <w:r w:rsidR="00623ABF">
        <w:t xml:space="preserve">atients </w:t>
      </w:r>
      <w:r>
        <w:t xml:space="preserve">are likely to be managed by specialists </w:t>
      </w:r>
      <w:r w:rsidR="00502BF3">
        <w:t>and information a</w:t>
      </w:r>
      <w:r w:rsidR="00236269">
        <w:t>bout antiretroviral use may not be recorded in the CIS or may be recorded in a field that is not accessible to MedicineInsight</w:t>
      </w:r>
      <w:r w:rsidR="5D151628">
        <w:t>.</w:t>
      </w:r>
    </w:p>
    <w:p w14:paraId="1E79C5CA" w14:textId="68F2A3A3" w:rsidR="00637E52" w:rsidRPr="00B66A28" w:rsidRDefault="00637E52" w:rsidP="00102944">
      <w:pPr>
        <w:pStyle w:val="ListParagraph"/>
        <w:numPr>
          <w:ilvl w:val="0"/>
          <w:numId w:val="5"/>
        </w:numPr>
      </w:pPr>
      <w:r w:rsidRPr="00B66A28">
        <w:t>Information in CIS is collected to provide clinical care to a patient, not for research purposes. All analyses are therefore dependent upon on the accuracy and completeness of data recorded in, and available for extraction from, the general practice CISs.</w:t>
      </w:r>
    </w:p>
    <w:p w14:paraId="40A5892F" w14:textId="77777777" w:rsidR="00637E52" w:rsidRPr="00B66A28" w:rsidRDefault="00637E52" w:rsidP="00102944">
      <w:pPr>
        <w:pStyle w:val="ListParagraph"/>
        <w:numPr>
          <w:ilvl w:val="0"/>
          <w:numId w:val="5"/>
        </w:numPr>
      </w:pPr>
      <w:r w:rsidRPr="00B66A28">
        <w:t>Medicines use information from MedicineInsight relates to records of GP prescribing, and therefore differs in several important ways from national PBS dispensing data as not all prescriptions and repeats will be dispensed. Specialist and hospital prescriptions are not included. There may be a delay of up to 12 months between prescribing and dispensing.</w:t>
      </w:r>
    </w:p>
    <w:p w14:paraId="298CAFC2" w14:textId="77777777" w:rsidR="00637E52" w:rsidRPr="00B66A28" w:rsidRDefault="00637E52" w:rsidP="00102944">
      <w:pPr>
        <w:pStyle w:val="ListParagraph"/>
        <w:numPr>
          <w:ilvl w:val="0"/>
          <w:numId w:val="5"/>
        </w:numPr>
      </w:pPr>
      <w:r w:rsidRPr="00B66A28">
        <w:t xml:space="preserve">Practices were recruited to MedicineInsight using non-random sampling, and systematic sampling differences between regions cannot be ruled out. </w:t>
      </w:r>
    </w:p>
    <w:p w14:paraId="153F7D98" w14:textId="77777777" w:rsidR="00637E52" w:rsidRPr="00B66A28" w:rsidRDefault="00637E52" w:rsidP="00102944">
      <w:pPr>
        <w:pStyle w:val="ListParagraph"/>
        <w:numPr>
          <w:ilvl w:val="0"/>
          <w:numId w:val="5"/>
        </w:numPr>
      </w:pPr>
      <w:r w:rsidRPr="00B66A28">
        <w:t>Due to confidentiality issues we do not have access to progress notes or access to correspondence, which may contain further information on reasons for prescriptions, reasons for encounters and diagnoses.</w:t>
      </w:r>
    </w:p>
    <w:p w14:paraId="3FC1FB13" w14:textId="77777777" w:rsidR="00637E52" w:rsidRPr="00B66A28" w:rsidRDefault="00637E52" w:rsidP="00102944">
      <w:pPr>
        <w:pStyle w:val="ListParagraph"/>
        <w:numPr>
          <w:ilvl w:val="0"/>
          <w:numId w:val="5"/>
        </w:numPr>
      </w:pPr>
      <w:r w:rsidRPr="00B66A28">
        <w:t>Patients are free to visit multiple other practices. We do not have data on patients from non-MedicineInsight clinics. Currently we cannot identify patients who have attended multiple MedicineInsight practices.</w:t>
      </w:r>
    </w:p>
    <w:p w14:paraId="4F91A98A" w14:textId="5A984FAF" w:rsidR="00C714D0" w:rsidRDefault="00C714D0" w:rsidP="00CF5E22">
      <w:pPr>
        <w:pStyle w:val="Heading1"/>
      </w:pPr>
      <w:r w:rsidRPr="004A3941">
        <w:t>Results</w:t>
      </w:r>
    </w:p>
    <w:p w14:paraId="2035E55C" w14:textId="2E9D62F2" w:rsidR="009921A2" w:rsidRPr="009921A2" w:rsidRDefault="009921A2" w:rsidP="009921A2">
      <w:r>
        <w:t xml:space="preserve">This study identified </w:t>
      </w:r>
      <w:r w:rsidR="1AF50672">
        <w:t>1</w:t>
      </w:r>
      <w:r w:rsidR="32B26735">
        <w:t>,</w:t>
      </w:r>
      <w:r w:rsidR="1AF50672">
        <w:t>518</w:t>
      </w:r>
      <w:r>
        <w:t xml:space="preserve"> patients with HIV </w:t>
      </w:r>
      <w:r w:rsidR="00B75186">
        <w:t xml:space="preserve">using antiretroviral therapy during 2018 and 2019 in study period 1 and </w:t>
      </w:r>
      <w:r w:rsidR="5A030032">
        <w:t>1</w:t>
      </w:r>
      <w:r w:rsidR="3E5FF9D4">
        <w:t>,</w:t>
      </w:r>
      <w:r w:rsidR="5A030032">
        <w:t>391</w:t>
      </w:r>
      <w:r w:rsidR="00B75186">
        <w:t xml:space="preserve"> patients in 2020. This </w:t>
      </w:r>
      <w:r w:rsidR="00D74F04">
        <w:t xml:space="preserve">is </w:t>
      </w:r>
      <w:r w:rsidR="001F09CE">
        <w:t>5</w:t>
      </w:r>
      <w:r w:rsidR="00354582">
        <w:t>.0</w:t>
      </w:r>
      <w:r w:rsidR="001F09CE">
        <w:t>–5.5% of</w:t>
      </w:r>
      <w:r w:rsidR="00354582">
        <w:t xml:space="preserve"> the approximately 27,500 </w:t>
      </w:r>
      <w:r w:rsidR="001F09CE">
        <w:t xml:space="preserve">Australians </w:t>
      </w:r>
      <w:r>
        <w:t>living with HIV in Australia</w:t>
      </w:r>
      <w:r w:rsidR="00354582">
        <w:t>.</w:t>
      </w:r>
    </w:p>
    <w:p w14:paraId="2221FF19" w14:textId="23944C37" w:rsidR="00736041" w:rsidRDefault="00AB07AC" w:rsidP="00CF5E22">
      <w:pPr>
        <w:pStyle w:val="Heading2"/>
      </w:pPr>
      <w:r>
        <w:t>Sociodemographic c</w:t>
      </w:r>
      <w:r w:rsidR="00A54331">
        <w:t xml:space="preserve">haracteristics of patients </w:t>
      </w:r>
    </w:p>
    <w:p w14:paraId="0C4E565F" w14:textId="1779474A" w:rsidR="006D16E1" w:rsidRPr="006D16E1" w:rsidRDefault="00A057EC" w:rsidP="006D16E1">
      <w:r>
        <w:t xml:space="preserve">The </w:t>
      </w:r>
      <w:r w:rsidR="00867BFB">
        <w:t>socio</w:t>
      </w:r>
      <w:r>
        <w:t xml:space="preserve">demographics of patients in both study periods were similar. </w:t>
      </w:r>
      <w:r w:rsidR="006D16E1">
        <w:t xml:space="preserve">Table </w:t>
      </w:r>
      <w:r w:rsidR="00656CF9">
        <w:t>3</w:t>
      </w:r>
      <w:r w:rsidR="006D16E1">
        <w:t xml:space="preserve"> shows the sociodemographic characteristics </w:t>
      </w:r>
      <w:r w:rsidR="0027228B">
        <w:t xml:space="preserve">of MedicineInsight patients </w:t>
      </w:r>
      <w:r w:rsidR="00EB6E5C">
        <w:t xml:space="preserve">recorded as having a diagnosis of HIV </w:t>
      </w:r>
      <w:r w:rsidR="00A57198">
        <w:t>and at least one antiretroviral medicine prescribed during the study periods.</w:t>
      </w:r>
      <w:r w:rsidR="00916927">
        <w:t xml:space="preserve"> </w:t>
      </w:r>
      <w:r w:rsidR="00B2314D">
        <w:t xml:space="preserve"> </w:t>
      </w:r>
    </w:p>
    <w:p w14:paraId="24EC6B75" w14:textId="5AB1AA07" w:rsidR="00806A28" w:rsidRDefault="00E37448" w:rsidP="00806A28">
      <w:r>
        <w:t>Consistent with other Australia data</w:t>
      </w:r>
      <w:r w:rsidR="00CD0662">
        <w:t xml:space="preserve"> sources, the majority of patients were male</w:t>
      </w:r>
      <w:r w:rsidR="00867BFB">
        <w:t xml:space="preserve">, from higher socioeconomic backgrounds and </w:t>
      </w:r>
      <w:r w:rsidR="00CD0662">
        <w:t xml:space="preserve">living in </w:t>
      </w:r>
      <w:r w:rsidR="00F30BFD">
        <w:t xml:space="preserve">major cities. </w:t>
      </w:r>
      <w:r w:rsidR="00295A62">
        <w:t xml:space="preserve">The </w:t>
      </w:r>
      <w:r w:rsidR="00CF2DB2">
        <w:t>life expectancy of PLWHIV has been steadily increasing</w:t>
      </w:r>
      <w:r w:rsidR="00442674">
        <w:t xml:space="preserve"> and almost half are now aged 50 year or older.</w:t>
      </w:r>
      <w:r w:rsidR="001F3116">
        <w:fldChar w:fldCharType="begin"/>
      </w:r>
      <w:r w:rsidR="00FC11B4">
        <w:instrText xml:space="preserve"> ADDIN EN.CITE &lt;EndNote&gt;&lt;Cite&gt;&lt;Author&gt;Kirby Institute&lt;/Author&gt;&lt;Year&gt;2018&lt;/Year&gt;&lt;RecNum&gt;4&lt;/RecNum&gt;&lt;DisplayText&gt;&lt;style face="superscript"&gt;4,11&lt;/style&gt;&lt;/DisplayText&gt;&lt;record&gt;&lt;rec-number&gt;4&lt;/rec-number&gt;&lt;foreign-keys&gt;&lt;key app="EN" db-id="vwfdxvwwn0rrs6ea9sex9v2hafxp5zf2dexd" timestamp="1628642162"&gt;4&lt;/key&gt;&lt;/foreign-keys&gt;&lt;ref-type name="Report"&gt;27&lt;/ref-type&gt;&lt;contributors&gt;&lt;authors&gt;&lt;author&gt;Kirby Institute,&lt;/author&gt;&lt;/authors&gt;&lt;tertiary-authors&gt;&lt;author&gt;Kirby Institute&lt;/author&gt;&lt;/tertiary-authors&gt;&lt;/contributors&gt;&lt;titles&gt;&lt;title&gt;HIV, viral hepatitis and sexually transmissible infections in Australia: annual surveillance report 2018&lt;/title&gt;&lt;/titles&gt;&lt;dates&gt;&lt;year&gt;2018&lt;/year&gt;&lt;/dates&gt;&lt;pub-location&gt;Sydney&lt;/pub-location&gt;&lt;publisher&gt;Kirby Institute&lt;/publisher&gt;&lt;urls&gt;&lt;related-urls&gt;&lt;url&gt;https://kirby.unsw.edu.au/sites/default/files/kirby/report/KI_Annual-Surveillance-Report-2018.pdf&lt;/url&gt;&lt;/related-urls&gt;&lt;/urls&gt;&lt;access-date&gt;11 August 2021&lt;/access-date&gt;&lt;/record&gt;&lt;/Cite&gt;&lt;Cite&gt;&lt;Author&gt;Woods&lt;/Author&gt;&lt;Year&gt;2019&lt;/Year&gt;&lt;RecNum&gt;10&lt;/RecNum&gt;&lt;record&gt;&lt;rec-number&gt;10&lt;/rec-number&gt;&lt;foreign-keys&gt;&lt;key app="EN" db-id="vwfdxvwwn0rrs6ea9sex9v2hafxp5zf2dexd" timestamp="1628669203"&gt;10&lt;/key&gt;&lt;/foreign-keys&gt;&lt;ref-type name="Report"&gt;27&lt;/ref-type&gt;&lt;contributors&gt;&lt;authors&gt;&lt;author&gt;Woods, R.&lt;/author&gt;&lt;/authors&gt;&lt;tertiary-authors&gt;&lt;author&gt;National Association of People with HIV Australia&lt;/author&gt;&lt;/tertiary-authors&gt;&lt;/contributors&gt;&lt;titles&gt;&lt;title&gt;HIV and ageing in Australia - the new frontier&lt;/title&gt;&lt;/titles&gt;&lt;dates&gt;&lt;year&gt;2019&lt;/year&gt;&lt;/dates&gt;&lt;pub-location&gt;Sydney&lt;/pub-location&gt;&lt;publisher&gt;NAPWHA&lt;/publisher&gt;&lt;urls&gt;&lt;related-urls&gt;&lt;url&gt;https://napwha.org.au/wp-content/uploads/2019/04/HIV-and-Ageing-in-Australia-New-Frontier-April19.pdf&lt;/url&gt;&lt;/related-urls&gt;&lt;/urls&gt;&lt;access-date&gt;11 August 2021&lt;/access-date&gt;&lt;/record&gt;&lt;/Cite&gt;&lt;/EndNote&gt;</w:instrText>
      </w:r>
      <w:r w:rsidR="001F3116">
        <w:fldChar w:fldCharType="separate"/>
      </w:r>
      <w:r w:rsidR="00FC11B4" w:rsidRPr="00FC11B4">
        <w:rPr>
          <w:noProof/>
          <w:vertAlign w:val="superscript"/>
        </w:rPr>
        <w:t>4,11</w:t>
      </w:r>
      <w:r w:rsidR="001F3116">
        <w:fldChar w:fldCharType="end"/>
      </w:r>
      <w:r w:rsidR="00442674">
        <w:t xml:space="preserve"> </w:t>
      </w:r>
      <w:r w:rsidR="00B448A7">
        <w:t>T</w:t>
      </w:r>
      <w:r w:rsidR="00806A28">
        <w:t xml:space="preserve">he mean age of </w:t>
      </w:r>
      <w:r w:rsidR="00B448A7">
        <w:t xml:space="preserve">MedicineInsight </w:t>
      </w:r>
      <w:r w:rsidR="00806A28">
        <w:t xml:space="preserve">patients </w:t>
      </w:r>
      <w:r w:rsidR="00B448A7">
        <w:t xml:space="preserve">was 49.1 years (95% CI 42.3 to 51.9) in </w:t>
      </w:r>
      <w:r w:rsidR="00C15DA8">
        <w:t xml:space="preserve">study period 1 and </w:t>
      </w:r>
      <w:r w:rsidR="00A26E27">
        <w:t>51.1</w:t>
      </w:r>
      <w:r w:rsidR="003F1C96">
        <w:t xml:space="preserve"> year</w:t>
      </w:r>
      <w:r w:rsidR="006B1732">
        <w:t>s</w:t>
      </w:r>
      <w:r w:rsidR="003F1C96">
        <w:t xml:space="preserve"> (</w:t>
      </w:r>
      <w:r w:rsidR="006B1732">
        <w:t xml:space="preserve">95% CI </w:t>
      </w:r>
      <w:r w:rsidR="00A26E27">
        <w:t>48.4</w:t>
      </w:r>
      <w:r w:rsidR="006B1732">
        <w:t xml:space="preserve"> to </w:t>
      </w:r>
      <w:r w:rsidR="00A26E27">
        <w:t>53.9</w:t>
      </w:r>
      <w:r w:rsidR="006B1732">
        <w:t>)</w:t>
      </w:r>
      <w:r w:rsidR="00C15DA8">
        <w:t xml:space="preserve"> in study period 2</w:t>
      </w:r>
      <w:r w:rsidR="006B1732">
        <w:t>.</w:t>
      </w:r>
      <w:r w:rsidR="00547918">
        <w:t xml:space="preserve"> </w:t>
      </w:r>
      <w:r w:rsidR="00F9644B">
        <w:t xml:space="preserve">Among patients who </w:t>
      </w:r>
      <w:r w:rsidR="0026702F">
        <w:t xml:space="preserve">had their Indigenous status recorded in the CIS, </w:t>
      </w:r>
      <w:r w:rsidR="32C07473">
        <w:t>2</w:t>
      </w:r>
      <w:r w:rsidR="23C96EEE">
        <w:t>.8</w:t>
      </w:r>
      <w:r w:rsidR="32C07473">
        <w:t>%</w:t>
      </w:r>
      <w:r w:rsidR="73B0F53E">
        <w:t xml:space="preserve"> identified as</w:t>
      </w:r>
      <w:r w:rsidR="3DA96E68">
        <w:t xml:space="preserve"> </w:t>
      </w:r>
      <w:r w:rsidR="4E474E83">
        <w:t xml:space="preserve">an </w:t>
      </w:r>
      <w:r w:rsidR="759D23B8">
        <w:t xml:space="preserve">Aboriginal </w:t>
      </w:r>
      <w:r w:rsidR="26EAEAAA">
        <w:t>or</w:t>
      </w:r>
      <w:r w:rsidR="759D23B8">
        <w:t xml:space="preserve"> Torres Strait Islander</w:t>
      </w:r>
      <w:r w:rsidR="3D67DFE9">
        <w:t>.</w:t>
      </w:r>
      <w:r w:rsidR="759D23B8">
        <w:t xml:space="preserve"> </w:t>
      </w:r>
    </w:p>
    <w:p w14:paraId="6ECE1B7C" w14:textId="142FEB40" w:rsidR="00422364" w:rsidRPr="00806A28" w:rsidRDefault="00422364" w:rsidP="00806A28">
      <w:r>
        <w:lastRenderedPageBreak/>
        <w:t xml:space="preserve">Most </w:t>
      </w:r>
      <w:r w:rsidR="004B16D1">
        <w:t xml:space="preserve">patients received care from practices with </w:t>
      </w:r>
      <w:r w:rsidR="00165332">
        <w:t xml:space="preserve">more than 100 patients </w:t>
      </w:r>
      <w:r w:rsidR="0091780E">
        <w:t>diagnosed with HIV (high caseload practices).</w:t>
      </w:r>
    </w:p>
    <w:p w14:paraId="042313E6" w14:textId="1ECF9FC4" w:rsidR="00683F3B" w:rsidRDefault="00683F3B" w:rsidP="00C13854">
      <w:pPr>
        <w:pStyle w:val="Tabletitle"/>
      </w:pPr>
      <w:r>
        <w:t xml:space="preserve">Table </w:t>
      </w:r>
      <w:r w:rsidR="00656CF9">
        <w:t>3</w:t>
      </w:r>
      <w:r w:rsidR="00C13854">
        <w:t xml:space="preserve">: </w:t>
      </w:r>
      <w:r w:rsidR="00A12092" w:rsidRPr="00A12092">
        <w:t xml:space="preserve">Sociodemographic characteristics of patients </w:t>
      </w:r>
      <w:r w:rsidR="009B7300" w:rsidRPr="009B7300">
        <w:t xml:space="preserve">with diagnosed HIV </w:t>
      </w:r>
      <w:r w:rsidR="00A12092" w:rsidRPr="00A12092">
        <w:t>prescribed at least 1 HIV medicine between 1 January 2018 and 31 December 2019 and in 2020</w:t>
      </w:r>
    </w:p>
    <w:tbl>
      <w:tblPr>
        <w:tblStyle w:val="TableGrid"/>
        <w:tblW w:w="5000" w:type="pct"/>
        <w:tblLook w:val="04A0" w:firstRow="1" w:lastRow="0" w:firstColumn="1" w:lastColumn="0" w:noHBand="0" w:noVBand="1"/>
      </w:tblPr>
      <w:tblGrid>
        <w:gridCol w:w="2067"/>
        <w:gridCol w:w="1263"/>
        <w:gridCol w:w="2176"/>
        <w:gridCol w:w="1720"/>
        <w:gridCol w:w="1721"/>
      </w:tblGrid>
      <w:tr w:rsidR="007B2865" w:rsidRPr="001D0858" w14:paraId="18B35BB8" w14:textId="77777777" w:rsidTr="007B2865">
        <w:trPr>
          <w:trHeight w:val="20"/>
          <w:tblHeader/>
        </w:trPr>
        <w:tc>
          <w:tcPr>
            <w:tcW w:w="1155" w:type="pct"/>
            <w:shd w:val="clear" w:color="auto" w:fill="BFBFBF" w:themeFill="background1" w:themeFillShade="BF"/>
          </w:tcPr>
          <w:p w14:paraId="225733DD" w14:textId="77777777" w:rsidR="007B2865" w:rsidRDefault="007B2865" w:rsidP="00E7285B">
            <w:pPr>
              <w:pStyle w:val="Tableheading"/>
              <w:rPr>
                <w:sz w:val="20"/>
                <w:szCs w:val="20"/>
              </w:rPr>
            </w:pPr>
          </w:p>
        </w:tc>
        <w:tc>
          <w:tcPr>
            <w:tcW w:w="1922" w:type="pct"/>
            <w:gridSpan w:val="2"/>
            <w:shd w:val="clear" w:color="auto" w:fill="BFBFBF" w:themeFill="background1" w:themeFillShade="BF"/>
          </w:tcPr>
          <w:p w14:paraId="3011F30D" w14:textId="558E75D5" w:rsidR="007B2865" w:rsidRDefault="007B2865" w:rsidP="00E7285B">
            <w:pPr>
              <w:pStyle w:val="Tableheading"/>
              <w:rPr>
                <w:sz w:val="20"/>
                <w:szCs w:val="20"/>
              </w:rPr>
            </w:pPr>
            <w:r w:rsidRPr="00E7285B">
              <w:rPr>
                <w:sz w:val="20"/>
                <w:szCs w:val="20"/>
              </w:rPr>
              <w:t>2018</w:t>
            </w:r>
            <w:r>
              <w:rPr>
                <w:sz w:val="20"/>
                <w:szCs w:val="20"/>
              </w:rPr>
              <w:t xml:space="preserve"> and 2019</w:t>
            </w:r>
            <w:r w:rsidRPr="00E7285B">
              <w:rPr>
                <w:sz w:val="20"/>
                <w:szCs w:val="20"/>
              </w:rPr>
              <w:t xml:space="preserve"> population </w:t>
            </w:r>
          </w:p>
        </w:tc>
        <w:tc>
          <w:tcPr>
            <w:tcW w:w="1923" w:type="pct"/>
            <w:gridSpan w:val="2"/>
            <w:shd w:val="clear" w:color="auto" w:fill="BFBFBF" w:themeFill="background1" w:themeFillShade="BF"/>
          </w:tcPr>
          <w:p w14:paraId="6AC849D2" w14:textId="203C880B" w:rsidR="007B2865" w:rsidRDefault="007B2865" w:rsidP="00E7285B">
            <w:pPr>
              <w:pStyle w:val="Tableheading"/>
              <w:rPr>
                <w:sz w:val="20"/>
                <w:szCs w:val="20"/>
              </w:rPr>
            </w:pPr>
            <w:r w:rsidRPr="00E7285B">
              <w:rPr>
                <w:sz w:val="20"/>
                <w:szCs w:val="20"/>
              </w:rPr>
              <w:t xml:space="preserve">2020 population </w:t>
            </w:r>
          </w:p>
        </w:tc>
      </w:tr>
      <w:tr w:rsidR="007B2865" w:rsidRPr="001D0858" w14:paraId="3E721020" w14:textId="25B19805" w:rsidTr="007B2865">
        <w:trPr>
          <w:trHeight w:val="20"/>
          <w:tblHeader/>
        </w:trPr>
        <w:tc>
          <w:tcPr>
            <w:tcW w:w="1155" w:type="pct"/>
            <w:shd w:val="clear" w:color="auto" w:fill="BFBFBF" w:themeFill="background1" w:themeFillShade="BF"/>
          </w:tcPr>
          <w:p w14:paraId="7D942681" w14:textId="77777777" w:rsidR="007B2865" w:rsidRDefault="007B2865" w:rsidP="008C1377">
            <w:pPr>
              <w:pStyle w:val="Tableheading"/>
              <w:rPr>
                <w:sz w:val="20"/>
                <w:szCs w:val="20"/>
              </w:rPr>
            </w:pPr>
          </w:p>
        </w:tc>
        <w:tc>
          <w:tcPr>
            <w:tcW w:w="706" w:type="pct"/>
            <w:shd w:val="clear" w:color="auto" w:fill="BFBFBF" w:themeFill="background1" w:themeFillShade="BF"/>
          </w:tcPr>
          <w:p w14:paraId="379625B0" w14:textId="7D2ABA01" w:rsidR="007B2865" w:rsidRPr="001D0858" w:rsidRDefault="007B2865" w:rsidP="008C1377">
            <w:pPr>
              <w:pStyle w:val="Tableheading"/>
              <w:rPr>
                <w:sz w:val="20"/>
                <w:szCs w:val="20"/>
              </w:rPr>
            </w:pPr>
            <w:r>
              <w:rPr>
                <w:sz w:val="20"/>
                <w:szCs w:val="20"/>
              </w:rPr>
              <w:t>Number</w:t>
            </w:r>
          </w:p>
        </w:tc>
        <w:tc>
          <w:tcPr>
            <w:tcW w:w="1216" w:type="pct"/>
            <w:shd w:val="clear" w:color="auto" w:fill="BFBFBF" w:themeFill="background1" w:themeFillShade="BF"/>
          </w:tcPr>
          <w:p w14:paraId="64EEDC22" w14:textId="33B1D6F3" w:rsidR="007B2865" w:rsidRPr="001D0858" w:rsidRDefault="007B2865" w:rsidP="008C1377">
            <w:pPr>
              <w:pStyle w:val="Tableheading"/>
              <w:rPr>
                <w:sz w:val="20"/>
                <w:szCs w:val="20"/>
              </w:rPr>
            </w:pPr>
            <w:r>
              <w:rPr>
                <w:sz w:val="20"/>
                <w:szCs w:val="20"/>
              </w:rPr>
              <w:t>% (95% CI)</w:t>
            </w:r>
          </w:p>
        </w:tc>
        <w:tc>
          <w:tcPr>
            <w:tcW w:w="961" w:type="pct"/>
            <w:shd w:val="clear" w:color="auto" w:fill="BFBFBF" w:themeFill="background1" w:themeFillShade="BF"/>
          </w:tcPr>
          <w:p w14:paraId="3A7FFDD0" w14:textId="6DEDAC27" w:rsidR="007B2865" w:rsidRPr="001D0858" w:rsidRDefault="007B2865" w:rsidP="008C1377">
            <w:pPr>
              <w:pStyle w:val="Tableheading"/>
              <w:rPr>
                <w:sz w:val="20"/>
                <w:szCs w:val="20"/>
              </w:rPr>
            </w:pPr>
            <w:r>
              <w:rPr>
                <w:sz w:val="20"/>
                <w:szCs w:val="20"/>
              </w:rPr>
              <w:t>Number</w:t>
            </w:r>
          </w:p>
        </w:tc>
        <w:tc>
          <w:tcPr>
            <w:tcW w:w="962" w:type="pct"/>
            <w:shd w:val="clear" w:color="auto" w:fill="BFBFBF" w:themeFill="background1" w:themeFillShade="BF"/>
          </w:tcPr>
          <w:p w14:paraId="2EE5BC35" w14:textId="1D8E5548" w:rsidR="007B2865" w:rsidRPr="001D0858" w:rsidRDefault="007B2865" w:rsidP="008C1377">
            <w:pPr>
              <w:pStyle w:val="Tableheading"/>
              <w:rPr>
                <w:sz w:val="20"/>
                <w:szCs w:val="20"/>
              </w:rPr>
            </w:pPr>
            <w:r>
              <w:rPr>
                <w:sz w:val="20"/>
                <w:szCs w:val="20"/>
              </w:rPr>
              <w:t>% (95% CI)</w:t>
            </w:r>
          </w:p>
        </w:tc>
      </w:tr>
      <w:tr w:rsidR="007B2865" w:rsidRPr="001D0858" w14:paraId="0CE00F53" w14:textId="11C48201" w:rsidTr="007B2865">
        <w:trPr>
          <w:trHeight w:val="20"/>
        </w:trPr>
        <w:tc>
          <w:tcPr>
            <w:tcW w:w="1155" w:type="pct"/>
          </w:tcPr>
          <w:p w14:paraId="38E1716B" w14:textId="02FE39EA" w:rsidR="007B2865" w:rsidRPr="00C11A25" w:rsidRDefault="007B2865" w:rsidP="001F3116">
            <w:pPr>
              <w:pStyle w:val="Tableheading"/>
              <w:rPr>
                <w:rFonts w:cstheme="minorHAnsi"/>
                <w:sz w:val="20"/>
                <w:szCs w:val="20"/>
              </w:rPr>
            </w:pPr>
            <w:r>
              <w:rPr>
                <w:rFonts w:cstheme="minorHAnsi"/>
                <w:sz w:val="20"/>
                <w:szCs w:val="20"/>
              </w:rPr>
              <w:t>Total</w:t>
            </w:r>
          </w:p>
        </w:tc>
        <w:tc>
          <w:tcPr>
            <w:tcW w:w="706" w:type="pct"/>
          </w:tcPr>
          <w:p w14:paraId="3BC8EEE3" w14:textId="13C4055F" w:rsidR="007B2865" w:rsidRPr="000F2789" w:rsidRDefault="002F1263" w:rsidP="001F3116">
            <w:pPr>
              <w:pStyle w:val="Tableheading"/>
              <w:rPr>
                <w:rFonts w:cstheme="minorHAnsi"/>
                <w:b w:val="0"/>
                <w:sz w:val="20"/>
                <w:szCs w:val="20"/>
              </w:rPr>
            </w:pPr>
            <w:r>
              <w:rPr>
                <w:rFonts w:cstheme="minorHAnsi"/>
                <w:b w:val="0"/>
                <w:sz w:val="20"/>
                <w:szCs w:val="20"/>
              </w:rPr>
              <w:t>1518</w:t>
            </w:r>
          </w:p>
        </w:tc>
        <w:tc>
          <w:tcPr>
            <w:tcW w:w="1216" w:type="pct"/>
          </w:tcPr>
          <w:p w14:paraId="495593FA" w14:textId="09D0408F" w:rsidR="007B2865" w:rsidRPr="000F2789" w:rsidRDefault="002F1263" w:rsidP="001F3116">
            <w:pPr>
              <w:pStyle w:val="Tableheading"/>
              <w:rPr>
                <w:rFonts w:cstheme="minorHAnsi"/>
                <w:b w:val="0"/>
                <w:sz w:val="20"/>
                <w:szCs w:val="20"/>
              </w:rPr>
            </w:pPr>
            <w:r>
              <w:rPr>
                <w:rFonts w:cstheme="minorHAnsi"/>
                <w:b w:val="0"/>
                <w:sz w:val="20"/>
                <w:szCs w:val="20"/>
              </w:rPr>
              <w:t>100</w:t>
            </w:r>
          </w:p>
        </w:tc>
        <w:tc>
          <w:tcPr>
            <w:tcW w:w="961" w:type="pct"/>
          </w:tcPr>
          <w:p w14:paraId="731AA7EC" w14:textId="07286FCD" w:rsidR="007B2865" w:rsidRPr="000F2789" w:rsidRDefault="00FD2347" w:rsidP="001F3116">
            <w:pPr>
              <w:pStyle w:val="Tableheading"/>
              <w:rPr>
                <w:rFonts w:cstheme="minorHAnsi"/>
                <w:b w:val="0"/>
                <w:sz w:val="20"/>
                <w:szCs w:val="20"/>
              </w:rPr>
            </w:pPr>
            <w:r>
              <w:rPr>
                <w:rFonts w:cstheme="minorHAnsi"/>
                <w:b w:val="0"/>
                <w:sz w:val="20"/>
                <w:szCs w:val="20"/>
              </w:rPr>
              <w:t>1391</w:t>
            </w:r>
          </w:p>
        </w:tc>
        <w:tc>
          <w:tcPr>
            <w:tcW w:w="962" w:type="pct"/>
          </w:tcPr>
          <w:p w14:paraId="4DBAA887" w14:textId="157127B5" w:rsidR="007B2865" w:rsidRPr="000F2789" w:rsidRDefault="00FD2347" w:rsidP="001F3116">
            <w:pPr>
              <w:pStyle w:val="Tableheading"/>
              <w:rPr>
                <w:rFonts w:cstheme="minorHAnsi"/>
                <w:b w:val="0"/>
                <w:sz w:val="20"/>
                <w:szCs w:val="20"/>
              </w:rPr>
            </w:pPr>
            <w:r>
              <w:rPr>
                <w:rFonts w:cstheme="minorHAnsi"/>
                <w:b w:val="0"/>
                <w:sz w:val="20"/>
                <w:szCs w:val="20"/>
              </w:rPr>
              <w:t>100</w:t>
            </w:r>
          </w:p>
        </w:tc>
      </w:tr>
      <w:tr w:rsidR="007B2865" w:rsidRPr="001D0858" w14:paraId="5CDBBB6B" w14:textId="50B97495" w:rsidTr="007B2865">
        <w:trPr>
          <w:trHeight w:val="20"/>
        </w:trPr>
        <w:tc>
          <w:tcPr>
            <w:tcW w:w="5000" w:type="pct"/>
            <w:gridSpan w:val="5"/>
            <w:shd w:val="clear" w:color="auto" w:fill="D9D9D9" w:themeFill="background1" w:themeFillShade="D9"/>
          </w:tcPr>
          <w:p w14:paraId="5FB1F7DD" w14:textId="77777777" w:rsidR="007B2865" w:rsidRPr="00BA22A5" w:rsidRDefault="007B2865" w:rsidP="001F3116">
            <w:pPr>
              <w:pStyle w:val="Tableheading"/>
              <w:rPr>
                <w:rFonts w:cstheme="minorHAnsi"/>
                <w:bCs/>
                <w:sz w:val="20"/>
                <w:szCs w:val="20"/>
              </w:rPr>
            </w:pPr>
            <w:r w:rsidRPr="00BA22A5">
              <w:rPr>
                <w:rFonts w:cstheme="minorHAnsi"/>
                <w:bCs/>
                <w:sz w:val="20"/>
                <w:szCs w:val="20"/>
              </w:rPr>
              <w:t>Sex</w:t>
            </w:r>
          </w:p>
        </w:tc>
      </w:tr>
      <w:tr w:rsidR="00FD2347" w:rsidRPr="001D0858" w14:paraId="7BEB4EB1" w14:textId="0D97A754" w:rsidTr="007B2865">
        <w:trPr>
          <w:trHeight w:val="20"/>
        </w:trPr>
        <w:tc>
          <w:tcPr>
            <w:tcW w:w="1155" w:type="pct"/>
          </w:tcPr>
          <w:p w14:paraId="74B1E796" w14:textId="7CD7C999" w:rsidR="00FD2347" w:rsidRPr="00C11A25" w:rsidRDefault="00FD2347" w:rsidP="00FD2347">
            <w:pPr>
              <w:pStyle w:val="Tableheading"/>
              <w:rPr>
                <w:rFonts w:cstheme="minorHAnsi"/>
                <w:sz w:val="20"/>
                <w:szCs w:val="20"/>
              </w:rPr>
            </w:pPr>
            <w:r>
              <w:rPr>
                <w:rFonts w:cstheme="minorHAnsi"/>
                <w:sz w:val="20"/>
                <w:szCs w:val="20"/>
              </w:rPr>
              <w:t>Male</w:t>
            </w:r>
          </w:p>
        </w:tc>
        <w:tc>
          <w:tcPr>
            <w:tcW w:w="706" w:type="pct"/>
          </w:tcPr>
          <w:p w14:paraId="680E5F06" w14:textId="787FBC90" w:rsidR="00FD2347" w:rsidRPr="000F2789" w:rsidRDefault="00FD2347" w:rsidP="00FD2347">
            <w:pPr>
              <w:pStyle w:val="Tableheading"/>
              <w:rPr>
                <w:rFonts w:cstheme="minorHAnsi"/>
                <w:b w:val="0"/>
                <w:sz w:val="20"/>
                <w:szCs w:val="20"/>
              </w:rPr>
            </w:pPr>
            <w:r w:rsidRPr="00112857">
              <w:rPr>
                <w:rFonts w:cstheme="minorHAnsi"/>
                <w:b w:val="0"/>
                <w:sz w:val="20"/>
                <w:szCs w:val="20"/>
              </w:rPr>
              <w:t>1448</w:t>
            </w:r>
          </w:p>
        </w:tc>
        <w:tc>
          <w:tcPr>
            <w:tcW w:w="1216" w:type="pct"/>
          </w:tcPr>
          <w:p w14:paraId="2D8FBF1B" w14:textId="6D2EDDB1" w:rsidR="00FD2347" w:rsidRPr="000F2789" w:rsidRDefault="00FD2347" w:rsidP="00FD2347">
            <w:pPr>
              <w:pStyle w:val="Tableheading"/>
              <w:rPr>
                <w:rFonts w:cstheme="minorHAnsi"/>
                <w:b w:val="0"/>
                <w:sz w:val="20"/>
                <w:szCs w:val="20"/>
              </w:rPr>
            </w:pPr>
            <w:r w:rsidRPr="00223E42">
              <w:rPr>
                <w:rFonts w:cstheme="minorHAnsi"/>
                <w:b w:val="0"/>
                <w:sz w:val="20"/>
                <w:szCs w:val="20"/>
              </w:rPr>
              <w:t>95.4 (91.7, 99.1)</w:t>
            </w:r>
          </w:p>
        </w:tc>
        <w:tc>
          <w:tcPr>
            <w:tcW w:w="961" w:type="pct"/>
          </w:tcPr>
          <w:p w14:paraId="7EA339CF" w14:textId="7B580964" w:rsidR="00FD2347" w:rsidRPr="000F2789" w:rsidRDefault="00FD2347" w:rsidP="00FD2347">
            <w:pPr>
              <w:pStyle w:val="Tableheading"/>
              <w:rPr>
                <w:rFonts w:cstheme="minorHAnsi"/>
                <w:b w:val="0"/>
                <w:sz w:val="20"/>
                <w:szCs w:val="20"/>
              </w:rPr>
            </w:pPr>
            <w:r w:rsidRPr="00F52DBB">
              <w:rPr>
                <w:rFonts w:cstheme="minorHAnsi"/>
                <w:b w:val="0"/>
                <w:sz w:val="20"/>
                <w:szCs w:val="20"/>
              </w:rPr>
              <w:t>1342</w:t>
            </w:r>
          </w:p>
        </w:tc>
        <w:tc>
          <w:tcPr>
            <w:tcW w:w="962" w:type="pct"/>
          </w:tcPr>
          <w:p w14:paraId="780F3EDB" w14:textId="7A1ADEBA" w:rsidR="00FD2347" w:rsidRPr="000F2789" w:rsidRDefault="00FD2347" w:rsidP="00FD2347">
            <w:pPr>
              <w:pStyle w:val="Tableheading"/>
              <w:rPr>
                <w:rFonts w:cstheme="minorHAnsi"/>
                <w:b w:val="0"/>
                <w:sz w:val="20"/>
                <w:szCs w:val="20"/>
              </w:rPr>
            </w:pPr>
            <w:r w:rsidRPr="00114B9B">
              <w:rPr>
                <w:rFonts w:cstheme="minorHAnsi"/>
                <w:b w:val="0"/>
                <w:sz w:val="20"/>
                <w:szCs w:val="20"/>
              </w:rPr>
              <w:t>96.5 (94.3, 98.7)</w:t>
            </w:r>
          </w:p>
        </w:tc>
      </w:tr>
      <w:tr w:rsidR="00FD2347" w:rsidRPr="001D0858" w14:paraId="1C32DA66" w14:textId="569499E8" w:rsidTr="007B2865">
        <w:trPr>
          <w:trHeight w:val="20"/>
        </w:trPr>
        <w:tc>
          <w:tcPr>
            <w:tcW w:w="1155" w:type="pct"/>
          </w:tcPr>
          <w:p w14:paraId="0D36D550" w14:textId="61CAE86D" w:rsidR="00FD2347" w:rsidRPr="00C11A25" w:rsidRDefault="00FD2347" w:rsidP="00FD2347">
            <w:pPr>
              <w:pStyle w:val="Tableheading"/>
              <w:rPr>
                <w:rFonts w:cstheme="minorHAnsi"/>
                <w:sz w:val="20"/>
                <w:szCs w:val="20"/>
              </w:rPr>
            </w:pPr>
            <w:r>
              <w:rPr>
                <w:rFonts w:cstheme="minorHAnsi"/>
                <w:sz w:val="20"/>
                <w:szCs w:val="20"/>
              </w:rPr>
              <w:t>Female</w:t>
            </w:r>
          </w:p>
        </w:tc>
        <w:tc>
          <w:tcPr>
            <w:tcW w:w="706" w:type="pct"/>
          </w:tcPr>
          <w:p w14:paraId="0BA21F07" w14:textId="5771E9CE" w:rsidR="00FD2347" w:rsidRPr="000F2789" w:rsidRDefault="00FD2347" w:rsidP="00FD2347">
            <w:pPr>
              <w:pStyle w:val="Tableheading"/>
              <w:rPr>
                <w:rFonts w:cstheme="minorHAnsi"/>
                <w:b w:val="0"/>
                <w:sz w:val="20"/>
                <w:szCs w:val="20"/>
              </w:rPr>
            </w:pPr>
            <w:r w:rsidRPr="00112857">
              <w:rPr>
                <w:rFonts w:cstheme="minorHAnsi"/>
                <w:b w:val="0"/>
                <w:sz w:val="20"/>
                <w:szCs w:val="20"/>
              </w:rPr>
              <w:t>70</w:t>
            </w:r>
          </w:p>
        </w:tc>
        <w:tc>
          <w:tcPr>
            <w:tcW w:w="1216" w:type="pct"/>
          </w:tcPr>
          <w:p w14:paraId="707FA88B" w14:textId="39FBD37A" w:rsidR="00FD2347" w:rsidRPr="000F2789" w:rsidRDefault="00FD2347" w:rsidP="00FD2347">
            <w:pPr>
              <w:pStyle w:val="Tableheading"/>
              <w:rPr>
                <w:rFonts w:cstheme="minorHAnsi"/>
                <w:b w:val="0"/>
                <w:sz w:val="20"/>
                <w:szCs w:val="20"/>
              </w:rPr>
            </w:pPr>
            <w:r w:rsidRPr="00223E42">
              <w:rPr>
                <w:rFonts w:cstheme="minorHAnsi"/>
                <w:b w:val="0"/>
                <w:sz w:val="20"/>
                <w:szCs w:val="20"/>
              </w:rPr>
              <w:t>4.6 (0.9, 8.3)</w:t>
            </w:r>
          </w:p>
        </w:tc>
        <w:tc>
          <w:tcPr>
            <w:tcW w:w="961" w:type="pct"/>
          </w:tcPr>
          <w:p w14:paraId="6C71C7CB" w14:textId="7B6D4593" w:rsidR="00FD2347" w:rsidRPr="000F2789" w:rsidRDefault="00FD2347" w:rsidP="00FD2347">
            <w:pPr>
              <w:pStyle w:val="Tableheading"/>
              <w:rPr>
                <w:rFonts w:cstheme="minorHAnsi"/>
                <w:b w:val="0"/>
                <w:sz w:val="20"/>
                <w:szCs w:val="20"/>
              </w:rPr>
            </w:pPr>
            <w:r w:rsidRPr="00F52DBB">
              <w:rPr>
                <w:rFonts w:cstheme="minorHAnsi"/>
                <w:b w:val="0"/>
                <w:sz w:val="20"/>
                <w:szCs w:val="20"/>
              </w:rPr>
              <w:t>49</w:t>
            </w:r>
          </w:p>
        </w:tc>
        <w:tc>
          <w:tcPr>
            <w:tcW w:w="962" w:type="pct"/>
          </w:tcPr>
          <w:p w14:paraId="04FA9500" w14:textId="73DF882B" w:rsidR="00FD2347" w:rsidRPr="000F2789" w:rsidRDefault="00FD2347" w:rsidP="00FD2347">
            <w:pPr>
              <w:pStyle w:val="Tableheading"/>
              <w:rPr>
                <w:rFonts w:cstheme="minorHAnsi"/>
                <w:b w:val="0"/>
                <w:sz w:val="20"/>
                <w:szCs w:val="20"/>
              </w:rPr>
            </w:pPr>
            <w:r w:rsidRPr="00114B9B">
              <w:rPr>
                <w:rFonts w:cstheme="minorHAnsi"/>
                <w:b w:val="0"/>
                <w:sz w:val="20"/>
                <w:szCs w:val="20"/>
              </w:rPr>
              <w:t>3.5 (1.3, 5.7)</w:t>
            </w:r>
          </w:p>
        </w:tc>
      </w:tr>
      <w:tr w:rsidR="007B2865" w:rsidRPr="001D0858" w14:paraId="43A5AA1D" w14:textId="77777777" w:rsidTr="007B2865">
        <w:trPr>
          <w:trHeight w:val="20"/>
        </w:trPr>
        <w:tc>
          <w:tcPr>
            <w:tcW w:w="5000" w:type="pct"/>
            <w:gridSpan w:val="5"/>
            <w:shd w:val="clear" w:color="auto" w:fill="D9D9D9" w:themeFill="background1" w:themeFillShade="D9"/>
          </w:tcPr>
          <w:p w14:paraId="3A4A70A9" w14:textId="77777777" w:rsidR="007B2865" w:rsidRPr="00BA22A5" w:rsidRDefault="007B2865" w:rsidP="001F3116">
            <w:pPr>
              <w:pStyle w:val="Tableheading"/>
              <w:rPr>
                <w:rFonts w:cstheme="minorHAnsi"/>
                <w:bCs/>
                <w:sz w:val="20"/>
                <w:szCs w:val="20"/>
              </w:rPr>
            </w:pPr>
            <w:r w:rsidRPr="00BA22A5">
              <w:rPr>
                <w:rFonts w:cstheme="minorHAnsi"/>
                <w:bCs/>
                <w:sz w:val="20"/>
                <w:szCs w:val="20"/>
              </w:rPr>
              <w:t>Age group</w:t>
            </w:r>
          </w:p>
        </w:tc>
      </w:tr>
      <w:tr w:rsidR="00FD2347" w:rsidRPr="001D0858" w14:paraId="2FF43FC2" w14:textId="77777777" w:rsidTr="007B2865">
        <w:trPr>
          <w:trHeight w:val="20"/>
        </w:trPr>
        <w:tc>
          <w:tcPr>
            <w:tcW w:w="1155" w:type="pct"/>
          </w:tcPr>
          <w:p w14:paraId="2BBF7B08" w14:textId="7D4A845B" w:rsidR="00FD2347" w:rsidRPr="00C11A25" w:rsidRDefault="00FD2347" w:rsidP="00FD2347">
            <w:pPr>
              <w:pStyle w:val="Tableheading"/>
              <w:rPr>
                <w:rFonts w:cstheme="minorHAnsi"/>
                <w:sz w:val="20"/>
                <w:szCs w:val="20"/>
              </w:rPr>
            </w:pPr>
            <w:r>
              <w:rPr>
                <w:rFonts w:cstheme="minorHAnsi"/>
                <w:sz w:val="20"/>
                <w:szCs w:val="20"/>
              </w:rPr>
              <w:t>18–29</w:t>
            </w:r>
          </w:p>
        </w:tc>
        <w:tc>
          <w:tcPr>
            <w:tcW w:w="706" w:type="pct"/>
          </w:tcPr>
          <w:p w14:paraId="6BDFBE71" w14:textId="7C25AA2D" w:rsidR="00FD2347" w:rsidRPr="000F2789" w:rsidRDefault="00FD2347" w:rsidP="00FD2347">
            <w:pPr>
              <w:pStyle w:val="Tableheading"/>
              <w:rPr>
                <w:rFonts w:cstheme="minorHAnsi"/>
                <w:b w:val="0"/>
                <w:sz w:val="20"/>
                <w:szCs w:val="20"/>
              </w:rPr>
            </w:pPr>
            <w:r w:rsidRPr="00112857">
              <w:rPr>
                <w:rFonts w:cstheme="minorHAnsi"/>
                <w:b w:val="0"/>
                <w:sz w:val="20"/>
                <w:szCs w:val="20"/>
              </w:rPr>
              <w:t>74</w:t>
            </w:r>
          </w:p>
        </w:tc>
        <w:tc>
          <w:tcPr>
            <w:tcW w:w="1216" w:type="pct"/>
          </w:tcPr>
          <w:p w14:paraId="0199DB68" w14:textId="5BC3EF57" w:rsidR="00FD2347" w:rsidRPr="000F2789" w:rsidRDefault="00FD2347" w:rsidP="00FD2347">
            <w:pPr>
              <w:pStyle w:val="Tableheading"/>
              <w:rPr>
                <w:rFonts w:cstheme="minorHAnsi"/>
                <w:b w:val="0"/>
                <w:sz w:val="20"/>
                <w:szCs w:val="20"/>
              </w:rPr>
            </w:pPr>
            <w:r w:rsidRPr="00223E42">
              <w:rPr>
                <w:rFonts w:cstheme="minorHAnsi"/>
                <w:b w:val="0"/>
                <w:sz w:val="20"/>
                <w:szCs w:val="20"/>
              </w:rPr>
              <w:t>4.9 (2.2, 7.5)</w:t>
            </w:r>
          </w:p>
        </w:tc>
        <w:tc>
          <w:tcPr>
            <w:tcW w:w="961" w:type="pct"/>
          </w:tcPr>
          <w:p w14:paraId="0682DD0E" w14:textId="3691698E" w:rsidR="00FD2347" w:rsidRPr="000F2789" w:rsidRDefault="00FD2347" w:rsidP="00FD2347">
            <w:pPr>
              <w:pStyle w:val="Tableheading"/>
              <w:rPr>
                <w:rFonts w:cstheme="minorHAnsi"/>
                <w:b w:val="0"/>
                <w:sz w:val="20"/>
                <w:szCs w:val="20"/>
              </w:rPr>
            </w:pPr>
            <w:r w:rsidRPr="00F52DBB">
              <w:rPr>
                <w:rFonts w:cstheme="minorHAnsi"/>
                <w:b w:val="0"/>
                <w:sz w:val="20"/>
                <w:szCs w:val="20"/>
              </w:rPr>
              <w:t>45</w:t>
            </w:r>
          </w:p>
        </w:tc>
        <w:tc>
          <w:tcPr>
            <w:tcW w:w="962" w:type="pct"/>
          </w:tcPr>
          <w:p w14:paraId="6567255F" w14:textId="6FB1AF7D" w:rsidR="00FD2347" w:rsidRPr="000F2789" w:rsidRDefault="00FD2347" w:rsidP="00FD2347">
            <w:pPr>
              <w:pStyle w:val="Tableheading"/>
              <w:rPr>
                <w:rFonts w:cstheme="minorHAnsi"/>
                <w:b w:val="0"/>
                <w:sz w:val="20"/>
                <w:szCs w:val="20"/>
              </w:rPr>
            </w:pPr>
            <w:r w:rsidRPr="00114B9B">
              <w:rPr>
                <w:rFonts w:cstheme="minorHAnsi"/>
                <w:b w:val="0"/>
                <w:sz w:val="20"/>
                <w:szCs w:val="20"/>
              </w:rPr>
              <w:t>3.2 (1.2, 5.3)</w:t>
            </w:r>
          </w:p>
        </w:tc>
      </w:tr>
      <w:tr w:rsidR="00FD2347" w:rsidRPr="001D0858" w14:paraId="716A2714" w14:textId="77777777" w:rsidTr="007B2865">
        <w:trPr>
          <w:trHeight w:val="20"/>
        </w:trPr>
        <w:tc>
          <w:tcPr>
            <w:tcW w:w="1155" w:type="pct"/>
          </w:tcPr>
          <w:p w14:paraId="74E2DB65" w14:textId="2F97CBB4" w:rsidR="00FD2347" w:rsidRDefault="00FD2347" w:rsidP="00FD2347">
            <w:pPr>
              <w:pStyle w:val="Tableheading"/>
              <w:rPr>
                <w:rFonts w:cstheme="minorHAnsi"/>
                <w:sz w:val="20"/>
                <w:szCs w:val="20"/>
              </w:rPr>
            </w:pPr>
            <w:r>
              <w:rPr>
                <w:rFonts w:cstheme="minorHAnsi"/>
                <w:sz w:val="20"/>
                <w:szCs w:val="20"/>
              </w:rPr>
              <w:t>30–39</w:t>
            </w:r>
          </w:p>
        </w:tc>
        <w:tc>
          <w:tcPr>
            <w:tcW w:w="706" w:type="pct"/>
          </w:tcPr>
          <w:p w14:paraId="3E07A9E0" w14:textId="4BFE82F3" w:rsidR="00FD2347" w:rsidRPr="000F2789" w:rsidRDefault="00FD2347" w:rsidP="00FD2347">
            <w:pPr>
              <w:pStyle w:val="Tableheading"/>
              <w:rPr>
                <w:rFonts w:cstheme="minorHAnsi"/>
                <w:b w:val="0"/>
                <w:sz w:val="20"/>
                <w:szCs w:val="20"/>
              </w:rPr>
            </w:pPr>
            <w:r w:rsidRPr="00112857">
              <w:rPr>
                <w:rFonts w:cstheme="minorHAnsi"/>
                <w:b w:val="0"/>
                <w:sz w:val="20"/>
                <w:szCs w:val="20"/>
              </w:rPr>
              <w:t>250</w:t>
            </w:r>
          </w:p>
        </w:tc>
        <w:tc>
          <w:tcPr>
            <w:tcW w:w="1216" w:type="pct"/>
          </w:tcPr>
          <w:p w14:paraId="470CDDB3" w14:textId="06C1D312" w:rsidR="00FD2347" w:rsidRPr="000F2789" w:rsidRDefault="00FD2347" w:rsidP="00FD2347">
            <w:pPr>
              <w:pStyle w:val="Tableheading"/>
              <w:rPr>
                <w:rFonts w:cstheme="minorHAnsi"/>
                <w:b w:val="0"/>
                <w:sz w:val="20"/>
                <w:szCs w:val="20"/>
              </w:rPr>
            </w:pPr>
            <w:r w:rsidRPr="00223E42">
              <w:rPr>
                <w:rFonts w:cstheme="minorHAnsi"/>
                <w:b w:val="0"/>
                <w:sz w:val="20"/>
                <w:szCs w:val="20"/>
              </w:rPr>
              <w:t>16.5 (11.0, 21.9)</w:t>
            </w:r>
          </w:p>
        </w:tc>
        <w:tc>
          <w:tcPr>
            <w:tcW w:w="961" w:type="pct"/>
          </w:tcPr>
          <w:p w14:paraId="53A2085F" w14:textId="038B3798" w:rsidR="00FD2347" w:rsidRPr="000F2789" w:rsidRDefault="00FD2347" w:rsidP="00FD2347">
            <w:pPr>
              <w:pStyle w:val="Tableheading"/>
              <w:rPr>
                <w:rFonts w:cstheme="minorHAnsi"/>
                <w:b w:val="0"/>
                <w:sz w:val="20"/>
                <w:szCs w:val="20"/>
              </w:rPr>
            </w:pPr>
            <w:r w:rsidRPr="00F52DBB">
              <w:rPr>
                <w:rFonts w:cstheme="minorHAnsi"/>
                <w:b w:val="0"/>
                <w:sz w:val="20"/>
                <w:szCs w:val="20"/>
              </w:rPr>
              <w:t>193</w:t>
            </w:r>
          </w:p>
        </w:tc>
        <w:tc>
          <w:tcPr>
            <w:tcW w:w="962" w:type="pct"/>
          </w:tcPr>
          <w:p w14:paraId="0A281761" w14:textId="0EA636CA" w:rsidR="00FD2347" w:rsidRPr="000F2789" w:rsidRDefault="00FD2347" w:rsidP="00FD2347">
            <w:pPr>
              <w:pStyle w:val="Tableheading"/>
              <w:rPr>
                <w:rFonts w:cstheme="minorHAnsi"/>
                <w:b w:val="0"/>
                <w:sz w:val="20"/>
                <w:szCs w:val="20"/>
              </w:rPr>
            </w:pPr>
            <w:r w:rsidRPr="00114B9B">
              <w:rPr>
                <w:rFonts w:cstheme="minorHAnsi"/>
                <w:b w:val="0"/>
                <w:sz w:val="20"/>
                <w:szCs w:val="20"/>
              </w:rPr>
              <w:t>13.9 (7.7, 20.0)</w:t>
            </w:r>
          </w:p>
        </w:tc>
      </w:tr>
      <w:tr w:rsidR="00FD2347" w:rsidRPr="001D0858" w14:paraId="26AD2188" w14:textId="77777777" w:rsidTr="007B2865">
        <w:trPr>
          <w:trHeight w:val="20"/>
        </w:trPr>
        <w:tc>
          <w:tcPr>
            <w:tcW w:w="1155" w:type="pct"/>
          </w:tcPr>
          <w:p w14:paraId="22A3385E" w14:textId="07BFB709" w:rsidR="00FD2347" w:rsidRDefault="00FD2347" w:rsidP="00FD2347">
            <w:pPr>
              <w:pStyle w:val="Tableheading"/>
              <w:rPr>
                <w:rFonts w:cstheme="minorHAnsi"/>
                <w:sz w:val="20"/>
                <w:szCs w:val="20"/>
              </w:rPr>
            </w:pPr>
            <w:r>
              <w:rPr>
                <w:rFonts w:cstheme="minorHAnsi"/>
                <w:sz w:val="20"/>
                <w:szCs w:val="20"/>
              </w:rPr>
              <w:t>40–49</w:t>
            </w:r>
          </w:p>
        </w:tc>
        <w:tc>
          <w:tcPr>
            <w:tcW w:w="706" w:type="pct"/>
          </w:tcPr>
          <w:p w14:paraId="6AB6346E" w14:textId="7DF26ED4" w:rsidR="00FD2347" w:rsidRPr="000F2789" w:rsidRDefault="00FD2347" w:rsidP="00FD2347">
            <w:pPr>
              <w:pStyle w:val="Tableheading"/>
              <w:rPr>
                <w:rFonts w:cstheme="minorHAnsi"/>
                <w:b w:val="0"/>
                <w:sz w:val="20"/>
                <w:szCs w:val="20"/>
              </w:rPr>
            </w:pPr>
            <w:r w:rsidRPr="00112857">
              <w:rPr>
                <w:rFonts w:cstheme="minorHAnsi"/>
                <w:b w:val="0"/>
                <w:sz w:val="20"/>
                <w:szCs w:val="20"/>
              </w:rPr>
              <w:t>416</w:t>
            </w:r>
          </w:p>
        </w:tc>
        <w:tc>
          <w:tcPr>
            <w:tcW w:w="1216" w:type="pct"/>
          </w:tcPr>
          <w:p w14:paraId="6B064855" w14:textId="54CB13AF" w:rsidR="00FD2347" w:rsidRPr="000F2789" w:rsidRDefault="00FD2347" w:rsidP="00FD2347">
            <w:pPr>
              <w:pStyle w:val="Tableheading"/>
              <w:rPr>
                <w:rFonts w:cstheme="minorHAnsi"/>
                <w:b w:val="0"/>
                <w:sz w:val="20"/>
                <w:szCs w:val="20"/>
              </w:rPr>
            </w:pPr>
            <w:r w:rsidRPr="00223E42">
              <w:rPr>
                <w:rFonts w:cstheme="minorHAnsi"/>
                <w:b w:val="0"/>
                <w:sz w:val="20"/>
                <w:szCs w:val="20"/>
              </w:rPr>
              <w:t>27.4 (24.1, 30.7)</w:t>
            </w:r>
          </w:p>
        </w:tc>
        <w:tc>
          <w:tcPr>
            <w:tcW w:w="961" w:type="pct"/>
          </w:tcPr>
          <w:p w14:paraId="6B11E60E" w14:textId="0EE06EE1" w:rsidR="00FD2347" w:rsidRPr="000F2789" w:rsidRDefault="00FD2347" w:rsidP="00FD2347">
            <w:pPr>
              <w:pStyle w:val="Tableheading"/>
              <w:rPr>
                <w:rFonts w:cstheme="minorHAnsi"/>
                <w:b w:val="0"/>
                <w:sz w:val="20"/>
                <w:szCs w:val="20"/>
              </w:rPr>
            </w:pPr>
            <w:r w:rsidRPr="00F52DBB">
              <w:rPr>
                <w:rFonts w:cstheme="minorHAnsi"/>
                <w:b w:val="0"/>
                <w:sz w:val="20"/>
                <w:szCs w:val="20"/>
              </w:rPr>
              <w:t>324</w:t>
            </w:r>
          </w:p>
        </w:tc>
        <w:tc>
          <w:tcPr>
            <w:tcW w:w="962" w:type="pct"/>
          </w:tcPr>
          <w:p w14:paraId="28B3869F" w14:textId="199097E9" w:rsidR="00FD2347" w:rsidRPr="000F2789" w:rsidRDefault="00FD2347" w:rsidP="00FD2347">
            <w:pPr>
              <w:pStyle w:val="Tableheading"/>
              <w:rPr>
                <w:rFonts w:cstheme="minorHAnsi"/>
                <w:b w:val="0"/>
                <w:sz w:val="20"/>
                <w:szCs w:val="20"/>
              </w:rPr>
            </w:pPr>
            <w:r w:rsidRPr="00114B9B">
              <w:rPr>
                <w:rFonts w:cstheme="minorHAnsi"/>
                <w:b w:val="0"/>
                <w:sz w:val="20"/>
                <w:szCs w:val="20"/>
              </w:rPr>
              <w:t>23.3 (19.7, 26.9)</w:t>
            </w:r>
          </w:p>
        </w:tc>
      </w:tr>
      <w:tr w:rsidR="00FD2347" w:rsidRPr="001D0858" w14:paraId="72B12A97" w14:textId="77777777" w:rsidTr="007B2865">
        <w:trPr>
          <w:trHeight w:val="20"/>
        </w:trPr>
        <w:tc>
          <w:tcPr>
            <w:tcW w:w="1155" w:type="pct"/>
          </w:tcPr>
          <w:p w14:paraId="56AFDD01" w14:textId="0713F075" w:rsidR="00FD2347" w:rsidRDefault="00FD2347" w:rsidP="00FD2347">
            <w:pPr>
              <w:pStyle w:val="Tableheading"/>
              <w:rPr>
                <w:rFonts w:cstheme="minorHAnsi"/>
                <w:sz w:val="20"/>
                <w:szCs w:val="20"/>
              </w:rPr>
            </w:pPr>
            <w:r>
              <w:rPr>
                <w:rFonts w:cstheme="minorHAnsi"/>
                <w:sz w:val="20"/>
                <w:szCs w:val="20"/>
              </w:rPr>
              <w:t>50+</w:t>
            </w:r>
          </w:p>
        </w:tc>
        <w:tc>
          <w:tcPr>
            <w:tcW w:w="706" w:type="pct"/>
          </w:tcPr>
          <w:p w14:paraId="33BE61B4" w14:textId="5892B0F4" w:rsidR="00FD2347" w:rsidRPr="000F2789" w:rsidRDefault="00FD2347" w:rsidP="00FD2347">
            <w:pPr>
              <w:pStyle w:val="Tableheading"/>
              <w:rPr>
                <w:rFonts w:cstheme="minorHAnsi"/>
                <w:b w:val="0"/>
                <w:sz w:val="20"/>
                <w:szCs w:val="20"/>
              </w:rPr>
            </w:pPr>
            <w:r w:rsidRPr="00112857">
              <w:rPr>
                <w:rFonts w:cstheme="minorHAnsi"/>
                <w:b w:val="0"/>
                <w:sz w:val="20"/>
                <w:szCs w:val="20"/>
              </w:rPr>
              <w:t>778</w:t>
            </w:r>
          </w:p>
        </w:tc>
        <w:tc>
          <w:tcPr>
            <w:tcW w:w="1216" w:type="pct"/>
          </w:tcPr>
          <w:p w14:paraId="29B71746" w14:textId="0DBEF89E" w:rsidR="00FD2347" w:rsidRPr="000F2789" w:rsidRDefault="00FD2347" w:rsidP="00FD2347">
            <w:pPr>
              <w:pStyle w:val="Tableheading"/>
              <w:rPr>
                <w:rFonts w:cstheme="minorHAnsi"/>
                <w:b w:val="0"/>
                <w:sz w:val="20"/>
                <w:szCs w:val="20"/>
              </w:rPr>
            </w:pPr>
            <w:r w:rsidRPr="00223E42">
              <w:rPr>
                <w:rFonts w:cstheme="minorHAnsi"/>
                <w:b w:val="0"/>
                <w:sz w:val="20"/>
                <w:szCs w:val="20"/>
              </w:rPr>
              <w:t>51.3 (40.3, 62.2)</w:t>
            </w:r>
          </w:p>
        </w:tc>
        <w:tc>
          <w:tcPr>
            <w:tcW w:w="961" w:type="pct"/>
          </w:tcPr>
          <w:p w14:paraId="7004ACF2" w14:textId="530A6B1B" w:rsidR="00FD2347" w:rsidRPr="000F2789" w:rsidRDefault="00FD2347" w:rsidP="00FD2347">
            <w:pPr>
              <w:pStyle w:val="Tableheading"/>
              <w:rPr>
                <w:rFonts w:cstheme="minorHAnsi"/>
                <w:b w:val="0"/>
                <w:sz w:val="20"/>
                <w:szCs w:val="20"/>
              </w:rPr>
            </w:pPr>
            <w:r w:rsidRPr="00F52DBB">
              <w:rPr>
                <w:rFonts w:cstheme="minorHAnsi"/>
                <w:b w:val="0"/>
                <w:sz w:val="20"/>
                <w:szCs w:val="20"/>
              </w:rPr>
              <w:t>829</w:t>
            </w:r>
          </w:p>
        </w:tc>
        <w:tc>
          <w:tcPr>
            <w:tcW w:w="962" w:type="pct"/>
          </w:tcPr>
          <w:p w14:paraId="7E6BBBEB" w14:textId="5B2085C8" w:rsidR="00FD2347" w:rsidRPr="000F2789" w:rsidRDefault="00FD2347" w:rsidP="00FD2347">
            <w:pPr>
              <w:pStyle w:val="Tableheading"/>
              <w:rPr>
                <w:rFonts w:cstheme="minorHAnsi"/>
                <w:b w:val="0"/>
                <w:sz w:val="20"/>
                <w:szCs w:val="20"/>
              </w:rPr>
            </w:pPr>
            <w:r w:rsidRPr="00114B9B">
              <w:rPr>
                <w:rFonts w:cstheme="minorHAnsi"/>
                <w:b w:val="0"/>
                <w:sz w:val="20"/>
                <w:szCs w:val="20"/>
              </w:rPr>
              <w:t>59.6 (48.1, 71.1)</w:t>
            </w:r>
          </w:p>
        </w:tc>
      </w:tr>
      <w:tr w:rsidR="007B2865" w:rsidRPr="001D0858" w14:paraId="3B4BAE7B" w14:textId="77777777" w:rsidTr="007B2865">
        <w:trPr>
          <w:trHeight w:val="20"/>
        </w:trPr>
        <w:tc>
          <w:tcPr>
            <w:tcW w:w="5000" w:type="pct"/>
            <w:gridSpan w:val="5"/>
            <w:shd w:val="clear" w:color="auto" w:fill="D9D9D9" w:themeFill="background1" w:themeFillShade="D9"/>
          </w:tcPr>
          <w:p w14:paraId="7E8AEE20" w14:textId="77777777" w:rsidR="007B2865" w:rsidRPr="00BA22A5" w:rsidRDefault="007B2865" w:rsidP="001F3116">
            <w:pPr>
              <w:pStyle w:val="Tableheading"/>
              <w:rPr>
                <w:rFonts w:cstheme="minorHAnsi"/>
                <w:bCs/>
                <w:sz w:val="20"/>
                <w:szCs w:val="20"/>
              </w:rPr>
            </w:pPr>
            <w:r w:rsidRPr="00BA22A5">
              <w:rPr>
                <w:rFonts w:cstheme="minorHAnsi"/>
                <w:bCs/>
                <w:sz w:val="20"/>
                <w:szCs w:val="20"/>
              </w:rPr>
              <w:t>Sex-age group</w:t>
            </w:r>
          </w:p>
        </w:tc>
      </w:tr>
      <w:tr w:rsidR="00AF6722" w:rsidRPr="001D0858" w14:paraId="21263B14" w14:textId="77777777" w:rsidTr="007B2865">
        <w:trPr>
          <w:trHeight w:val="20"/>
        </w:trPr>
        <w:tc>
          <w:tcPr>
            <w:tcW w:w="1155" w:type="pct"/>
          </w:tcPr>
          <w:p w14:paraId="3D7CFE39" w14:textId="079EC1B9" w:rsidR="00AF6722" w:rsidRDefault="00AF6722" w:rsidP="00AF6722">
            <w:pPr>
              <w:pStyle w:val="Tableheading"/>
              <w:rPr>
                <w:rFonts w:cstheme="minorHAnsi"/>
                <w:sz w:val="20"/>
                <w:szCs w:val="20"/>
              </w:rPr>
            </w:pPr>
            <w:r>
              <w:rPr>
                <w:rFonts w:cstheme="minorHAnsi"/>
                <w:sz w:val="20"/>
                <w:szCs w:val="20"/>
              </w:rPr>
              <w:t>Male 18–29</w:t>
            </w:r>
          </w:p>
        </w:tc>
        <w:tc>
          <w:tcPr>
            <w:tcW w:w="706" w:type="pct"/>
          </w:tcPr>
          <w:p w14:paraId="7F31B854" w14:textId="1B510926" w:rsidR="00AF6722" w:rsidRPr="000F2789" w:rsidRDefault="00AF6722" w:rsidP="00AF6722">
            <w:pPr>
              <w:pStyle w:val="Tableheading"/>
              <w:rPr>
                <w:rFonts w:cstheme="minorHAnsi"/>
                <w:b w:val="0"/>
                <w:sz w:val="20"/>
                <w:szCs w:val="20"/>
              </w:rPr>
            </w:pPr>
            <w:r w:rsidRPr="00112857">
              <w:rPr>
                <w:rFonts w:cstheme="minorHAnsi"/>
                <w:b w:val="0"/>
                <w:sz w:val="20"/>
                <w:szCs w:val="20"/>
              </w:rPr>
              <w:t>67</w:t>
            </w:r>
          </w:p>
        </w:tc>
        <w:tc>
          <w:tcPr>
            <w:tcW w:w="1216" w:type="pct"/>
          </w:tcPr>
          <w:p w14:paraId="317976BD" w14:textId="0631C3DD" w:rsidR="00AF6722" w:rsidRPr="000F2789" w:rsidRDefault="00AF6722" w:rsidP="00AF6722">
            <w:pPr>
              <w:pStyle w:val="Tableheading"/>
              <w:rPr>
                <w:rFonts w:cstheme="minorHAnsi"/>
                <w:b w:val="0"/>
                <w:sz w:val="20"/>
                <w:szCs w:val="20"/>
              </w:rPr>
            </w:pPr>
            <w:r w:rsidRPr="00223E42">
              <w:rPr>
                <w:rFonts w:cstheme="minorHAnsi"/>
                <w:b w:val="0"/>
                <w:sz w:val="20"/>
                <w:szCs w:val="20"/>
              </w:rPr>
              <w:t>15.3 (10.7, 20.0)</w:t>
            </w:r>
          </w:p>
        </w:tc>
        <w:tc>
          <w:tcPr>
            <w:tcW w:w="961" w:type="pct"/>
          </w:tcPr>
          <w:p w14:paraId="1BCCECD5" w14:textId="4CB2724F" w:rsidR="00AF6722" w:rsidRPr="000F2789" w:rsidRDefault="00AF6722" w:rsidP="00AF6722">
            <w:pPr>
              <w:pStyle w:val="Tableheading"/>
              <w:rPr>
                <w:rFonts w:cstheme="minorHAnsi"/>
                <w:b w:val="0"/>
                <w:sz w:val="20"/>
                <w:szCs w:val="20"/>
              </w:rPr>
            </w:pPr>
            <w:r w:rsidRPr="00F52DBB">
              <w:rPr>
                <w:rFonts w:cstheme="minorHAnsi"/>
                <w:b w:val="0"/>
                <w:sz w:val="20"/>
                <w:szCs w:val="20"/>
              </w:rPr>
              <w:t>43</w:t>
            </w:r>
          </w:p>
        </w:tc>
        <w:tc>
          <w:tcPr>
            <w:tcW w:w="962" w:type="pct"/>
          </w:tcPr>
          <w:p w14:paraId="1FA65563" w14:textId="07DB185B" w:rsidR="00AF6722" w:rsidRPr="000F2789" w:rsidRDefault="00AF6722" w:rsidP="00AF6722">
            <w:pPr>
              <w:pStyle w:val="Tableheading"/>
              <w:rPr>
                <w:rFonts w:cstheme="minorHAnsi"/>
                <w:b w:val="0"/>
                <w:sz w:val="20"/>
                <w:szCs w:val="20"/>
              </w:rPr>
            </w:pPr>
            <w:r w:rsidRPr="00114B9B">
              <w:rPr>
                <w:rFonts w:cstheme="minorHAnsi"/>
                <w:b w:val="0"/>
                <w:sz w:val="20"/>
                <w:szCs w:val="20"/>
              </w:rPr>
              <w:t>59.6 (48.1, 71.1)</w:t>
            </w:r>
          </w:p>
        </w:tc>
      </w:tr>
      <w:tr w:rsidR="00AF6722" w:rsidRPr="001D0858" w14:paraId="48921C20" w14:textId="77777777" w:rsidTr="007B2865">
        <w:trPr>
          <w:trHeight w:val="20"/>
        </w:trPr>
        <w:tc>
          <w:tcPr>
            <w:tcW w:w="1155" w:type="pct"/>
          </w:tcPr>
          <w:p w14:paraId="78AE15D7" w14:textId="26CCBC61" w:rsidR="00AF6722" w:rsidRDefault="00AF6722" w:rsidP="00AF6722">
            <w:pPr>
              <w:pStyle w:val="Tableheading"/>
              <w:rPr>
                <w:rFonts w:cstheme="minorHAnsi"/>
                <w:sz w:val="20"/>
                <w:szCs w:val="20"/>
              </w:rPr>
            </w:pPr>
            <w:r>
              <w:rPr>
                <w:rFonts w:cstheme="minorHAnsi"/>
                <w:sz w:val="20"/>
                <w:szCs w:val="20"/>
              </w:rPr>
              <w:t>Male 30–39</w:t>
            </w:r>
          </w:p>
        </w:tc>
        <w:tc>
          <w:tcPr>
            <w:tcW w:w="706" w:type="pct"/>
          </w:tcPr>
          <w:p w14:paraId="4988CC58" w14:textId="0ED8B932" w:rsidR="00AF6722" w:rsidRPr="000F2789" w:rsidRDefault="00AF6722" w:rsidP="00AF6722">
            <w:pPr>
              <w:pStyle w:val="Tableheading"/>
              <w:rPr>
                <w:rFonts w:cstheme="minorHAnsi"/>
                <w:b w:val="0"/>
                <w:sz w:val="20"/>
                <w:szCs w:val="20"/>
              </w:rPr>
            </w:pPr>
            <w:r w:rsidRPr="00112857">
              <w:rPr>
                <w:rFonts w:cstheme="minorHAnsi"/>
                <w:b w:val="0"/>
                <w:sz w:val="20"/>
                <w:szCs w:val="20"/>
              </w:rPr>
              <w:t>233</w:t>
            </w:r>
          </w:p>
        </w:tc>
        <w:tc>
          <w:tcPr>
            <w:tcW w:w="1216" w:type="pct"/>
          </w:tcPr>
          <w:p w14:paraId="201433E6" w14:textId="3E33B25A" w:rsidR="00AF6722" w:rsidRPr="000F2789" w:rsidRDefault="00AF6722" w:rsidP="00AF6722">
            <w:pPr>
              <w:pStyle w:val="Tableheading"/>
              <w:rPr>
                <w:rFonts w:cstheme="minorHAnsi"/>
                <w:b w:val="0"/>
                <w:sz w:val="20"/>
                <w:szCs w:val="20"/>
              </w:rPr>
            </w:pPr>
            <w:r w:rsidRPr="00223E42">
              <w:rPr>
                <w:rFonts w:cstheme="minorHAnsi"/>
                <w:b w:val="0"/>
                <w:sz w:val="20"/>
                <w:szCs w:val="20"/>
              </w:rPr>
              <w:t>25.8 (22.6, 28.9)</w:t>
            </w:r>
          </w:p>
        </w:tc>
        <w:tc>
          <w:tcPr>
            <w:tcW w:w="961" w:type="pct"/>
          </w:tcPr>
          <w:p w14:paraId="4217AF8F" w14:textId="74D82D91" w:rsidR="00AF6722" w:rsidRPr="000F2789" w:rsidRDefault="00AF6722" w:rsidP="00AF6722">
            <w:pPr>
              <w:pStyle w:val="Tableheading"/>
              <w:rPr>
                <w:rFonts w:cstheme="minorHAnsi"/>
                <w:b w:val="0"/>
                <w:sz w:val="20"/>
                <w:szCs w:val="20"/>
              </w:rPr>
            </w:pPr>
            <w:r w:rsidRPr="00F52DBB">
              <w:rPr>
                <w:rFonts w:cstheme="minorHAnsi"/>
                <w:b w:val="0"/>
                <w:sz w:val="20"/>
                <w:szCs w:val="20"/>
              </w:rPr>
              <w:t>185</w:t>
            </w:r>
          </w:p>
        </w:tc>
        <w:tc>
          <w:tcPr>
            <w:tcW w:w="962" w:type="pct"/>
          </w:tcPr>
          <w:p w14:paraId="21B6D2D9" w14:textId="7B42138D" w:rsidR="00AF6722" w:rsidRPr="000F2789" w:rsidRDefault="00AF6722" w:rsidP="00AF6722">
            <w:pPr>
              <w:pStyle w:val="Tableheading"/>
              <w:rPr>
                <w:rFonts w:cstheme="minorHAnsi"/>
                <w:b w:val="0"/>
                <w:sz w:val="20"/>
                <w:szCs w:val="20"/>
              </w:rPr>
            </w:pPr>
            <w:r w:rsidRPr="00114B9B">
              <w:rPr>
                <w:rFonts w:cstheme="minorHAnsi"/>
                <w:b w:val="0"/>
                <w:sz w:val="20"/>
                <w:szCs w:val="20"/>
              </w:rPr>
              <w:t>0.1 (0.0, 0.4)</w:t>
            </w:r>
          </w:p>
        </w:tc>
      </w:tr>
      <w:tr w:rsidR="00AF6722" w:rsidRPr="001D0858" w14:paraId="7CDADFA3" w14:textId="77777777" w:rsidTr="007B2865">
        <w:trPr>
          <w:trHeight w:val="20"/>
        </w:trPr>
        <w:tc>
          <w:tcPr>
            <w:tcW w:w="1155" w:type="pct"/>
          </w:tcPr>
          <w:p w14:paraId="7A917F5B" w14:textId="740CCD17" w:rsidR="00AF6722" w:rsidRDefault="00AF6722" w:rsidP="00AF6722">
            <w:pPr>
              <w:pStyle w:val="Tableheading"/>
              <w:rPr>
                <w:rFonts w:cstheme="minorHAnsi"/>
                <w:sz w:val="20"/>
                <w:szCs w:val="20"/>
              </w:rPr>
            </w:pPr>
            <w:r>
              <w:rPr>
                <w:rFonts w:cstheme="minorHAnsi"/>
                <w:sz w:val="20"/>
                <w:szCs w:val="20"/>
              </w:rPr>
              <w:t>Male 40–49</w:t>
            </w:r>
          </w:p>
        </w:tc>
        <w:tc>
          <w:tcPr>
            <w:tcW w:w="706" w:type="pct"/>
          </w:tcPr>
          <w:p w14:paraId="3ACFB03C" w14:textId="2B456418" w:rsidR="00AF6722" w:rsidRPr="000F2789" w:rsidRDefault="00AF6722" w:rsidP="00AF6722">
            <w:pPr>
              <w:pStyle w:val="Tableheading"/>
              <w:rPr>
                <w:rFonts w:cstheme="minorHAnsi"/>
                <w:b w:val="0"/>
                <w:sz w:val="20"/>
                <w:szCs w:val="20"/>
              </w:rPr>
            </w:pPr>
            <w:r w:rsidRPr="00112857">
              <w:rPr>
                <w:rFonts w:cstheme="minorHAnsi"/>
                <w:b w:val="0"/>
                <w:sz w:val="20"/>
                <w:szCs w:val="20"/>
              </w:rPr>
              <w:t>391</w:t>
            </w:r>
          </w:p>
        </w:tc>
        <w:tc>
          <w:tcPr>
            <w:tcW w:w="1216" w:type="pct"/>
          </w:tcPr>
          <w:p w14:paraId="4CA8B01C" w14:textId="604E01F5" w:rsidR="00AF6722" w:rsidRPr="000F2789" w:rsidRDefault="00AF6722" w:rsidP="00AF6722">
            <w:pPr>
              <w:pStyle w:val="Tableheading"/>
              <w:rPr>
                <w:rFonts w:cstheme="minorHAnsi"/>
                <w:b w:val="0"/>
                <w:sz w:val="20"/>
                <w:szCs w:val="20"/>
              </w:rPr>
            </w:pPr>
            <w:r w:rsidRPr="00223E42">
              <w:rPr>
                <w:rFonts w:cstheme="minorHAnsi"/>
                <w:b w:val="0"/>
                <w:sz w:val="20"/>
                <w:szCs w:val="20"/>
              </w:rPr>
              <w:t>49.9 (38.5, 61.2)</w:t>
            </w:r>
          </w:p>
        </w:tc>
        <w:tc>
          <w:tcPr>
            <w:tcW w:w="961" w:type="pct"/>
          </w:tcPr>
          <w:p w14:paraId="7E78F27E" w14:textId="245910F5" w:rsidR="00AF6722" w:rsidRPr="000F2789" w:rsidRDefault="00AF6722" w:rsidP="00AF6722">
            <w:pPr>
              <w:pStyle w:val="Tableheading"/>
              <w:rPr>
                <w:rFonts w:cstheme="minorHAnsi"/>
                <w:b w:val="0"/>
                <w:sz w:val="20"/>
                <w:szCs w:val="20"/>
              </w:rPr>
            </w:pPr>
            <w:r w:rsidRPr="00F52DBB">
              <w:rPr>
                <w:rFonts w:cstheme="minorHAnsi"/>
                <w:b w:val="0"/>
                <w:sz w:val="20"/>
                <w:szCs w:val="20"/>
              </w:rPr>
              <w:t>305</w:t>
            </w:r>
          </w:p>
        </w:tc>
        <w:tc>
          <w:tcPr>
            <w:tcW w:w="962" w:type="pct"/>
          </w:tcPr>
          <w:p w14:paraId="00FBC131" w14:textId="30F506C7" w:rsidR="00AF6722" w:rsidRPr="000F2789" w:rsidRDefault="00AF6722" w:rsidP="00AF6722">
            <w:pPr>
              <w:pStyle w:val="Tableheading"/>
              <w:rPr>
                <w:rFonts w:cstheme="minorHAnsi"/>
                <w:b w:val="0"/>
                <w:sz w:val="20"/>
                <w:szCs w:val="20"/>
              </w:rPr>
            </w:pPr>
            <w:r w:rsidRPr="00114B9B">
              <w:rPr>
                <w:rFonts w:cstheme="minorHAnsi"/>
                <w:b w:val="0"/>
                <w:sz w:val="20"/>
                <w:szCs w:val="20"/>
              </w:rPr>
              <w:t>0.6 (0.0, 1.3)</w:t>
            </w:r>
          </w:p>
        </w:tc>
      </w:tr>
      <w:tr w:rsidR="00AF6722" w:rsidRPr="001D0858" w14:paraId="60DC7C85" w14:textId="77777777" w:rsidTr="007B2865">
        <w:trPr>
          <w:trHeight w:val="20"/>
        </w:trPr>
        <w:tc>
          <w:tcPr>
            <w:tcW w:w="1155" w:type="pct"/>
          </w:tcPr>
          <w:p w14:paraId="44AEF1AC" w14:textId="7E76C84A" w:rsidR="00AF6722" w:rsidRDefault="00AF6722" w:rsidP="00AF6722">
            <w:pPr>
              <w:pStyle w:val="Tableheading"/>
              <w:rPr>
                <w:rFonts w:cstheme="minorHAnsi"/>
                <w:sz w:val="20"/>
                <w:szCs w:val="20"/>
              </w:rPr>
            </w:pPr>
            <w:r>
              <w:rPr>
                <w:rFonts w:cstheme="minorHAnsi"/>
                <w:sz w:val="20"/>
                <w:szCs w:val="20"/>
              </w:rPr>
              <w:t>Male 50+</w:t>
            </w:r>
          </w:p>
        </w:tc>
        <w:tc>
          <w:tcPr>
            <w:tcW w:w="706" w:type="pct"/>
          </w:tcPr>
          <w:p w14:paraId="067A3891" w14:textId="201DB7A6" w:rsidR="00AF6722" w:rsidRPr="000F2789" w:rsidRDefault="00AF6722" w:rsidP="00AF6722">
            <w:pPr>
              <w:pStyle w:val="Tableheading"/>
              <w:rPr>
                <w:rFonts w:cstheme="minorHAnsi"/>
                <w:b w:val="0"/>
                <w:sz w:val="20"/>
                <w:szCs w:val="20"/>
              </w:rPr>
            </w:pPr>
            <w:r w:rsidRPr="00112857">
              <w:rPr>
                <w:rFonts w:cstheme="minorHAnsi"/>
                <w:b w:val="0"/>
                <w:sz w:val="20"/>
                <w:szCs w:val="20"/>
              </w:rPr>
              <w:t>757</w:t>
            </w:r>
          </w:p>
        </w:tc>
        <w:tc>
          <w:tcPr>
            <w:tcW w:w="1216" w:type="pct"/>
          </w:tcPr>
          <w:p w14:paraId="19D8C76E" w14:textId="2BADF6FC" w:rsidR="00AF6722" w:rsidRPr="000F2789" w:rsidRDefault="00AF6722" w:rsidP="00AF6722">
            <w:pPr>
              <w:pStyle w:val="Tableheading"/>
              <w:rPr>
                <w:rFonts w:cstheme="minorHAnsi"/>
                <w:b w:val="0"/>
                <w:sz w:val="20"/>
                <w:szCs w:val="20"/>
              </w:rPr>
            </w:pPr>
            <w:r w:rsidRPr="00223E42">
              <w:rPr>
                <w:rFonts w:cstheme="minorHAnsi"/>
                <w:b w:val="0"/>
                <w:sz w:val="20"/>
                <w:szCs w:val="20"/>
              </w:rPr>
              <w:t>50.0 (0.0, 100.0)</w:t>
            </w:r>
          </w:p>
        </w:tc>
        <w:tc>
          <w:tcPr>
            <w:tcW w:w="961" w:type="pct"/>
          </w:tcPr>
          <w:p w14:paraId="2C6775A5" w14:textId="07EC5575" w:rsidR="00AF6722" w:rsidRPr="000F2789" w:rsidRDefault="00AF6722" w:rsidP="00AF6722">
            <w:pPr>
              <w:pStyle w:val="Tableheading"/>
              <w:rPr>
                <w:rFonts w:cstheme="minorHAnsi"/>
                <w:b w:val="0"/>
                <w:sz w:val="20"/>
                <w:szCs w:val="20"/>
              </w:rPr>
            </w:pPr>
            <w:r w:rsidRPr="00F52DBB">
              <w:rPr>
                <w:rFonts w:cstheme="minorHAnsi"/>
                <w:b w:val="0"/>
                <w:sz w:val="20"/>
                <w:szCs w:val="20"/>
              </w:rPr>
              <w:t>809</w:t>
            </w:r>
          </w:p>
        </w:tc>
        <w:tc>
          <w:tcPr>
            <w:tcW w:w="962" w:type="pct"/>
          </w:tcPr>
          <w:p w14:paraId="1818F4A4" w14:textId="4311D231" w:rsidR="00AF6722" w:rsidRPr="000F2789" w:rsidRDefault="00AF6722" w:rsidP="00AF6722">
            <w:pPr>
              <w:pStyle w:val="Tableheading"/>
              <w:rPr>
                <w:rFonts w:cstheme="minorHAnsi"/>
                <w:b w:val="0"/>
                <w:sz w:val="20"/>
                <w:szCs w:val="20"/>
              </w:rPr>
            </w:pPr>
            <w:r w:rsidRPr="00114B9B">
              <w:rPr>
                <w:rFonts w:cstheme="minorHAnsi"/>
                <w:b w:val="0"/>
                <w:sz w:val="20"/>
                <w:szCs w:val="20"/>
              </w:rPr>
              <w:t>1.4 (0.6, 2.2)</w:t>
            </w:r>
          </w:p>
        </w:tc>
      </w:tr>
      <w:tr w:rsidR="00AF6722" w:rsidRPr="001D0858" w14:paraId="16097F30" w14:textId="77777777" w:rsidTr="007B2865">
        <w:trPr>
          <w:trHeight w:val="20"/>
        </w:trPr>
        <w:tc>
          <w:tcPr>
            <w:tcW w:w="1155" w:type="pct"/>
          </w:tcPr>
          <w:p w14:paraId="4CDCA62F" w14:textId="3DC45CE6" w:rsidR="00AF6722" w:rsidRDefault="00AF6722" w:rsidP="00AF6722">
            <w:pPr>
              <w:pStyle w:val="Tableheading"/>
              <w:rPr>
                <w:rFonts w:cstheme="minorHAnsi"/>
                <w:sz w:val="20"/>
                <w:szCs w:val="20"/>
              </w:rPr>
            </w:pPr>
            <w:r>
              <w:rPr>
                <w:rFonts w:cstheme="minorHAnsi"/>
                <w:sz w:val="20"/>
                <w:szCs w:val="20"/>
              </w:rPr>
              <w:t>Female 18–29</w:t>
            </w:r>
          </w:p>
        </w:tc>
        <w:tc>
          <w:tcPr>
            <w:tcW w:w="706" w:type="pct"/>
          </w:tcPr>
          <w:p w14:paraId="47E031CA" w14:textId="06BCEF08" w:rsidR="00AF6722" w:rsidRPr="00174AC6" w:rsidRDefault="00AF6722" w:rsidP="00AF6722">
            <w:pPr>
              <w:pStyle w:val="Tableheading"/>
              <w:rPr>
                <w:rFonts w:cstheme="minorHAnsi"/>
                <w:b w:val="0"/>
                <w:sz w:val="20"/>
                <w:szCs w:val="20"/>
              </w:rPr>
            </w:pPr>
            <w:r w:rsidRPr="00112857">
              <w:rPr>
                <w:rFonts w:cstheme="minorHAnsi"/>
                <w:b w:val="0"/>
                <w:sz w:val="20"/>
                <w:szCs w:val="20"/>
              </w:rPr>
              <w:t>7</w:t>
            </w:r>
          </w:p>
        </w:tc>
        <w:tc>
          <w:tcPr>
            <w:tcW w:w="1216" w:type="pct"/>
          </w:tcPr>
          <w:p w14:paraId="7EE2EE9E" w14:textId="311F1FBB" w:rsidR="00AF6722" w:rsidRPr="000F2789" w:rsidRDefault="00AF6722" w:rsidP="00AF6722">
            <w:pPr>
              <w:pStyle w:val="Tableheading"/>
              <w:rPr>
                <w:rFonts w:cstheme="minorHAnsi"/>
                <w:b w:val="0"/>
                <w:sz w:val="20"/>
                <w:szCs w:val="20"/>
              </w:rPr>
            </w:pPr>
            <w:r w:rsidRPr="00223E42">
              <w:rPr>
                <w:rFonts w:cstheme="minorHAnsi"/>
                <w:b w:val="0"/>
                <w:sz w:val="20"/>
                <w:szCs w:val="20"/>
              </w:rPr>
              <w:t>0.5 (0.0, 1.1)</w:t>
            </w:r>
          </w:p>
        </w:tc>
        <w:tc>
          <w:tcPr>
            <w:tcW w:w="961" w:type="pct"/>
          </w:tcPr>
          <w:p w14:paraId="62E9143D" w14:textId="653E7D10" w:rsidR="00AF6722" w:rsidRPr="00923CC7" w:rsidRDefault="00923CC7" w:rsidP="00AF6722">
            <w:pPr>
              <w:pStyle w:val="Tableheading"/>
              <w:rPr>
                <w:rFonts w:cstheme="minorHAnsi"/>
                <w:b w:val="0"/>
                <w:sz w:val="20"/>
                <w:szCs w:val="20"/>
              </w:rPr>
            </w:pPr>
            <w:r w:rsidRPr="00923CC7">
              <w:rPr>
                <w:rFonts w:cstheme="minorHAnsi"/>
                <w:b w:val="0"/>
                <w:sz w:val="20"/>
                <w:szCs w:val="20"/>
              </w:rPr>
              <w:t>&lt;5</w:t>
            </w:r>
          </w:p>
        </w:tc>
        <w:tc>
          <w:tcPr>
            <w:tcW w:w="962" w:type="pct"/>
          </w:tcPr>
          <w:p w14:paraId="22BA5748" w14:textId="77390F23" w:rsidR="00AF6722" w:rsidRPr="00923CC7" w:rsidRDefault="00923CC7" w:rsidP="00AF6722">
            <w:pPr>
              <w:pStyle w:val="Tableheading"/>
              <w:rPr>
                <w:rFonts w:cstheme="minorHAnsi"/>
                <w:b w:val="0"/>
                <w:sz w:val="20"/>
                <w:szCs w:val="20"/>
              </w:rPr>
            </w:pPr>
            <w:r w:rsidRPr="00923CC7">
              <w:rPr>
                <w:rFonts w:cstheme="minorHAnsi"/>
                <w:b w:val="0"/>
                <w:sz w:val="20"/>
                <w:szCs w:val="20"/>
              </w:rPr>
              <w:t>-</w:t>
            </w:r>
          </w:p>
        </w:tc>
      </w:tr>
      <w:tr w:rsidR="00AF6722" w:rsidRPr="001D0858" w14:paraId="630C6F47" w14:textId="77777777" w:rsidTr="007B2865">
        <w:trPr>
          <w:trHeight w:val="20"/>
        </w:trPr>
        <w:tc>
          <w:tcPr>
            <w:tcW w:w="1155" w:type="pct"/>
          </w:tcPr>
          <w:p w14:paraId="239A6AD3" w14:textId="5FEC6342" w:rsidR="00AF6722" w:rsidRDefault="00AF6722" w:rsidP="00AF6722">
            <w:pPr>
              <w:pStyle w:val="Tableheading"/>
              <w:rPr>
                <w:rFonts w:cstheme="minorHAnsi"/>
                <w:sz w:val="20"/>
                <w:szCs w:val="20"/>
              </w:rPr>
            </w:pPr>
            <w:r>
              <w:rPr>
                <w:rFonts w:cstheme="minorHAnsi"/>
                <w:sz w:val="20"/>
                <w:szCs w:val="20"/>
              </w:rPr>
              <w:t>Female 30–39</w:t>
            </w:r>
          </w:p>
        </w:tc>
        <w:tc>
          <w:tcPr>
            <w:tcW w:w="706" w:type="pct"/>
          </w:tcPr>
          <w:p w14:paraId="7600F744" w14:textId="192AC0F4" w:rsidR="00AF6722" w:rsidRPr="00174AC6" w:rsidRDefault="00AF6722" w:rsidP="00AF6722">
            <w:pPr>
              <w:pStyle w:val="Tableheading"/>
              <w:rPr>
                <w:rFonts w:cstheme="minorHAnsi"/>
                <w:b w:val="0"/>
                <w:sz w:val="20"/>
                <w:szCs w:val="20"/>
              </w:rPr>
            </w:pPr>
            <w:r w:rsidRPr="00112857">
              <w:rPr>
                <w:rFonts w:cstheme="minorHAnsi"/>
                <w:b w:val="0"/>
                <w:sz w:val="20"/>
                <w:szCs w:val="20"/>
              </w:rPr>
              <w:t>17</w:t>
            </w:r>
          </w:p>
        </w:tc>
        <w:tc>
          <w:tcPr>
            <w:tcW w:w="1216" w:type="pct"/>
          </w:tcPr>
          <w:p w14:paraId="1E1AEB02" w14:textId="121126AC" w:rsidR="00AF6722" w:rsidRPr="000F2789" w:rsidRDefault="00AF6722" w:rsidP="00AF6722">
            <w:pPr>
              <w:pStyle w:val="Tableheading"/>
              <w:rPr>
                <w:rFonts w:cstheme="minorHAnsi"/>
                <w:b w:val="0"/>
                <w:sz w:val="20"/>
                <w:szCs w:val="20"/>
              </w:rPr>
            </w:pPr>
            <w:r w:rsidRPr="00223E42">
              <w:rPr>
                <w:rFonts w:cstheme="minorHAnsi"/>
                <w:b w:val="0"/>
                <w:sz w:val="20"/>
                <w:szCs w:val="20"/>
              </w:rPr>
              <w:t>1.1 (0.0, 2.4)</w:t>
            </w:r>
          </w:p>
        </w:tc>
        <w:tc>
          <w:tcPr>
            <w:tcW w:w="961" w:type="pct"/>
          </w:tcPr>
          <w:p w14:paraId="09B67695" w14:textId="0D0EAEBD" w:rsidR="00AF6722" w:rsidRPr="00923CC7" w:rsidRDefault="00923CC7" w:rsidP="00AF6722">
            <w:pPr>
              <w:pStyle w:val="Tableheading"/>
              <w:rPr>
                <w:rFonts w:cstheme="minorHAnsi"/>
                <w:b w:val="0"/>
                <w:sz w:val="20"/>
                <w:szCs w:val="20"/>
              </w:rPr>
            </w:pPr>
            <w:r w:rsidRPr="00923CC7">
              <w:rPr>
                <w:rFonts w:cstheme="minorHAnsi"/>
                <w:b w:val="0"/>
                <w:sz w:val="20"/>
                <w:szCs w:val="20"/>
              </w:rPr>
              <w:t>&lt;10</w:t>
            </w:r>
          </w:p>
        </w:tc>
        <w:tc>
          <w:tcPr>
            <w:tcW w:w="962" w:type="pct"/>
          </w:tcPr>
          <w:p w14:paraId="37EFF737" w14:textId="106352E3" w:rsidR="00AF6722" w:rsidRPr="00923CC7" w:rsidRDefault="00923CC7" w:rsidP="00AF6722">
            <w:pPr>
              <w:pStyle w:val="Tableheading"/>
              <w:rPr>
                <w:rFonts w:cstheme="minorHAnsi"/>
                <w:b w:val="0"/>
                <w:sz w:val="20"/>
                <w:szCs w:val="20"/>
              </w:rPr>
            </w:pPr>
            <w:r w:rsidRPr="00923CC7">
              <w:rPr>
                <w:rFonts w:cstheme="minorHAnsi"/>
                <w:b w:val="0"/>
                <w:sz w:val="20"/>
                <w:szCs w:val="20"/>
              </w:rPr>
              <w:t>-</w:t>
            </w:r>
          </w:p>
        </w:tc>
      </w:tr>
      <w:tr w:rsidR="00AF6722" w:rsidRPr="001D0858" w14:paraId="5FC46371" w14:textId="77777777" w:rsidTr="007B2865">
        <w:trPr>
          <w:trHeight w:val="20"/>
        </w:trPr>
        <w:tc>
          <w:tcPr>
            <w:tcW w:w="1155" w:type="pct"/>
          </w:tcPr>
          <w:p w14:paraId="67DE6C0C" w14:textId="58541D90" w:rsidR="00AF6722" w:rsidRDefault="00AF6722" w:rsidP="00AF6722">
            <w:pPr>
              <w:pStyle w:val="Tableheading"/>
              <w:rPr>
                <w:rFonts w:cstheme="minorHAnsi"/>
                <w:sz w:val="20"/>
                <w:szCs w:val="20"/>
              </w:rPr>
            </w:pPr>
            <w:r>
              <w:rPr>
                <w:rFonts w:cstheme="minorHAnsi"/>
                <w:sz w:val="20"/>
                <w:szCs w:val="20"/>
              </w:rPr>
              <w:t>Female 40–49</w:t>
            </w:r>
          </w:p>
        </w:tc>
        <w:tc>
          <w:tcPr>
            <w:tcW w:w="706" w:type="pct"/>
          </w:tcPr>
          <w:p w14:paraId="5AE3E425" w14:textId="18390937" w:rsidR="00AF6722" w:rsidRPr="00174AC6" w:rsidRDefault="00AF6722" w:rsidP="00AF6722">
            <w:pPr>
              <w:pStyle w:val="Tableheading"/>
              <w:rPr>
                <w:rFonts w:cstheme="minorHAnsi"/>
                <w:b w:val="0"/>
                <w:sz w:val="20"/>
                <w:szCs w:val="20"/>
              </w:rPr>
            </w:pPr>
            <w:r w:rsidRPr="00112857">
              <w:rPr>
                <w:rFonts w:cstheme="minorHAnsi"/>
                <w:b w:val="0"/>
                <w:sz w:val="20"/>
                <w:szCs w:val="20"/>
              </w:rPr>
              <w:t>25</w:t>
            </w:r>
          </w:p>
        </w:tc>
        <w:tc>
          <w:tcPr>
            <w:tcW w:w="1216" w:type="pct"/>
          </w:tcPr>
          <w:p w14:paraId="73B44CD5" w14:textId="370550E1" w:rsidR="00AF6722" w:rsidRPr="000F2789" w:rsidRDefault="00AF6722" w:rsidP="00AF6722">
            <w:pPr>
              <w:pStyle w:val="Tableheading"/>
              <w:rPr>
                <w:rFonts w:cstheme="minorHAnsi"/>
                <w:b w:val="0"/>
                <w:sz w:val="20"/>
                <w:szCs w:val="20"/>
              </w:rPr>
            </w:pPr>
            <w:r w:rsidRPr="00223E42">
              <w:rPr>
                <w:rFonts w:cstheme="minorHAnsi"/>
                <w:b w:val="0"/>
                <w:sz w:val="20"/>
                <w:szCs w:val="20"/>
              </w:rPr>
              <w:t>1.6 (0.5, 2.8)</w:t>
            </w:r>
          </w:p>
        </w:tc>
        <w:tc>
          <w:tcPr>
            <w:tcW w:w="961" w:type="pct"/>
          </w:tcPr>
          <w:p w14:paraId="66F48F12" w14:textId="7424F75F" w:rsidR="00AF6722" w:rsidRPr="000F2789" w:rsidRDefault="00AF6722" w:rsidP="00AF6722">
            <w:pPr>
              <w:pStyle w:val="Tableheading"/>
              <w:rPr>
                <w:rFonts w:cstheme="minorHAnsi"/>
                <w:b w:val="0"/>
                <w:sz w:val="20"/>
                <w:szCs w:val="20"/>
              </w:rPr>
            </w:pPr>
            <w:r w:rsidRPr="00F52DBB">
              <w:rPr>
                <w:rFonts w:cstheme="minorHAnsi"/>
                <w:b w:val="0"/>
                <w:sz w:val="20"/>
                <w:szCs w:val="20"/>
              </w:rPr>
              <w:t>19</w:t>
            </w:r>
          </w:p>
        </w:tc>
        <w:tc>
          <w:tcPr>
            <w:tcW w:w="962" w:type="pct"/>
          </w:tcPr>
          <w:p w14:paraId="4F21A3F1" w14:textId="628825C1" w:rsidR="00AF6722" w:rsidRPr="000F2789" w:rsidRDefault="00AF6722" w:rsidP="00AF6722">
            <w:pPr>
              <w:pStyle w:val="Tableheading"/>
              <w:rPr>
                <w:rFonts w:cstheme="minorHAnsi"/>
                <w:b w:val="0"/>
                <w:sz w:val="20"/>
                <w:szCs w:val="20"/>
              </w:rPr>
            </w:pPr>
            <w:r w:rsidRPr="00114B9B">
              <w:rPr>
                <w:rFonts w:cstheme="minorHAnsi"/>
                <w:b w:val="0"/>
                <w:sz w:val="20"/>
                <w:szCs w:val="20"/>
              </w:rPr>
              <w:t>13.3 (7.6, 19.0)</w:t>
            </w:r>
          </w:p>
        </w:tc>
      </w:tr>
      <w:tr w:rsidR="00AF6722" w:rsidRPr="001D0858" w14:paraId="0C1B0715" w14:textId="77777777" w:rsidTr="007B2865">
        <w:trPr>
          <w:trHeight w:val="20"/>
        </w:trPr>
        <w:tc>
          <w:tcPr>
            <w:tcW w:w="1155" w:type="pct"/>
          </w:tcPr>
          <w:p w14:paraId="0275DFA5" w14:textId="4C23ACA2" w:rsidR="00AF6722" w:rsidRDefault="00AF6722" w:rsidP="00AF6722">
            <w:pPr>
              <w:pStyle w:val="Tableheading"/>
              <w:rPr>
                <w:rFonts w:cstheme="minorHAnsi"/>
                <w:sz w:val="20"/>
                <w:szCs w:val="20"/>
              </w:rPr>
            </w:pPr>
            <w:r>
              <w:rPr>
                <w:rFonts w:cstheme="minorHAnsi"/>
                <w:sz w:val="20"/>
                <w:szCs w:val="20"/>
              </w:rPr>
              <w:t>Female 50+</w:t>
            </w:r>
          </w:p>
        </w:tc>
        <w:tc>
          <w:tcPr>
            <w:tcW w:w="706" w:type="pct"/>
          </w:tcPr>
          <w:p w14:paraId="7F116BEB" w14:textId="5F233BC6" w:rsidR="00AF6722" w:rsidRPr="00174AC6" w:rsidRDefault="00AF6722" w:rsidP="00AF6722">
            <w:pPr>
              <w:pStyle w:val="Tableheading"/>
              <w:rPr>
                <w:rFonts w:cstheme="minorHAnsi"/>
                <w:b w:val="0"/>
                <w:sz w:val="20"/>
                <w:szCs w:val="20"/>
              </w:rPr>
            </w:pPr>
            <w:r w:rsidRPr="00112857">
              <w:rPr>
                <w:rFonts w:cstheme="minorHAnsi"/>
                <w:b w:val="0"/>
                <w:sz w:val="20"/>
                <w:szCs w:val="20"/>
              </w:rPr>
              <w:t>21</w:t>
            </w:r>
          </w:p>
        </w:tc>
        <w:tc>
          <w:tcPr>
            <w:tcW w:w="1216" w:type="pct"/>
          </w:tcPr>
          <w:p w14:paraId="5A66124E" w14:textId="61FC8AA6" w:rsidR="00AF6722" w:rsidRPr="000F2789" w:rsidRDefault="00AF6722" w:rsidP="00AF6722">
            <w:pPr>
              <w:pStyle w:val="Tableheading"/>
              <w:rPr>
                <w:rFonts w:cstheme="minorHAnsi"/>
                <w:b w:val="0"/>
                <w:sz w:val="20"/>
                <w:szCs w:val="20"/>
              </w:rPr>
            </w:pPr>
            <w:r w:rsidRPr="00223E42">
              <w:rPr>
                <w:rFonts w:cstheme="minorHAnsi"/>
                <w:b w:val="0"/>
                <w:sz w:val="20"/>
                <w:szCs w:val="20"/>
              </w:rPr>
              <w:t>1.4 (0.4, 2.4)</w:t>
            </w:r>
          </w:p>
        </w:tc>
        <w:tc>
          <w:tcPr>
            <w:tcW w:w="961" w:type="pct"/>
          </w:tcPr>
          <w:p w14:paraId="18D91587" w14:textId="4932F577" w:rsidR="00AF6722" w:rsidRPr="000F2789" w:rsidRDefault="00AF6722" w:rsidP="00AF6722">
            <w:pPr>
              <w:pStyle w:val="Tableheading"/>
              <w:rPr>
                <w:rFonts w:cstheme="minorHAnsi"/>
                <w:b w:val="0"/>
                <w:sz w:val="20"/>
                <w:szCs w:val="20"/>
              </w:rPr>
            </w:pPr>
            <w:r w:rsidRPr="00F52DBB">
              <w:rPr>
                <w:rFonts w:cstheme="minorHAnsi"/>
                <w:b w:val="0"/>
                <w:sz w:val="20"/>
                <w:szCs w:val="20"/>
              </w:rPr>
              <w:t>20</w:t>
            </w:r>
          </w:p>
        </w:tc>
        <w:tc>
          <w:tcPr>
            <w:tcW w:w="962" w:type="pct"/>
          </w:tcPr>
          <w:p w14:paraId="5B1B91B1" w14:textId="1C1D3EBF" w:rsidR="00AF6722" w:rsidRPr="000F2789" w:rsidRDefault="00AF6722" w:rsidP="00AF6722">
            <w:pPr>
              <w:pStyle w:val="Tableheading"/>
              <w:rPr>
                <w:rFonts w:cstheme="minorHAnsi"/>
                <w:b w:val="0"/>
                <w:sz w:val="20"/>
                <w:szCs w:val="20"/>
              </w:rPr>
            </w:pPr>
            <w:r w:rsidRPr="00114B9B">
              <w:rPr>
                <w:rFonts w:cstheme="minorHAnsi"/>
                <w:b w:val="0"/>
                <w:sz w:val="20"/>
                <w:szCs w:val="20"/>
              </w:rPr>
              <w:t>21.9 (18.8, 25.0)</w:t>
            </w:r>
          </w:p>
        </w:tc>
      </w:tr>
      <w:tr w:rsidR="007B2865" w:rsidRPr="001D0858" w14:paraId="72F7F27C" w14:textId="77777777" w:rsidTr="007B2865">
        <w:trPr>
          <w:trHeight w:val="20"/>
        </w:trPr>
        <w:tc>
          <w:tcPr>
            <w:tcW w:w="5000" w:type="pct"/>
            <w:gridSpan w:val="5"/>
            <w:shd w:val="clear" w:color="auto" w:fill="D9D9D9" w:themeFill="background1" w:themeFillShade="D9"/>
          </w:tcPr>
          <w:p w14:paraId="36ED0CCC" w14:textId="77777777" w:rsidR="007B2865" w:rsidRPr="00BA22A5" w:rsidRDefault="007B2865" w:rsidP="00306564">
            <w:pPr>
              <w:pStyle w:val="Tableheading"/>
              <w:rPr>
                <w:rFonts w:cstheme="minorHAnsi"/>
                <w:bCs/>
                <w:sz w:val="20"/>
                <w:szCs w:val="20"/>
              </w:rPr>
            </w:pPr>
            <w:r w:rsidRPr="00BA22A5">
              <w:rPr>
                <w:rFonts w:cstheme="minorHAnsi"/>
                <w:bCs/>
                <w:sz w:val="20"/>
                <w:szCs w:val="20"/>
              </w:rPr>
              <w:t>State</w:t>
            </w:r>
          </w:p>
        </w:tc>
      </w:tr>
      <w:tr w:rsidR="00AF6722" w:rsidRPr="00114B9B" w14:paraId="1F1BFD6D" w14:textId="77777777" w:rsidTr="007B2865">
        <w:trPr>
          <w:trHeight w:val="20"/>
        </w:trPr>
        <w:tc>
          <w:tcPr>
            <w:tcW w:w="1155" w:type="pct"/>
          </w:tcPr>
          <w:p w14:paraId="02C4EC96" w14:textId="633ECE6A" w:rsidR="00AF6722" w:rsidRDefault="00AF6722" w:rsidP="00AF6722">
            <w:pPr>
              <w:pStyle w:val="Tableheading"/>
              <w:rPr>
                <w:rFonts w:cstheme="minorHAnsi"/>
                <w:sz w:val="20"/>
                <w:szCs w:val="20"/>
              </w:rPr>
            </w:pPr>
            <w:r>
              <w:rPr>
                <w:rFonts w:cstheme="minorHAnsi"/>
                <w:sz w:val="20"/>
                <w:szCs w:val="20"/>
              </w:rPr>
              <w:t>ACT</w:t>
            </w:r>
          </w:p>
        </w:tc>
        <w:tc>
          <w:tcPr>
            <w:tcW w:w="706" w:type="pct"/>
          </w:tcPr>
          <w:p w14:paraId="57B4D570" w14:textId="4AA2FFC7" w:rsidR="00AF6722" w:rsidRPr="000F2789" w:rsidRDefault="00AF6722" w:rsidP="00AF6722">
            <w:pPr>
              <w:pStyle w:val="Tableheading"/>
              <w:rPr>
                <w:rFonts w:cstheme="minorHAnsi"/>
                <w:b w:val="0"/>
                <w:sz w:val="20"/>
                <w:szCs w:val="20"/>
              </w:rPr>
            </w:pPr>
            <w:r>
              <w:rPr>
                <w:rFonts w:cstheme="minorHAnsi"/>
                <w:b w:val="0"/>
                <w:sz w:val="20"/>
                <w:szCs w:val="20"/>
              </w:rPr>
              <w:t>0</w:t>
            </w:r>
          </w:p>
        </w:tc>
        <w:tc>
          <w:tcPr>
            <w:tcW w:w="1216" w:type="pct"/>
          </w:tcPr>
          <w:p w14:paraId="4F6D0434" w14:textId="53650B23" w:rsidR="00AF6722" w:rsidRPr="000F2789" w:rsidRDefault="00AF6722" w:rsidP="00AF6722">
            <w:pPr>
              <w:pStyle w:val="Tableheading"/>
              <w:rPr>
                <w:rFonts w:cstheme="minorHAnsi"/>
                <w:b w:val="0"/>
                <w:sz w:val="20"/>
                <w:szCs w:val="20"/>
              </w:rPr>
            </w:pPr>
            <w:r>
              <w:rPr>
                <w:rFonts w:cstheme="minorHAnsi"/>
                <w:b w:val="0"/>
                <w:sz w:val="20"/>
                <w:szCs w:val="20"/>
              </w:rPr>
              <w:t>-</w:t>
            </w:r>
          </w:p>
        </w:tc>
        <w:tc>
          <w:tcPr>
            <w:tcW w:w="961" w:type="pct"/>
          </w:tcPr>
          <w:p w14:paraId="2447198E" w14:textId="518F520C" w:rsidR="00AF6722" w:rsidRPr="000F2789" w:rsidRDefault="009E11B9" w:rsidP="00AF6722">
            <w:pPr>
              <w:pStyle w:val="Tableheading"/>
              <w:rPr>
                <w:rFonts w:cstheme="minorHAnsi"/>
                <w:b w:val="0"/>
                <w:sz w:val="20"/>
                <w:szCs w:val="20"/>
              </w:rPr>
            </w:pPr>
            <w:r>
              <w:rPr>
                <w:rFonts w:cstheme="minorHAnsi"/>
                <w:b w:val="0"/>
                <w:sz w:val="20"/>
                <w:szCs w:val="20"/>
              </w:rPr>
              <w:t>&lt;5</w:t>
            </w:r>
          </w:p>
        </w:tc>
        <w:tc>
          <w:tcPr>
            <w:tcW w:w="962" w:type="pct"/>
          </w:tcPr>
          <w:p w14:paraId="56AC2E2F" w14:textId="224D2F83" w:rsidR="00AF6722" w:rsidRPr="000F2789" w:rsidRDefault="009E11B9" w:rsidP="00AF6722">
            <w:pPr>
              <w:pStyle w:val="Tableheading"/>
              <w:rPr>
                <w:rFonts w:cstheme="minorHAnsi"/>
                <w:b w:val="0"/>
                <w:sz w:val="20"/>
                <w:szCs w:val="20"/>
              </w:rPr>
            </w:pPr>
            <w:r>
              <w:rPr>
                <w:rFonts w:cstheme="minorHAnsi"/>
                <w:b w:val="0"/>
                <w:sz w:val="20"/>
                <w:szCs w:val="20"/>
              </w:rPr>
              <w:t>-</w:t>
            </w:r>
          </w:p>
        </w:tc>
      </w:tr>
      <w:tr w:rsidR="00AF6722" w:rsidRPr="001D0858" w14:paraId="3A83C8BD" w14:textId="77777777" w:rsidTr="007B2865">
        <w:trPr>
          <w:trHeight w:val="20"/>
        </w:trPr>
        <w:tc>
          <w:tcPr>
            <w:tcW w:w="1155" w:type="pct"/>
          </w:tcPr>
          <w:p w14:paraId="69978734" w14:textId="5482AF88" w:rsidR="00AF6722" w:rsidRDefault="00AF6722" w:rsidP="00AF6722">
            <w:pPr>
              <w:pStyle w:val="Tableheading"/>
              <w:rPr>
                <w:rFonts w:cstheme="minorHAnsi"/>
                <w:sz w:val="20"/>
                <w:szCs w:val="20"/>
              </w:rPr>
            </w:pPr>
            <w:r w:rsidRPr="0077647B">
              <w:rPr>
                <w:rFonts w:cstheme="minorHAnsi"/>
                <w:sz w:val="20"/>
                <w:szCs w:val="20"/>
              </w:rPr>
              <w:t>NSW</w:t>
            </w:r>
          </w:p>
        </w:tc>
        <w:tc>
          <w:tcPr>
            <w:tcW w:w="706" w:type="pct"/>
          </w:tcPr>
          <w:p w14:paraId="752AC2C2" w14:textId="2FC3FD10" w:rsidR="00AF6722" w:rsidRPr="000F2789" w:rsidRDefault="00AF6722" w:rsidP="00AF6722">
            <w:pPr>
              <w:pStyle w:val="Tableheading"/>
              <w:rPr>
                <w:rFonts w:cstheme="minorHAnsi"/>
                <w:b w:val="0"/>
                <w:sz w:val="20"/>
                <w:szCs w:val="20"/>
              </w:rPr>
            </w:pPr>
            <w:r w:rsidRPr="00223E42">
              <w:rPr>
                <w:rFonts w:cstheme="minorHAnsi"/>
                <w:b w:val="0"/>
                <w:sz w:val="20"/>
                <w:szCs w:val="20"/>
              </w:rPr>
              <w:t>759</w:t>
            </w:r>
          </w:p>
        </w:tc>
        <w:tc>
          <w:tcPr>
            <w:tcW w:w="1216" w:type="pct"/>
          </w:tcPr>
          <w:p w14:paraId="047E89C3" w14:textId="0CD01759" w:rsidR="00AF6722" w:rsidRPr="000F2789" w:rsidRDefault="00AF6722" w:rsidP="00AF6722">
            <w:pPr>
              <w:pStyle w:val="Tableheading"/>
              <w:rPr>
                <w:rFonts w:cstheme="minorHAnsi"/>
                <w:b w:val="0"/>
                <w:sz w:val="20"/>
                <w:szCs w:val="20"/>
              </w:rPr>
            </w:pPr>
            <w:r w:rsidRPr="00223E42">
              <w:rPr>
                <w:rFonts w:cstheme="minorHAnsi"/>
                <w:b w:val="0"/>
                <w:sz w:val="20"/>
                <w:szCs w:val="20"/>
              </w:rPr>
              <w:t>50.0 (0.0, 100.0)</w:t>
            </w:r>
          </w:p>
        </w:tc>
        <w:tc>
          <w:tcPr>
            <w:tcW w:w="961" w:type="pct"/>
          </w:tcPr>
          <w:p w14:paraId="0577A5EE" w14:textId="05A15A71" w:rsidR="00AF6722" w:rsidRPr="000F2789" w:rsidRDefault="00AF6722" w:rsidP="00AF6722">
            <w:pPr>
              <w:pStyle w:val="Tableheading"/>
              <w:rPr>
                <w:rFonts w:cstheme="minorHAnsi"/>
                <w:b w:val="0"/>
                <w:sz w:val="20"/>
                <w:szCs w:val="20"/>
              </w:rPr>
            </w:pPr>
            <w:r w:rsidRPr="00F52DBB">
              <w:rPr>
                <w:rFonts w:cstheme="minorHAnsi"/>
                <w:b w:val="0"/>
                <w:sz w:val="20"/>
                <w:szCs w:val="20"/>
              </w:rPr>
              <w:t>738</w:t>
            </w:r>
          </w:p>
        </w:tc>
        <w:tc>
          <w:tcPr>
            <w:tcW w:w="962" w:type="pct"/>
          </w:tcPr>
          <w:p w14:paraId="5A2555C1" w14:textId="6E634F22" w:rsidR="00AF6722" w:rsidRPr="000F2789" w:rsidRDefault="00AF6722" w:rsidP="00AF6722">
            <w:pPr>
              <w:pStyle w:val="Tableheading"/>
              <w:rPr>
                <w:rFonts w:cstheme="minorHAnsi"/>
                <w:b w:val="0"/>
                <w:sz w:val="20"/>
                <w:szCs w:val="20"/>
              </w:rPr>
            </w:pPr>
            <w:r w:rsidRPr="00114B9B">
              <w:rPr>
                <w:rFonts w:cstheme="minorHAnsi"/>
                <w:b w:val="0"/>
                <w:sz w:val="20"/>
                <w:szCs w:val="20"/>
              </w:rPr>
              <w:t>53.1 (0.0, 100.0)</w:t>
            </w:r>
          </w:p>
        </w:tc>
      </w:tr>
      <w:tr w:rsidR="00AF6722" w:rsidRPr="001D0858" w14:paraId="00D71718" w14:textId="77777777" w:rsidTr="007B2865">
        <w:trPr>
          <w:trHeight w:val="20"/>
        </w:trPr>
        <w:tc>
          <w:tcPr>
            <w:tcW w:w="1155" w:type="pct"/>
          </w:tcPr>
          <w:p w14:paraId="584AE6B8" w14:textId="3494D900" w:rsidR="00AF6722" w:rsidRDefault="00AF6722" w:rsidP="00AF6722">
            <w:pPr>
              <w:pStyle w:val="Tableheading"/>
              <w:rPr>
                <w:rFonts w:cstheme="minorHAnsi"/>
                <w:sz w:val="20"/>
                <w:szCs w:val="20"/>
              </w:rPr>
            </w:pPr>
            <w:r w:rsidRPr="0077647B">
              <w:rPr>
                <w:rFonts w:cstheme="minorHAnsi"/>
                <w:sz w:val="20"/>
                <w:szCs w:val="20"/>
              </w:rPr>
              <w:t>NT</w:t>
            </w:r>
          </w:p>
        </w:tc>
        <w:tc>
          <w:tcPr>
            <w:tcW w:w="706" w:type="pct"/>
          </w:tcPr>
          <w:p w14:paraId="4C820BFE" w14:textId="2CE4A379" w:rsidR="00AF6722" w:rsidRPr="000F40B9" w:rsidRDefault="00AF6722" w:rsidP="00AF6722">
            <w:pPr>
              <w:pStyle w:val="Tableheading"/>
              <w:rPr>
                <w:rFonts w:cstheme="minorHAnsi"/>
                <w:b w:val="0"/>
                <w:sz w:val="20"/>
                <w:szCs w:val="20"/>
              </w:rPr>
            </w:pPr>
            <w:r w:rsidRPr="000F40B9">
              <w:rPr>
                <w:rFonts w:cstheme="minorHAnsi"/>
                <w:b w:val="0"/>
                <w:sz w:val="20"/>
                <w:szCs w:val="20"/>
              </w:rPr>
              <w:t>&lt;5</w:t>
            </w:r>
          </w:p>
        </w:tc>
        <w:tc>
          <w:tcPr>
            <w:tcW w:w="1216" w:type="pct"/>
          </w:tcPr>
          <w:p w14:paraId="3412DF5F" w14:textId="3783CE0A" w:rsidR="00AF6722" w:rsidRPr="000F40B9" w:rsidRDefault="00AF6722" w:rsidP="00AF6722">
            <w:pPr>
              <w:pStyle w:val="Tableheading"/>
              <w:rPr>
                <w:rFonts w:cstheme="minorHAnsi"/>
                <w:b w:val="0"/>
                <w:sz w:val="20"/>
                <w:szCs w:val="20"/>
              </w:rPr>
            </w:pPr>
            <w:r w:rsidRPr="000F40B9">
              <w:rPr>
                <w:rFonts w:cstheme="minorHAnsi"/>
                <w:b w:val="0"/>
                <w:sz w:val="20"/>
                <w:szCs w:val="20"/>
              </w:rPr>
              <w:t>-</w:t>
            </w:r>
          </w:p>
        </w:tc>
        <w:tc>
          <w:tcPr>
            <w:tcW w:w="961" w:type="pct"/>
          </w:tcPr>
          <w:p w14:paraId="53102005" w14:textId="2D63F769" w:rsidR="00AF6722" w:rsidRPr="000F2789" w:rsidRDefault="009E11B9" w:rsidP="00AF6722">
            <w:pPr>
              <w:pStyle w:val="Tableheading"/>
              <w:rPr>
                <w:rFonts w:cstheme="minorHAnsi"/>
                <w:b w:val="0"/>
                <w:sz w:val="20"/>
                <w:szCs w:val="20"/>
              </w:rPr>
            </w:pPr>
            <w:r>
              <w:rPr>
                <w:rFonts w:cstheme="minorHAnsi"/>
                <w:b w:val="0"/>
                <w:sz w:val="20"/>
                <w:szCs w:val="20"/>
              </w:rPr>
              <w:t>&lt;5</w:t>
            </w:r>
          </w:p>
        </w:tc>
        <w:tc>
          <w:tcPr>
            <w:tcW w:w="962" w:type="pct"/>
          </w:tcPr>
          <w:p w14:paraId="2CA937DC" w14:textId="41E0CD00" w:rsidR="00AF6722" w:rsidRPr="000F2789" w:rsidRDefault="009E11B9" w:rsidP="00AF6722">
            <w:pPr>
              <w:pStyle w:val="Tableheading"/>
              <w:rPr>
                <w:rFonts w:cstheme="minorHAnsi"/>
                <w:b w:val="0"/>
                <w:sz w:val="20"/>
                <w:szCs w:val="20"/>
              </w:rPr>
            </w:pPr>
            <w:r>
              <w:rPr>
                <w:rFonts w:cstheme="minorHAnsi"/>
                <w:b w:val="0"/>
                <w:sz w:val="20"/>
                <w:szCs w:val="20"/>
              </w:rPr>
              <w:t>-</w:t>
            </w:r>
          </w:p>
        </w:tc>
      </w:tr>
      <w:tr w:rsidR="00AF6722" w:rsidRPr="001D0858" w14:paraId="6501F7A1" w14:textId="77777777" w:rsidTr="007B2865">
        <w:trPr>
          <w:trHeight w:val="20"/>
        </w:trPr>
        <w:tc>
          <w:tcPr>
            <w:tcW w:w="1155" w:type="pct"/>
          </w:tcPr>
          <w:p w14:paraId="02500EA8" w14:textId="4D55960A" w:rsidR="00AF6722" w:rsidRDefault="00AF6722" w:rsidP="00AF6722">
            <w:pPr>
              <w:pStyle w:val="Tableheading"/>
              <w:rPr>
                <w:rFonts w:cstheme="minorHAnsi"/>
                <w:sz w:val="20"/>
                <w:szCs w:val="20"/>
              </w:rPr>
            </w:pPr>
            <w:r w:rsidRPr="0077647B">
              <w:rPr>
                <w:rFonts w:cstheme="minorHAnsi"/>
                <w:sz w:val="20"/>
                <w:szCs w:val="20"/>
              </w:rPr>
              <w:t>QLD</w:t>
            </w:r>
          </w:p>
        </w:tc>
        <w:tc>
          <w:tcPr>
            <w:tcW w:w="706" w:type="pct"/>
          </w:tcPr>
          <w:p w14:paraId="544EE9FE" w14:textId="11C92007" w:rsidR="00AF6722" w:rsidRPr="000F2789" w:rsidRDefault="00AF6722" w:rsidP="00AF6722">
            <w:pPr>
              <w:pStyle w:val="Tableheading"/>
              <w:rPr>
                <w:rFonts w:cstheme="minorHAnsi"/>
                <w:b w:val="0"/>
                <w:sz w:val="20"/>
                <w:szCs w:val="20"/>
              </w:rPr>
            </w:pPr>
            <w:r w:rsidRPr="00223E42">
              <w:rPr>
                <w:rFonts w:cstheme="minorHAnsi"/>
                <w:b w:val="0"/>
                <w:sz w:val="20"/>
                <w:szCs w:val="20"/>
              </w:rPr>
              <w:t>61</w:t>
            </w:r>
          </w:p>
        </w:tc>
        <w:tc>
          <w:tcPr>
            <w:tcW w:w="1216" w:type="pct"/>
          </w:tcPr>
          <w:p w14:paraId="7273A07F" w14:textId="6BDE59CC" w:rsidR="00AF6722" w:rsidRPr="000F2789" w:rsidRDefault="00AF6722" w:rsidP="00AF6722">
            <w:pPr>
              <w:pStyle w:val="Tableheading"/>
              <w:rPr>
                <w:rFonts w:cstheme="minorHAnsi"/>
                <w:b w:val="0"/>
                <w:sz w:val="20"/>
                <w:szCs w:val="20"/>
              </w:rPr>
            </w:pPr>
            <w:r w:rsidRPr="00223E42">
              <w:rPr>
                <w:rFonts w:cstheme="minorHAnsi"/>
                <w:b w:val="0"/>
                <w:sz w:val="20"/>
                <w:szCs w:val="20"/>
              </w:rPr>
              <w:t>4.0 (0.0, 8.8)</w:t>
            </w:r>
          </w:p>
        </w:tc>
        <w:tc>
          <w:tcPr>
            <w:tcW w:w="961" w:type="pct"/>
          </w:tcPr>
          <w:p w14:paraId="58E11635" w14:textId="0D57621B" w:rsidR="00AF6722" w:rsidRPr="000F2789" w:rsidRDefault="00AF6722" w:rsidP="00AF6722">
            <w:pPr>
              <w:pStyle w:val="Tableheading"/>
              <w:rPr>
                <w:rFonts w:cstheme="minorHAnsi"/>
                <w:b w:val="0"/>
                <w:sz w:val="20"/>
                <w:szCs w:val="20"/>
              </w:rPr>
            </w:pPr>
            <w:r w:rsidRPr="00F52DBB">
              <w:rPr>
                <w:rFonts w:cstheme="minorHAnsi"/>
                <w:b w:val="0"/>
                <w:sz w:val="20"/>
                <w:szCs w:val="20"/>
              </w:rPr>
              <w:t>38</w:t>
            </w:r>
          </w:p>
        </w:tc>
        <w:tc>
          <w:tcPr>
            <w:tcW w:w="962" w:type="pct"/>
          </w:tcPr>
          <w:p w14:paraId="4E1DC2A6" w14:textId="0EC775F4" w:rsidR="00AF6722" w:rsidRPr="000F2789" w:rsidRDefault="00AF6722" w:rsidP="00AF6722">
            <w:pPr>
              <w:pStyle w:val="Tableheading"/>
              <w:rPr>
                <w:rFonts w:cstheme="minorHAnsi"/>
                <w:b w:val="0"/>
                <w:sz w:val="20"/>
                <w:szCs w:val="20"/>
              </w:rPr>
            </w:pPr>
            <w:r w:rsidRPr="00114B9B">
              <w:rPr>
                <w:rFonts w:cstheme="minorHAnsi"/>
                <w:b w:val="0"/>
                <w:sz w:val="20"/>
                <w:szCs w:val="20"/>
              </w:rPr>
              <w:t>2.7 (0.0, 6.1)</w:t>
            </w:r>
          </w:p>
        </w:tc>
      </w:tr>
      <w:tr w:rsidR="00AF6722" w:rsidRPr="001D0858" w14:paraId="2182DEFF" w14:textId="77777777" w:rsidTr="007B2865">
        <w:trPr>
          <w:trHeight w:val="20"/>
        </w:trPr>
        <w:tc>
          <w:tcPr>
            <w:tcW w:w="1155" w:type="pct"/>
          </w:tcPr>
          <w:p w14:paraId="47E988C9" w14:textId="6769CA95" w:rsidR="00AF6722" w:rsidRDefault="00AF6722" w:rsidP="00AF6722">
            <w:pPr>
              <w:pStyle w:val="Tableheading"/>
              <w:rPr>
                <w:rFonts w:cstheme="minorHAnsi"/>
                <w:sz w:val="20"/>
                <w:szCs w:val="20"/>
              </w:rPr>
            </w:pPr>
            <w:r w:rsidRPr="0077647B">
              <w:rPr>
                <w:rFonts w:cstheme="minorHAnsi"/>
                <w:sz w:val="20"/>
                <w:szCs w:val="20"/>
              </w:rPr>
              <w:t>SA</w:t>
            </w:r>
          </w:p>
        </w:tc>
        <w:tc>
          <w:tcPr>
            <w:tcW w:w="706" w:type="pct"/>
          </w:tcPr>
          <w:p w14:paraId="653151F2" w14:textId="6F94460C" w:rsidR="00AF6722" w:rsidRPr="000F40B9" w:rsidRDefault="00AF6722" w:rsidP="00AF6722">
            <w:pPr>
              <w:pStyle w:val="Tableheading"/>
              <w:rPr>
                <w:rFonts w:cstheme="minorHAnsi"/>
                <w:b w:val="0"/>
                <w:sz w:val="20"/>
                <w:szCs w:val="20"/>
              </w:rPr>
            </w:pPr>
            <w:r w:rsidRPr="000F40B9">
              <w:rPr>
                <w:rFonts w:cstheme="minorHAnsi"/>
                <w:b w:val="0"/>
                <w:sz w:val="20"/>
                <w:szCs w:val="20"/>
              </w:rPr>
              <w:t>&lt;10</w:t>
            </w:r>
          </w:p>
        </w:tc>
        <w:tc>
          <w:tcPr>
            <w:tcW w:w="1216" w:type="pct"/>
          </w:tcPr>
          <w:p w14:paraId="3021A355" w14:textId="6F61F25E" w:rsidR="00AF6722" w:rsidRPr="000F40B9" w:rsidRDefault="00AF6722" w:rsidP="00AF6722">
            <w:pPr>
              <w:pStyle w:val="Tableheading"/>
              <w:rPr>
                <w:rFonts w:cstheme="minorHAnsi"/>
                <w:b w:val="0"/>
                <w:sz w:val="20"/>
                <w:szCs w:val="20"/>
              </w:rPr>
            </w:pPr>
            <w:r w:rsidRPr="000F40B9">
              <w:rPr>
                <w:rFonts w:cstheme="minorHAnsi"/>
                <w:b w:val="0"/>
                <w:sz w:val="20"/>
                <w:szCs w:val="20"/>
              </w:rPr>
              <w:t>-</w:t>
            </w:r>
          </w:p>
        </w:tc>
        <w:tc>
          <w:tcPr>
            <w:tcW w:w="961" w:type="pct"/>
          </w:tcPr>
          <w:p w14:paraId="1583B55F" w14:textId="16D2130F" w:rsidR="00AF6722" w:rsidRPr="000F2789" w:rsidRDefault="009E11B9" w:rsidP="00AF6722">
            <w:pPr>
              <w:pStyle w:val="Tableheading"/>
              <w:rPr>
                <w:rFonts w:cstheme="minorHAnsi"/>
                <w:b w:val="0"/>
                <w:sz w:val="20"/>
                <w:szCs w:val="20"/>
              </w:rPr>
            </w:pPr>
            <w:r>
              <w:rPr>
                <w:rFonts w:cstheme="minorHAnsi"/>
                <w:b w:val="0"/>
                <w:sz w:val="20"/>
                <w:szCs w:val="20"/>
              </w:rPr>
              <w:t>&lt;5</w:t>
            </w:r>
          </w:p>
        </w:tc>
        <w:tc>
          <w:tcPr>
            <w:tcW w:w="962" w:type="pct"/>
          </w:tcPr>
          <w:p w14:paraId="78D1A78B" w14:textId="7AF07363" w:rsidR="00AF6722" w:rsidRPr="000F2789" w:rsidRDefault="009E11B9" w:rsidP="00AF6722">
            <w:pPr>
              <w:pStyle w:val="Tableheading"/>
              <w:rPr>
                <w:rFonts w:cstheme="minorHAnsi"/>
                <w:b w:val="0"/>
                <w:sz w:val="20"/>
                <w:szCs w:val="20"/>
              </w:rPr>
            </w:pPr>
            <w:r>
              <w:rPr>
                <w:rFonts w:cstheme="minorHAnsi"/>
                <w:b w:val="0"/>
                <w:sz w:val="20"/>
                <w:szCs w:val="20"/>
              </w:rPr>
              <w:t>-</w:t>
            </w:r>
          </w:p>
        </w:tc>
      </w:tr>
      <w:tr w:rsidR="00AF6722" w:rsidRPr="001D0858" w14:paraId="317C59E2" w14:textId="77777777" w:rsidTr="007B2865">
        <w:trPr>
          <w:trHeight w:val="20"/>
        </w:trPr>
        <w:tc>
          <w:tcPr>
            <w:tcW w:w="1155" w:type="pct"/>
          </w:tcPr>
          <w:p w14:paraId="13B8D8F2" w14:textId="608DA4DF" w:rsidR="00AF6722" w:rsidRDefault="00AF6722" w:rsidP="00AF6722">
            <w:pPr>
              <w:pStyle w:val="Tableheading"/>
              <w:rPr>
                <w:rFonts w:cstheme="minorHAnsi"/>
                <w:sz w:val="20"/>
                <w:szCs w:val="20"/>
              </w:rPr>
            </w:pPr>
            <w:r w:rsidRPr="0077647B">
              <w:rPr>
                <w:rFonts w:cstheme="minorHAnsi"/>
                <w:sz w:val="20"/>
                <w:szCs w:val="20"/>
              </w:rPr>
              <w:t>TAS</w:t>
            </w:r>
          </w:p>
        </w:tc>
        <w:tc>
          <w:tcPr>
            <w:tcW w:w="706" w:type="pct"/>
          </w:tcPr>
          <w:p w14:paraId="35676E0B" w14:textId="7AECE2BC" w:rsidR="00AF6722" w:rsidRPr="000F2789" w:rsidRDefault="00AF6722" w:rsidP="00AF6722">
            <w:pPr>
              <w:pStyle w:val="Tableheading"/>
              <w:rPr>
                <w:rFonts w:cstheme="minorHAnsi"/>
                <w:b w:val="0"/>
                <w:sz w:val="20"/>
                <w:szCs w:val="20"/>
              </w:rPr>
            </w:pPr>
            <w:r w:rsidRPr="00223E42">
              <w:rPr>
                <w:rFonts w:cstheme="minorHAnsi"/>
                <w:b w:val="0"/>
                <w:sz w:val="20"/>
                <w:szCs w:val="20"/>
              </w:rPr>
              <w:t>19</w:t>
            </w:r>
          </w:p>
        </w:tc>
        <w:tc>
          <w:tcPr>
            <w:tcW w:w="1216" w:type="pct"/>
          </w:tcPr>
          <w:p w14:paraId="5BF56354" w14:textId="6CC34C0B" w:rsidR="00AF6722" w:rsidRPr="000F2789" w:rsidRDefault="00AF6722" w:rsidP="00AF6722">
            <w:pPr>
              <w:pStyle w:val="Tableheading"/>
              <w:rPr>
                <w:rFonts w:cstheme="minorHAnsi"/>
                <w:b w:val="0"/>
                <w:sz w:val="20"/>
                <w:szCs w:val="20"/>
              </w:rPr>
            </w:pPr>
            <w:r w:rsidRPr="00223E42">
              <w:rPr>
                <w:rFonts w:cstheme="minorHAnsi"/>
                <w:b w:val="0"/>
                <w:sz w:val="20"/>
                <w:szCs w:val="20"/>
              </w:rPr>
              <w:t>1.3 (0.0, 2.8)</w:t>
            </w:r>
          </w:p>
        </w:tc>
        <w:tc>
          <w:tcPr>
            <w:tcW w:w="961" w:type="pct"/>
          </w:tcPr>
          <w:p w14:paraId="6FF0645B" w14:textId="069FC127" w:rsidR="00AF6722" w:rsidRPr="000F2789" w:rsidRDefault="00AF6722" w:rsidP="00AF6722">
            <w:pPr>
              <w:pStyle w:val="Tableheading"/>
              <w:rPr>
                <w:rFonts w:cstheme="minorHAnsi"/>
                <w:b w:val="0"/>
                <w:sz w:val="20"/>
                <w:szCs w:val="20"/>
              </w:rPr>
            </w:pPr>
            <w:r w:rsidRPr="00F52DBB">
              <w:rPr>
                <w:rFonts w:cstheme="minorHAnsi"/>
                <w:b w:val="0"/>
                <w:sz w:val="20"/>
                <w:szCs w:val="20"/>
              </w:rPr>
              <w:t>10</w:t>
            </w:r>
          </w:p>
        </w:tc>
        <w:tc>
          <w:tcPr>
            <w:tcW w:w="962" w:type="pct"/>
          </w:tcPr>
          <w:p w14:paraId="7446E4E7" w14:textId="74D6CCE0" w:rsidR="00AF6722" w:rsidRPr="000F2789" w:rsidRDefault="00AF6722" w:rsidP="00AF6722">
            <w:pPr>
              <w:pStyle w:val="Tableheading"/>
              <w:rPr>
                <w:rFonts w:cstheme="minorHAnsi"/>
                <w:b w:val="0"/>
                <w:sz w:val="20"/>
                <w:szCs w:val="20"/>
              </w:rPr>
            </w:pPr>
            <w:r w:rsidRPr="00114B9B">
              <w:rPr>
                <w:rFonts w:cstheme="minorHAnsi"/>
                <w:b w:val="0"/>
                <w:sz w:val="20"/>
                <w:szCs w:val="20"/>
              </w:rPr>
              <w:t>0.7 (0.0, 1.6)</w:t>
            </w:r>
          </w:p>
        </w:tc>
      </w:tr>
      <w:tr w:rsidR="00AF6722" w:rsidRPr="001D0858" w14:paraId="746475D6" w14:textId="77777777" w:rsidTr="007B2865">
        <w:trPr>
          <w:trHeight w:val="20"/>
        </w:trPr>
        <w:tc>
          <w:tcPr>
            <w:tcW w:w="1155" w:type="pct"/>
          </w:tcPr>
          <w:p w14:paraId="5A0F9C29" w14:textId="34FAEAAF" w:rsidR="00AF6722" w:rsidRDefault="00AF6722" w:rsidP="00AF6722">
            <w:pPr>
              <w:pStyle w:val="Tableheading"/>
              <w:rPr>
                <w:rFonts w:cstheme="minorHAnsi"/>
                <w:sz w:val="20"/>
                <w:szCs w:val="20"/>
              </w:rPr>
            </w:pPr>
            <w:r w:rsidRPr="0077647B">
              <w:rPr>
                <w:rFonts w:cstheme="minorHAnsi"/>
                <w:sz w:val="20"/>
                <w:szCs w:val="20"/>
              </w:rPr>
              <w:t>VIC</w:t>
            </w:r>
          </w:p>
        </w:tc>
        <w:tc>
          <w:tcPr>
            <w:tcW w:w="706" w:type="pct"/>
          </w:tcPr>
          <w:p w14:paraId="23E6AB56" w14:textId="1B4924AE" w:rsidR="00AF6722" w:rsidRPr="000F2789" w:rsidRDefault="00AF6722" w:rsidP="00AF6722">
            <w:pPr>
              <w:pStyle w:val="Tableheading"/>
              <w:rPr>
                <w:rFonts w:cstheme="minorHAnsi"/>
                <w:b w:val="0"/>
                <w:sz w:val="20"/>
                <w:szCs w:val="20"/>
              </w:rPr>
            </w:pPr>
            <w:r w:rsidRPr="00223E42">
              <w:rPr>
                <w:rFonts w:cstheme="minorHAnsi"/>
                <w:b w:val="0"/>
                <w:sz w:val="20"/>
                <w:szCs w:val="20"/>
              </w:rPr>
              <w:t>657</w:t>
            </w:r>
          </w:p>
        </w:tc>
        <w:tc>
          <w:tcPr>
            <w:tcW w:w="1216" w:type="pct"/>
          </w:tcPr>
          <w:p w14:paraId="6347BEEF" w14:textId="6010E33A" w:rsidR="00AF6722" w:rsidRPr="000F2789" w:rsidRDefault="00AF6722" w:rsidP="00AF6722">
            <w:pPr>
              <w:pStyle w:val="Tableheading"/>
              <w:rPr>
                <w:rFonts w:cstheme="minorHAnsi"/>
                <w:b w:val="0"/>
                <w:sz w:val="20"/>
                <w:szCs w:val="20"/>
              </w:rPr>
            </w:pPr>
            <w:r w:rsidRPr="00223E42">
              <w:rPr>
                <w:rFonts w:cstheme="minorHAnsi"/>
                <w:b w:val="0"/>
                <w:sz w:val="20"/>
                <w:szCs w:val="20"/>
              </w:rPr>
              <w:t>43.3 (0.0, 98.5)</w:t>
            </w:r>
          </w:p>
        </w:tc>
        <w:tc>
          <w:tcPr>
            <w:tcW w:w="961" w:type="pct"/>
          </w:tcPr>
          <w:p w14:paraId="5274B59C" w14:textId="39C1B2AF" w:rsidR="00AF6722" w:rsidRPr="000F2789" w:rsidRDefault="00AF6722" w:rsidP="00AF6722">
            <w:pPr>
              <w:pStyle w:val="Tableheading"/>
              <w:rPr>
                <w:rFonts w:cstheme="minorHAnsi"/>
                <w:b w:val="0"/>
                <w:sz w:val="20"/>
                <w:szCs w:val="20"/>
              </w:rPr>
            </w:pPr>
            <w:r w:rsidRPr="00F52DBB">
              <w:rPr>
                <w:rFonts w:cstheme="minorHAnsi"/>
                <w:b w:val="0"/>
                <w:sz w:val="20"/>
                <w:szCs w:val="20"/>
              </w:rPr>
              <w:t>589</w:t>
            </w:r>
          </w:p>
        </w:tc>
        <w:tc>
          <w:tcPr>
            <w:tcW w:w="962" w:type="pct"/>
          </w:tcPr>
          <w:p w14:paraId="6267F2E4" w14:textId="6F7EA5EF" w:rsidR="00AF6722" w:rsidRPr="000F2789" w:rsidRDefault="00AF6722" w:rsidP="00AF6722">
            <w:pPr>
              <w:pStyle w:val="Tableheading"/>
              <w:rPr>
                <w:rFonts w:cstheme="minorHAnsi"/>
                <w:b w:val="0"/>
                <w:sz w:val="20"/>
                <w:szCs w:val="20"/>
              </w:rPr>
            </w:pPr>
            <w:r w:rsidRPr="00114B9B">
              <w:rPr>
                <w:rFonts w:cstheme="minorHAnsi"/>
                <w:b w:val="0"/>
                <w:sz w:val="20"/>
                <w:szCs w:val="20"/>
              </w:rPr>
              <w:t>42.3 (0.0, 99.4)</w:t>
            </w:r>
          </w:p>
        </w:tc>
      </w:tr>
      <w:tr w:rsidR="00AF6722" w:rsidRPr="001D0858" w14:paraId="099441DF" w14:textId="77777777" w:rsidTr="007B2865">
        <w:trPr>
          <w:trHeight w:val="20"/>
        </w:trPr>
        <w:tc>
          <w:tcPr>
            <w:tcW w:w="1155" w:type="pct"/>
          </w:tcPr>
          <w:p w14:paraId="4C026EF3" w14:textId="190A1617" w:rsidR="00AF6722" w:rsidRDefault="00AF6722" w:rsidP="00AF6722">
            <w:pPr>
              <w:pStyle w:val="Tableheading"/>
              <w:rPr>
                <w:rFonts w:cstheme="minorHAnsi"/>
                <w:sz w:val="20"/>
                <w:szCs w:val="20"/>
              </w:rPr>
            </w:pPr>
            <w:r w:rsidRPr="0077647B">
              <w:rPr>
                <w:rFonts w:cstheme="minorHAnsi"/>
                <w:sz w:val="20"/>
                <w:szCs w:val="20"/>
              </w:rPr>
              <w:t>WA</w:t>
            </w:r>
          </w:p>
        </w:tc>
        <w:tc>
          <w:tcPr>
            <w:tcW w:w="706" w:type="pct"/>
          </w:tcPr>
          <w:p w14:paraId="146730C1" w14:textId="692F5898" w:rsidR="00AF6722" w:rsidRPr="000F2789" w:rsidRDefault="00AF6722" w:rsidP="00AF6722">
            <w:pPr>
              <w:pStyle w:val="Tableheading"/>
              <w:rPr>
                <w:rFonts w:cstheme="minorHAnsi"/>
                <w:b w:val="0"/>
                <w:sz w:val="20"/>
                <w:szCs w:val="20"/>
              </w:rPr>
            </w:pPr>
            <w:r w:rsidRPr="00223E42">
              <w:rPr>
                <w:rFonts w:cstheme="minorHAnsi"/>
                <w:b w:val="0"/>
                <w:sz w:val="20"/>
                <w:szCs w:val="20"/>
              </w:rPr>
              <w:t>14</w:t>
            </w:r>
          </w:p>
        </w:tc>
        <w:tc>
          <w:tcPr>
            <w:tcW w:w="1216" w:type="pct"/>
          </w:tcPr>
          <w:p w14:paraId="55C612BC" w14:textId="77B3A773" w:rsidR="00AF6722" w:rsidRPr="000F2789" w:rsidRDefault="00AF6722" w:rsidP="00AF6722">
            <w:pPr>
              <w:pStyle w:val="Tableheading"/>
              <w:rPr>
                <w:rFonts w:cstheme="minorHAnsi"/>
                <w:b w:val="0"/>
                <w:sz w:val="20"/>
                <w:szCs w:val="20"/>
              </w:rPr>
            </w:pPr>
            <w:r w:rsidRPr="00223E42">
              <w:rPr>
                <w:rFonts w:cstheme="minorHAnsi"/>
                <w:b w:val="0"/>
                <w:sz w:val="20"/>
                <w:szCs w:val="20"/>
              </w:rPr>
              <w:t>0.9 (0.0, 2.2)</w:t>
            </w:r>
          </w:p>
        </w:tc>
        <w:tc>
          <w:tcPr>
            <w:tcW w:w="961" w:type="pct"/>
          </w:tcPr>
          <w:p w14:paraId="2AC9A019" w14:textId="56F0C248" w:rsidR="00AF6722" w:rsidRPr="000F2789" w:rsidRDefault="00AF6722" w:rsidP="00AF6722">
            <w:pPr>
              <w:pStyle w:val="Tableheading"/>
              <w:rPr>
                <w:rFonts w:cstheme="minorHAnsi"/>
                <w:b w:val="0"/>
                <w:sz w:val="20"/>
                <w:szCs w:val="20"/>
              </w:rPr>
            </w:pPr>
            <w:r w:rsidRPr="00F52DBB">
              <w:rPr>
                <w:rFonts w:cstheme="minorHAnsi"/>
                <w:b w:val="0"/>
                <w:sz w:val="20"/>
                <w:szCs w:val="20"/>
              </w:rPr>
              <w:t>11</w:t>
            </w:r>
          </w:p>
        </w:tc>
        <w:tc>
          <w:tcPr>
            <w:tcW w:w="962" w:type="pct"/>
          </w:tcPr>
          <w:p w14:paraId="140FA4D8" w14:textId="68B0A5B4" w:rsidR="00AF6722" w:rsidRPr="000F2789" w:rsidRDefault="00AF6722" w:rsidP="00AF6722">
            <w:pPr>
              <w:pStyle w:val="Tableheading"/>
              <w:rPr>
                <w:rFonts w:cstheme="minorHAnsi"/>
                <w:b w:val="0"/>
                <w:sz w:val="20"/>
                <w:szCs w:val="20"/>
              </w:rPr>
            </w:pPr>
            <w:r w:rsidRPr="00114B9B">
              <w:rPr>
                <w:rFonts w:cstheme="minorHAnsi"/>
                <w:b w:val="0"/>
                <w:sz w:val="20"/>
                <w:szCs w:val="20"/>
              </w:rPr>
              <w:t>0.8 (0.0, 1.9)</w:t>
            </w:r>
          </w:p>
        </w:tc>
      </w:tr>
      <w:tr w:rsidR="007B2865" w:rsidRPr="001D0858" w14:paraId="2993A108" w14:textId="77777777" w:rsidTr="007B2865">
        <w:trPr>
          <w:trHeight w:val="20"/>
        </w:trPr>
        <w:tc>
          <w:tcPr>
            <w:tcW w:w="5000" w:type="pct"/>
            <w:gridSpan w:val="5"/>
            <w:shd w:val="clear" w:color="auto" w:fill="D9D9D9" w:themeFill="background1" w:themeFillShade="D9"/>
          </w:tcPr>
          <w:p w14:paraId="4EDB80E1" w14:textId="77777777" w:rsidR="007B2865" w:rsidRPr="00BA22A5" w:rsidRDefault="007B2865" w:rsidP="0077647B">
            <w:pPr>
              <w:pStyle w:val="Tableheading"/>
              <w:rPr>
                <w:rFonts w:cstheme="minorHAnsi"/>
                <w:bCs/>
                <w:sz w:val="20"/>
                <w:szCs w:val="20"/>
              </w:rPr>
            </w:pPr>
            <w:r w:rsidRPr="00BA22A5">
              <w:rPr>
                <w:rFonts w:cstheme="minorHAnsi"/>
                <w:bCs/>
                <w:sz w:val="20"/>
                <w:szCs w:val="20"/>
              </w:rPr>
              <w:t>Rurality</w:t>
            </w:r>
          </w:p>
        </w:tc>
      </w:tr>
      <w:tr w:rsidR="009E11B9" w:rsidRPr="001D0858" w14:paraId="2876F333" w14:textId="77777777" w:rsidTr="007B2865">
        <w:trPr>
          <w:trHeight w:val="20"/>
        </w:trPr>
        <w:tc>
          <w:tcPr>
            <w:tcW w:w="1155" w:type="pct"/>
          </w:tcPr>
          <w:p w14:paraId="4BD0E96D" w14:textId="21F7F4AB" w:rsidR="009E11B9" w:rsidRPr="0077647B" w:rsidRDefault="009E11B9" w:rsidP="009E11B9">
            <w:pPr>
              <w:pStyle w:val="Tableheading"/>
              <w:rPr>
                <w:rFonts w:cstheme="minorHAnsi"/>
                <w:sz w:val="20"/>
                <w:szCs w:val="20"/>
              </w:rPr>
            </w:pPr>
            <w:r w:rsidRPr="007E2431">
              <w:rPr>
                <w:rFonts w:cstheme="minorHAnsi"/>
                <w:sz w:val="20"/>
                <w:szCs w:val="20"/>
              </w:rPr>
              <w:t>Major city</w:t>
            </w:r>
          </w:p>
        </w:tc>
        <w:tc>
          <w:tcPr>
            <w:tcW w:w="706" w:type="pct"/>
          </w:tcPr>
          <w:p w14:paraId="2897E9B8" w14:textId="0DFB2222" w:rsidR="009E11B9" w:rsidRPr="000F2789" w:rsidRDefault="009E11B9" w:rsidP="009E11B9">
            <w:pPr>
              <w:pStyle w:val="Tableheading"/>
              <w:rPr>
                <w:rFonts w:cstheme="minorHAnsi"/>
                <w:b w:val="0"/>
                <w:sz w:val="20"/>
                <w:szCs w:val="20"/>
              </w:rPr>
            </w:pPr>
            <w:r w:rsidRPr="00112857">
              <w:rPr>
                <w:rFonts w:cstheme="minorHAnsi"/>
                <w:b w:val="0"/>
                <w:sz w:val="20"/>
                <w:szCs w:val="20"/>
              </w:rPr>
              <w:t>1316</w:t>
            </w:r>
          </w:p>
        </w:tc>
        <w:tc>
          <w:tcPr>
            <w:tcW w:w="1216" w:type="pct"/>
          </w:tcPr>
          <w:p w14:paraId="66EDF9A1" w14:textId="1DAAB9E3" w:rsidR="009E11B9" w:rsidRPr="00372559" w:rsidRDefault="009E11B9" w:rsidP="009E11B9">
            <w:pPr>
              <w:pStyle w:val="Tableheading"/>
              <w:rPr>
                <w:rFonts w:cstheme="minorHAnsi"/>
                <w:b w:val="0"/>
                <w:sz w:val="20"/>
                <w:szCs w:val="20"/>
              </w:rPr>
            </w:pPr>
            <w:r w:rsidRPr="00223E42">
              <w:rPr>
                <w:rFonts w:cstheme="minorHAnsi"/>
                <w:b w:val="0"/>
                <w:sz w:val="20"/>
                <w:szCs w:val="20"/>
              </w:rPr>
              <w:t>86.7 (79.5, 93.9)</w:t>
            </w:r>
          </w:p>
        </w:tc>
        <w:tc>
          <w:tcPr>
            <w:tcW w:w="961" w:type="pct"/>
          </w:tcPr>
          <w:p w14:paraId="528E81C2" w14:textId="41B7821D" w:rsidR="009E11B9" w:rsidRPr="000F2789" w:rsidRDefault="009E11B9" w:rsidP="009E11B9">
            <w:pPr>
              <w:pStyle w:val="Tableheading"/>
              <w:rPr>
                <w:rFonts w:cstheme="minorHAnsi"/>
                <w:b w:val="0"/>
                <w:sz w:val="20"/>
                <w:szCs w:val="20"/>
              </w:rPr>
            </w:pPr>
            <w:r w:rsidRPr="00F52DBB">
              <w:rPr>
                <w:rFonts w:cstheme="minorHAnsi"/>
                <w:b w:val="0"/>
                <w:sz w:val="20"/>
                <w:szCs w:val="20"/>
              </w:rPr>
              <w:t>1230</w:t>
            </w:r>
          </w:p>
        </w:tc>
        <w:tc>
          <w:tcPr>
            <w:tcW w:w="962" w:type="pct"/>
          </w:tcPr>
          <w:p w14:paraId="4014DB60" w14:textId="7D182AF7" w:rsidR="009E11B9" w:rsidRPr="000F2789" w:rsidRDefault="009E11B9" w:rsidP="009E11B9">
            <w:pPr>
              <w:pStyle w:val="Tableheading"/>
              <w:rPr>
                <w:rFonts w:cstheme="minorHAnsi"/>
                <w:b w:val="0"/>
                <w:sz w:val="20"/>
                <w:szCs w:val="20"/>
              </w:rPr>
            </w:pPr>
            <w:r w:rsidRPr="009E11B9">
              <w:rPr>
                <w:rFonts w:cstheme="minorHAnsi"/>
                <w:b w:val="0"/>
                <w:sz w:val="20"/>
                <w:szCs w:val="20"/>
              </w:rPr>
              <w:t>88.4 (82.2, 94.7)</w:t>
            </w:r>
          </w:p>
        </w:tc>
      </w:tr>
      <w:tr w:rsidR="009E11B9" w:rsidRPr="001D0858" w14:paraId="11D0DF55" w14:textId="77777777" w:rsidTr="007B2865">
        <w:trPr>
          <w:trHeight w:val="20"/>
        </w:trPr>
        <w:tc>
          <w:tcPr>
            <w:tcW w:w="1155" w:type="pct"/>
          </w:tcPr>
          <w:p w14:paraId="26E57AC4" w14:textId="4071FCEB" w:rsidR="009E11B9" w:rsidRPr="0077647B" w:rsidRDefault="009E11B9" w:rsidP="009E11B9">
            <w:pPr>
              <w:pStyle w:val="Tableheading"/>
              <w:rPr>
                <w:rFonts w:cstheme="minorHAnsi"/>
                <w:sz w:val="20"/>
                <w:szCs w:val="20"/>
              </w:rPr>
            </w:pPr>
            <w:r w:rsidRPr="007E2431">
              <w:rPr>
                <w:rFonts w:cstheme="minorHAnsi"/>
                <w:sz w:val="20"/>
                <w:szCs w:val="20"/>
              </w:rPr>
              <w:t>Inner regional</w:t>
            </w:r>
          </w:p>
        </w:tc>
        <w:tc>
          <w:tcPr>
            <w:tcW w:w="706" w:type="pct"/>
          </w:tcPr>
          <w:p w14:paraId="4CA36F9E" w14:textId="76592CF1" w:rsidR="009E11B9" w:rsidRPr="000F2789" w:rsidRDefault="009E11B9" w:rsidP="009E11B9">
            <w:pPr>
              <w:pStyle w:val="Tableheading"/>
              <w:rPr>
                <w:rFonts w:cstheme="minorHAnsi"/>
                <w:b w:val="0"/>
                <w:sz w:val="20"/>
                <w:szCs w:val="20"/>
              </w:rPr>
            </w:pPr>
            <w:r w:rsidRPr="00112857">
              <w:rPr>
                <w:rFonts w:cstheme="minorHAnsi"/>
                <w:b w:val="0"/>
                <w:sz w:val="20"/>
                <w:szCs w:val="20"/>
              </w:rPr>
              <w:t>160</w:t>
            </w:r>
          </w:p>
        </w:tc>
        <w:tc>
          <w:tcPr>
            <w:tcW w:w="1216" w:type="pct"/>
          </w:tcPr>
          <w:p w14:paraId="34FDE601" w14:textId="39AA0C7C" w:rsidR="009E11B9" w:rsidRPr="00372559" w:rsidRDefault="009E11B9" w:rsidP="009E11B9">
            <w:pPr>
              <w:pStyle w:val="Tableheading"/>
              <w:rPr>
                <w:rFonts w:cstheme="minorHAnsi"/>
                <w:b w:val="0"/>
                <w:sz w:val="20"/>
                <w:szCs w:val="20"/>
              </w:rPr>
            </w:pPr>
            <w:r w:rsidRPr="00223E42">
              <w:rPr>
                <w:rFonts w:cstheme="minorHAnsi"/>
                <w:b w:val="0"/>
                <w:sz w:val="20"/>
                <w:szCs w:val="20"/>
              </w:rPr>
              <w:t>10.5 (5.3, 15.8)</w:t>
            </w:r>
          </w:p>
        </w:tc>
        <w:tc>
          <w:tcPr>
            <w:tcW w:w="961" w:type="pct"/>
          </w:tcPr>
          <w:p w14:paraId="0B6D7388" w14:textId="38077B49" w:rsidR="009E11B9" w:rsidRPr="000F2789" w:rsidRDefault="009E11B9" w:rsidP="009E11B9">
            <w:pPr>
              <w:pStyle w:val="Tableheading"/>
              <w:rPr>
                <w:rFonts w:cstheme="minorHAnsi"/>
                <w:b w:val="0"/>
                <w:sz w:val="20"/>
                <w:szCs w:val="20"/>
              </w:rPr>
            </w:pPr>
            <w:r w:rsidRPr="00F52DBB">
              <w:rPr>
                <w:rFonts w:cstheme="minorHAnsi"/>
                <w:b w:val="0"/>
                <w:sz w:val="20"/>
                <w:szCs w:val="20"/>
              </w:rPr>
              <w:t>132</w:t>
            </w:r>
          </w:p>
        </w:tc>
        <w:tc>
          <w:tcPr>
            <w:tcW w:w="962" w:type="pct"/>
          </w:tcPr>
          <w:p w14:paraId="00F5E09B" w14:textId="4AA3D7C8" w:rsidR="009E11B9" w:rsidRPr="000F2789" w:rsidRDefault="009E11B9" w:rsidP="009E11B9">
            <w:pPr>
              <w:pStyle w:val="Tableheading"/>
              <w:rPr>
                <w:rFonts w:cstheme="minorHAnsi"/>
                <w:b w:val="0"/>
                <w:sz w:val="20"/>
                <w:szCs w:val="20"/>
              </w:rPr>
            </w:pPr>
            <w:r w:rsidRPr="009E11B9">
              <w:rPr>
                <w:rFonts w:cstheme="minorHAnsi"/>
                <w:b w:val="0"/>
                <w:sz w:val="20"/>
                <w:szCs w:val="20"/>
              </w:rPr>
              <w:t>9.5 (4.6, 14.4)</w:t>
            </w:r>
          </w:p>
        </w:tc>
      </w:tr>
      <w:tr w:rsidR="009E11B9" w:rsidRPr="001D0858" w14:paraId="6A31A83B" w14:textId="77777777" w:rsidTr="007B2865">
        <w:trPr>
          <w:trHeight w:val="20"/>
        </w:trPr>
        <w:tc>
          <w:tcPr>
            <w:tcW w:w="1155" w:type="pct"/>
          </w:tcPr>
          <w:p w14:paraId="762440DE" w14:textId="555E3B2F" w:rsidR="009E11B9" w:rsidRPr="0077647B" w:rsidRDefault="009E11B9" w:rsidP="009E11B9">
            <w:pPr>
              <w:pStyle w:val="Tableheading"/>
              <w:rPr>
                <w:rFonts w:cstheme="minorHAnsi"/>
                <w:sz w:val="20"/>
                <w:szCs w:val="20"/>
              </w:rPr>
            </w:pPr>
            <w:r w:rsidRPr="007E2431">
              <w:rPr>
                <w:rFonts w:cstheme="minorHAnsi"/>
                <w:sz w:val="20"/>
                <w:szCs w:val="20"/>
              </w:rPr>
              <w:lastRenderedPageBreak/>
              <w:t>Outer regional</w:t>
            </w:r>
            <w:r w:rsidR="003F77C7">
              <w:rPr>
                <w:rFonts w:cstheme="minorHAnsi"/>
                <w:sz w:val="20"/>
                <w:szCs w:val="20"/>
              </w:rPr>
              <w:t>/remote</w:t>
            </w:r>
          </w:p>
        </w:tc>
        <w:tc>
          <w:tcPr>
            <w:tcW w:w="706" w:type="pct"/>
          </w:tcPr>
          <w:p w14:paraId="67D9690D" w14:textId="516C60C3" w:rsidR="009E11B9" w:rsidRPr="003F77C7" w:rsidRDefault="003F77C7" w:rsidP="009E11B9">
            <w:pPr>
              <w:pStyle w:val="Tableheading"/>
              <w:rPr>
                <w:rFonts w:cstheme="minorHAnsi"/>
                <w:b w:val="0"/>
                <w:sz w:val="20"/>
                <w:szCs w:val="20"/>
              </w:rPr>
            </w:pPr>
            <w:r w:rsidRPr="003F77C7">
              <w:rPr>
                <w:rFonts w:cstheme="minorHAnsi"/>
                <w:b w:val="0"/>
                <w:sz w:val="20"/>
                <w:szCs w:val="20"/>
              </w:rPr>
              <w:t>42</w:t>
            </w:r>
          </w:p>
        </w:tc>
        <w:tc>
          <w:tcPr>
            <w:tcW w:w="1216" w:type="pct"/>
          </w:tcPr>
          <w:p w14:paraId="1AA000DA" w14:textId="51EB5330" w:rsidR="009E11B9" w:rsidRPr="003F77C7" w:rsidRDefault="009E11B9" w:rsidP="009E11B9">
            <w:pPr>
              <w:pStyle w:val="Tableheading"/>
              <w:rPr>
                <w:rFonts w:cstheme="minorHAnsi"/>
                <w:b w:val="0"/>
                <w:sz w:val="20"/>
                <w:szCs w:val="20"/>
              </w:rPr>
            </w:pPr>
            <w:r w:rsidRPr="003F77C7">
              <w:rPr>
                <w:rFonts w:cstheme="minorHAnsi"/>
                <w:b w:val="0"/>
                <w:sz w:val="20"/>
                <w:szCs w:val="20"/>
              </w:rPr>
              <w:t>2.</w:t>
            </w:r>
            <w:r w:rsidR="003F77C7" w:rsidRPr="003F77C7">
              <w:rPr>
                <w:rFonts w:cstheme="minorHAnsi"/>
                <w:b w:val="0"/>
                <w:sz w:val="20"/>
                <w:szCs w:val="20"/>
              </w:rPr>
              <w:t>8</w:t>
            </w:r>
            <w:r w:rsidRPr="003F77C7">
              <w:rPr>
                <w:rFonts w:cstheme="minorHAnsi"/>
                <w:b w:val="0"/>
                <w:sz w:val="20"/>
                <w:szCs w:val="20"/>
              </w:rPr>
              <w:t xml:space="preserve"> (0.4, </w:t>
            </w:r>
            <w:r w:rsidR="003F77C7" w:rsidRPr="003F77C7">
              <w:rPr>
                <w:rFonts w:cstheme="minorHAnsi"/>
                <w:b w:val="0"/>
                <w:sz w:val="20"/>
                <w:szCs w:val="20"/>
              </w:rPr>
              <w:t>5.1</w:t>
            </w:r>
            <w:r w:rsidRPr="003F77C7">
              <w:rPr>
                <w:rFonts w:cstheme="minorHAnsi"/>
                <w:b w:val="0"/>
                <w:sz w:val="20"/>
                <w:szCs w:val="20"/>
              </w:rPr>
              <w:t>)</w:t>
            </w:r>
          </w:p>
        </w:tc>
        <w:tc>
          <w:tcPr>
            <w:tcW w:w="961" w:type="pct"/>
          </w:tcPr>
          <w:p w14:paraId="074D589B" w14:textId="6848A5BA" w:rsidR="009E11B9" w:rsidRPr="003F77C7" w:rsidRDefault="009E11B9" w:rsidP="009E11B9">
            <w:pPr>
              <w:pStyle w:val="Tableheading"/>
              <w:rPr>
                <w:rFonts w:cstheme="minorHAnsi"/>
                <w:b w:val="0"/>
                <w:sz w:val="20"/>
                <w:szCs w:val="20"/>
              </w:rPr>
            </w:pPr>
            <w:r w:rsidRPr="003F77C7">
              <w:rPr>
                <w:rFonts w:cstheme="minorHAnsi"/>
                <w:b w:val="0"/>
                <w:sz w:val="20"/>
                <w:szCs w:val="20"/>
              </w:rPr>
              <w:t>2</w:t>
            </w:r>
            <w:r w:rsidR="003F77C7" w:rsidRPr="003F77C7">
              <w:rPr>
                <w:rFonts w:cstheme="minorHAnsi"/>
                <w:b w:val="0"/>
                <w:sz w:val="20"/>
                <w:szCs w:val="20"/>
              </w:rPr>
              <w:t>9</w:t>
            </w:r>
          </w:p>
        </w:tc>
        <w:tc>
          <w:tcPr>
            <w:tcW w:w="962" w:type="pct"/>
          </w:tcPr>
          <w:p w14:paraId="3D4CE8A2" w14:textId="2F10FBF4" w:rsidR="009E11B9" w:rsidRPr="003F77C7" w:rsidRDefault="003F77C7" w:rsidP="009E11B9">
            <w:pPr>
              <w:pStyle w:val="Tableheading"/>
              <w:rPr>
                <w:rFonts w:cstheme="minorHAnsi"/>
                <w:b w:val="0"/>
                <w:sz w:val="20"/>
                <w:szCs w:val="20"/>
              </w:rPr>
            </w:pPr>
            <w:r w:rsidRPr="003F77C7">
              <w:rPr>
                <w:rFonts w:cstheme="minorHAnsi"/>
                <w:b w:val="0"/>
                <w:sz w:val="20"/>
                <w:szCs w:val="20"/>
              </w:rPr>
              <w:t>2.0</w:t>
            </w:r>
            <w:r w:rsidR="009E11B9" w:rsidRPr="003F77C7">
              <w:rPr>
                <w:rFonts w:cstheme="minorHAnsi"/>
                <w:b w:val="0"/>
                <w:sz w:val="20"/>
                <w:szCs w:val="20"/>
              </w:rPr>
              <w:t xml:space="preserve"> (0.3, 3.</w:t>
            </w:r>
            <w:r w:rsidRPr="003F77C7">
              <w:rPr>
                <w:rFonts w:cstheme="minorHAnsi"/>
                <w:b w:val="0"/>
                <w:sz w:val="20"/>
                <w:szCs w:val="20"/>
              </w:rPr>
              <w:t>9</w:t>
            </w:r>
            <w:r w:rsidR="009E11B9" w:rsidRPr="003F77C7">
              <w:rPr>
                <w:rFonts w:cstheme="minorHAnsi"/>
                <w:b w:val="0"/>
                <w:sz w:val="20"/>
                <w:szCs w:val="20"/>
              </w:rPr>
              <w:t>)</w:t>
            </w:r>
          </w:p>
        </w:tc>
      </w:tr>
      <w:tr w:rsidR="00AF6722" w:rsidRPr="001D0858" w14:paraId="0CBD0525" w14:textId="77777777" w:rsidTr="007B2865">
        <w:trPr>
          <w:trHeight w:val="20"/>
        </w:trPr>
        <w:tc>
          <w:tcPr>
            <w:tcW w:w="5000" w:type="pct"/>
            <w:gridSpan w:val="5"/>
            <w:shd w:val="clear" w:color="auto" w:fill="D9D9D9" w:themeFill="background1" w:themeFillShade="D9"/>
          </w:tcPr>
          <w:p w14:paraId="72FFA84C" w14:textId="77777777" w:rsidR="00AF6722" w:rsidRPr="00BA22A5" w:rsidRDefault="00AF6722" w:rsidP="00AF6722">
            <w:pPr>
              <w:pStyle w:val="Tableheading"/>
              <w:rPr>
                <w:rFonts w:cstheme="minorHAnsi"/>
                <w:bCs/>
                <w:sz w:val="20"/>
                <w:szCs w:val="20"/>
              </w:rPr>
            </w:pPr>
            <w:r w:rsidRPr="00BA22A5">
              <w:rPr>
                <w:rFonts w:cstheme="minorHAnsi"/>
                <w:bCs/>
                <w:sz w:val="20"/>
                <w:szCs w:val="20"/>
              </w:rPr>
              <w:t>Socioeconomic status</w:t>
            </w:r>
          </w:p>
        </w:tc>
      </w:tr>
      <w:tr w:rsidR="00F52DBB" w:rsidRPr="001D0858" w14:paraId="6A85AC77" w14:textId="77777777" w:rsidTr="007B2865">
        <w:trPr>
          <w:trHeight w:val="20"/>
        </w:trPr>
        <w:tc>
          <w:tcPr>
            <w:tcW w:w="1155" w:type="pct"/>
          </w:tcPr>
          <w:p w14:paraId="107F0781" w14:textId="6A63090A" w:rsidR="00F52DBB" w:rsidRPr="0077647B" w:rsidRDefault="00F52DBB" w:rsidP="00F52DBB">
            <w:pPr>
              <w:pStyle w:val="Tableheading"/>
              <w:rPr>
                <w:rFonts w:cstheme="minorHAnsi"/>
                <w:sz w:val="20"/>
                <w:szCs w:val="20"/>
              </w:rPr>
            </w:pPr>
            <w:r w:rsidRPr="0083679A">
              <w:rPr>
                <w:rFonts w:cstheme="minorHAnsi"/>
                <w:sz w:val="20"/>
                <w:szCs w:val="20"/>
              </w:rPr>
              <w:t>1 (most disadvantaged)</w:t>
            </w:r>
          </w:p>
        </w:tc>
        <w:tc>
          <w:tcPr>
            <w:tcW w:w="706" w:type="pct"/>
          </w:tcPr>
          <w:p w14:paraId="744F9FB3" w14:textId="6BA8089B" w:rsidR="00F52DBB" w:rsidRPr="000F2789" w:rsidRDefault="00F52DBB" w:rsidP="00F52DBB">
            <w:pPr>
              <w:pStyle w:val="Tableheading"/>
              <w:rPr>
                <w:rFonts w:cstheme="minorHAnsi"/>
                <w:b w:val="0"/>
                <w:sz w:val="20"/>
                <w:szCs w:val="20"/>
              </w:rPr>
            </w:pPr>
            <w:r w:rsidRPr="00112857">
              <w:rPr>
                <w:rFonts w:cstheme="minorHAnsi"/>
                <w:b w:val="0"/>
                <w:sz w:val="20"/>
                <w:szCs w:val="20"/>
              </w:rPr>
              <w:t>121</w:t>
            </w:r>
          </w:p>
        </w:tc>
        <w:tc>
          <w:tcPr>
            <w:tcW w:w="1216" w:type="pct"/>
          </w:tcPr>
          <w:p w14:paraId="2DAE8CF1" w14:textId="3B71FB2D" w:rsidR="00F52DBB" w:rsidRPr="000F2789" w:rsidRDefault="00F52DBB" w:rsidP="00F52DBB">
            <w:pPr>
              <w:pStyle w:val="Tableheading"/>
              <w:rPr>
                <w:rFonts w:cstheme="minorHAnsi"/>
                <w:b w:val="0"/>
                <w:sz w:val="20"/>
                <w:szCs w:val="20"/>
              </w:rPr>
            </w:pPr>
            <w:r w:rsidRPr="00223E42">
              <w:rPr>
                <w:rFonts w:cstheme="minorHAnsi"/>
                <w:b w:val="0"/>
                <w:sz w:val="20"/>
                <w:szCs w:val="20"/>
              </w:rPr>
              <w:t>8.0 (3.1, 12.8)</w:t>
            </w:r>
          </w:p>
        </w:tc>
        <w:tc>
          <w:tcPr>
            <w:tcW w:w="961" w:type="pct"/>
          </w:tcPr>
          <w:p w14:paraId="1C61B738" w14:textId="2994CF6B" w:rsidR="00F52DBB" w:rsidRPr="000F2789" w:rsidRDefault="00F52DBB" w:rsidP="00F52DBB">
            <w:pPr>
              <w:pStyle w:val="Tableheading"/>
              <w:rPr>
                <w:rFonts w:cstheme="minorHAnsi"/>
                <w:b w:val="0"/>
                <w:sz w:val="20"/>
                <w:szCs w:val="20"/>
              </w:rPr>
            </w:pPr>
            <w:r w:rsidRPr="00F52DBB">
              <w:rPr>
                <w:rFonts w:cstheme="minorHAnsi"/>
                <w:b w:val="0"/>
                <w:sz w:val="20"/>
                <w:szCs w:val="20"/>
              </w:rPr>
              <w:t>99</w:t>
            </w:r>
          </w:p>
        </w:tc>
        <w:tc>
          <w:tcPr>
            <w:tcW w:w="962" w:type="pct"/>
          </w:tcPr>
          <w:p w14:paraId="6BBEA5A0" w14:textId="777EDBCB" w:rsidR="00F52DBB" w:rsidRPr="000F2789" w:rsidRDefault="00F52DBB" w:rsidP="00F52DBB">
            <w:pPr>
              <w:pStyle w:val="Tableheading"/>
              <w:rPr>
                <w:rFonts w:cstheme="minorHAnsi"/>
                <w:b w:val="0"/>
                <w:sz w:val="20"/>
                <w:szCs w:val="20"/>
              </w:rPr>
            </w:pPr>
            <w:r w:rsidRPr="00114B9B">
              <w:rPr>
                <w:rFonts w:cstheme="minorHAnsi"/>
                <w:b w:val="0"/>
                <w:sz w:val="20"/>
                <w:szCs w:val="20"/>
              </w:rPr>
              <w:t>7.1 (3.2, 11.1)</w:t>
            </w:r>
          </w:p>
        </w:tc>
      </w:tr>
      <w:tr w:rsidR="00F52DBB" w:rsidRPr="001D0858" w14:paraId="795D6EFF" w14:textId="77777777" w:rsidTr="007B2865">
        <w:trPr>
          <w:trHeight w:val="20"/>
        </w:trPr>
        <w:tc>
          <w:tcPr>
            <w:tcW w:w="1155" w:type="pct"/>
          </w:tcPr>
          <w:p w14:paraId="5097C8B0" w14:textId="22491C0D" w:rsidR="00F52DBB" w:rsidRPr="0077647B" w:rsidRDefault="00F52DBB" w:rsidP="00F52DBB">
            <w:pPr>
              <w:pStyle w:val="Tableheading"/>
              <w:rPr>
                <w:rFonts w:cstheme="minorHAnsi"/>
                <w:sz w:val="20"/>
                <w:szCs w:val="20"/>
              </w:rPr>
            </w:pPr>
            <w:r w:rsidRPr="0083679A">
              <w:rPr>
                <w:rFonts w:cstheme="minorHAnsi"/>
                <w:sz w:val="20"/>
                <w:szCs w:val="20"/>
              </w:rPr>
              <w:t xml:space="preserve"> 2 </w:t>
            </w:r>
          </w:p>
        </w:tc>
        <w:tc>
          <w:tcPr>
            <w:tcW w:w="706" w:type="pct"/>
          </w:tcPr>
          <w:p w14:paraId="69FAF64E" w14:textId="285F07C3" w:rsidR="00F52DBB" w:rsidRPr="000F2789" w:rsidRDefault="00F52DBB" w:rsidP="00F52DBB">
            <w:pPr>
              <w:pStyle w:val="Tableheading"/>
              <w:rPr>
                <w:rFonts w:cstheme="minorHAnsi"/>
                <w:b w:val="0"/>
                <w:sz w:val="20"/>
                <w:szCs w:val="20"/>
              </w:rPr>
            </w:pPr>
            <w:r w:rsidRPr="00112857">
              <w:rPr>
                <w:rFonts w:cstheme="minorHAnsi"/>
                <w:b w:val="0"/>
                <w:sz w:val="20"/>
                <w:szCs w:val="20"/>
              </w:rPr>
              <w:t>91</w:t>
            </w:r>
          </w:p>
        </w:tc>
        <w:tc>
          <w:tcPr>
            <w:tcW w:w="1216" w:type="pct"/>
          </w:tcPr>
          <w:p w14:paraId="5BC7FD87" w14:textId="1EBDC3E4" w:rsidR="00F52DBB" w:rsidRPr="000F2789" w:rsidRDefault="00F52DBB" w:rsidP="00F52DBB">
            <w:pPr>
              <w:pStyle w:val="Tableheading"/>
              <w:rPr>
                <w:rFonts w:cstheme="minorHAnsi"/>
                <w:b w:val="0"/>
                <w:sz w:val="20"/>
                <w:szCs w:val="20"/>
              </w:rPr>
            </w:pPr>
            <w:r w:rsidRPr="00223E42">
              <w:rPr>
                <w:rFonts w:cstheme="minorHAnsi"/>
                <w:b w:val="0"/>
                <w:sz w:val="20"/>
                <w:szCs w:val="20"/>
              </w:rPr>
              <w:t>6.0 (3.3, 8.7)</w:t>
            </w:r>
          </w:p>
        </w:tc>
        <w:tc>
          <w:tcPr>
            <w:tcW w:w="961" w:type="pct"/>
          </w:tcPr>
          <w:p w14:paraId="2256132A" w14:textId="4CE60839" w:rsidR="00F52DBB" w:rsidRPr="000F2789" w:rsidRDefault="00F52DBB" w:rsidP="00F52DBB">
            <w:pPr>
              <w:pStyle w:val="Tableheading"/>
              <w:rPr>
                <w:rFonts w:cstheme="minorHAnsi"/>
                <w:b w:val="0"/>
                <w:sz w:val="20"/>
                <w:szCs w:val="20"/>
              </w:rPr>
            </w:pPr>
            <w:r w:rsidRPr="00F52DBB">
              <w:rPr>
                <w:rFonts w:cstheme="minorHAnsi"/>
                <w:b w:val="0"/>
                <w:sz w:val="20"/>
                <w:szCs w:val="20"/>
              </w:rPr>
              <w:t>78</w:t>
            </w:r>
          </w:p>
        </w:tc>
        <w:tc>
          <w:tcPr>
            <w:tcW w:w="962" w:type="pct"/>
          </w:tcPr>
          <w:p w14:paraId="5B29F40B" w14:textId="58C30224" w:rsidR="00F52DBB" w:rsidRPr="000F2789" w:rsidRDefault="00F52DBB" w:rsidP="00F52DBB">
            <w:pPr>
              <w:pStyle w:val="Tableheading"/>
              <w:rPr>
                <w:rFonts w:cstheme="minorHAnsi"/>
                <w:b w:val="0"/>
                <w:sz w:val="20"/>
                <w:szCs w:val="20"/>
              </w:rPr>
            </w:pPr>
            <w:r w:rsidRPr="00114B9B">
              <w:rPr>
                <w:rFonts w:cstheme="minorHAnsi"/>
                <w:b w:val="0"/>
                <w:sz w:val="20"/>
                <w:szCs w:val="20"/>
              </w:rPr>
              <w:t>5.6 (3.2, 8.0)</w:t>
            </w:r>
          </w:p>
        </w:tc>
      </w:tr>
      <w:tr w:rsidR="00F52DBB" w:rsidRPr="001D0858" w14:paraId="103AF579" w14:textId="77777777" w:rsidTr="007B2865">
        <w:trPr>
          <w:trHeight w:val="20"/>
        </w:trPr>
        <w:tc>
          <w:tcPr>
            <w:tcW w:w="1155" w:type="pct"/>
          </w:tcPr>
          <w:p w14:paraId="1BAFB60A" w14:textId="69C5DAE3" w:rsidR="00F52DBB" w:rsidRPr="0077647B" w:rsidRDefault="00F52DBB" w:rsidP="00F52DBB">
            <w:pPr>
              <w:pStyle w:val="Tableheading"/>
              <w:rPr>
                <w:rFonts w:cstheme="minorHAnsi"/>
                <w:sz w:val="20"/>
                <w:szCs w:val="20"/>
              </w:rPr>
            </w:pPr>
            <w:r w:rsidRPr="0083679A">
              <w:rPr>
                <w:rFonts w:cstheme="minorHAnsi"/>
                <w:sz w:val="20"/>
                <w:szCs w:val="20"/>
              </w:rPr>
              <w:t xml:space="preserve"> 3 </w:t>
            </w:r>
          </w:p>
        </w:tc>
        <w:tc>
          <w:tcPr>
            <w:tcW w:w="706" w:type="pct"/>
          </w:tcPr>
          <w:p w14:paraId="3EE770E1" w14:textId="60B99B94" w:rsidR="00F52DBB" w:rsidRPr="000F2789" w:rsidRDefault="00F52DBB" w:rsidP="00F52DBB">
            <w:pPr>
              <w:pStyle w:val="Tableheading"/>
              <w:rPr>
                <w:rFonts w:cstheme="minorHAnsi"/>
                <w:b w:val="0"/>
                <w:sz w:val="20"/>
                <w:szCs w:val="20"/>
              </w:rPr>
            </w:pPr>
            <w:r w:rsidRPr="00112857">
              <w:rPr>
                <w:rFonts w:cstheme="minorHAnsi"/>
                <w:b w:val="0"/>
                <w:sz w:val="20"/>
                <w:szCs w:val="20"/>
              </w:rPr>
              <w:t>118</w:t>
            </w:r>
          </w:p>
        </w:tc>
        <w:tc>
          <w:tcPr>
            <w:tcW w:w="1216" w:type="pct"/>
          </w:tcPr>
          <w:p w14:paraId="4FE23A02" w14:textId="7110D3CC" w:rsidR="00F52DBB" w:rsidRPr="000F2789" w:rsidRDefault="00F52DBB" w:rsidP="00F52DBB">
            <w:pPr>
              <w:pStyle w:val="Tableheading"/>
              <w:rPr>
                <w:rFonts w:cstheme="minorHAnsi"/>
                <w:b w:val="0"/>
                <w:sz w:val="20"/>
                <w:szCs w:val="20"/>
              </w:rPr>
            </w:pPr>
            <w:r w:rsidRPr="00223E42">
              <w:rPr>
                <w:rFonts w:cstheme="minorHAnsi"/>
                <w:b w:val="0"/>
                <w:sz w:val="20"/>
                <w:szCs w:val="20"/>
              </w:rPr>
              <w:t>7.8 (2.4, 13.2)</w:t>
            </w:r>
          </w:p>
        </w:tc>
        <w:tc>
          <w:tcPr>
            <w:tcW w:w="961" w:type="pct"/>
          </w:tcPr>
          <w:p w14:paraId="34D84980" w14:textId="2FD65012" w:rsidR="00F52DBB" w:rsidRPr="000F2789" w:rsidRDefault="00F52DBB" w:rsidP="00F52DBB">
            <w:pPr>
              <w:pStyle w:val="Tableheading"/>
              <w:rPr>
                <w:rFonts w:cstheme="minorHAnsi"/>
                <w:b w:val="0"/>
                <w:sz w:val="20"/>
                <w:szCs w:val="20"/>
              </w:rPr>
            </w:pPr>
            <w:r w:rsidRPr="00F52DBB">
              <w:rPr>
                <w:rFonts w:cstheme="minorHAnsi"/>
                <w:b w:val="0"/>
                <w:sz w:val="20"/>
                <w:szCs w:val="20"/>
              </w:rPr>
              <w:t>100</w:t>
            </w:r>
          </w:p>
        </w:tc>
        <w:tc>
          <w:tcPr>
            <w:tcW w:w="962" w:type="pct"/>
          </w:tcPr>
          <w:p w14:paraId="6888871E" w14:textId="4C36019C" w:rsidR="00F52DBB" w:rsidRPr="000F2789" w:rsidRDefault="00F52DBB" w:rsidP="00F52DBB">
            <w:pPr>
              <w:pStyle w:val="Tableheading"/>
              <w:rPr>
                <w:rFonts w:cstheme="minorHAnsi"/>
                <w:b w:val="0"/>
                <w:sz w:val="20"/>
                <w:szCs w:val="20"/>
              </w:rPr>
            </w:pPr>
            <w:r w:rsidRPr="00114B9B">
              <w:rPr>
                <w:rFonts w:cstheme="minorHAnsi"/>
                <w:b w:val="0"/>
                <w:sz w:val="20"/>
                <w:szCs w:val="20"/>
              </w:rPr>
              <w:t>7.2 (2.8, 11.5)</w:t>
            </w:r>
          </w:p>
        </w:tc>
      </w:tr>
      <w:tr w:rsidR="00F52DBB" w:rsidRPr="001D0858" w14:paraId="2E0C3982" w14:textId="77777777" w:rsidTr="007B2865">
        <w:trPr>
          <w:trHeight w:val="20"/>
        </w:trPr>
        <w:tc>
          <w:tcPr>
            <w:tcW w:w="1155" w:type="pct"/>
          </w:tcPr>
          <w:p w14:paraId="09872898" w14:textId="666B3132" w:rsidR="00F52DBB" w:rsidRPr="0077647B" w:rsidRDefault="00F52DBB" w:rsidP="00F52DBB">
            <w:pPr>
              <w:pStyle w:val="Tableheading"/>
              <w:rPr>
                <w:rFonts w:cstheme="minorHAnsi"/>
                <w:sz w:val="20"/>
                <w:szCs w:val="20"/>
              </w:rPr>
            </w:pPr>
            <w:r w:rsidRPr="0083679A">
              <w:rPr>
                <w:rFonts w:cstheme="minorHAnsi"/>
                <w:sz w:val="20"/>
                <w:szCs w:val="20"/>
              </w:rPr>
              <w:t xml:space="preserve"> 4 </w:t>
            </w:r>
          </w:p>
        </w:tc>
        <w:tc>
          <w:tcPr>
            <w:tcW w:w="706" w:type="pct"/>
          </w:tcPr>
          <w:p w14:paraId="212D1428" w14:textId="4B927181" w:rsidR="00F52DBB" w:rsidRPr="000F2789" w:rsidRDefault="00F52DBB" w:rsidP="00F52DBB">
            <w:pPr>
              <w:pStyle w:val="Tableheading"/>
              <w:rPr>
                <w:rFonts w:cstheme="minorHAnsi"/>
                <w:b w:val="0"/>
                <w:sz w:val="20"/>
                <w:szCs w:val="20"/>
              </w:rPr>
            </w:pPr>
            <w:r w:rsidRPr="00112857">
              <w:rPr>
                <w:rFonts w:cstheme="minorHAnsi"/>
                <w:b w:val="0"/>
                <w:sz w:val="20"/>
                <w:szCs w:val="20"/>
              </w:rPr>
              <w:t>258</w:t>
            </w:r>
          </w:p>
        </w:tc>
        <w:tc>
          <w:tcPr>
            <w:tcW w:w="1216" w:type="pct"/>
          </w:tcPr>
          <w:p w14:paraId="596AFA34" w14:textId="2D9A2E60" w:rsidR="00F52DBB" w:rsidRPr="000F2789" w:rsidRDefault="00F52DBB" w:rsidP="00F52DBB">
            <w:pPr>
              <w:pStyle w:val="Tableheading"/>
              <w:rPr>
                <w:rFonts w:cstheme="minorHAnsi"/>
                <w:b w:val="0"/>
                <w:sz w:val="20"/>
                <w:szCs w:val="20"/>
              </w:rPr>
            </w:pPr>
            <w:r w:rsidRPr="00223E42">
              <w:rPr>
                <w:rFonts w:cstheme="minorHAnsi"/>
                <w:b w:val="0"/>
                <w:sz w:val="20"/>
                <w:szCs w:val="20"/>
              </w:rPr>
              <w:t>17.0 (10.5, 23.5)</w:t>
            </w:r>
          </w:p>
        </w:tc>
        <w:tc>
          <w:tcPr>
            <w:tcW w:w="961" w:type="pct"/>
          </w:tcPr>
          <w:p w14:paraId="780D7527" w14:textId="4BCA8274" w:rsidR="00F52DBB" w:rsidRPr="000F2789" w:rsidRDefault="00F52DBB" w:rsidP="00F52DBB">
            <w:pPr>
              <w:pStyle w:val="Tableheading"/>
              <w:rPr>
                <w:rFonts w:cstheme="minorHAnsi"/>
                <w:b w:val="0"/>
                <w:sz w:val="20"/>
                <w:szCs w:val="20"/>
              </w:rPr>
            </w:pPr>
            <w:r w:rsidRPr="00F52DBB">
              <w:rPr>
                <w:rFonts w:cstheme="minorHAnsi"/>
                <w:b w:val="0"/>
                <w:sz w:val="20"/>
                <w:szCs w:val="20"/>
              </w:rPr>
              <w:t>232</w:t>
            </w:r>
          </w:p>
        </w:tc>
        <w:tc>
          <w:tcPr>
            <w:tcW w:w="962" w:type="pct"/>
          </w:tcPr>
          <w:p w14:paraId="37545852" w14:textId="4EE8920A" w:rsidR="00F52DBB" w:rsidRPr="000F2789" w:rsidRDefault="00F52DBB" w:rsidP="00F52DBB">
            <w:pPr>
              <w:pStyle w:val="Tableheading"/>
              <w:rPr>
                <w:rFonts w:cstheme="minorHAnsi"/>
                <w:b w:val="0"/>
                <w:sz w:val="20"/>
                <w:szCs w:val="20"/>
              </w:rPr>
            </w:pPr>
            <w:r w:rsidRPr="00114B9B">
              <w:rPr>
                <w:rFonts w:cstheme="minorHAnsi"/>
                <w:b w:val="0"/>
                <w:sz w:val="20"/>
                <w:szCs w:val="20"/>
              </w:rPr>
              <w:t>16.7 (9.6, 23.7)</w:t>
            </w:r>
          </w:p>
        </w:tc>
      </w:tr>
      <w:tr w:rsidR="00F52DBB" w:rsidRPr="001D0858" w14:paraId="1E27D324" w14:textId="77777777" w:rsidTr="007B2865">
        <w:trPr>
          <w:trHeight w:val="20"/>
        </w:trPr>
        <w:tc>
          <w:tcPr>
            <w:tcW w:w="1155" w:type="pct"/>
          </w:tcPr>
          <w:p w14:paraId="0CDE2198" w14:textId="012E5AEE" w:rsidR="00F52DBB" w:rsidRPr="0077647B" w:rsidRDefault="00F52DBB" w:rsidP="00F52DBB">
            <w:pPr>
              <w:pStyle w:val="Tableheading"/>
              <w:rPr>
                <w:rFonts w:cstheme="minorHAnsi"/>
                <w:sz w:val="20"/>
                <w:szCs w:val="20"/>
              </w:rPr>
            </w:pPr>
            <w:r w:rsidRPr="0083679A">
              <w:rPr>
                <w:rFonts w:cstheme="minorHAnsi"/>
                <w:sz w:val="20"/>
                <w:szCs w:val="20"/>
              </w:rPr>
              <w:t>5 (most advantaged)</w:t>
            </w:r>
          </w:p>
        </w:tc>
        <w:tc>
          <w:tcPr>
            <w:tcW w:w="706" w:type="pct"/>
          </w:tcPr>
          <w:p w14:paraId="40BB845C" w14:textId="4C193B8D" w:rsidR="00F52DBB" w:rsidRPr="000F2789" w:rsidRDefault="00F52DBB" w:rsidP="00F52DBB">
            <w:pPr>
              <w:pStyle w:val="Tableheading"/>
              <w:rPr>
                <w:rFonts w:cstheme="minorHAnsi"/>
                <w:b w:val="0"/>
                <w:sz w:val="20"/>
                <w:szCs w:val="20"/>
              </w:rPr>
            </w:pPr>
            <w:r w:rsidRPr="00112857">
              <w:rPr>
                <w:rFonts w:cstheme="minorHAnsi"/>
                <w:b w:val="0"/>
                <w:sz w:val="20"/>
                <w:szCs w:val="20"/>
              </w:rPr>
              <w:t>930</w:t>
            </w:r>
          </w:p>
        </w:tc>
        <w:tc>
          <w:tcPr>
            <w:tcW w:w="1216" w:type="pct"/>
          </w:tcPr>
          <w:p w14:paraId="74D1837A" w14:textId="0EF1D6B2" w:rsidR="00F52DBB" w:rsidRPr="000F2789" w:rsidRDefault="00F52DBB" w:rsidP="00F52DBB">
            <w:pPr>
              <w:pStyle w:val="Tableheading"/>
              <w:rPr>
                <w:rFonts w:cstheme="minorHAnsi"/>
                <w:b w:val="0"/>
                <w:sz w:val="20"/>
                <w:szCs w:val="20"/>
              </w:rPr>
            </w:pPr>
            <w:r w:rsidRPr="00223E42">
              <w:rPr>
                <w:rFonts w:cstheme="minorHAnsi"/>
                <w:b w:val="0"/>
                <w:sz w:val="20"/>
                <w:szCs w:val="20"/>
              </w:rPr>
              <w:t>61.3 (43.1, 79.4)</w:t>
            </w:r>
          </w:p>
        </w:tc>
        <w:tc>
          <w:tcPr>
            <w:tcW w:w="961" w:type="pct"/>
          </w:tcPr>
          <w:p w14:paraId="24ADD928" w14:textId="32FB73A8" w:rsidR="00F52DBB" w:rsidRPr="000F2789" w:rsidRDefault="00F52DBB" w:rsidP="00F52DBB">
            <w:pPr>
              <w:pStyle w:val="Tableheading"/>
              <w:rPr>
                <w:rFonts w:cstheme="minorHAnsi"/>
                <w:b w:val="0"/>
                <w:sz w:val="20"/>
                <w:szCs w:val="20"/>
              </w:rPr>
            </w:pPr>
            <w:r w:rsidRPr="00F52DBB">
              <w:rPr>
                <w:rFonts w:cstheme="minorHAnsi"/>
                <w:b w:val="0"/>
                <w:sz w:val="20"/>
                <w:szCs w:val="20"/>
              </w:rPr>
              <w:t>882</w:t>
            </w:r>
          </w:p>
        </w:tc>
        <w:tc>
          <w:tcPr>
            <w:tcW w:w="962" w:type="pct"/>
          </w:tcPr>
          <w:p w14:paraId="3C70947F" w14:textId="4B3777B4" w:rsidR="00F52DBB" w:rsidRPr="000F2789" w:rsidRDefault="00F52DBB" w:rsidP="00F52DBB">
            <w:pPr>
              <w:pStyle w:val="Tableheading"/>
              <w:rPr>
                <w:rFonts w:cstheme="minorHAnsi"/>
                <w:b w:val="0"/>
                <w:sz w:val="20"/>
                <w:szCs w:val="20"/>
              </w:rPr>
            </w:pPr>
            <w:r w:rsidRPr="00114B9B">
              <w:rPr>
                <w:rFonts w:cstheme="minorHAnsi"/>
                <w:b w:val="0"/>
                <w:sz w:val="20"/>
                <w:szCs w:val="20"/>
              </w:rPr>
              <w:t>63.4 (46.5, 80.3)</w:t>
            </w:r>
          </w:p>
        </w:tc>
      </w:tr>
      <w:tr w:rsidR="007B2865" w:rsidRPr="001D0858" w14:paraId="4387C0DE" w14:textId="77777777" w:rsidTr="007B2865">
        <w:trPr>
          <w:trHeight w:val="20"/>
        </w:trPr>
        <w:tc>
          <w:tcPr>
            <w:tcW w:w="5000" w:type="pct"/>
            <w:gridSpan w:val="5"/>
            <w:shd w:val="clear" w:color="auto" w:fill="D9D9D9" w:themeFill="background1" w:themeFillShade="D9"/>
          </w:tcPr>
          <w:p w14:paraId="4B2D97DF" w14:textId="77777777" w:rsidR="007B2865" w:rsidRPr="00BA22A5" w:rsidRDefault="007B2865" w:rsidP="0077647B">
            <w:pPr>
              <w:pStyle w:val="Tableheading"/>
              <w:rPr>
                <w:rFonts w:cstheme="minorHAnsi"/>
                <w:bCs/>
                <w:sz w:val="20"/>
                <w:szCs w:val="20"/>
              </w:rPr>
            </w:pPr>
            <w:r w:rsidRPr="00BA22A5">
              <w:rPr>
                <w:rFonts w:cstheme="minorHAnsi"/>
                <w:bCs/>
                <w:sz w:val="20"/>
                <w:szCs w:val="20"/>
              </w:rPr>
              <w:t>Aboriginal and Torres Strait Islander status</w:t>
            </w:r>
          </w:p>
        </w:tc>
      </w:tr>
      <w:tr w:rsidR="007B2865" w:rsidRPr="001D0858" w14:paraId="7B293210" w14:textId="77777777" w:rsidTr="007B2865">
        <w:trPr>
          <w:trHeight w:val="20"/>
        </w:trPr>
        <w:tc>
          <w:tcPr>
            <w:tcW w:w="1155" w:type="pct"/>
          </w:tcPr>
          <w:p w14:paraId="6BABE9C6" w14:textId="435728C8" w:rsidR="007B2865" w:rsidRPr="0077647B" w:rsidRDefault="007B2865" w:rsidP="00503066">
            <w:pPr>
              <w:pStyle w:val="Tableheading"/>
              <w:rPr>
                <w:rFonts w:cstheme="minorHAnsi"/>
                <w:sz w:val="20"/>
                <w:szCs w:val="20"/>
              </w:rPr>
            </w:pPr>
            <w:r w:rsidRPr="00503066">
              <w:rPr>
                <w:rFonts w:cstheme="minorHAnsi"/>
                <w:sz w:val="20"/>
                <w:szCs w:val="20"/>
              </w:rPr>
              <w:t>Aboriginal and Torres Strait Islander</w:t>
            </w:r>
          </w:p>
        </w:tc>
        <w:tc>
          <w:tcPr>
            <w:tcW w:w="706" w:type="pct"/>
          </w:tcPr>
          <w:p w14:paraId="3D343D94" w14:textId="0952C138" w:rsidR="007B2865" w:rsidRPr="000F2789" w:rsidRDefault="00112857" w:rsidP="00503066">
            <w:pPr>
              <w:pStyle w:val="Tableheading"/>
              <w:rPr>
                <w:rFonts w:cstheme="minorHAnsi"/>
                <w:b w:val="0"/>
                <w:sz w:val="20"/>
                <w:szCs w:val="20"/>
              </w:rPr>
            </w:pPr>
            <w:r>
              <w:rPr>
                <w:rFonts w:cstheme="minorHAnsi"/>
                <w:b w:val="0"/>
                <w:sz w:val="20"/>
                <w:szCs w:val="20"/>
              </w:rPr>
              <w:t>31</w:t>
            </w:r>
          </w:p>
        </w:tc>
        <w:tc>
          <w:tcPr>
            <w:tcW w:w="1216" w:type="pct"/>
          </w:tcPr>
          <w:p w14:paraId="524BC606" w14:textId="4BE868EE" w:rsidR="007B2865" w:rsidRPr="000F2789" w:rsidRDefault="00077621" w:rsidP="008CFE99">
            <w:pPr>
              <w:pStyle w:val="Tableheading"/>
              <w:rPr>
                <w:rFonts w:cstheme="minorBidi"/>
                <w:b w:val="0"/>
                <w:sz w:val="20"/>
                <w:szCs w:val="20"/>
              </w:rPr>
            </w:pPr>
            <w:r w:rsidRPr="0D867A03">
              <w:rPr>
                <w:rFonts w:cstheme="minorBidi"/>
                <w:b w:val="0"/>
                <w:sz w:val="20"/>
                <w:szCs w:val="20"/>
              </w:rPr>
              <w:t>2.0 (0.9, 3.2)</w:t>
            </w:r>
          </w:p>
          <w:p w14:paraId="182B18EE" w14:textId="51835088" w:rsidR="007B2865" w:rsidRPr="000F2789" w:rsidRDefault="02749956" w:rsidP="00503066">
            <w:pPr>
              <w:pStyle w:val="Tableheading"/>
              <w:rPr>
                <w:rFonts w:cstheme="minorBidi"/>
                <w:b w:val="0"/>
                <w:sz w:val="20"/>
                <w:szCs w:val="20"/>
              </w:rPr>
            </w:pPr>
            <w:r w:rsidRPr="008CFE99">
              <w:rPr>
                <w:rFonts w:cstheme="minorBidi"/>
                <w:b w:val="0"/>
                <w:sz w:val="20"/>
                <w:szCs w:val="20"/>
              </w:rPr>
              <w:t>2.8% of reported status</w:t>
            </w:r>
          </w:p>
        </w:tc>
        <w:tc>
          <w:tcPr>
            <w:tcW w:w="961" w:type="pct"/>
          </w:tcPr>
          <w:p w14:paraId="5EB8C705" w14:textId="18035398" w:rsidR="007B2865" w:rsidRPr="000F2789" w:rsidRDefault="00F52DBB" w:rsidP="008CFE99">
            <w:pPr>
              <w:pStyle w:val="Tableheading"/>
              <w:rPr>
                <w:rFonts w:cstheme="minorBidi"/>
                <w:b w:val="0"/>
                <w:sz w:val="20"/>
                <w:szCs w:val="20"/>
              </w:rPr>
            </w:pPr>
            <w:r w:rsidRPr="008CFE99">
              <w:rPr>
                <w:rFonts w:cstheme="minorBidi"/>
                <w:b w:val="0"/>
                <w:sz w:val="20"/>
                <w:szCs w:val="20"/>
              </w:rPr>
              <w:t>26</w:t>
            </w:r>
          </w:p>
          <w:p w14:paraId="486824D9" w14:textId="29CCD5AE" w:rsidR="007B2865" w:rsidRPr="000F2789" w:rsidRDefault="007B2865" w:rsidP="00503066">
            <w:pPr>
              <w:pStyle w:val="Tableheading"/>
              <w:rPr>
                <w:rFonts w:cstheme="minorBidi"/>
                <w:b w:val="0"/>
                <w:sz w:val="20"/>
                <w:szCs w:val="20"/>
              </w:rPr>
            </w:pPr>
          </w:p>
        </w:tc>
        <w:tc>
          <w:tcPr>
            <w:tcW w:w="962" w:type="pct"/>
          </w:tcPr>
          <w:p w14:paraId="682E38B3" w14:textId="0C0859AE" w:rsidR="007B2865" w:rsidRPr="000F2789" w:rsidRDefault="00F45695" w:rsidP="008CFE99">
            <w:pPr>
              <w:pStyle w:val="Tableheading"/>
              <w:rPr>
                <w:rFonts w:cstheme="minorBidi"/>
                <w:b w:val="0"/>
                <w:sz w:val="20"/>
                <w:szCs w:val="20"/>
              </w:rPr>
            </w:pPr>
            <w:r w:rsidRPr="008CFE99">
              <w:rPr>
                <w:rFonts w:cstheme="minorBidi"/>
                <w:b w:val="0"/>
                <w:sz w:val="20"/>
                <w:szCs w:val="20"/>
              </w:rPr>
              <w:t>1.9 (1.0, 2.8)</w:t>
            </w:r>
          </w:p>
          <w:p w14:paraId="5E5A701F" w14:textId="4F30F22A" w:rsidR="007B2865" w:rsidRPr="000F2789" w:rsidRDefault="6250F527" w:rsidP="00503066">
            <w:pPr>
              <w:pStyle w:val="Tableheading"/>
              <w:rPr>
                <w:rFonts w:cstheme="minorBidi"/>
                <w:b w:val="0"/>
                <w:sz w:val="20"/>
                <w:szCs w:val="20"/>
              </w:rPr>
            </w:pPr>
            <w:r w:rsidRPr="008CFE99">
              <w:rPr>
                <w:rFonts w:cstheme="minorBidi"/>
                <w:b w:val="0"/>
                <w:sz w:val="20"/>
                <w:szCs w:val="20"/>
              </w:rPr>
              <w:t>2.6% of reported status</w:t>
            </w:r>
          </w:p>
        </w:tc>
      </w:tr>
      <w:tr w:rsidR="007B2865" w:rsidRPr="001D0858" w14:paraId="71319C77" w14:textId="77777777" w:rsidTr="007B2865">
        <w:trPr>
          <w:trHeight w:val="20"/>
        </w:trPr>
        <w:tc>
          <w:tcPr>
            <w:tcW w:w="1155" w:type="pct"/>
          </w:tcPr>
          <w:p w14:paraId="79AA7A54" w14:textId="01C4679D" w:rsidR="007B2865" w:rsidRPr="0077647B" w:rsidRDefault="007B2865" w:rsidP="00503066">
            <w:pPr>
              <w:pStyle w:val="Tableheading"/>
              <w:rPr>
                <w:rFonts w:cstheme="minorHAnsi"/>
                <w:sz w:val="20"/>
                <w:szCs w:val="20"/>
              </w:rPr>
            </w:pPr>
            <w:r w:rsidRPr="00503066">
              <w:rPr>
                <w:rFonts w:cstheme="minorHAnsi"/>
                <w:sz w:val="20"/>
                <w:szCs w:val="20"/>
              </w:rPr>
              <w:t>Not Aboriginal and Torres Strait Islander</w:t>
            </w:r>
          </w:p>
        </w:tc>
        <w:tc>
          <w:tcPr>
            <w:tcW w:w="706" w:type="pct"/>
          </w:tcPr>
          <w:p w14:paraId="1C23D517" w14:textId="67105CC1" w:rsidR="007B2865" w:rsidRPr="000F2789" w:rsidRDefault="00112857" w:rsidP="00503066">
            <w:pPr>
              <w:pStyle w:val="Tableheading"/>
              <w:rPr>
                <w:rFonts w:cstheme="minorHAnsi"/>
                <w:b w:val="0"/>
                <w:sz w:val="20"/>
                <w:szCs w:val="20"/>
              </w:rPr>
            </w:pPr>
            <w:r>
              <w:rPr>
                <w:rFonts w:cstheme="minorHAnsi"/>
                <w:b w:val="0"/>
                <w:sz w:val="20"/>
                <w:szCs w:val="20"/>
              </w:rPr>
              <w:t>1071</w:t>
            </w:r>
          </w:p>
        </w:tc>
        <w:tc>
          <w:tcPr>
            <w:tcW w:w="1216" w:type="pct"/>
          </w:tcPr>
          <w:p w14:paraId="25B28E7A" w14:textId="69B0F086" w:rsidR="007B2865" w:rsidRPr="000F2789" w:rsidRDefault="00D85EA2" w:rsidP="00503066">
            <w:pPr>
              <w:pStyle w:val="Tableheading"/>
              <w:rPr>
                <w:rFonts w:cstheme="minorHAnsi"/>
                <w:b w:val="0"/>
                <w:sz w:val="20"/>
                <w:szCs w:val="20"/>
              </w:rPr>
            </w:pPr>
            <w:r w:rsidRPr="00D85EA2">
              <w:rPr>
                <w:rFonts w:cstheme="minorHAnsi"/>
                <w:b w:val="0"/>
                <w:sz w:val="20"/>
                <w:szCs w:val="20"/>
              </w:rPr>
              <w:t>70.6 (46.8, 94.3)</w:t>
            </w:r>
          </w:p>
        </w:tc>
        <w:tc>
          <w:tcPr>
            <w:tcW w:w="961" w:type="pct"/>
          </w:tcPr>
          <w:p w14:paraId="4E109DDC" w14:textId="2D148EB9" w:rsidR="007B2865" w:rsidRPr="000F2789" w:rsidRDefault="00F52DBB" w:rsidP="00503066">
            <w:pPr>
              <w:pStyle w:val="Tableheading"/>
              <w:rPr>
                <w:rFonts w:cstheme="minorHAnsi"/>
                <w:b w:val="0"/>
                <w:sz w:val="20"/>
                <w:szCs w:val="20"/>
              </w:rPr>
            </w:pPr>
            <w:r>
              <w:rPr>
                <w:rFonts w:cstheme="minorHAnsi"/>
                <w:b w:val="0"/>
                <w:sz w:val="20"/>
                <w:szCs w:val="20"/>
              </w:rPr>
              <w:t>981</w:t>
            </w:r>
          </w:p>
        </w:tc>
        <w:tc>
          <w:tcPr>
            <w:tcW w:w="962" w:type="pct"/>
          </w:tcPr>
          <w:p w14:paraId="6E84DBF5" w14:textId="5CE95BF9" w:rsidR="007B2865" w:rsidRPr="000F2789" w:rsidRDefault="00114B9B" w:rsidP="00503066">
            <w:pPr>
              <w:pStyle w:val="Tableheading"/>
              <w:rPr>
                <w:rFonts w:cstheme="minorHAnsi"/>
                <w:b w:val="0"/>
                <w:sz w:val="20"/>
                <w:szCs w:val="20"/>
              </w:rPr>
            </w:pPr>
            <w:r w:rsidRPr="00114B9B">
              <w:rPr>
                <w:rFonts w:cstheme="minorHAnsi"/>
                <w:b w:val="0"/>
                <w:sz w:val="20"/>
                <w:szCs w:val="20"/>
              </w:rPr>
              <w:t>70.5 (44.4, 96.7)</w:t>
            </w:r>
          </w:p>
        </w:tc>
      </w:tr>
      <w:tr w:rsidR="007B2865" w:rsidRPr="001D0858" w14:paraId="0D59B01C" w14:textId="77777777" w:rsidTr="007B2865">
        <w:trPr>
          <w:trHeight w:val="20"/>
        </w:trPr>
        <w:tc>
          <w:tcPr>
            <w:tcW w:w="1155" w:type="pct"/>
          </w:tcPr>
          <w:p w14:paraId="72099CC6" w14:textId="66C7952D" w:rsidR="007B2865" w:rsidRPr="0077647B" w:rsidRDefault="007B2865" w:rsidP="00503066">
            <w:pPr>
              <w:pStyle w:val="Tableheading"/>
              <w:rPr>
                <w:rFonts w:cstheme="minorHAnsi"/>
                <w:sz w:val="20"/>
                <w:szCs w:val="20"/>
              </w:rPr>
            </w:pPr>
            <w:r w:rsidRPr="00503066">
              <w:rPr>
                <w:rFonts w:cstheme="minorHAnsi"/>
                <w:sz w:val="20"/>
                <w:szCs w:val="20"/>
              </w:rPr>
              <w:t>Not reported</w:t>
            </w:r>
          </w:p>
        </w:tc>
        <w:tc>
          <w:tcPr>
            <w:tcW w:w="706" w:type="pct"/>
          </w:tcPr>
          <w:p w14:paraId="75D058CE" w14:textId="2C722BD4" w:rsidR="007B2865" w:rsidRPr="000F2789" w:rsidRDefault="00112857" w:rsidP="00503066">
            <w:pPr>
              <w:pStyle w:val="Tableheading"/>
              <w:rPr>
                <w:rFonts w:cstheme="minorHAnsi"/>
                <w:b w:val="0"/>
                <w:sz w:val="20"/>
                <w:szCs w:val="20"/>
              </w:rPr>
            </w:pPr>
            <w:r>
              <w:rPr>
                <w:rFonts w:cstheme="minorHAnsi"/>
                <w:b w:val="0"/>
                <w:sz w:val="20"/>
                <w:szCs w:val="20"/>
              </w:rPr>
              <w:t>416</w:t>
            </w:r>
          </w:p>
        </w:tc>
        <w:tc>
          <w:tcPr>
            <w:tcW w:w="1216" w:type="pct"/>
          </w:tcPr>
          <w:p w14:paraId="54EBC0DC" w14:textId="3A20D4C4" w:rsidR="007B2865" w:rsidRPr="000F2789" w:rsidRDefault="00D85EA2" w:rsidP="00503066">
            <w:pPr>
              <w:pStyle w:val="Tableheading"/>
              <w:rPr>
                <w:rFonts w:cstheme="minorHAnsi"/>
                <w:b w:val="0"/>
                <w:sz w:val="20"/>
                <w:szCs w:val="20"/>
              </w:rPr>
            </w:pPr>
            <w:r w:rsidRPr="00D85EA2">
              <w:rPr>
                <w:rFonts w:cstheme="minorHAnsi"/>
                <w:b w:val="0"/>
                <w:sz w:val="20"/>
                <w:szCs w:val="20"/>
              </w:rPr>
              <w:t>27.4 (3.9, 50.9)</w:t>
            </w:r>
          </w:p>
        </w:tc>
        <w:tc>
          <w:tcPr>
            <w:tcW w:w="961" w:type="pct"/>
          </w:tcPr>
          <w:p w14:paraId="735292A8" w14:textId="476AFBD7" w:rsidR="007B2865" w:rsidRPr="000F2789" w:rsidRDefault="00F52DBB" w:rsidP="00503066">
            <w:pPr>
              <w:pStyle w:val="Tableheading"/>
              <w:rPr>
                <w:rFonts w:cstheme="minorHAnsi"/>
                <w:b w:val="0"/>
                <w:sz w:val="20"/>
                <w:szCs w:val="20"/>
              </w:rPr>
            </w:pPr>
            <w:r>
              <w:rPr>
                <w:rFonts w:cstheme="minorHAnsi"/>
                <w:b w:val="0"/>
                <w:sz w:val="20"/>
                <w:szCs w:val="20"/>
              </w:rPr>
              <w:t>384</w:t>
            </w:r>
          </w:p>
        </w:tc>
        <w:tc>
          <w:tcPr>
            <w:tcW w:w="962" w:type="pct"/>
          </w:tcPr>
          <w:p w14:paraId="41D135F6" w14:textId="554C4999" w:rsidR="007B2865" w:rsidRPr="000F2789" w:rsidRDefault="00F45695" w:rsidP="00503066">
            <w:pPr>
              <w:pStyle w:val="Tableheading"/>
              <w:rPr>
                <w:rFonts w:cstheme="minorHAnsi"/>
                <w:b w:val="0"/>
                <w:sz w:val="20"/>
                <w:szCs w:val="20"/>
              </w:rPr>
            </w:pPr>
            <w:r w:rsidRPr="00F45695">
              <w:rPr>
                <w:rFonts w:cstheme="minorHAnsi"/>
                <w:b w:val="0"/>
                <w:sz w:val="20"/>
                <w:szCs w:val="20"/>
              </w:rPr>
              <w:t>27.6 (2.1, 53.1)</w:t>
            </w:r>
          </w:p>
        </w:tc>
      </w:tr>
      <w:tr w:rsidR="00422364" w:rsidRPr="001D0858" w14:paraId="589FAC58" w14:textId="77777777" w:rsidTr="00422364">
        <w:trPr>
          <w:trHeight w:val="20"/>
        </w:trPr>
        <w:tc>
          <w:tcPr>
            <w:tcW w:w="5000" w:type="pct"/>
            <w:gridSpan w:val="5"/>
            <w:shd w:val="clear" w:color="auto" w:fill="D9D9D9" w:themeFill="background1" w:themeFillShade="D9"/>
          </w:tcPr>
          <w:p w14:paraId="797D57D6" w14:textId="72F92D9D" w:rsidR="00422364" w:rsidRPr="00F45695" w:rsidRDefault="00422364" w:rsidP="00503066">
            <w:pPr>
              <w:pStyle w:val="Tableheading"/>
              <w:rPr>
                <w:rFonts w:cstheme="minorHAnsi"/>
                <w:b w:val="0"/>
                <w:sz w:val="20"/>
                <w:szCs w:val="20"/>
              </w:rPr>
            </w:pPr>
            <w:r>
              <w:rPr>
                <w:rFonts w:cstheme="minorHAnsi"/>
                <w:bCs/>
                <w:sz w:val="20"/>
                <w:szCs w:val="20"/>
              </w:rPr>
              <w:t>HIV</w:t>
            </w:r>
            <w:r w:rsidRPr="00063B1A">
              <w:rPr>
                <w:rFonts w:cstheme="minorHAnsi"/>
                <w:bCs/>
                <w:sz w:val="20"/>
                <w:szCs w:val="20"/>
              </w:rPr>
              <w:t xml:space="preserve"> caseload of the practice</w:t>
            </w:r>
          </w:p>
        </w:tc>
      </w:tr>
      <w:tr w:rsidR="00422364" w:rsidRPr="001D0858" w14:paraId="5CC69BE0" w14:textId="77777777" w:rsidTr="007B2865">
        <w:trPr>
          <w:trHeight w:val="20"/>
        </w:trPr>
        <w:tc>
          <w:tcPr>
            <w:tcW w:w="1155" w:type="pct"/>
          </w:tcPr>
          <w:p w14:paraId="50A24BCD" w14:textId="50DA2513" w:rsidR="00422364" w:rsidRPr="00503066" w:rsidRDefault="00422364" w:rsidP="00422364">
            <w:pPr>
              <w:pStyle w:val="Tableheading"/>
              <w:rPr>
                <w:rFonts w:cstheme="minorHAnsi"/>
                <w:sz w:val="20"/>
                <w:szCs w:val="20"/>
              </w:rPr>
            </w:pPr>
            <w:r>
              <w:rPr>
                <w:rFonts w:cstheme="minorHAnsi"/>
                <w:sz w:val="20"/>
                <w:szCs w:val="20"/>
              </w:rPr>
              <w:t>High caseload†</w:t>
            </w:r>
          </w:p>
        </w:tc>
        <w:tc>
          <w:tcPr>
            <w:tcW w:w="706" w:type="pct"/>
          </w:tcPr>
          <w:p w14:paraId="7D42EB15" w14:textId="5BCD22EA" w:rsidR="00422364" w:rsidRDefault="00422364" w:rsidP="00422364">
            <w:pPr>
              <w:pStyle w:val="Tableheading"/>
              <w:rPr>
                <w:rFonts w:cstheme="minorHAnsi"/>
                <w:b w:val="0"/>
                <w:sz w:val="20"/>
                <w:szCs w:val="20"/>
              </w:rPr>
            </w:pPr>
            <w:r>
              <w:rPr>
                <w:rFonts w:cstheme="minorHAnsi"/>
                <w:b w:val="0"/>
                <w:sz w:val="20"/>
                <w:szCs w:val="20"/>
              </w:rPr>
              <w:t>1278</w:t>
            </w:r>
          </w:p>
        </w:tc>
        <w:tc>
          <w:tcPr>
            <w:tcW w:w="1216" w:type="pct"/>
          </w:tcPr>
          <w:p w14:paraId="0B418F40" w14:textId="67C1631E" w:rsidR="00422364" w:rsidRPr="00D85EA2" w:rsidRDefault="00422364" w:rsidP="00422364">
            <w:pPr>
              <w:pStyle w:val="Tableheading"/>
              <w:rPr>
                <w:rFonts w:cstheme="minorHAnsi"/>
                <w:b w:val="0"/>
                <w:sz w:val="20"/>
                <w:szCs w:val="20"/>
              </w:rPr>
            </w:pPr>
            <w:r>
              <w:rPr>
                <w:rFonts w:cstheme="minorHAnsi"/>
                <w:b w:val="0"/>
                <w:sz w:val="20"/>
                <w:szCs w:val="20"/>
              </w:rPr>
              <w:t>84.2 (65.0, 100.0)</w:t>
            </w:r>
          </w:p>
        </w:tc>
        <w:tc>
          <w:tcPr>
            <w:tcW w:w="961" w:type="pct"/>
          </w:tcPr>
          <w:p w14:paraId="6D213F39" w14:textId="01045643" w:rsidR="00422364" w:rsidRDefault="00422364" w:rsidP="00422364">
            <w:pPr>
              <w:pStyle w:val="Tableheading"/>
              <w:rPr>
                <w:rFonts w:cstheme="minorHAnsi"/>
                <w:b w:val="0"/>
                <w:sz w:val="20"/>
                <w:szCs w:val="20"/>
              </w:rPr>
            </w:pPr>
            <w:r>
              <w:rPr>
                <w:rFonts w:cstheme="minorHAnsi"/>
                <w:b w:val="0"/>
                <w:sz w:val="20"/>
                <w:szCs w:val="20"/>
              </w:rPr>
              <w:t>1198</w:t>
            </w:r>
          </w:p>
        </w:tc>
        <w:tc>
          <w:tcPr>
            <w:tcW w:w="962" w:type="pct"/>
          </w:tcPr>
          <w:p w14:paraId="2F8357A8" w14:textId="1E6DEC15" w:rsidR="00422364" w:rsidRPr="00F45695" w:rsidRDefault="00422364" w:rsidP="00422364">
            <w:pPr>
              <w:pStyle w:val="Tableheading"/>
              <w:rPr>
                <w:rFonts w:cstheme="minorHAnsi"/>
                <w:b w:val="0"/>
                <w:sz w:val="20"/>
                <w:szCs w:val="20"/>
              </w:rPr>
            </w:pPr>
            <w:r>
              <w:rPr>
                <w:rFonts w:cstheme="minorHAnsi"/>
                <w:b w:val="0"/>
                <w:sz w:val="20"/>
                <w:szCs w:val="20"/>
              </w:rPr>
              <w:t>86.1 (68.2, 100.0)</w:t>
            </w:r>
          </w:p>
        </w:tc>
      </w:tr>
      <w:tr w:rsidR="00422364" w:rsidRPr="001D0858" w14:paraId="0C2CD618" w14:textId="77777777" w:rsidTr="007B2865">
        <w:trPr>
          <w:trHeight w:val="20"/>
        </w:trPr>
        <w:tc>
          <w:tcPr>
            <w:tcW w:w="1155" w:type="pct"/>
          </w:tcPr>
          <w:p w14:paraId="751CFAAA" w14:textId="7A06ADC1" w:rsidR="00422364" w:rsidRPr="00503066" w:rsidRDefault="00422364" w:rsidP="00422364">
            <w:pPr>
              <w:pStyle w:val="Tableheading"/>
              <w:rPr>
                <w:rFonts w:cstheme="minorHAnsi"/>
                <w:sz w:val="20"/>
                <w:szCs w:val="20"/>
              </w:rPr>
            </w:pPr>
            <w:r>
              <w:rPr>
                <w:rFonts w:cstheme="minorHAnsi"/>
                <w:sz w:val="20"/>
                <w:szCs w:val="20"/>
              </w:rPr>
              <w:t>Low-medium caseload</w:t>
            </w:r>
          </w:p>
        </w:tc>
        <w:tc>
          <w:tcPr>
            <w:tcW w:w="706" w:type="pct"/>
          </w:tcPr>
          <w:p w14:paraId="73C93BD9" w14:textId="6D44BF6E" w:rsidR="00422364" w:rsidRDefault="00422364" w:rsidP="00422364">
            <w:pPr>
              <w:pStyle w:val="Tableheading"/>
              <w:rPr>
                <w:rFonts w:cstheme="minorHAnsi"/>
                <w:b w:val="0"/>
                <w:sz w:val="20"/>
                <w:szCs w:val="20"/>
              </w:rPr>
            </w:pPr>
            <w:r>
              <w:rPr>
                <w:rFonts w:cstheme="minorHAnsi"/>
                <w:b w:val="0"/>
                <w:sz w:val="20"/>
                <w:szCs w:val="20"/>
              </w:rPr>
              <w:t>240</w:t>
            </w:r>
          </w:p>
        </w:tc>
        <w:tc>
          <w:tcPr>
            <w:tcW w:w="1216" w:type="pct"/>
          </w:tcPr>
          <w:p w14:paraId="0A09E9D9" w14:textId="0170E05E" w:rsidR="00422364" w:rsidRPr="00D85EA2" w:rsidRDefault="00422364" w:rsidP="00422364">
            <w:pPr>
              <w:pStyle w:val="Tableheading"/>
              <w:rPr>
                <w:rFonts w:cstheme="minorHAnsi"/>
                <w:b w:val="0"/>
                <w:sz w:val="20"/>
                <w:szCs w:val="20"/>
              </w:rPr>
            </w:pPr>
            <w:r>
              <w:rPr>
                <w:rFonts w:cstheme="minorHAnsi"/>
                <w:b w:val="0"/>
                <w:sz w:val="20"/>
                <w:szCs w:val="20"/>
              </w:rPr>
              <w:t>15.8 (0.0, 35.0)</w:t>
            </w:r>
          </w:p>
        </w:tc>
        <w:tc>
          <w:tcPr>
            <w:tcW w:w="961" w:type="pct"/>
          </w:tcPr>
          <w:p w14:paraId="395CE09B" w14:textId="625C1DEF" w:rsidR="00422364" w:rsidRDefault="00422364" w:rsidP="00422364">
            <w:pPr>
              <w:pStyle w:val="Tableheading"/>
              <w:rPr>
                <w:rFonts w:cstheme="minorHAnsi"/>
                <w:b w:val="0"/>
                <w:sz w:val="20"/>
                <w:szCs w:val="20"/>
              </w:rPr>
            </w:pPr>
            <w:r>
              <w:rPr>
                <w:rFonts w:cstheme="minorHAnsi"/>
                <w:b w:val="0"/>
                <w:sz w:val="20"/>
                <w:szCs w:val="20"/>
              </w:rPr>
              <w:t>193</w:t>
            </w:r>
          </w:p>
        </w:tc>
        <w:tc>
          <w:tcPr>
            <w:tcW w:w="962" w:type="pct"/>
          </w:tcPr>
          <w:p w14:paraId="3B216BAE" w14:textId="02F544FA" w:rsidR="00422364" w:rsidRPr="00F45695" w:rsidRDefault="00422364" w:rsidP="00422364">
            <w:pPr>
              <w:pStyle w:val="Tableheading"/>
              <w:rPr>
                <w:rFonts w:cstheme="minorHAnsi"/>
                <w:b w:val="0"/>
                <w:sz w:val="20"/>
                <w:szCs w:val="20"/>
              </w:rPr>
            </w:pPr>
            <w:r>
              <w:rPr>
                <w:rFonts w:cstheme="minorHAnsi"/>
                <w:b w:val="0"/>
                <w:sz w:val="20"/>
                <w:szCs w:val="20"/>
              </w:rPr>
              <w:t>13.9 (0.0, 31.8)</w:t>
            </w:r>
          </w:p>
        </w:tc>
      </w:tr>
    </w:tbl>
    <w:p w14:paraId="65CE6B03" w14:textId="6131A98B" w:rsidR="005F18B7" w:rsidRPr="00FE47BB" w:rsidRDefault="00FE47BB" w:rsidP="005F18B7">
      <w:pPr>
        <w:rPr>
          <w:rFonts w:cstheme="minorHAnsi"/>
          <w:sz w:val="20"/>
          <w:szCs w:val="20"/>
        </w:rPr>
      </w:pPr>
      <w:r w:rsidRPr="00FE47BB">
        <w:rPr>
          <w:rFonts w:cstheme="minorHAnsi"/>
          <w:sz w:val="20"/>
          <w:szCs w:val="20"/>
        </w:rPr>
        <w:t>*</w:t>
      </w:r>
      <w:r w:rsidR="00422364">
        <w:rPr>
          <w:rFonts w:cstheme="minorHAnsi"/>
          <w:sz w:val="20"/>
          <w:szCs w:val="20"/>
        </w:rPr>
        <w:t>Defined as a practice with more than 100 patients diagnosed with HIV.</w:t>
      </w:r>
    </w:p>
    <w:p w14:paraId="0527C552" w14:textId="70EA7F70" w:rsidR="00FE47BB" w:rsidRDefault="004B41EC" w:rsidP="003E755D">
      <w:pPr>
        <w:pStyle w:val="Heading2"/>
      </w:pPr>
      <w:r>
        <w:t xml:space="preserve">Clinical characteristics of patients </w:t>
      </w:r>
    </w:p>
    <w:p w14:paraId="1916453A" w14:textId="5AAC2DEB" w:rsidR="001854C5" w:rsidRDefault="001854C5" w:rsidP="00C83332">
      <w:r>
        <w:t xml:space="preserve">The clinical characteristics of patients in both </w:t>
      </w:r>
      <w:r w:rsidR="00A0537B">
        <w:t>study periods were similar</w:t>
      </w:r>
      <w:r w:rsidR="00B2123F">
        <w:t xml:space="preserve"> (Table 4)</w:t>
      </w:r>
      <w:r w:rsidR="00A0537B">
        <w:t xml:space="preserve">. </w:t>
      </w:r>
    </w:p>
    <w:p w14:paraId="28752E9D" w14:textId="4E6FBA11" w:rsidR="00EF63FE" w:rsidRDefault="00647EF3" w:rsidP="00C83332">
      <w:r>
        <w:t>The most commonly reported co-</w:t>
      </w:r>
      <w:r w:rsidR="009B7300">
        <w:t>morbidit</w:t>
      </w:r>
      <w:r w:rsidR="003C1F87">
        <w:t xml:space="preserve">y </w:t>
      </w:r>
      <w:r w:rsidR="00B41EFE">
        <w:t xml:space="preserve">among </w:t>
      </w:r>
      <w:r w:rsidR="003C1F87">
        <w:t xml:space="preserve">MedicineInsight </w:t>
      </w:r>
      <w:r w:rsidR="00B41EFE">
        <w:t xml:space="preserve">patients </w:t>
      </w:r>
      <w:r w:rsidR="003C1F87">
        <w:t xml:space="preserve">with diagnosed HIV using antiretroviral medicines was </w:t>
      </w:r>
      <w:r w:rsidR="007F5304">
        <w:t>mental illness</w:t>
      </w:r>
      <w:r w:rsidR="003C1F87">
        <w:t>. Just over half of patients in both study periods had a record of at least one mental illness</w:t>
      </w:r>
      <w:r w:rsidR="00C17A09">
        <w:t xml:space="preserve"> (Table </w:t>
      </w:r>
      <w:r w:rsidR="00B2123F">
        <w:t>4</w:t>
      </w:r>
      <w:r w:rsidR="00C17A09">
        <w:t xml:space="preserve">). </w:t>
      </w:r>
      <w:r w:rsidR="00F063AB">
        <w:t xml:space="preserve">Four </w:t>
      </w:r>
      <w:r w:rsidR="00A32DE6">
        <w:t xml:space="preserve">out of every </w:t>
      </w:r>
      <w:r w:rsidR="00F063AB">
        <w:t>10</w:t>
      </w:r>
      <w:r w:rsidR="00CC5647">
        <w:t xml:space="preserve"> patients had a record of depression and </w:t>
      </w:r>
      <w:r w:rsidR="00A32DE6">
        <w:t xml:space="preserve">three out of every </w:t>
      </w:r>
      <w:r w:rsidR="00F063AB">
        <w:t>10</w:t>
      </w:r>
      <w:r w:rsidR="00A32DE6">
        <w:t xml:space="preserve"> patients had a record of anxiety.</w:t>
      </w:r>
      <w:r w:rsidR="008263EB">
        <w:t xml:space="preserve"> This is consistent with other Australian research</w:t>
      </w:r>
      <w:r w:rsidR="00D24F94">
        <w:t xml:space="preserve"> – in a 2019 survey of </w:t>
      </w:r>
      <w:r w:rsidR="000A531E">
        <w:t>people living with HIV</w:t>
      </w:r>
      <w:r w:rsidR="00831EEA">
        <w:t>, 55.2% and 43.0% of respondents reported a history of depression and anxiety, respectively.</w:t>
      </w:r>
      <w:r w:rsidR="001F3116">
        <w:fldChar w:fldCharType="begin"/>
      </w:r>
      <w:r w:rsidR="001F3116">
        <w:instrText xml:space="preserve"> ADDIN EN.CITE &lt;EndNote&gt;&lt;Cite&gt;&lt;Author&gt;Power&lt;/Author&gt;&lt;Year&gt;2019&lt;/Year&gt;&lt;RecNum&gt;11&lt;/RecNum&gt;&lt;DisplayText&gt;&lt;style face="superscript"&gt;12&lt;/style&gt;&lt;/DisplayText&gt;&lt;record&gt;&lt;rec-number&gt;11&lt;/rec-number&gt;&lt;foreign-keys&gt;&lt;key app="EN" db-id="vwfdxvwwn0rrs6ea9sex9v2hafxp5zf2dexd" timestamp="1628718561"&gt;11&lt;/key&gt;&lt;/foreign-keys&gt;&lt;ref-type name="Report"&gt;27&lt;/ref-type&gt;&lt;contributors&gt;&lt;authors&gt;&lt;author&gt;Power, Jennifer&lt;/author&gt;&lt;author&gt;Amir, Stephanie&lt;/author&gt;&lt;author&gt;Brown, Graham&lt;/author&gt;&lt;author&gt;Rule, John&lt;/author&gt;&lt;author&gt;Johnson, Jen&lt;/author&gt;&lt;author&gt;Lyons, Anthony&lt;/author&gt;&lt;author&gt;Bourne, Adam&lt;/author&gt;&lt;author&gt;Carman, Marina&lt;/author&gt;&lt;/authors&gt;&lt;tertiary-authors&gt;&lt;author&gt;La Trobe University&lt;/author&gt;&lt;/tertiary-authors&gt;&lt;/contributors&gt;&lt;titles&gt;&lt;title&gt;HIV Futures 9: quality of life among people living with HIV in Australia&lt;/title&gt;&lt;/titles&gt;&lt;dates&gt;&lt;year&gt;2019&lt;/year&gt;&lt;/dates&gt;&lt;pub-location&gt;Melbourne&lt;/pub-location&gt;&lt;publisher&gt;La Trobe University&lt;/publisher&gt;&lt;urls&gt;&lt;related-urls&gt;&lt;url&gt;https://www.latrobe.edu.au/__data/assets/pdf_file/0007/1058614/HIV-Futures-9.pdf&lt;/url&gt;&lt;/related-urls&gt;&lt;/urls&gt;&lt;access-date&gt;11 August 2021&lt;/access-date&gt;&lt;/record&gt;&lt;/Cite&gt;&lt;/EndNote&gt;</w:instrText>
      </w:r>
      <w:r w:rsidR="001F3116">
        <w:fldChar w:fldCharType="separate"/>
      </w:r>
      <w:r w:rsidR="001F3116" w:rsidRPr="001F3116">
        <w:rPr>
          <w:noProof/>
          <w:vertAlign w:val="superscript"/>
        </w:rPr>
        <w:t>12</w:t>
      </w:r>
      <w:r w:rsidR="001F3116">
        <w:fldChar w:fldCharType="end"/>
      </w:r>
    </w:p>
    <w:p w14:paraId="1B60710D" w14:textId="51144265" w:rsidR="002A4F27" w:rsidRDefault="002A4F27" w:rsidP="00C83332">
      <w:r>
        <w:t xml:space="preserve">A quarter of patients had been </w:t>
      </w:r>
      <w:r w:rsidR="0071525E">
        <w:t xml:space="preserve">diagnosed with </w:t>
      </w:r>
      <w:r>
        <w:t xml:space="preserve">hypertension and 30% </w:t>
      </w:r>
      <w:r w:rsidR="0071525E">
        <w:t>had a record of dyslipidaemia</w:t>
      </w:r>
      <w:r w:rsidR="002B5925">
        <w:t xml:space="preserve">. Almost half were classified as being at risk of developing cardiovascular disease </w:t>
      </w:r>
      <w:r w:rsidR="00C22739">
        <w:t xml:space="preserve">because they had diagnoses of one or more of diabetes, hypertension or dyslipidaemia. </w:t>
      </w:r>
    </w:p>
    <w:p w14:paraId="74059B6D" w14:textId="24D49D07" w:rsidR="003475BF" w:rsidRDefault="003475BF" w:rsidP="00C83332">
      <w:r>
        <w:t xml:space="preserve">Injecting drug use is a risk factor for both the </w:t>
      </w:r>
      <w:r w:rsidR="00E173F7">
        <w:t>transmission of HIV and hepatitis C.</w:t>
      </w:r>
      <w:r w:rsidR="001F3116">
        <w:fldChar w:fldCharType="begin"/>
      </w:r>
      <w:r w:rsidR="00FC11B4">
        <w:instrText xml:space="preserve"> ADDIN EN.CITE &lt;EndNote&gt;&lt;Cite&gt;&lt;Author&gt;Australasian Society for HIV&lt;/Author&gt;&lt;Year&gt;2019&lt;/Year&gt;&lt;RecNum&gt;7&lt;/RecNum&gt;&lt;DisplayText&gt;&lt;style face="superscript"&gt;4,6&lt;/style&gt;&lt;/DisplayText&gt;&lt;record&gt;&lt;rec-number&gt;7&lt;/rec-number&gt;&lt;foreign-keys&gt;&lt;key app="EN" db-id="vwfdxvwwn0rrs6ea9sex9v2hafxp5zf2dexd" timestamp="1628642977"&gt;7&lt;/key&gt;&lt;/foreign-keys&gt;&lt;ref-type name="Report"&gt;27&lt;/ref-type&gt;&lt;contributors&gt;&lt;authors&gt;&lt;author&gt;Australasian Society for HIV, Viral Hepatitis and Sexual Health Medicine,&lt;/author&gt;&lt;/authors&gt;&lt;tertiary-authors&gt;&lt;author&gt;ASHM&lt;/author&gt;&lt;/tertiary-authors&gt;&lt;/contributors&gt;&lt;titles&gt;&lt;title&gt;HIV Management in Australasia - a guide for clinical care&lt;/title&gt;&lt;/titles&gt;&lt;dates&gt;&lt;year&gt;2019&lt;/year&gt;&lt;/dates&gt;&lt;pub-location&gt;Sydney&lt;/pub-location&gt;&lt;publisher&gt;ASHM&lt;/publisher&gt;&lt;urls&gt;&lt;related-urls&gt;&lt;url&gt;https://hivmanagement.ashm.org.au/&lt;/url&gt;&lt;/related-urls&gt;&lt;/urls&gt;&lt;access-date&gt;11 August 2021&lt;/access-date&gt;&lt;/record&gt;&lt;/Cite&gt;&lt;Cite&gt;&lt;Author&gt;Kirby Institute&lt;/Author&gt;&lt;Year&gt;2018&lt;/Year&gt;&lt;RecNum&gt;4&lt;/RecNum&gt;&lt;record&gt;&lt;rec-number&gt;4&lt;/rec-number&gt;&lt;foreign-keys&gt;&lt;key app="EN" db-id="vwfdxvwwn0rrs6ea9sex9v2hafxp5zf2dexd" timestamp="1628642162"&gt;4&lt;/key&gt;&lt;/foreign-keys&gt;&lt;ref-type name="Report"&gt;27&lt;/ref-type&gt;&lt;contributors&gt;&lt;authors&gt;&lt;author&gt;Kirby Institute,&lt;/author&gt;&lt;/authors&gt;&lt;tertiary-authors&gt;&lt;author&gt;Kirby Institute&lt;/author&gt;&lt;/tertiary-authors&gt;&lt;/contributors&gt;&lt;titles&gt;&lt;title&gt;HIV, viral hepatitis and sexually transmissible infections in Australia: annual surveillance report 2018&lt;/title&gt;&lt;/titles&gt;&lt;dates&gt;&lt;year&gt;2018&lt;/year&gt;&lt;/dates&gt;&lt;pub-location&gt;Sydney&lt;/pub-location&gt;&lt;publisher&gt;Kirby Institute&lt;/publisher&gt;&lt;urls&gt;&lt;related-urls&gt;&lt;url&gt;https://kirby.unsw.edu.au/sites/default/files/kirby/report/KI_Annual-Surveillance-Report-2018.pdf&lt;/url&gt;&lt;/related-urls&gt;&lt;/urls&gt;&lt;access-date&gt;11 August 2021&lt;/access-date&gt;&lt;/record&gt;&lt;/Cite&gt;&lt;/EndNote&gt;</w:instrText>
      </w:r>
      <w:r w:rsidR="001F3116">
        <w:fldChar w:fldCharType="separate"/>
      </w:r>
      <w:r w:rsidR="00FC11B4" w:rsidRPr="00FC11B4">
        <w:rPr>
          <w:noProof/>
          <w:vertAlign w:val="superscript"/>
        </w:rPr>
        <w:t>4,6</w:t>
      </w:r>
      <w:r w:rsidR="001F3116">
        <w:fldChar w:fldCharType="end"/>
      </w:r>
      <w:r w:rsidR="00E173F7">
        <w:t xml:space="preserve"> In the MedicineInsight cohort, approximately 14% of patients had been diagnosed with both HIV and chronic hepatitis C.</w:t>
      </w:r>
      <w:r w:rsidR="00656CF9">
        <w:t xml:space="preserve"> This is </w:t>
      </w:r>
      <w:r w:rsidR="00334744">
        <w:t>consistent with other Australian research.</w:t>
      </w:r>
      <w:r w:rsidR="001F3116">
        <w:fldChar w:fldCharType="begin"/>
      </w:r>
      <w:r w:rsidR="001F3116">
        <w:instrText xml:space="preserve"> ADDIN EN.CITE &lt;EndNote&gt;&lt;Cite&gt;&lt;Author&gt;Power&lt;/Author&gt;&lt;Year&gt;2019&lt;/Year&gt;&lt;RecNum&gt;11&lt;/RecNum&gt;&lt;DisplayText&gt;&lt;style face="superscript"&gt;12&lt;/style&gt;&lt;/DisplayText&gt;&lt;record&gt;&lt;rec-number&gt;11&lt;/rec-number&gt;&lt;foreign-keys&gt;&lt;key app="EN" db-id="vwfdxvwwn0rrs6ea9sex9v2hafxp5zf2dexd" timestamp="1628718561"&gt;11&lt;/key&gt;&lt;/foreign-keys&gt;&lt;ref-type name="Report"&gt;27&lt;/ref-type&gt;&lt;contributors&gt;&lt;authors&gt;&lt;author&gt;Power, Jennifer&lt;/author&gt;&lt;author&gt;Amir, Stephanie&lt;/author&gt;&lt;author&gt;Brown, Graham&lt;/author&gt;&lt;author&gt;Rule, John&lt;/author&gt;&lt;author&gt;Johnson, Jen&lt;/author&gt;&lt;author&gt;Lyons, Anthony&lt;/author&gt;&lt;author&gt;Bourne, Adam&lt;/author&gt;&lt;author&gt;Carman, Marina&lt;/author&gt;&lt;/authors&gt;&lt;tertiary-authors&gt;&lt;author&gt;La Trobe University&lt;/author&gt;&lt;/tertiary-authors&gt;&lt;/contributors&gt;&lt;titles&gt;&lt;title&gt;HIV Futures 9: quality of life among people living with HIV in Australia&lt;/title&gt;&lt;/titles&gt;&lt;dates&gt;&lt;year&gt;2019&lt;/year&gt;&lt;/dates&gt;&lt;pub-location&gt;Melbourne&lt;/pub-location&gt;&lt;publisher&gt;La Trobe University&lt;/publisher&gt;&lt;urls&gt;&lt;related-urls&gt;&lt;url&gt;https://www.latrobe.edu.au/__data/assets/pdf_file/0007/1058614/HIV-Futures-9.pdf&lt;/url&gt;&lt;/related-urls&gt;&lt;/urls&gt;&lt;access-date&gt;11 August 2021&lt;/access-date&gt;&lt;/record&gt;&lt;/Cite&gt;&lt;/EndNote&gt;</w:instrText>
      </w:r>
      <w:r w:rsidR="001F3116">
        <w:fldChar w:fldCharType="separate"/>
      </w:r>
      <w:r w:rsidR="001F3116" w:rsidRPr="001F3116">
        <w:rPr>
          <w:noProof/>
          <w:vertAlign w:val="superscript"/>
        </w:rPr>
        <w:t>12</w:t>
      </w:r>
      <w:r w:rsidR="001F3116">
        <w:fldChar w:fldCharType="end"/>
      </w:r>
    </w:p>
    <w:p w14:paraId="298954B2" w14:textId="3EDCBF75" w:rsidR="00797217" w:rsidRPr="00C83332" w:rsidRDefault="00EF63FE" w:rsidP="00C83332">
      <w:r>
        <w:lastRenderedPageBreak/>
        <w:t xml:space="preserve">Despite </w:t>
      </w:r>
      <w:r w:rsidR="00F555FA">
        <w:t xml:space="preserve">the majority of patients being males with an average age of 50 year, </w:t>
      </w:r>
      <w:r w:rsidR="00C03B7B">
        <w:t>8.7–8.</w:t>
      </w:r>
      <w:r w:rsidR="001440D4">
        <w:t xml:space="preserve">9% of patients had been diagnosed with </w:t>
      </w:r>
      <w:r w:rsidR="00C03B7B">
        <w:t>osteoporosis.</w:t>
      </w:r>
      <w:r w:rsidR="00D405DB">
        <w:t xml:space="preserve"> </w:t>
      </w:r>
      <w:r w:rsidR="009C3743">
        <w:t xml:space="preserve">Both antiretroviral medicines and the virus itself are thought to play a role in </w:t>
      </w:r>
      <w:r w:rsidR="00C20349">
        <w:t xml:space="preserve">increasing </w:t>
      </w:r>
      <w:r w:rsidR="00852D3F">
        <w:t>the risk of osteoporosis in people with HIV.</w:t>
      </w:r>
      <w:r w:rsidR="001F3116">
        <w:fldChar w:fldCharType="begin"/>
      </w:r>
      <w:r w:rsidR="001F3116">
        <w:instrText xml:space="preserve"> ADDIN EN.CITE &lt;EndNote&gt;&lt;Cite&gt;&lt;Author&gt;Australasian Society for HIV&lt;/Author&gt;&lt;Year&gt;2019&lt;/Year&gt;&lt;RecNum&gt;7&lt;/RecNum&gt;&lt;DisplayText&gt;&lt;style face="superscript"&gt;6&lt;/style&gt;&lt;/DisplayText&gt;&lt;record&gt;&lt;rec-number&gt;7&lt;/rec-number&gt;&lt;foreign-keys&gt;&lt;key app="EN" db-id="vwfdxvwwn0rrs6ea9sex9v2hafxp5zf2dexd" timestamp="1628642977"&gt;7&lt;/key&gt;&lt;/foreign-keys&gt;&lt;ref-type name="Report"&gt;27&lt;/ref-type&gt;&lt;contributors&gt;&lt;authors&gt;&lt;author&gt;Australasian Society for HIV, Viral Hepatitis and Sexual Health Medicine,&lt;/author&gt;&lt;/authors&gt;&lt;tertiary-authors&gt;&lt;author&gt;ASHM&lt;/author&gt;&lt;/tertiary-authors&gt;&lt;/contributors&gt;&lt;titles&gt;&lt;title&gt;HIV Management in Australasia - a guide for clinical care&lt;/title&gt;&lt;/titles&gt;&lt;dates&gt;&lt;year&gt;2019&lt;/year&gt;&lt;/dates&gt;&lt;pub-location&gt;Sydney&lt;/pub-location&gt;&lt;publisher&gt;ASHM&lt;/publisher&gt;&lt;urls&gt;&lt;related-urls&gt;&lt;url&gt;https://hivmanagement.ashm.org.au/&lt;/url&gt;&lt;/related-urls&gt;&lt;/urls&gt;&lt;access-date&gt;11 August 2021&lt;/access-date&gt;&lt;/record&gt;&lt;/Cite&gt;&lt;/EndNote&gt;</w:instrText>
      </w:r>
      <w:r w:rsidR="001F3116">
        <w:fldChar w:fldCharType="separate"/>
      </w:r>
      <w:r w:rsidR="001F3116" w:rsidRPr="001F3116">
        <w:rPr>
          <w:noProof/>
          <w:vertAlign w:val="superscript"/>
        </w:rPr>
        <w:t>6</w:t>
      </w:r>
      <w:r w:rsidR="001F3116">
        <w:fldChar w:fldCharType="end"/>
      </w:r>
      <w:r w:rsidR="00C03B7B">
        <w:t xml:space="preserve"> </w:t>
      </w:r>
    </w:p>
    <w:p w14:paraId="01472487" w14:textId="2D86F2CE" w:rsidR="004B41EC" w:rsidRDefault="004B41EC" w:rsidP="004B41EC">
      <w:pPr>
        <w:pStyle w:val="Tabletitle"/>
      </w:pPr>
      <w:r>
        <w:t xml:space="preserve">Table </w:t>
      </w:r>
      <w:r w:rsidR="00656CF9">
        <w:t>4</w:t>
      </w:r>
      <w:r>
        <w:t xml:space="preserve">: </w:t>
      </w:r>
      <w:r w:rsidR="00AB07AC" w:rsidRPr="00AB07AC">
        <w:t xml:space="preserve">Clinical characteristics of patients </w:t>
      </w:r>
      <w:r w:rsidR="009B7300">
        <w:t xml:space="preserve">with diagnosed HIV </w:t>
      </w:r>
      <w:r w:rsidR="00AB07AC" w:rsidRPr="00AB07AC">
        <w:t>prescribed at least 1 HIV medicine between 1 January 2018 and 31 December 2019 and in 2020</w:t>
      </w:r>
    </w:p>
    <w:tbl>
      <w:tblPr>
        <w:tblStyle w:val="TableGrid"/>
        <w:tblW w:w="5000" w:type="pct"/>
        <w:tblLook w:val="04A0" w:firstRow="1" w:lastRow="0" w:firstColumn="1" w:lastColumn="0" w:noHBand="0" w:noVBand="1"/>
      </w:tblPr>
      <w:tblGrid>
        <w:gridCol w:w="2061"/>
        <w:gridCol w:w="1718"/>
        <w:gridCol w:w="1725"/>
        <w:gridCol w:w="1720"/>
        <w:gridCol w:w="1723"/>
      </w:tblGrid>
      <w:tr w:rsidR="00A01F3E" w:rsidRPr="001D0858" w14:paraId="77A23460" w14:textId="77777777" w:rsidTr="00A01F3E">
        <w:trPr>
          <w:trHeight w:val="20"/>
          <w:tblHeader/>
        </w:trPr>
        <w:tc>
          <w:tcPr>
            <w:tcW w:w="1152" w:type="pct"/>
            <w:shd w:val="clear" w:color="auto" w:fill="BFBFBF" w:themeFill="background1" w:themeFillShade="BF"/>
          </w:tcPr>
          <w:p w14:paraId="2151096A" w14:textId="77777777" w:rsidR="00A01F3E" w:rsidRDefault="00A01F3E" w:rsidP="001F3116">
            <w:pPr>
              <w:pStyle w:val="Tableheading"/>
              <w:rPr>
                <w:sz w:val="20"/>
                <w:szCs w:val="20"/>
              </w:rPr>
            </w:pPr>
          </w:p>
        </w:tc>
        <w:tc>
          <w:tcPr>
            <w:tcW w:w="1924" w:type="pct"/>
            <w:gridSpan w:val="2"/>
            <w:shd w:val="clear" w:color="auto" w:fill="BFBFBF" w:themeFill="background1" w:themeFillShade="BF"/>
          </w:tcPr>
          <w:p w14:paraId="3CE2EE18" w14:textId="0969536D" w:rsidR="00A01F3E" w:rsidRDefault="00A01F3E" w:rsidP="001F3116">
            <w:pPr>
              <w:pStyle w:val="Tableheading"/>
              <w:rPr>
                <w:sz w:val="20"/>
                <w:szCs w:val="20"/>
              </w:rPr>
            </w:pPr>
            <w:r w:rsidRPr="00E7285B">
              <w:rPr>
                <w:sz w:val="20"/>
                <w:szCs w:val="20"/>
              </w:rPr>
              <w:t>2018</w:t>
            </w:r>
            <w:r w:rsidR="000F40B9">
              <w:rPr>
                <w:sz w:val="20"/>
                <w:szCs w:val="20"/>
              </w:rPr>
              <w:t xml:space="preserve"> and 20</w:t>
            </w:r>
            <w:r w:rsidRPr="00E7285B">
              <w:rPr>
                <w:sz w:val="20"/>
                <w:szCs w:val="20"/>
              </w:rPr>
              <w:t xml:space="preserve">19 population </w:t>
            </w:r>
          </w:p>
        </w:tc>
        <w:tc>
          <w:tcPr>
            <w:tcW w:w="1924" w:type="pct"/>
            <w:gridSpan w:val="2"/>
            <w:shd w:val="clear" w:color="auto" w:fill="BFBFBF" w:themeFill="background1" w:themeFillShade="BF"/>
          </w:tcPr>
          <w:p w14:paraId="68D4D1BD" w14:textId="4A8DAB9F" w:rsidR="00A01F3E" w:rsidRDefault="00A01F3E" w:rsidP="001F3116">
            <w:pPr>
              <w:pStyle w:val="Tableheading"/>
              <w:rPr>
                <w:sz w:val="20"/>
                <w:szCs w:val="20"/>
              </w:rPr>
            </w:pPr>
            <w:r w:rsidRPr="00E7285B">
              <w:rPr>
                <w:sz w:val="20"/>
                <w:szCs w:val="20"/>
              </w:rPr>
              <w:t xml:space="preserve">2020 population </w:t>
            </w:r>
          </w:p>
        </w:tc>
      </w:tr>
      <w:tr w:rsidR="00A01F3E" w:rsidRPr="001D0858" w14:paraId="6D4154D8" w14:textId="77777777" w:rsidTr="0032098C">
        <w:trPr>
          <w:trHeight w:val="20"/>
          <w:tblHeader/>
        </w:trPr>
        <w:tc>
          <w:tcPr>
            <w:tcW w:w="1152" w:type="pct"/>
            <w:shd w:val="clear" w:color="auto" w:fill="BFBFBF" w:themeFill="background1" w:themeFillShade="BF"/>
          </w:tcPr>
          <w:p w14:paraId="24C04D99" w14:textId="77777777" w:rsidR="00A01F3E" w:rsidRDefault="00A01F3E" w:rsidP="001F3116">
            <w:pPr>
              <w:pStyle w:val="Tableheading"/>
              <w:rPr>
                <w:sz w:val="20"/>
                <w:szCs w:val="20"/>
              </w:rPr>
            </w:pPr>
          </w:p>
        </w:tc>
        <w:tc>
          <w:tcPr>
            <w:tcW w:w="960" w:type="pct"/>
            <w:shd w:val="clear" w:color="auto" w:fill="BFBFBF" w:themeFill="background1" w:themeFillShade="BF"/>
          </w:tcPr>
          <w:p w14:paraId="006DB0D7" w14:textId="77777777" w:rsidR="00A01F3E" w:rsidRPr="001D0858" w:rsidRDefault="00A01F3E" w:rsidP="001F3116">
            <w:pPr>
              <w:pStyle w:val="Tableheading"/>
              <w:rPr>
                <w:sz w:val="20"/>
                <w:szCs w:val="20"/>
              </w:rPr>
            </w:pPr>
            <w:r>
              <w:rPr>
                <w:sz w:val="20"/>
                <w:szCs w:val="20"/>
              </w:rPr>
              <w:t>Number</w:t>
            </w:r>
          </w:p>
        </w:tc>
        <w:tc>
          <w:tcPr>
            <w:tcW w:w="964" w:type="pct"/>
            <w:shd w:val="clear" w:color="auto" w:fill="BFBFBF" w:themeFill="background1" w:themeFillShade="BF"/>
          </w:tcPr>
          <w:p w14:paraId="0B25DBCF" w14:textId="77777777" w:rsidR="00A01F3E" w:rsidRPr="001D0858" w:rsidRDefault="00A01F3E" w:rsidP="001F3116">
            <w:pPr>
              <w:pStyle w:val="Tableheading"/>
              <w:rPr>
                <w:sz w:val="20"/>
                <w:szCs w:val="20"/>
              </w:rPr>
            </w:pPr>
            <w:r>
              <w:rPr>
                <w:sz w:val="20"/>
                <w:szCs w:val="20"/>
              </w:rPr>
              <w:t>% (95% CI)</w:t>
            </w:r>
          </w:p>
        </w:tc>
        <w:tc>
          <w:tcPr>
            <w:tcW w:w="961" w:type="pct"/>
            <w:shd w:val="clear" w:color="auto" w:fill="BFBFBF" w:themeFill="background1" w:themeFillShade="BF"/>
          </w:tcPr>
          <w:p w14:paraId="466E546A" w14:textId="77777777" w:rsidR="00A01F3E" w:rsidRPr="001D0858" w:rsidRDefault="00A01F3E" w:rsidP="001F3116">
            <w:pPr>
              <w:pStyle w:val="Tableheading"/>
              <w:rPr>
                <w:sz w:val="20"/>
                <w:szCs w:val="20"/>
              </w:rPr>
            </w:pPr>
            <w:r>
              <w:rPr>
                <w:sz w:val="20"/>
                <w:szCs w:val="20"/>
              </w:rPr>
              <w:t>Number</w:t>
            </w:r>
          </w:p>
        </w:tc>
        <w:tc>
          <w:tcPr>
            <w:tcW w:w="963" w:type="pct"/>
            <w:shd w:val="clear" w:color="auto" w:fill="BFBFBF" w:themeFill="background1" w:themeFillShade="BF"/>
          </w:tcPr>
          <w:p w14:paraId="11A93F0A" w14:textId="77777777" w:rsidR="00A01F3E" w:rsidRPr="001D0858" w:rsidRDefault="00A01F3E" w:rsidP="001F3116">
            <w:pPr>
              <w:pStyle w:val="Tableheading"/>
              <w:rPr>
                <w:sz w:val="20"/>
                <w:szCs w:val="20"/>
              </w:rPr>
            </w:pPr>
            <w:r>
              <w:rPr>
                <w:sz w:val="20"/>
                <w:szCs w:val="20"/>
              </w:rPr>
              <w:t>% (95% CI)</w:t>
            </w:r>
          </w:p>
        </w:tc>
      </w:tr>
      <w:tr w:rsidR="00A01F3E" w:rsidRPr="001D0858" w14:paraId="535012CB" w14:textId="77777777" w:rsidTr="0032098C">
        <w:trPr>
          <w:trHeight w:val="20"/>
        </w:trPr>
        <w:tc>
          <w:tcPr>
            <w:tcW w:w="1152" w:type="pct"/>
          </w:tcPr>
          <w:p w14:paraId="7E60C54C" w14:textId="77777777" w:rsidR="00A01F3E" w:rsidRPr="00C11A25" w:rsidRDefault="00A01F3E" w:rsidP="001F3116">
            <w:pPr>
              <w:pStyle w:val="Tableheading"/>
              <w:rPr>
                <w:rFonts w:cstheme="minorHAnsi"/>
                <w:sz w:val="20"/>
                <w:szCs w:val="20"/>
              </w:rPr>
            </w:pPr>
            <w:r>
              <w:rPr>
                <w:rFonts w:cstheme="minorHAnsi"/>
                <w:sz w:val="20"/>
                <w:szCs w:val="20"/>
              </w:rPr>
              <w:t>Total</w:t>
            </w:r>
          </w:p>
        </w:tc>
        <w:tc>
          <w:tcPr>
            <w:tcW w:w="960" w:type="pct"/>
          </w:tcPr>
          <w:p w14:paraId="617DE4ED" w14:textId="3E421801" w:rsidR="00A01F3E" w:rsidRPr="000F2789" w:rsidRDefault="00263665" w:rsidP="001F3116">
            <w:pPr>
              <w:pStyle w:val="Tableheading"/>
              <w:rPr>
                <w:rFonts w:cstheme="minorHAnsi"/>
                <w:b w:val="0"/>
                <w:sz w:val="20"/>
                <w:szCs w:val="20"/>
              </w:rPr>
            </w:pPr>
            <w:r>
              <w:rPr>
                <w:rFonts w:cstheme="minorHAnsi"/>
                <w:b w:val="0"/>
                <w:sz w:val="20"/>
                <w:szCs w:val="20"/>
              </w:rPr>
              <w:t>1518</w:t>
            </w:r>
          </w:p>
        </w:tc>
        <w:tc>
          <w:tcPr>
            <w:tcW w:w="964" w:type="pct"/>
          </w:tcPr>
          <w:p w14:paraId="35C43CBA" w14:textId="08F860DC" w:rsidR="00A01F3E" w:rsidRPr="000F2789" w:rsidRDefault="00263665" w:rsidP="001F3116">
            <w:pPr>
              <w:pStyle w:val="Tableheading"/>
              <w:rPr>
                <w:rFonts w:cstheme="minorHAnsi"/>
                <w:b w:val="0"/>
                <w:sz w:val="20"/>
                <w:szCs w:val="20"/>
              </w:rPr>
            </w:pPr>
            <w:r>
              <w:rPr>
                <w:rFonts w:cstheme="minorHAnsi"/>
                <w:b w:val="0"/>
                <w:sz w:val="20"/>
                <w:szCs w:val="20"/>
              </w:rPr>
              <w:t>100</w:t>
            </w:r>
          </w:p>
        </w:tc>
        <w:tc>
          <w:tcPr>
            <w:tcW w:w="961" w:type="pct"/>
          </w:tcPr>
          <w:p w14:paraId="445A833D" w14:textId="0B4599E6" w:rsidR="00A01F3E" w:rsidRPr="000F2789" w:rsidRDefault="001F45A6" w:rsidP="001F3116">
            <w:pPr>
              <w:pStyle w:val="Tableheading"/>
              <w:rPr>
                <w:rFonts w:cstheme="minorHAnsi"/>
                <w:b w:val="0"/>
                <w:sz w:val="20"/>
                <w:szCs w:val="20"/>
              </w:rPr>
            </w:pPr>
            <w:r>
              <w:rPr>
                <w:rFonts w:cstheme="minorHAnsi"/>
                <w:b w:val="0"/>
                <w:sz w:val="20"/>
                <w:szCs w:val="20"/>
              </w:rPr>
              <w:t>1391</w:t>
            </w:r>
          </w:p>
        </w:tc>
        <w:tc>
          <w:tcPr>
            <w:tcW w:w="963" w:type="pct"/>
          </w:tcPr>
          <w:p w14:paraId="5F698291" w14:textId="354C8EE9" w:rsidR="00A01F3E" w:rsidRPr="000F2789" w:rsidRDefault="001F45A6" w:rsidP="001F3116">
            <w:pPr>
              <w:pStyle w:val="Tableheading"/>
              <w:rPr>
                <w:rFonts w:cstheme="minorHAnsi"/>
                <w:b w:val="0"/>
                <w:sz w:val="20"/>
                <w:szCs w:val="20"/>
              </w:rPr>
            </w:pPr>
            <w:r>
              <w:rPr>
                <w:rFonts w:cstheme="minorHAnsi"/>
                <w:b w:val="0"/>
                <w:sz w:val="20"/>
                <w:szCs w:val="20"/>
              </w:rPr>
              <w:t>100</w:t>
            </w:r>
          </w:p>
        </w:tc>
      </w:tr>
      <w:tr w:rsidR="00A01F3E" w:rsidRPr="001D0858" w14:paraId="22FE50F6" w14:textId="77777777" w:rsidTr="00A01F3E">
        <w:trPr>
          <w:trHeight w:val="20"/>
        </w:trPr>
        <w:tc>
          <w:tcPr>
            <w:tcW w:w="5000" w:type="pct"/>
            <w:gridSpan w:val="5"/>
            <w:shd w:val="clear" w:color="auto" w:fill="D9D9D9" w:themeFill="background1" w:themeFillShade="D9"/>
          </w:tcPr>
          <w:p w14:paraId="6D1037F4" w14:textId="77777777" w:rsidR="00A01F3E" w:rsidRPr="00E0379F" w:rsidRDefault="00A01F3E" w:rsidP="001F3116">
            <w:pPr>
              <w:pStyle w:val="Tableheading"/>
              <w:rPr>
                <w:rFonts w:cstheme="minorHAnsi"/>
                <w:bCs/>
                <w:sz w:val="20"/>
                <w:szCs w:val="20"/>
              </w:rPr>
            </w:pPr>
            <w:r w:rsidRPr="00E0379F">
              <w:rPr>
                <w:rFonts w:cstheme="minorHAnsi"/>
                <w:bCs/>
                <w:sz w:val="20"/>
                <w:szCs w:val="20"/>
              </w:rPr>
              <w:t>Co-morbidities</w:t>
            </w:r>
          </w:p>
        </w:tc>
      </w:tr>
      <w:tr w:rsidR="003D152C" w:rsidRPr="001D0858" w14:paraId="49E64FC1" w14:textId="77777777" w:rsidTr="0032098C">
        <w:trPr>
          <w:trHeight w:val="20"/>
        </w:trPr>
        <w:tc>
          <w:tcPr>
            <w:tcW w:w="1152" w:type="pct"/>
          </w:tcPr>
          <w:p w14:paraId="1174C543" w14:textId="5C278432" w:rsidR="003D152C" w:rsidRPr="00C11A25" w:rsidRDefault="003D152C" w:rsidP="003D152C">
            <w:pPr>
              <w:pStyle w:val="Tableheading"/>
              <w:rPr>
                <w:rFonts w:cstheme="minorHAnsi"/>
                <w:sz w:val="20"/>
                <w:szCs w:val="20"/>
              </w:rPr>
            </w:pPr>
            <w:r>
              <w:rPr>
                <w:rFonts w:cstheme="minorHAnsi"/>
                <w:sz w:val="20"/>
                <w:szCs w:val="20"/>
              </w:rPr>
              <w:t>Chronic HCV</w:t>
            </w:r>
          </w:p>
        </w:tc>
        <w:tc>
          <w:tcPr>
            <w:tcW w:w="960" w:type="pct"/>
          </w:tcPr>
          <w:p w14:paraId="47C0514A" w14:textId="2DFD4968" w:rsidR="003D152C" w:rsidRPr="000F2789" w:rsidRDefault="003D152C" w:rsidP="003D152C">
            <w:pPr>
              <w:pStyle w:val="Tableheading"/>
              <w:rPr>
                <w:rFonts w:cstheme="minorHAnsi"/>
                <w:b w:val="0"/>
                <w:sz w:val="20"/>
                <w:szCs w:val="20"/>
              </w:rPr>
            </w:pPr>
            <w:r w:rsidRPr="000C107A">
              <w:rPr>
                <w:rFonts w:cstheme="minorHAnsi"/>
                <w:b w:val="0"/>
                <w:sz w:val="20"/>
                <w:szCs w:val="20"/>
              </w:rPr>
              <w:t>203</w:t>
            </w:r>
          </w:p>
        </w:tc>
        <w:tc>
          <w:tcPr>
            <w:tcW w:w="964" w:type="pct"/>
          </w:tcPr>
          <w:p w14:paraId="37FB5555" w14:textId="4A1E9742" w:rsidR="003D152C" w:rsidRPr="000F2789" w:rsidRDefault="003D152C" w:rsidP="003D152C">
            <w:pPr>
              <w:pStyle w:val="Tableheading"/>
              <w:rPr>
                <w:rFonts w:cstheme="minorHAnsi"/>
                <w:b w:val="0"/>
                <w:sz w:val="20"/>
                <w:szCs w:val="20"/>
              </w:rPr>
            </w:pPr>
            <w:r w:rsidRPr="003D152C">
              <w:rPr>
                <w:rFonts w:cstheme="minorHAnsi"/>
                <w:b w:val="0"/>
                <w:sz w:val="20"/>
                <w:szCs w:val="20"/>
              </w:rPr>
              <w:t>13.4 (11.1, 15.7)</w:t>
            </w:r>
          </w:p>
        </w:tc>
        <w:tc>
          <w:tcPr>
            <w:tcW w:w="961" w:type="pct"/>
          </w:tcPr>
          <w:p w14:paraId="4005625D" w14:textId="14F00A72" w:rsidR="003D152C" w:rsidRPr="000F2789" w:rsidRDefault="003D152C" w:rsidP="003D152C">
            <w:pPr>
              <w:pStyle w:val="Tableheading"/>
              <w:rPr>
                <w:rFonts w:cstheme="minorHAnsi"/>
                <w:b w:val="0"/>
                <w:sz w:val="20"/>
                <w:szCs w:val="20"/>
              </w:rPr>
            </w:pPr>
            <w:r>
              <w:rPr>
                <w:rFonts w:cstheme="minorHAnsi"/>
                <w:b w:val="0"/>
                <w:sz w:val="20"/>
                <w:szCs w:val="20"/>
              </w:rPr>
              <w:t>195</w:t>
            </w:r>
          </w:p>
        </w:tc>
        <w:tc>
          <w:tcPr>
            <w:tcW w:w="963" w:type="pct"/>
          </w:tcPr>
          <w:p w14:paraId="299B6460" w14:textId="620DB30A" w:rsidR="003D152C" w:rsidRPr="000F2789" w:rsidRDefault="003D152C" w:rsidP="003D152C">
            <w:pPr>
              <w:pStyle w:val="Tableheading"/>
              <w:rPr>
                <w:rFonts w:cstheme="minorHAnsi"/>
                <w:b w:val="0"/>
                <w:sz w:val="20"/>
                <w:szCs w:val="20"/>
              </w:rPr>
            </w:pPr>
            <w:r w:rsidRPr="00097950">
              <w:rPr>
                <w:rFonts w:cstheme="minorHAnsi"/>
                <w:b w:val="0"/>
                <w:sz w:val="20"/>
                <w:szCs w:val="20"/>
              </w:rPr>
              <w:t>14.0 (11.4, 16.6)</w:t>
            </w:r>
          </w:p>
        </w:tc>
      </w:tr>
      <w:tr w:rsidR="003D152C" w:rsidRPr="001D0858" w14:paraId="1122207F" w14:textId="77777777" w:rsidTr="0032098C">
        <w:trPr>
          <w:trHeight w:val="20"/>
        </w:trPr>
        <w:tc>
          <w:tcPr>
            <w:tcW w:w="1152" w:type="pct"/>
          </w:tcPr>
          <w:p w14:paraId="238E6E2A" w14:textId="71A8E687" w:rsidR="003D152C" w:rsidRPr="00C11A25" w:rsidRDefault="003D152C" w:rsidP="003D152C">
            <w:pPr>
              <w:pStyle w:val="Tableheading"/>
              <w:rPr>
                <w:rFonts w:cstheme="minorHAnsi"/>
                <w:sz w:val="20"/>
                <w:szCs w:val="20"/>
              </w:rPr>
            </w:pPr>
            <w:r>
              <w:rPr>
                <w:rFonts w:cstheme="minorHAnsi"/>
                <w:sz w:val="20"/>
                <w:szCs w:val="20"/>
              </w:rPr>
              <w:t>Hepatitis B</w:t>
            </w:r>
          </w:p>
        </w:tc>
        <w:tc>
          <w:tcPr>
            <w:tcW w:w="960" w:type="pct"/>
          </w:tcPr>
          <w:p w14:paraId="2A250CF0" w14:textId="68F5E0FD" w:rsidR="003D152C" w:rsidRPr="000F2789" w:rsidRDefault="003D152C" w:rsidP="003D152C">
            <w:pPr>
              <w:pStyle w:val="Tableheading"/>
              <w:rPr>
                <w:rFonts w:cstheme="minorHAnsi"/>
                <w:b w:val="0"/>
                <w:sz w:val="20"/>
                <w:szCs w:val="20"/>
              </w:rPr>
            </w:pPr>
            <w:r w:rsidRPr="000C107A">
              <w:rPr>
                <w:rFonts w:cstheme="minorHAnsi"/>
                <w:b w:val="0"/>
                <w:sz w:val="20"/>
                <w:szCs w:val="20"/>
              </w:rPr>
              <w:t>89</w:t>
            </w:r>
          </w:p>
        </w:tc>
        <w:tc>
          <w:tcPr>
            <w:tcW w:w="964" w:type="pct"/>
          </w:tcPr>
          <w:p w14:paraId="6A6E1832" w14:textId="129DA448" w:rsidR="003D152C" w:rsidRPr="000F2789" w:rsidRDefault="003D152C" w:rsidP="003D152C">
            <w:pPr>
              <w:pStyle w:val="Tableheading"/>
              <w:rPr>
                <w:rFonts w:cstheme="minorHAnsi"/>
                <w:b w:val="0"/>
                <w:sz w:val="20"/>
                <w:szCs w:val="20"/>
              </w:rPr>
            </w:pPr>
            <w:r w:rsidRPr="003D152C">
              <w:rPr>
                <w:rFonts w:cstheme="minorHAnsi"/>
                <w:b w:val="0"/>
                <w:sz w:val="20"/>
                <w:szCs w:val="20"/>
              </w:rPr>
              <w:t>5.9 (1.7, 10.0)</w:t>
            </w:r>
          </w:p>
        </w:tc>
        <w:tc>
          <w:tcPr>
            <w:tcW w:w="961" w:type="pct"/>
          </w:tcPr>
          <w:p w14:paraId="1CA31B2B" w14:textId="0AB3646C" w:rsidR="003D152C" w:rsidRPr="000F2789" w:rsidRDefault="003D152C" w:rsidP="003D152C">
            <w:pPr>
              <w:pStyle w:val="Tableheading"/>
              <w:rPr>
                <w:rFonts w:cstheme="minorHAnsi"/>
                <w:b w:val="0"/>
                <w:sz w:val="20"/>
                <w:szCs w:val="20"/>
              </w:rPr>
            </w:pPr>
            <w:r>
              <w:rPr>
                <w:rFonts w:cstheme="minorHAnsi"/>
                <w:b w:val="0"/>
                <w:sz w:val="20"/>
                <w:szCs w:val="20"/>
              </w:rPr>
              <w:t>91</w:t>
            </w:r>
          </w:p>
        </w:tc>
        <w:tc>
          <w:tcPr>
            <w:tcW w:w="963" w:type="pct"/>
          </w:tcPr>
          <w:p w14:paraId="385614C4" w14:textId="415DE5BB" w:rsidR="003D152C" w:rsidRPr="000F2789" w:rsidRDefault="003D152C" w:rsidP="003D152C">
            <w:pPr>
              <w:pStyle w:val="Tableheading"/>
              <w:rPr>
                <w:rFonts w:cstheme="minorHAnsi"/>
                <w:b w:val="0"/>
                <w:sz w:val="20"/>
                <w:szCs w:val="20"/>
              </w:rPr>
            </w:pPr>
            <w:r w:rsidRPr="00405BB6">
              <w:rPr>
                <w:rFonts w:cstheme="minorHAnsi"/>
                <w:b w:val="0"/>
                <w:sz w:val="20"/>
                <w:szCs w:val="20"/>
              </w:rPr>
              <w:t>6.5 (2.5, 10.6)</w:t>
            </w:r>
          </w:p>
        </w:tc>
      </w:tr>
      <w:tr w:rsidR="003D152C" w:rsidRPr="001D0858" w14:paraId="7E80E45D" w14:textId="77777777" w:rsidTr="0032098C">
        <w:trPr>
          <w:trHeight w:val="20"/>
        </w:trPr>
        <w:tc>
          <w:tcPr>
            <w:tcW w:w="1152" w:type="pct"/>
          </w:tcPr>
          <w:p w14:paraId="654572FD" w14:textId="70CAB7F0" w:rsidR="003D152C" w:rsidRDefault="003D152C" w:rsidP="003D152C">
            <w:pPr>
              <w:pStyle w:val="Tableheading"/>
              <w:rPr>
                <w:rFonts w:cstheme="minorHAnsi"/>
                <w:sz w:val="20"/>
                <w:szCs w:val="20"/>
              </w:rPr>
            </w:pPr>
            <w:r>
              <w:rPr>
                <w:rFonts w:cstheme="minorHAnsi"/>
                <w:sz w:val="20"/>
                <w:szCs w:val="20"/>
              </w:rPr>
              <w:t>CVD</w:t>
            </w:r>
          </w:p>
        </w:tc>
        <w:tc>
          <w:tcPr>
            <w:tcW w:w="960" w:type="pct"/>
          </w:tcPr>
          <w:p w14:paraId="34593F5C" w14:textId="3BC52B51" w:rsidR="003D152C" w:rsidRPr="000F2789" w:rsidRDefault="003D152C" w:rsidP="003D152C">
            <w:pPr>
              <w:pStyle w:val="Tableheading"/>
              <w:rPr>
                <w:rFonts w:cstheme="minorHAnsi"/>
                <w:b w:val="0"/>
                <w:sz w:val="20"/>
                <w:szCs w:val="20"/>
              </w:rPr>
            </w:pPr>
            <w:r w:rsidRPr="000C107A">
              <w:rPr>
                <w:rFonts w:cstheme="minorHAnsi"/>
                <w:b w:val="0"/>
                <w:sz w:val="20"/>
                <w:szCs w:val="20"/>
              </w:rPr>
              <w:t>128</w:t>
            </w:r>
          </w:p>
        </w:tc>
        <w:tc>
          <w:tcPr>
            <w:tcW w:w="964" w:type="pct"/>
          </w:tcPr>
          <w:p w14:paraId="5EE07207" w14:textId="44B427D0" w:rsidR="003D152C" w:rsidRPr="000F2789" w:rsidRDefault="003D152C" w:rsidP="003D152C">
            <w:pPr>
              <w:pStyle w:val="Tableheading"/>
              <w:rPr>
                <w:rFonts w:cstheme="minorHAnsi"/>
                <w:b w:val="0"/>
                <w:sz w:val="20"/>
                <w:szCs w:val="20"/>
              </w:rPr>
            </w:pPr>
            <w:r w:rsidRPr="003D152C">
              <w:rPr>
                <w:rFonts w:cstheme="minorHAnsi"/>
                <w:b w:val="0"/>
                <w:sz w:val="20"/>
                <w:szCs w:val="20"/>
              </w:rPr>
              <w:t>8.4 (6.5, 10.4)</w:t>
            </w:r>
          </w:p>
        </w:tc>
        <w:tc>
          <w:tcPr>
            <w:tcW w:w="961" w:type="pct"/>
          </w:tcPr>
          <w:p w14:paraId="63836CEE" w14:textId="41ECBAB2" w:rsidR="003D152C" w:rsidRPr="000F2789" w:rsidRDefault="003D152C" w:rsidP="003D152C">
            <w:pPr>
              <w:pStyle w:val="Tableheading"/>
              <w:rPr>
                <w:rFonts w:cstheme="minorHAnsi"/>
                <w:b w:val="0"/>
                <w:sz w:val="20"/>
                <w:szCs w:val="20"/>
              </w:rPr>
            </w:pPr>
            <w:r>
              <w:rPr>
                <w:rFonts w:cstheme="minorHAnsi"/>
                <w:b w:val="0"/>
                <w:sz w:val="20"/>
                <w:szCs w:val="20"/>
              </w:rPr>
              <w:t>135</w:t>
            </w:r>
          </w:p>
        </w:tc>
        <w:tc>
          <w:tcPr>
            <w:tcW w:w="963" w:type="pct"/>
          </w:tcPr>
          <w:p w14:paraId="43F6C000" w14:textId="1EF3CFA0" w:rsidR="003D152C" w:rsidRPr="000F2789" w:rsidRDefault="003D152C" w:rsidP="003D152C">
            <w:pPr>
              <w:pStyle w:val="Tableheading"/>
              <w:rPr>
                <w:rFonts w:cstheme="minorHAnsi"/>
                <w:b w:val="0"/>
                <w:sz w:val="20"/>
                <w:szCs w:val="20"/>
              </w:rPr>
            </w:pPr>
            <w:r w:rsidRPr="00405BB6">
              <w:rPr>
                <w:rFonts w:cstheme="minorHAnsi"/>
                <w:b w:val="0"/>
                <w:sz w:val="20"/>
                <w:szCs w:val="20"/>
              </w:rPr>
              <w:t>9.7 (7.4, 12.0)</w:t>
            </w:r>
          </w:p>
        </w:tc>
      </w:tr>
      <w:tr w:rsidR="00A01F3E" w:rsidRPr="001D0858" w14:paraId="3ED905F4" w14:textId="77777777" w:rsidTr="0032098C">
        <w:trPr>
          <w:trHeight w:val="20"/>
        </w:trPr>
        <w:tc>
          <w:tcPr>
            <w:tcW w:w="1152" w:type="pct"/>
          </w:tcPr>
          <w:p w14:paraId="31C5CAF5" w14:textId="12AA68A2" w:rsidR="00A01F3E" w:rsidRPr="00AB410B" w:rsidRDefault="00A01F3E" w:rsidP="001F3116">
            <w:pPr>
              <w:pStyle w:val="Tableheading"/>
              <w:rPr>
                <w:rFonts w:cstheme="minorHAnsi"/>
                <w:sz w:val="20"/>
                <w:szCs w:val="20"/>
              </w:rPr>
            </w:pPr>
            <w:r w:rsidRPr="00AB410B">
              <w:rPr>
                <w:rFonts w:cstheme="minorHAnsi"/>
                <w:sz w:val="20"/>
                <w:szCs w:val="20"/>
              </w:rPr>
              <w:t>CKD</w:t>
            </w:r>
          </w:p>
        </w:tc>
        <w:tc>
          <w:tcPr>
            <w:tcW w:w="960" w:type="pct"/>
          </w:tcPr>
          <w:p w14:paraId="0C07E68F" w14:textId="1C8CAAC7" w:rsidR="00A01F3E" w:rsidRPr="00AB410B" w:rsidRDefault="004D21C6" w:rsidP="001F3116">
            <w:pPr>
              <w:pStyle w:val="Tableheading"/>
              <w:rPr>
                <w:rFonts w:cstheme="minorHAnsi"/>
                <w:b w:val="0"/>
                <w:sz w:val="20"/>
                <w:szCs w:val="20"/>
              </w:rPr>
            </w:pPr>
            <w:r>
              <w:rPr>
                <w:rFonts w:cstheme="minorHAnsi"/>
                <w:b w:val="0"/>
                <w:sz w:val="20"/>
                <w:szCs w:val="20"/>
              </w:rPr>
              <w:t>54</w:t>
            </w:r>
          </w:p>
        </w:tc>
        <w:tc>
          <w:tcPr>
            <w:tcW w:w="964" w:type="pct"/>
          </w:tcPr>
          <w:p w14:paraId="2624AF5A" w14:textId="74C93651" w:rsidR="00A01F3E" w:rsidRPr="00AB410B" w:rsidRDefault="004D21C6" w:rsidP="001F3116">
            <w:pPr>
              <w:pStyle w:val="Tableheading"/>
              <w:rPr>
                <w:rFonts w:cstheme="minorHAnsi"/>
                <w:b w:val="0"/>
                <w:sz w:val="20"/>
                <w:szCs w:val="20"/>
              </w:rPr>
            </w:pPr>
            <w:r>
              <w:rPr>
                <w:rFonts w:cstheme="minorHAnsi"/>
                <w:b w:val="0"/>
                <w:sz w:val="20"/>
                <w:szCs w:val="20"/>
              </w:rPr>
              <w:t>3.6 (1.4, 5.7)</w:t>
            </w:r>
          </w:p>
        </w:tc>
        <w:tc>
          <w:tcPr>
            <w:tcW w:w="961" w:type="pct"/>
          </w:tcPr>
          <w:p w14:paraId="6867DA66" w14:textId="5C29122C" w:rsidR="00A01F3E" w:rsidRPr="00AB410B" w:rsidRDefault="00AB410B" w:rsidP="001F3116">
            <w:pPr>
              <w:pStyle w:val="Tableheading"/>
              <w:rPr>
                <w:rFonts w:cstheme="minorHAnsi"/>
                <w:b w:val="0"/>
                <w:sz w:val="20"/>
                <w:szCs w:val="20"/>
              </w:rPr>
            </w:pPr>
            <w:r w:rsidRPr="00AB410B">
              <w:rPr>
                <w:rFonts w:cstheme="minorHAnsi"/>
                <w:b w:val="0"/>
                <w:sz w:val="20"/>
                <w:szCs w:val="20"/>
              </w:rPr>
              <w:t>48</w:t>
            </w:r>
          </w:p>
        </w:tc>
        <w:tc>
          <w:tcPr>
            <w:tcW w:w="963" w:type="pct"/>
          </w:tcPr>
          <w:p w14:paraId="73325890" w14:textId="6E46F8A2" w:rsidR="00A01F3E" w:rsidRPr="00AB410B" w:rsidRDefault="00AB410B" w:rsidP="001F3116">
            <w:pPr>
              <w:pStyle w:val="Tableheading"/>
              <w:rPr>
                <w:rFonts w:cstheme="minorHAnsi"/>
                <w:b w:val="0"/>
                <w:sz w:val="20"/>
                <w:szCs w:val="20"/>
              </w:rPr>
            </w:pPr>
            <w:r w:rsidRPr="00AB410B">
              <w:rPr>
                <w:rFonts w:cstheme="minorHAnsi"/>
                <w:b w:val="0"/>
                <w:sz w:val="20"/>
                <w:szCs w:val="20"/>
              </w:rPr>
              <w:t>3.5 (1.8, 5.1)</w:t>
            </w:r>
          </w:p>
        </w:tc>
      </w:tr>
      <w:tr w:rsidR="004A2CCB" w:rsidRPr="001D0858" w14:paraId="23D3C873" w14:textId="77777777" w:rsidTr="0032098C">
        <w:trPr>
          <w:trHeight w:val="20"/>
        </w:trPr>
        <w:tc>
          <w:tcPr>
            <w:tcW w:w="1152" w:type="pct"/>
          </w:tcPr>
          <w:p w14:paraId="26C64380" w14:textId="10D5075A" w:rsidR="004A2CCB" w:rsidRDefault="004A2CCB" w:rsidP="004A2CCB">
            <w:pPr>
              <w:pStyle w:val="Tableheading"/>
              <w:rPr>
                <w:rFonts w:cstheme="minorHAnsi"/>
                <w:sz w:val="20"/>
                <w:szCs w:val="20"/>
              </w:rPr>
            </w:pPr>
            <w:r>
              <w:rPr>
                <w:rFonts w:cstheme="minorHAnsi"/>
                <w:sz w:val="20"/>
                <w:szCs w:val="20"/>
              </w:rPr>
              <w:t>Osteoporosis</w:t>
            </w:r>
          </w:p>
        </w:tc>
        <w:tc>
          <w:tcPr>
            <w:tcW w:w="960" w:type="pct"/>
          </w:tcPr>
          <w:p w14:paraId="1F184185" w14:textId="154EF9CC" w:rsidR="004A2CCB" w:rsidRPr="000F2789" w:rsidRDefault="004A2CCB" w:rsidP="004A2CCB">
            <w:pPr>
              <w:pStyle w:val="Tableheading"/>
              <w:rPr>
                <w:rFonts w:cstheme="minorHAnsi"/>
                <w:b w:val="0"/>
                <w:sz w:val="20"/>
                <w:szCs w:val="20"/>
              </w:rPr>
            </w:pPr>
            <w:r w:rsidRPr="000C107A">
              <w:rPr>
                <w:rFonts w:cstheme="minorHAnsi"/>
                <w:b w:val="0"/>
                <w:sz w:val="20"/>
                <w:szCs w:val="20"/>
              </w:rPr>
              <w:t>132</w:t>
            </w:r>
          </w:p>
        </w:tc>
        <w:tc>
          <w:tcPr>
            <w:tcW w:w="964" w:type="pct"/>
          </w:tcPr>
          <w:p w14:paraId="009651C1" w14:textId="76F475CE" w:rsidR="004A2CCB" w:rsidRPr="000F2789" w:rsidRDefault="004A2CCB" w:rsidP="004A2CCB">
            <w:pPr>
              <w:pStyle w:val="Tableheading"/>
              <w:rPr>
                <w:rFonts w:cstheme="minorHAnsi"/>
                <w:b w:val="0"/>
                <w:sz w:val="20"/>
                <w:szCs w:val="20"/>
              </w:rPr>
            </w:pPr>
            <w:r w:rsidRPr="004A2CCB">
              <w:rPr>
                <w:rFonts w:cstheme="minorHAnsi"/>
                <w:b w:val="0"/>
                <w:sz w:val="20"/>
                <w:szCs w:val="20"/>
              </w:rPr>
              <w:t>8.7 (7.3, 10.1)</w:t>
            </w:r>
          </w:p>
        </w:tc>
        <w:tc>
          <w:tcPr>
            <w:tcW w:w="961" w:type="pct"/>
          </w:tcPr>
          <w:p w14:paraId="21CB02B3" w14:textId="3144A2F0" w:rsidR="004A2CCB" w:rsidRPr="000F2789" w:rsidRDefault="004A2CCB" w:rsidP="004A2CCB">
            <w:pPr>
              <w:pStyle w:val="Tableheading"/>
              <w:rPr>
                <w:rFonts w:cstheme="minorHAnsi"/>
                <w:b w:val="0"/>
                <w:sz w:val="20"/>
                <w:szCs w:val="20"/>
              </w:rPr>
            </w:pPr>
            <w:r>
              <w:rPr>
                <w:rFonts w:cstheme="minorHAnsi"/>
                <w:b w:val="0"/>
                <w:sz w:val="20"/>
                <w:szCs w:val="20"/>
              </w:rPr>
              <w:t>124</w:t>
            </w:r>
          </w:p>
        </w:tc>
        <w:tc>
          <w:tcPr>
            <w:tcW w:w="963" w:type="pct"/>
          </w:tcPr>
          <w:p w14:paraId="04335F9A" w14:textId="3F75B42B" w:rsidR="004A2CCB" w:rsidRPr="000F2789" w:rsidRDefault="004A2CCB" w:rsidP="004A2CCB">
            <w:pPr>
              <w:pStyle w:val="Tableheading"/>
              <w:rPr>
                <w:rFonts w:cstheme="minorHAnsi"/>
                <w:b w:val="0"/>
                <w:sz w:val="20"/>
                <w:szCs w:val="20"/>
              </w:rPr>
            </w:pPr>
            <w:r w:rsidRPr="005D79D5">
              <w:rPr>
                <w:rFonts w:cstheme="minorHAnsi"/>
                <w:b w:val="0"/>
                <w:sz w:val="20"/>
                <w:szCs w:val="20"/>
              </w:rPr>
              <w:t>8.9 (7.7, 10.1)</w:t>
            </w:r>
          </w:p>
        </w:tc>
      </w:tr>
      <w:tr w:rsidR="004A2CCB" w:rsidRPr="001D0858" w14:paraId="3B131ADE" w14:textId="77777777" w:rsidTr="0032098C">
        <w:trPr>
          <w:trHeight w:val="20"/>
        </w:trPr>
        <w:tc>
          <w:tcPr>
            <w:tcW w:w="1152" w:type="pct"/>
          </w:tcPr>
          <w:p w14:paraId="4F1E972C" w14:textId="65C2505B" w:rsidR="004A2CCB" w:rsidRDefault="004A2CCB" w:rsidP="004A2CCB">
            <w:pPr>
              <w:pStyle w:val="Tableheading"/>
              <w:rPr>
                <w:rFonts w:cstheme="minorHAnsi"/>
                <w:sz w:val="20"/>
                <w:szCs w:val="20"/>
              </w:rPr>
            </w:pPr>
            <w:r>
              <w:rPr>
                <w:rFonts w:cstheme="minorHAnsi"/>
                <w:sz w:val="20"/>
                <w:szCs w:val="20"/>
              </w:rPr>
              <w:t>Mental health (any)</w:t>
            </w:r>
          </w:p>
        </w:tc>
        <w:tc>
          <w:tcPr>
            <w:tcW w:w="960" w:type="pct"/>
          </w:tcPr>
          <w:p w14:paraId="639A4900" w14:textId="11D1B1E6" w:rsidR="004A2CCB" w:rsidRPr="000F2789" w:rsidRDefault="004A2CCB" w:rsidP="004A2CCB">
            <w:pPr>
              <w:pStyle w:val="Tableheading"/>
              <w:rPr>
                <w:rFonts w:cstheme="minorHAnsi"/>
                <w:b w:val="0"/>
                <w:sz w:val="20"/>
                <w:szCs w:val="20"/>
              </w:rPr>
            </w:pPr>
            <w:r w:rsidRPr="000C107A">
              <w:rPr>
                <w:rFonts w:cstheme="minorHAnsi"/>
                <w:b w:val="0"/>
                <w:sz w:val="20"/>
                <w:szCs w:val="20"/>
              </w:rPr>
              <w:t>811</w:t>
            </w:r>
          </w:p>
        </w:tc>
        <w:tc>
          <w:tcPr>
            <w:tcW w:w="964" w:type="pct"/>
          </w:tcPr>
          <w:p w14:paraId="30EF72EC" w14:textId="1B584C69" w:rsidR="004A2CCB" w:rsidRPr="000F2789" w:rsidRDefault="004A2CCB" w:rsidP="004A2CCB">
            <w:pPr>
              <w:pStyle w:val="Tableheading"/>
              <w:rPr>
                <w:rFonts w:cstheme="minorHAnsi"/>
                <w:b w:val="0"/>
                <w:sz w:val="20"/>
                <w:szCs w:val="20"/>
              </w:rPr>
            </w:pPr>
            <w:r w:rsidRPr="004A2CCB">
              <w:rPr>
                <w:rFonts w:cstheme="minorHAnsi"/>
                <w:b w:val="0"/>
                <w:sz w:val="20"/>
                <w:szCs w:val="20"/>
              </w:rPr>
              <w:t>53.4 (49.6, 57.2)</w:t>
            </w:r>
          </w:p>
        </w:tc>
        <w:tc>
          <w:tcPr>
            <w:tcW w:w="961" w:type="pct"/>
          </w:tcPr>
          <w:p w14:paraId="6D188D1E" w14:textId="38B2796D" w:rsidR="004A2CCB" w:rsidRPr="000F2789" w:rsidRDefault="004A2CCB" w:rsidP="004A2CCB">
            <w:pPr>
              <w:pStyle w:val="Tableheading"/>
              <w:rPr>
                <w:rFonts w:cstheme="minorHAnsi"/>
                <w:b w:val="0"/>
                <w:sz w:val="20"/>
                <w:szCs w:val="20"/>
              </w:rPr>
            </w:pPr>
            <w:r>
              <w:rPr>
                <w:rFonts w:cstheme="minorHAnsi"/>
                <w:b w:val="0"/>
                <w:sz w:val="20"/>
                <w:szCs w:val="20"/>
              </w:rPr>
              <w:t>760</w:t>
            </w:r>
          </w:p>
        </w:tc>
        <w:tc>
          <w:tcPr>
            <w:tcW w:w="963" w:type="pct"/>
          </w:tcPr>
          <w:p w14:paraId="61EA9961" w14:textId="5404D89C" w:rsidR="004A2CCB" w:rsidRPr="000F2789" w:rsidRDefault="004A2CCB" w:rsidP="004A2CCB">
            <w:pPr>
              <w:pStyle w:val="Tableheading"/>
              <w:rPr>
                <w:rFonts w:cstheme="minorHAnsi"/>
                <w:b w:val="0"/>
                <w:sz w:val="20"/>
                <w:szCs w:val="20"/>
              </w:rPr>
            </w:pPr>
            <w:r w:rsidRPr="005D79D5">
              <w:rPr>
                <w:rFonts w:cstheme="minorHAnsi"/>
                <w:b w:val="0"/>
                <w:sz w:val="20"/>
                <w:szCs w:val="20"/>
              </w:rPr>
              <w:t>54.6 (50.9, 58.3)</w:t>
            </w:r>
          </w:p>
        </w:tc>
      </w:tr>
      <w:tr w:rsidR="004A2CCB" w:rsidRPr="001D0858" w14:paraId="338B3A60" w14:textId="77777777" w:rsidTr="0032098C">
        <w:trPr>
          <w:trHeight w:val="20"/>
        </w:trPr>
        <w:tc>
          <w:tcPr>
            <w:tcW w:w="1152" w:type="pct"/>
          </w:tcPr>
          <w:p w14:paraId="730CB8B9" w14:textId="3FE80C29" w:rsidR="004A2CCB" w:rsidRDefault="004A2CCB" w:rsidP="004A2CCB">
            <w:pPr>
              <w:pStyle w:val="Tableheading"/>
              <w:rPr>
                <w:rFonts w:cstheme="minorHAnsi"/>
                <w:sz w:val="20"/>
                <w:szCs w:val="20"/>
              </w:rPr>
            </w:pPr>
            <w:r>
              <w:rPr>
                <w:rFonts w:cstheme="minorHAnsi"/>
                <w:sz w:val="20"/>
                <w:szCs w:val="20"/>
              </w:rPr>
              <w:t>Depression</w:t>
            </w:r>
          </w:p>
        </w:tc>
        <w:tc>
          <w:tcPr>
            <w:tcW w:w="960" w:type="pct"/>
          </w:tcPr>
          <w:p w14:paraId="4A17863F" w14:textId="34A26D2B" w:rsidR="004A2CCB" w:rsidRPr="000F2789" w:rsidRDefault="004A2CCB" w:rsidP="004A2CCB">
            <w:pPr>
              <w:pStyle w:val="Tableheading"/>
              <w:rPr>
                <w:rFonts w:cstheme="minorHAnsi"/>
                <w:b w:val="0"/>
                <w:sz w:val="20"/>
                <w:szCs w:val="20"/>
              </w:rPr>
            </w:pPr>
            <w:r w:rsidRPr="000C107A">
              <w:rPr>
                <w:rFonts w:cstheme="minorHAnsi"/>
                <w:b w:val="0"/>
                <w:sz w:val="20"/>
                <w:szCs w:val="20"/>
              </w:rPr>
              <w:t>627</w:t>
            </w:r>
          </w:p>
        </w:tc>
        <w:tc>
          <w:tcPr>
            <w:tcW w:w="964" w:type="pct"/>
          </w:tcPr>
          <w:p w14:paraId="0385EE3D" w14:textId="25781344" w:rsidR="004A2CCB" w:rsidRPr="000F2789" w:rsidRDefault="004A2CCB" w:rsidP="004A2CCB">
            <w:pPr>
              <w:pStyle w:val="Tableheading"/>
              <w:rPr>
                <w:rFonts w:cstheme="minorHAnsi"/>
                <w:b w:val="0"/>
                <w:sz w:val="20"/>
                <w:szCs w:val="20"/>
              </w:rPr>
            </w:pPr>
            <w:r w:rsidRPr="004A2CCB">
              <w:rPr>
                <w:rFonts w:cstheme="minorHAnsi"/>
                <w:b w:val="0"/>
                <w:sz w:val="20"/>
                <w:szCs w:val="20"/>
              </w:rPr>
              <w:t>41.3 (37.5, 45.1)</w:t>
            </w:r>
          </w:p>
        </w:tc>
        <w:tc>
          <w:tcPr>
            <w:tcW w:w="961" w:type="pct"/>
          </w:tcPr>
          <w:p w14:paraId="44115B59" w14:textId="0CCDCC78" w:rsidR="004A2CCB" w:rsidRPr="000F2789" w:rsidRDefault="004A2CCB" w:rsidP="004A2CCB">
            <w:pPr>
              <w:pStyle w:val="Tableheading"/>
              <w:rPr>
                <w:rFonts w:cstheme="minorHAnsi"/>
                <w:b w:val="0"/>
                <w:sz w:val="20"/>
                <w:szCs w:val="20"/>
              </w:rPr>
            </w:pPr>
            <w:r w:rsidRPr="006F7FA9">
              <w:rPr>
                <w:rFonts w:cstheme="minorHAnsi"/>
                <w:b w:val="0"/>
                <w:sz w:val="20"/>
                <w:szCs w:val="20"/>
              </w:rPr>
              <w:t>586</w:t>
            </w:r>
          </w:p>
        </w:tc>
        <w:tc>
          <w:tcPr>
            <w:tcW w:w="963" w:type="pct"/>
          </w:tcPr>
          <w:p w14:paraId="68EA4038" w14:textId="31D37DBA" w:rsidR="004A2CCB" w:rsidRPr="000F2789" w:rsidRDefault="004A2CCB" w:rsidP="004A2CCB">
            <w:pPr>
              <w:pStyle w:val="Tableheading"/>
              <w:rPr>
                <w:rFonts w:cstheme="minorHAnsi"/>
                <w:b w:val="0"/>
                <w:sz w:val="20"/>
                <w:szCs w:val="20"/>
              </w:rPr>
            </w:pPr>
            <w:r w:rsidRPr="00675A50">
              <w:rPr>
                <w:rFonts w:cstheme="minorHAnsi"/>
                <w:b w:val="0"/>
                <w:sz w:val="20"/>
                <w:szCs w:val="20"/>
              </w:rPr>
              <w:t>42.1 (38.1, 46.1)</w:t>
            </w:r>
          </w:p>
        </w:tc>
      </w:tr>
      <w:tr w:rsidR="004A2CCB" w:rsidRPr="001D0858" w14:paraId="1CA1F2CB" w14:textId="77777777" w:rsidTr="0032098C">
        <w:trPr>
          <w:trHeight w:val="20"/>
        </w:trPr>
        <w:tc>
          <w:tcPr>
            <w:tcW w:w="1152" w:type="pct"/>
          </w:tcPr>
          <w:p w14:paraId="6A4F89F3" w14:textId="31C3938A" w:rsidR="004A2CCB" w:rsidRDefault="004A2CCB" w:rsidP="004A2CCB">
            <w:pPr>
              <w:pStyle w:val="Tableheading"/>
              <w:rPr>
                <w:rFonts w:cstheme="minorHAnsi"/>
                <w:sz w:val="20"/>
                <w:szCs w:val="20"/>
              </w:rPr>
            </w:pPr>
            <w:r>
              <w:rPr>
                <w:rFonts w:cstheme="minorHAnsi"/>
                <w:sz w:val="20"/>
                <w:szCs w:val="20"/>
              </w:rPr>
              <w:t>Anxiety</w:t>
            </w:r>
          </w:p>
        </w:tc>
        <w:tc>
          <w:tcPr>
            <w:tcW w:w="960" w:type="pct"/>
          </w:tcPr>
          <w:p w14:paraId="086C1BDA" w14:textId="5642CF54" w:rsidR="004A2CCB" w:rsidRPr="000F2789" w:rsidRDefault="004A2CCB" w:rsidP="004A2CCB">
            <w:pPr>
              <w:pStyle w:val="Tableheading"/>
              <w:rPr>
                <w:rFonts w:cstheme="minorHAnsi"/>
                <w:b w:val="0"/>
                <w:sz w:val="20"/>
                <w:szCs w:val="20"/>
              </w:rPr>
            </w:pPr>
            <w:r w:rsidRPr="000C107A">
              <w:rPr>
                <w:rFonts w:cstheme="minorHAnsi"/>
                <w:b w:val="0"/>
                <w:sz w:val="20"/>
                <w:szCs w:val="20"/>
              </w:rPr>
              <w:t>450</w:t>
            </w:r>
          </w:p>
        </w:tc>
        <w:tc>
          <w:tcPr>
            <w:tcW w:w="964" w:type="pct"/>
          </w:tcPr>
          <w:p w14:paraId="3675353D" w14:textId="0A87D73F" w:rsidR="004A2CCB" w:rsidRPr="000F2789" w:rsidRDefault="004A2CCB" w:rsidP="004A2CCB">
            <w:pPr>
              <w:pStyle w:val="Tableheading"/>
              <w:rPr>
                <w:rFonts w:cstheme="minorHAnsi"/>
                <w:b w:val="0"/>
                <w:sz w:val="20"/>
                <w:szCs w:val="20"/>
              </w:rPr>
            </w:pPr>
            <w:r w:rsidRPr="004A2CCB">
              <w:rPr>
                <w:rFonts w:cstheme="minorHAnsi"/>
                <w:b w:val="0"/>
                <w:sz w:val="20"/>
                <w:szCs w:val="20"/>
              </w:rPr>
              <w:t>29.6 (25.8, 33.5)</w:t>
            </w:r>
          </w:p>
        </w:tc>
        <w:tc>
          <w:tcPr>
            <w:tcW w:w="961" w:type="pct"/>
          </w:tcPr>
          <w:p w14:paraId="49884418" w14:textId="1EF63245" w:rsidR="004A2CCB" w:rsidRPr="000F2789" w:rsidRDefault="004A2CCB" w:rsidP="004A2CCB">
            <w:pPr>
              <w:pStyle w:val="Tableheading"/>
              <w:rPr>
                <w:rFonts w:cstheme="minorHAnsi"/>
                <w:b w:val="0"/>
                <w:sz w:val="20"/>
                <w:szCs w:val="20"/>
              </w:rPr>
            </w:pPr>
            <w:r w:rsidRPr="00E16169">
              <w:rPr>
                <w:rFonts w:cstheme="minorHAnsi"/>
                <w:b w:val="0"/>
                <w:sz w:val="20"/>
                <w:szCs w:val="20"/>
              </w:rPr>
              <w:t>443</w:t>
            </w:r>
          </w:p>
        </w:tc>
        <w:tc>
          <w:tcPr>
            <w:tcW w:w="963" w:type="pct"/>
          </w:tcPr>
          <w:p w14:paraId="0BA92BE2" w14:textId="59B060A6" w:rsidR="004A2CCB" w:rsidRPr="000F2789" w:rsidRDefault="004A2CCB" w:rsidP="004A2CCB">
            <w:pPr>
              <w:pStyle w:val="Tableheading"/>
              <w:rPr>
                <w:rFonts w:cstheme="minorHAnsi"/>
                <w:b w:val="0"/>
                <w:sz w:val="20"/>
                <w:szCs w:val="20"/>
              </w:rPr>
            </w:pPr>
            <w:r w:rsidRPr="00675A50">
              <w:rPr>
                <w:rFonts w:cstheme="minorHAnsi"/>
                <w:b w:val="0"/>
                <w:sz w:val="20"/>
                <w:szCs w:val="20"/>
              </w:rPr>
              <w:t>31.8 (27.8, 35.9)</w:t>
            </w:r>
          </w:p>
        </w:tc>
      </w:tr>
      <w:tr w:rsidR="004A2CCB" w:rsidRPr="001D0858" w14:paraId="0E6F5494" w14:textId="77777777" w:rsidTr="0032098C">
        <w:trPr>
          <w:trHeight w:val="20"/>
        </w:trPr>
        <w:tc>
          <w:tcPr>
            <w:tcW w:w="1152" w:type="pct"/>
          </w:tcPr>
          <w:p w14:paraId="0828545F" w14:textId="1670D7A8" w:rsidR="004A2CCB" w:rsidRDefault="004A2CCB" w:rsidP="004A2CCB">
            <w:pPr>
              <w:pStyle w:val="Tableheading"/>
              <w:rPr>
                <w:rFonts w:cstheme="minorHAnsi"/>
                <w:sz w:val="20"/>
                <w:szCs w:val="20"/>
              </w:rPr>
            </w:pPr>
            <w:r>
              <w:rPr>
                <w:rFonts w:cstheme="minorHAnsi"/>
                <w:sz w:val="20"/>
                <w:szCs w:val="20"/>
              </w:rPr>
              <w:t>Bipolar disorder</w:t>
            </w:r>
          </w:p>
        </w:tc>
        <w:tc>
          <w:tcPr>
            <w:tcW w:w="960" w:type="pct"/>
          </w:tcPr>
          <w:p w14:paraId="0E3987B2" w14:textId="5C18B902" w:rsidR="004A2CCB" w:rsidRPr="000F2789" w:rsidRDefault="004A2CCB" w:rsidP="004A2CCB">
            <w:pPr>
              <w:pStyle w:val="Tableheading"/>
              <w:rPr>
                <w:rFonts w:cstheme="minorHAnsi"/>
                <w:b w:val="0"/>
                <w:sz w:val="20"/>
                <w:szCs w:val="20"/>
              </w:rPr>
            </w:pPr>
            <w:r w:rsidRPr="000C107A">
              <w:rPr>
                <w:rFonts w:cstheme="minorHAnsi"/>
                <w:b w:val="0"/>
                <w:sz w:val="20"/>
                <w:szCs w:val="20"/>
              </w:rPr>
              <w:t>69</w:t>
            </w:r>
          </w:p>
        </w:tc>
        <w:tc>
          <w:tcPr>
            <w:tcW w:w="964" w:type="pct"/>
          </w:tcPr>
          <w:p w14:paraId="50178092" w14:textId="18594090" w:rsidR="004A2CCB" w:rsidRPr="000F2789" w:rsidRDefault="004A2CCB" w:rsidP="004A2CCB">
            <w:pPr>
              <w:pStyle w:val="Tableheading"/>
              <w:rPr>
                <w:rFonts w:cstheme="minorHAnsi"/>
                <w:b w:val="0"/>
                <w:sz w:val="20"/>
                <w:szCs w:val="20"/>
              </w:rPr>
            </w:pPr>
            <w:r w:rsidRPr="004A2CCB">
              <w:rPr>
                <w:rFonts w:cstheme="minorHAnsi"/>
                <w:b w:val="0"/>
                <w:sz w:val="20"/>
                <w:szCs w:val="20"/>
              </w:rPr>
              <w:t>4.5 (4.0, 5.1)</w:t>
            </w:r>
          </w:p>
        </w:tc>
        <w:tc>
          <w:tcPr>
            <w:tcW w:w="961" w:type="pct"/>
          </w:tcPr>
          <w:p w14:paraId="30AC30C4" w14:textId="4D8B300F" w:rsidR="004A2CCB" w:rsidRPr="000F2789" w:rsidRDefault="004A2CCB" w:rsidP="004A2CCB">
            <w:pPr>
              <w:pStyle w:val="Tableheading"/>
              <w:rPr>
                <w:rFonts w:cstheme="minorHAnsi"/>
                <w:b w:val="0"/>
                <w:sz w:val="20"/>
                <w:szCs w:val="20"/>
              </w:rPr>
            </w:pPr>
            <w:r w:rsidRPr="00E16169">
              <w:rPr>
                <w:rFonts w:cstheme="minorHAnsi"/>
                <w:b w:val="0"/>
                <w:sz w:val="20"/>
                <w:szCs w:val="20"/>
              </w:rPr>
              <w:t>66</w:t>
            </w:r>
          </w:p>
        </w:tc>
        <w:tc>
          <w:tcPr>
            <w:tcW w:w="963" w:type="pct"/>
          </w:tcPr>
          <w:p w14:paraId="58D78CDE" w14:textId="336601AE" w:rsidR="004A2CCB" w:rsidRPr="000F2789" w:rsidRDefault="004A2CCB" w:rsidP="004A2CCB">
            <w:pPr>
              <w:pStyle w:val="Tableheading"/>
              <w:rPr>
                <w:rFonts w:cstheme="minorHAnsi"/>
                <w:b w:val="0"/>
                <w:sz w:val="20"/>
                <w:szCs w:val="20"/>
              </w:rPr>
            </w:pPr>
            <w:r w:rsidRPr="00675A50">
              <w:rPr>
                <w:rFonts w:cstheme="minorHAnsi"/>
                <w:b w:val="0"/>
                <w:sz w:val="20"/>
                <w:szCs w:val="20"/>
              </w:rPr>
              <w:t>4.7 (4.1, 5.4)</w:t>
            </w:r>
          </w:p>
        </w:tc>
      </w:tr>
      <w:tr w:rsidR="004A2CCB" w:rsidRPr="001D0858" w14:paraId="7CC720F7" w14:textId="77777777" w:rsidTr="0032098C">
        <w:trPr>
          <w:trHeight w:val="20"/>
        </w:trPr>
        <w:tc>
          <w:tcPr>
            <w:tcW w:w="1152" w:type="pct"/>
          </w:tcPr>
          <w:p w14:paraId="59F3735A" w14:textId="1D5E225B" w:rsidR="004A2CCB" w:rsidRDefault="004A2CCB" w:rsidP="004A2CCB">
            <w:pPr>
              <w:pStyle w:val="Tableheading"/>
              <w:rPr>
                <w:rFonts w:cstheme="minorHAnsi"/>
                <w:sz w:val="20"/>
                <w:szCs w:val="20"/>
              </w:rPr>
            </w:pPr>
            <w:r>
              <w:rPr>
                <w:rFonts w:cstheme="minorHAnsi"/>
                <w:sz w:val="20"/>
                <w:szCs w:val="20"/>
              </w:rPr>
              <w:t>Schizophrenia</w:t>
            </w:r>
          </w:p>
        </w:tc>
        <w:tc>
          <w:tcPr>
            <w:tcW w:w="960" w:type="pct"/>
          </w:tcPr>
          <w:p w14:paraId="6B9D3882" w14:textId="3B7E665B" w:rsidR="004A2CCB" w:rsidRPr="000F2789" w:rsidRDefault="004A2CCB" w:rsidP="004A2CCB">
            <w:pPr>
              <w:pStyle w:val="Tableheading"/>
              <w:rPr>
                <w:rFonts w:cstheme="minorHAnsi"/>
                <w:b w:val="0"/>
                <w:sz w:val="20"/>
                <w:szCs w:val="20"/>
              </w:rPr>
            </w:pPr>
            <w:r w:rsidRPr="000C107A">
              <w:rPr>
                <w:rFonts w:cstheme="minorHAnsi"/>
                <w:b w:val="0"/>
                <w:sz w:val="20"/>
                <w:szCs w:val="20"/>
              </w:rPr>
              <w:t>33</w:t>
            </w:r>
          </w:p>
        </w:tc>
        <w:tc>
          <w:tcPr>
            <w:tcW w:w="964" w:type="pct"/>
          </w:tcPr>
          <w:p w14:paraId="098DB3E3" w14:textId="330EA264" w:rsidR="004A2CCB" w:rsidRPr="000F2789" w:rsidRDefault="004A2CCB" w:rsidP="004A2CCB">
            <w:pPr>
              <w:pStyle w:val="Tableheading"/>
              <w:rPr>
                <w:rFonts w:cstheme="minorHAnsi"/>
                <w:b w:val="0"/>
                <w:sz w:val="20"/>
                <w:szCs w:val="20"/>
              </w:rPr>
            </w:pPr>
            <w:r w:rsidRPr="004A2CCB">
              <w:rPr>
                <w:rFonts w:cstheme="minorHAnsi"/>
                <w:b w:val="0"/>
                <w:sz w:val="20"/>
                <w:szCs w:val="20"/>
              </w:rPr>
              <w:t>2.2 (0.9, 3.4)</w:t>
            </w:r>
          </w:p>
        </w:tc>
        <w:tc>
          <w:tcPr>
            <w:tcW w:w="961" w:type="pct"/>
          </w:tcPr>
          <w:p w14:paraId="1C3ACB3B" w14:textId="3552DDE4" w:rsidR="004A2CCB" w:rsidRPr="000F2789" w:rsidRDefault="004A2CCB" w:rsidP="004A2CCB">
            <w:pPr>
              <w:pStyle w:val="Tableheading"/>
              <w:rPr>
                <w:rFonts w:cstheme="minorHAnsi"/>
                <w:b w:val="0"/>
                <w:sz w:val="20"/>
                <w:szCs w:val="20"/>
              </w:rPr>
            </w:pPr>
            <w:r w:rsidRPr="00E16169">
              <w:rPr>
                <w:rFonts w:cstheme="minorHAnsi"/>
                <w:b w:val="0"/>
                <w:sz w:val="20"/>
                <w:szCs w:val="20"/>
              </w:rPr>
              <w:t>29</w:t>
            </w:r>
          </w:p>
        </w:tc>
        <w:tc>
          <w:tcPr>
            <w:tcW w:w="963" w:type="pct"/>
          </w:tcPr>
          <w:p w14:paraId="16936004" w14:textId="384D6595" w:rsidR="004A2CCB" w:rsidRPr="000F2789" w:rsidRDefault="004A2CCB" w:rsidP="004A2CCB">
            <w:pPr>
              <w:pStyle w:val="Tableheading"/>
              <w:rPr>
                <w:rFonts w:cstheme="minorHAnsi"/>
                <w:b w:val="0"/>
                <w:sz w:val="20"/>
                <w:szCs w:val="20"/>
              </w:rPr>
            </w:pPr>
            <w:r w:rsidRPr="00675A50">
              <w:rPr>
                <w:rFonts w:cstheme="minorHAnsi"/>
                <w:b w:val="0"/>
                <w:sz w:val="20"/>
                <w:szCs w:val="20"/>
              </w:rPr>
              <w:t>2.1 (1.2, 2.9)</w:t>
            </w:r>
          </w:p>
        </w:tc>
      </w:tr>
      <w:tr w:rsidR="004A2CCB" w:rsidRPr="001D0858" w14:paraId="780117E5" w14:textId="77777777" w:rsidTr="0032098C">
        <w:trPr>
          <w:trHeight w:val="20"/>
        </w:trPr>
        <w:tc>
          <w:tcPr>
            <w:tcW w:w="1152" w:type="pct"/>
          </w:tcPr>
          <w:p w14:paraId="776E11BB" w14:textId="52C8AB42" w:rsidR="004A2CCB" w:rsidRDefault="004A2CCB" w:rsidP="004A2CCB">
            <w:pPr>
              <w:pStyle w:val="Tableheading"/>
              <w:rPr>
                <w:rFonts w:cstheme="minorHAnsi"/>
                <w:sz w:val="20"/>
                <w:szCs w:val="20"/>
              </w:rPr>
            </w:pPr>
            <w:r>
              <w:rPr>
                <w:rFonts w:cstheme="minorHAnsi"/>
                <w:sz w:val="20"/>
                <w:szCs w:val="20"/>
              </w:rPr>
              <w:t>Alcohol or opioid problem</w:t>
            </w:r>
          </w:p>
        </w:tc>
        <w:tc>
          <w:tcPr>
            <w:tcW w:w="960" w:type="pct"/>
          </w:tcPr>
          <w:p w14:paraId="54AB22CD" w14:textId="7B2988B9" w:rsidR="004A2CCB" w:rsidRPr="000F2789" w:rsidRDefault="004A2CCB" w:rsidP="004A2CCB">
            <w:pPr>
              <w:pStyle w:val="Tableheading"/>
              <w:rPr>
                <w:rFonts w:cstheme="minorHAnsi"/>
                <w:b w:val="0"/>
                <w:sz w:val="20"/>
                <w:szCs w:val="20"/>
              </w:rPr>
            </w:pPr>
            <w:r w:rsidRPr="000C107A">
              <w:rPr>
                <w:rFonts w:cstheme="minorHAnsi"/>
                <w:b w:val="0"/>
                <w:sz w:val="20"/>
                <w:szCs w:val="20"/>
              </w:rPr>
              <w:t>124</w:t>
            </w:r>
          </w:p>
        </w:tc>
        <w:tc>
          <w:tcPr>
            <w:tcW w:w="964" w:type="pct"/>
          </w:tcPr>
          <w:p w14:paraId="4462F3A8" w14:textId="53789425" w:rsidR="004A2CCB" w:rsidRPr="000F2789" w:rsidRDefault="004A2CCB" w:rsidP="004A2CCB">
            <w:pPr>
              <w:pStyle w:val="Tableheading"/>
              <w:rPr>
                <w:rFonts w:cstheme="minorHAnsi"/>
                <w:b w:val="0"/>
                <w:sz w:val="20"/>
                <w:szCs w:val="20"/>
              </w:rPr>
            </w:pPr>
            <w:r w:rsidRPr="004A2CCB">
              <w:rPr>
                <w:rFonts w:cstheme="minorHAnsi"/>
                <w:b w:val="0"/>
                <w:sz w:val="20"/>
                <w:szCs w:val="20"/>
              </w:rPr>
              <w:t>8.2 (3.5, 12.9)</w:t>
            </w:r>
          </w:p>
        </w:tc>
        <w:tc>
          <w:tcPr>
            <w:tcW w:w="961" w:type="pct"/>
          </w:tcPr>
          <w:p w14:paraId="232A3E10" w14:textId="0B2A0D32" w:rsidR="004A2CCB" w:rsidRPr="000F2789" w:rsidRDefault="004A2CCB" w:rsidP="004A2CCB">
            <w:pPr>
              <w:pStyle w:val="Tableheading"/>
              <w:rPr>
                <w:rFonts w:cstheme="minorHAnsi"/>
                <w:b w:val="0"/>
                <w:sz w:val="20"/>
                <w:szCs w:val="20"/>
              </w:rPr>
            </w:pPr>
            <w:r w:rsidRPr="00E16169">
              <w:rPr>
                <w:rFonts w:cstheme="minorHAnsi"/>
                <w:b w:val="0"/>
                <w:sz w:val="20"/>
                <w:szCs w:val="20"/>
              </w:rPr>
              <w:t>113</w:t>
            </w:r>
          </w:p>
        </w:tc>
        <w:tc>
          <w:tcPr>
            <w:tcW w:w="963" w:type="pct"/>
          </w:tcPr>
          <w:p w14:paraId="269BB0F9" w14:textId="237717FA" w:rsidR="004A2CCB" w:rsidRPr="000F2789" w:rsidRDefault="004A2CCB" w:rsidP="004A2CCB">
            <w:pPr>
              <w:pStyle w:val="Tableheading"/>
              <w:rPr>
                <w:rFonts w:cstheme="minorHAnsi"/>
                <w:b w:val="0"/>
                <w:sz w:val="20"/>
                <w:szCs w:val="20"/>
              </w:rPr>
            </w:pPr>
            <w:r w:rsidRPr="00675A50">
              <w:rPr>
                <w:rFonts w:cstheme="minorHAnsi"/>
                <w:b w:val="0"/>
                <w:sz w:val="20"/>
                <w:szCs w:val="20"/>
              </w:rPr>
              <w:t>8.1 (3.7, 12.5)</w:t>
            </w:r>
          </w:p>
        </w:tc>
      </w:tr>
      <w:tr w:rsidR="0032098C" w:rsidRPr="001D0858" w14:paraId="3E52906E" w14:textId="77777777" w:rsidTr="0032098C">
        <w:trPr>
          <w:trHeight w:val="20"/>
        </w:trPr>
        <w:tc>
          <w:tcPr>
            <w:tcW w:w="5000" w:type="pct"/>
            <w:gridSpan w:val="5"/>
            <w:shd w:val="clear" w:color="auto" w:fill="D9D9D9" w:themeFill="background1" w:themeFillShade="D9"/>
          </w:tcPr>
          <w:p w14:paraId="3D13DEAE" w14:textId="2419AC84" w:rsidR="0032098C" w:rsidRPr="00320C60" w:rsidRDefault="0032098C" w:rsidP="002B3AE9">
            <w:pPr>
              <w:pStyle w:val="Tableheading"/>
              <w:rPr>
                <w:rFonts w:cstheme="minorHAnsi"/>
                <w:b w:val="0"/>
                <w:sz w:val="20"/>
                <w:szCs w:val="20"/>
              </w:rPr>
            </w:pPr>
            <w:r w:rsidRPr="0032098C">
              <w:rPr>
                <w:rFonts w:cstheme="minorHAnsi"/>
                <w:bCs/>
                <w:sz w:val="20"/>
                <w:szCs w:val="20"/>
              </w:rPr>
              <w:t>Risk of developing CVD or CKD</w:t>
            </w:r>
            <w:r w:rsidR="00E067E6">
              <w:rPr>
                <w:rFonts w:cstheme="minorHAnsi"/>
                <w:bCs/>
                <w:sz w:val="20"/>
                <w:szCs w:val="20"/>
              </w:rPr>
              <w:t>*</w:t>
            </w:r>
          </w:p>
        </w:tc>
      </w:tr>
      <w:tr w:rsidR="00E37AC4" w:rsidRPr="001D0858" w14:paraId="5265844A" w14:textId="77777777" w:rsidTr="0032098C">
        <w:trPr>
          <w:trHeight w:val="20"/>
        </w:trPr>
        <w:tc>
          <w:tcPr>
            <w:tcW w:w="1152" w:type="pct"/>
          </w:tcPr>
          <w:p w14:paraId="36909AFB" w14:textId="38F81EA0" w:rsidR="00E37AC4" w:rsidRDefault="00E37AC4" w:rsidP="00E37AC4">
            <w:pPr>
              <w:pStyle w:val="Tableheading"/>
              <w:rPr>
                <w:rFonts w:cstheme="minorHAnsi"/>
                <w:sz w:val="20"/>
                <w:szCs w:val="20"/>
              </w:rPr>
            </w:pPr>
            <w:r>
              <w:rPr>
                <w:rFonts w:cstheme="minorHAnsi"/>
                <w:sz w:val="20"/>
                <w:szCs w:val="20"/>
              </w:rPr>
              <w:t>Total risk of CVD</w:t>
            </w:r>
          </w:p>
        </w:tc>
        <w:tc>
          <w:tcPr>
            <w:tcW w:w="960" w:type="pct"/>
          </w:tcPr>
          <w:p w14:paraId="64966619" w14:textId="10E5B205" w:rsidR="00E37AC4" w:rsidRPr="000F2789" w:rsidRDefault="00E37AC4" w:rsidP="00E37AC4">
            <w:pPr>
              <w:pStyle w:val="Tableheading"/>
              <w:rPr>
                <w:rFonts w:cstheme="minorHAnsi"/>
                <w:b w:val="0"/>
                <w:sz w:val="20"/>
                <w:szCs w:val="20"/>
              </w:rPr>
            </w:pPr>
            <w:r w:rsidRPr="003A4F34">
              <w:rPr>
                <w:rFonts w:cstheme="minorHAnsi"/>
                <w:b w:val="0"/>
                <w:sz w:val="20"/>
                <w:szCs w:val="20"/>
              </w:rPr>
              <w:t>667</w:t>
            </w:r>
          </w:p>
        </w:tc>
        <w:tc>
          <w:tcPr>
            <w:tcW w:w="964" w:type="pct"/>
          </w:tcPr>
          <w:p w14:paraId="78D7C1E4" w14:textId="3B04EF5E" w:rsidR="00E37AC4" w:rsidRPr="000F2789" w:rsidRDefault="00E37AC4" w:rsidP="00E37AC4">
            <w:pPr>
              <w:pStyle w:val="Tableheading"/>
              <w:rPr>
                <w:rFonts w:cstheme="minorHAnsi"/>
                <w:b w:val="0"/>
                <w:sz w:val="20"/>
                <w:szCs w:val="20"/>
              </w:rPr>
            </w:pPr>
            <w:r w:rsidRPr="001320F2">
              <w:rPr>
                <w:rFonts w:cstheme="minorHAnsi"/>
                <w:b w:val="0"/>
                <w:sz w:val="20"/>
                <w:szCs w:val="20"/>
              </w:rPr>
              <w:t>43.9 (37.4, 50.4)</w:t>
            </w:r>
          </w:p>
        </w:tc>
        <w:tc>
          <w:tcPr>
            <w:tcW w:w="961" w:type="pct"/>
          </w:tcPr>
          <w:p w14:paraId="08364EDA" w14:textId="6577F7D7" w:rsidR="00E37AC4" w:rsidRPr="000F2789" w:rsidRDefault="00E37AC4" w:rsidP="00E37AC4">
            <w:pPr>
              <w:pStyle w:val="Tableheading"/>
              <w:rPr>
                <w:rFonts w:cstheme="minorHAnsi"/>
                <w:b w:val="0"/>
                <w:sz w:val="20"/>
                <w:szCs w:val="20"/>
              </w:rPr>
            </w:pPr>
            <w:r>
              <w:rPr>
                <w:rFonts w:cstheme="minorHAnsi"/>
                <w:b w:val="0"/>
                <w:sz w:val="20"/>
                <w:szCs w:val="20"/>
              </w:rPr>
              <w:t>670</w:t>
            </w:r>
          </w:p>
        </w:tc>
        <w:tc>
          <w:tcPr>
            <w:tcW w:w="963" w:type="pct"/>
          </w:tcPr>
          <w:p w14:paraId="267BC0F6" w14:textId="17E1FAFC" w:rsidR="00E37AC4" w:rsidRPr="000F2789" w:rsidRDefault="00E37AC4" w:rsidP="00E37AC4">
            <w:pPr>
              <w:pStyle w:val="Tableheading"/>
              <w:rPr>
                <w:rFonts w:cstheme="minorHAnsi"/>
                <w:b w:val="0"/>
                <w:sz w:val="20"/>
                <w:szCs w:val="20"/>
              </w:rPr>
            </w:pPr>
            <w:r w:rsidRPr="002516B3">
              <w:rPr>
                <w:rFonts w:cstheme="minorHAnsi"/>
                <w:b w:val="0"/>
                <w:sz w:val="20"/>
                <w:szCs w:val="20"/>
              </w:rPr>
              <w:t>48.2 (44.2, 52.2)</w:t>
            </w:r>
          </w:p>
        </w:tc>
      </w:tr>
      <w:tr w:rsidR="00E37AC4" w:rsidRPr="001D0858" w14:paraId="669E2442" w14:textId="77777777" w:rsidTr="0032098C">
        <w:trPr>
          <w:trHeight w:val="20"/>
        </w:trPr>
        <w:tc>
          <w:tcPr>
            <w:tcW w:w="1152" w:type="pct"/>
          </w:tcPr>
          <w:p w14:paraId="4DEE82F6" w14:textId="270D3855" w:rsidR="00E37AC4" w:rsidRPr="00AB410B" w:rsidRDefault="00E37AC4" w:rsidP="00E37AC4">
            <w:pPr>
              <w:pStyle w:val="Tableheading"/>
              <w:rPr>
                <w:rFonts w:cstheme="minorHAnsi"/>
                <w:sz w:val="20"/>
                <w:szCs w:val="20"/>
              </w:rPr>
            </w:pPr>
            <w:r w:rsidRPr="00AB410B">
              <w:rPr>
                <w:rFonts w:cstheme="minorHAnsi"/>
                <w:sz w:val="20"/>
                <w:szCs w:val="20"/>
              </w:rPr>
              <w:t>Total risk of CKD</w:t>
            </w:r>
          </w:p>
        </w:tc>
        <w:tc>
          <w:tcPr>
            <w:tcW w:w="960" w:type="pct"/>
          </w:tcPr>
          <w:p w14:paraId="5222F028" w14:textId="3FBEC58E" w:rsidR="00E37AC4" w:rsidRPr="00AB410B" w:rsidRDefault="005004D2" w:rsidP="00E37AC4">
            <w:pPr>
              <w:pStyle w:val="Tableheading"/>
              <w:rPr>
                <w:rFonts w:cstheme="minorHAnsi"/>
                <w:b w:val="0"/>
                <w:sz w:val="20"/>
                <w:szCs w:val="20"/>
              </w:rPr>
            </w:pPr>
            <w:r>
              <w:rPr>
                <w:rFonts w:cstheme="minorHAnsi"/>
                <w:b w:val="0"/>
                <w:sz w:val="20"/>
                <w:szCs w:val="20"/>
              </w:rPr>
              <w:t>418</w:t>
            </w:r>
          </w:p>
        </w:tc>
        <w:tc>
          <w:tcPr>
            <w:tcW w:w="964" w:type="pct"/>
          </w:tcPr>
          <w:p w14:paraId="216411BD" w14:textId="1F3CD423" w:rsidR="00E37AC4" w:rsidRPr="00AB410B" w:rsidRDefault="005004D2" w:rsidP="00E37AC4">
            <w:pPr>
              <w:pStyle w:val="Tableheading"/>
              <w:rPr>
                <w:rFonts w:cstheme="minorHAnsi"/>
                <w:b w:val="0"/>
                <w:sz w:val="20"/>
                <w:szCs w:val="20"/>
              </w:rPr>
            </w:pPr>
            <w:r>
              <w:rPr>
                <w:rFonts w:cstheme="minorHAnsi"/>
                <w:b w:val="0"/>
                <w:sz w:val="20"/>
                <w:szCs w:val="20"/>
              </w:rPr>
              <w:t xml:space="preserve">27.5 </w:t>
            </w:r>
            <w:r w:rsidR="003C1F87">
              <w:rPr>
                <w:rFonts w:cstheme="minorHAnsi"/>
                <w:b w:val="0"/>
                <w:sz w:val="20"/>
                <w:szCs w:val="20"/>
              </w:rPr>
              <w:t>(</w:t>
            </w:r>
            <w:r>
              <w:rPr>
                <w:rFonts w:cstheme="minorHAnsi"/>
                <w:b w:val="0"/>
                <w:sz w:val="20"/>
                <w:szCs w:val="20"/>
              </w:rPr>
              <w:t>23.0, 32.1)</w:t>
            </w:r>
          </w:p>
        </w:tc>
        <w:tc>
          <w:tcPr>
            <w:tcW w:w="961" w:type="pct"/>
          </w:tcPr>
          <w:p w14:paraId="17094605" w14:textId="6FCAD276" w:rsidR="00E37AC4" w:rsidRPr="00AB410B" w:rsidRDefault="009E08C1" w:rsidP="00E37AC4">
            <w:pPr>
              <w:pStyle w:val="Tableheading"/>
              <w:rPr>
                <w:rFonts w:cstheme="minorHAnsi"/>
                <w:b w:val="0"/>
                <w:sz w:val="20"/>
                <w:szCs w:val="20"/>
              </w:rPr>
            </w:pPr>
            <w:r w:rsidRPr="00AB410B">
              <w:rPr>
                <w:rFonts w:cstheme="minorHAnsi"/>
                <w:b w:val="0"/>
                <w:sz w:val="20"/>
                <w:szCs w:val="20"/>
              </w:rPr>
              <w:t>412</w:t>
            </w:r>
          </w:p>
        </w:tc>
        <w:tc>
          <w:tcPr>
            <w:tcW w:w="963" w:type="pct"/>
          </w:tcPr>
          <w:p w14:paraId="59CFF6CC" w14:textId="2C79DB9B" w:rsidR="00E37AC4" w:rsidRPr="00AB410B" w:rsidRDefault="00A64CD2" w:rsidP="00E37AC4">
            <w:pPr>
              <w:pStyle w:val="Tableheading"/>
              <w:rPr>
                <w:rFonts w:cstheme="minorHAnsi"/>
                <w:b w:val="0"/>
                <w:sz w:val="20"/>
                <w:szCs w:val="20"/>
              </w:rPr>
            </w:pPr>
            <w:r w:rsidRPr="00AB410B">
              <w:rPr>
                <w:rFonts w:cstheme="minorHAnsi"/>
                <w:b w:val="0"/>
                <w:sz w:val="20"/>
                <w:szCs w:val="20"/>
              </w:rPr>
              <w:t>29.6 (27.2, 32.0)</w:t>
            </w:r>
          </w:p>
        </w:tc>
      </w:tr>
      <w:tr w:rsidR="00E37AC4" w:rsidRPr="001D0858" w14:paraId="405FF231" w14:textId="77777777" w:rsidTr="0032098C">
        <w:trPr>
          <w:trHeight w:val="20"/>
        </w:trPr>
        <w:tc>
          <w:tcPr>
            <w:tcW w:w="1152" w:type="pct"/>
          </w:tcPr>
          <w:p w14:paraId="1B90DB82" w14:textId="7B09BE9E" w:rsidR="00E37AC4" w:rsidRDefault="00E37AC4" w:rsidP="00E37AC4">
            <w:pPr>
              <w:pStyle w:val="Tableheading"/>
              <w:rPr>
                <w:rFonts w:cstheme="minorHAnsi"/>
                <w:sz w:val="20"/>
                <w:szCs w:val="20"/>
              </w:rPr>
            </w:pPr>
            <w:r w:rsidRPr="00E0379F">
              <w:rPr>
                <w:rFonts w:cstheme="minorHAnsi"/>
                <w:sz w:val="20"/>
                <w:szCs w:val="20"/>
              </w:rPr>
              <w:t>Diabetes (</w:t>
            </w:r>
            <w:r w:rsidR="004E5465">
              <w:rPr>
                <w:rFonts w:cstheme="minorHAnsi"/>
                <w:sz w:val="20"/>
                <w:szCs w:val="20"/>
              </w:rPr>
              <w:t>t</w:t>
            </w:r>
            <w:r w:rsidRPr="00E0379F">
              <w:rPr>
                <w:rFonts w:cstheme="minorHAnsi"/>
                <w:sz w:val="20"/>
                <w:szCs w:val="20"/>
              </w:rPr>
              <w:t>ype</w:t>
            </w:r>
            <w:r w:rsidR="004E5465">
              <w:rPr>
                <w:rFonts w:cstheme="minorHAnsi"/>
                <w:sz w:val="20"/>
                <w:szCs w:val="20"/>
              </w:rPr>
              <w:t xml:space="preserve"> 1, type 2 or </w:t>
            </w:r>
            <w:r w:rsidRPr="00E0379F">
              <w:rPr>
                <w:rFonts w:cstheme="minorHAnsi"/>
                <w:sz w:val="20"/>
                <w:szCs w:val="20"/>
              </w:rPr>
              <w:t>unspecified)</w:t>
            </w:r>
          </w:p>
        </w:tc>
        <w:tc>
          <w:tcPr>
            <w:tcW w:w="960" w:type="pct"/>
          </w:tcPr>
          <w:p w14:paraId="1F41CECA" w14:textId="659EFF9D" w:rsidR="00E37AC4" w:rsidRPr="000F2789" w:rsidRDefault="00E37AC4" w:rsidP="00E37AC4">
            <w:pPr>
              <w:pStyle w:val="Tableheading"/>
              <w:rPr>
                <w:rFonts w:cstheme="minorHAnsi"/>
                <w:b w:val="0"/>
                <w:sz w:val="20"/>
                <w:szCs w:val="20"/>
              </w:rPr>
            </w:pPr>
            <w:r w:rsidRPr="000C107A">
              <w:rPr>
                <w:rFonts w:cstheme="minorHAnsi"/>
                <w:b w:val="0"/>
                <w:sz w:val="20"/>
                <w:szCs w:val="20"/>
              </w:rPr>
              <w:t>104</w:t>
            </w:r>
          </w:p>
        </w:tc>
        <w:tc>
          <w:tcPr>
            <w:tcW w:w="964" w:type="pct"/>
          </w:tcPr>
          <w:p w14:paraId="3AA6D694" w14:textId="5108A2EC" w:rsidR="00E37AC4" w:rsidRPr="000F2789" w:rsidRDefault="00E37AC4" w:rsidP="00E37AC4">
            <w:pPr>
              <w:pStyle w:val="Tableheading"/>
              <w:rPr>
                <w:rFonts w:cstheme="minorHAnsi"/>
                <w:b w:val="0"/>
                <w:sz w:val="20"/>
                <w:szCs w:val="20"/>
              </w:rPr>
            </w:pPr>
            <w:r w:rsidRPr="00E37AC4">
              <w:rPr>
                <w:rFonts w:cstheme="minorHAnsi"/>
                <w:b w:val="0"/>
                <w:sz w:val="20"/>
                <w:szCs w:val="20"/>
              </w:rPr>
              <w:t>6.9 (5.2, 8.5)</w:t>
            </w:r>
          </w:p>
        </w:tc>
        <w:tc>
          <w:tcPr>
            <w:tcW w:w="961" w:type="pct"/>
          </w:tcPr>
          <w:p w14:paraId="2D82B246" w14:textId="4D7353B3" w:rsidR="00E37AC4" w:rsidRPr="000F2789" w:rsidRDefault="00E37AC4" w:rsidP="00E37AC4">
            <w:pPr>
              <w:pStyle w:val="Tableheading"/>
              <w:rPr>
                <w:rFonts w:cstheme="minorHAnsi"/>
                <w:b w:val="0"/>
                <w:sz w:val="20"/>
                <w:szCs w:val="20"/>
              </w:rPr>
            </w:pPr>
            <w:r>
              <w:rPr>
                <w:rFonts w:cstheme="minorHAnsi"/>
                <w:b w:val="0"/>
                <w:sz w:val="20"/>
                <w:szCs w:val="20"/>
              </w:rPr>
              <w:t>104</w:t>
            </w:r>
          </w:p>
        </w:tc>
        <w:tc>
          <w:tcPr>
            <w:tcW w:w="963" w:type="pct"/>
          </w:tcPr>
          <w:p w14:paraId="09FDFE5A" w14:textId="6DA2B167" w:rsidR="00E37AC4" w:rsidRPr="000F2789" w:rsidRDefault="00E37AC4" w:rsidP="00E37AC4">
            <w:pPr>
              <w:pStyle w:val="Tableheading"/>
              <w:rPr>
                <w:rFonts w:cstheme="minorHAnsi"/>
                <w:b w:val="0"/>
                <w:sz w:val="20"/>
                <w:szCs w:val="20"/>
              </w:rPr>
            </w:pPr>
            <w:r w:rsidRPr="00A122AD">
              <w:rPr>
                <w:rFonts w:cstheme="minorHAnsi"/>
                <w:b w:val="0"/>
                <w:sz w:val="20"/>
                <w:szCs w:val="20"/>
              </w:rPr>
              <w:t>7.5 (5.9, 9.0)</w:t>
            </w:r>
          </w:p>
        </w:tc>
      </w:tr>
      <w:tr w:rsidR="00E37AC4" w:rsidRPr="001D0858" w14:paraId="5973C9BF" w14:textId="77777777" w:rsidTr="0032098C">
        <w:trPr>
          <w:trHeight w:val="20"/>
        </w:trPr>
        <w:tc>
          <w:tcPr>
            <w:tcW w:w="1152" w:type="pct"/>
          </w:tcPr>
          <w:p w14:paraId="3BDB0B62" w14:textId="333A2F08" w:rsidR="00E37AC4" w:rsidRDefault="00E37AC4" w:rsidP="00E37AC4">
            <w:pPr>
              <w:pStyle w:val="Tableheading"/>
              <w:rPr>
                <w:rFonts w:cstheme="minorHAnsi"/>
                <w:sz w:val="20"/>
                <w:szCs w:val="20"/>
              </w:rPr>
            </w:pPr>
            <w:r w:rsidRPr="00E0379F">
              <w:rPr>
                <w:rFonts w:cstheme="minorHAnsi"/>
                <w:sz w:val="20"/>
                <w:szCs w:val="20"/>
              </w:rPr>
              <w:t>Hypertension</w:t>
            </w:r>
          </w:p>
        </w:tc>
        <w:tc>
          <w:tcPr>
            <w:tcW w:w="960" w:type="pct"/>
          </w:tcPr>
          <w:p w14:paraId="5D507050" w14:textId="1FC126CB" w:rsidR="00E37AC4" w:rsidRPr="000F2789" w:rsidRDefault="00E37AC4" w:rsidP="00E37AC4">
            <w:pPr>
              <w:pStyle w:val="Tableheading"/>
              <w:rPr>
                <w:rFonts w:cstheme="minorHAnsi"/>
                <w:b w:val="0"/>
                <w:sz w:val="20"/>
                <w:szCs w:val="20"/>
              </w:rPr>
            </w:pPr>
            <w:r w:rsidRPr="000C107A">
              <w:rPr>
                <w:rFonts w:cstheme="minorHAnsi"/>
                <w:b w:val="0"/>
                <w:sz w:val="20"/>
                <w:szCs w:val="20"/>
              </w:rPr>
              <w:t>361</w:t>
            </w:r>
          </w:p>
        </w:tc>
        <w:tc>
          <w:tcPr>
            <w:tcW w:w="964" w:type="pct"/>
          </w:tcPr>
          <w:p w14:paraId="71F1925D" w14:textId="535F2AF9" w:rsidR="00E37AC4" w:rsidRPr="000F2789" w:rsidRDefault="00E37AC4" w:rsidP="00E37AC4">
            <w:pPr>
              <w:pStyle w:val="Tableheading"/>
              <w:rPr>
                <w:rFonts w:cstheme="minorHAnsi"/>
                <w:b w:val="0"/>
                <w:sz w:val="20"/>
                <w:szCs w:val="20"/>
              </w:rPr>
            </w:pPr>
            <w:r w:rsidRPr="00E37AC4">
              <w:rPr>
                <w:rFonts w:cstheme="minorHAnsi"/>
                <w:b w:val="0"/>
                <w:sz w:val="20"/>
                <w:szCs w:val="20"/>
              </w:rPr>
              <w:t>23.8 (19.7, 27.9)</w:t>
            </w:r>
          </w:p>
        </w:tc>
        <w:tc>
          <w:tcPr>
            <w:tcW w:w="961" w:type="pct"/>
          </w:tcPr>
          <w:p w14:paraId="5B88E9CD" w14:textId="52FD5EC6" w:rsidR="00E37AC4" w:rsidRPr="000F2789" w:rsidRDefault="00E37AC4" w:rsidP="00E37AC4">
            <w:pPr>
              <w:pStyle w:val="Tableheading"/>
              <w:rPr>
                <w:rFonts w:cstheme="minorHAnsi"/>
                <w:b w:val="0"/>
                <w:sz w:val="20"/>
                <w:szCs w:val="20"/>
              </w:rPr>
            </w:pPr>
            <w:r>
              <w:rPr>
                <w:rFonts w:cstheme="minorHAnsi"/>
                <w:b w:val="0"/>
                <w:sz w:val="20"/>
                <w:szCs w:val="20"/>
              </w:rPr>
              <w:t>357</w:t>
            </w:r>
          </w:p>
        </w:tc>
        <w:tc>
          <w:tcPr>
            <w:tcW w:w="963" w:type="pct"/>
          </w:tcPr>
          <w:p w14:paraId="2E7E4C98" w14:textId="7F10C3B9" w:rsidR="00E37AC4" w:rsidRPr="000F2789" w:rsidRDefault="00E37AC4" w:rsidP="00E37AC4">
            <w:pPr>
              <w:pStyle w:val="Tableheading"/>
              <w:rPr>
                <w:rFonts w:cstheme="minorHAnsi"/>
                <w:b w:val="0"/>
                <w:sz w:val="20"/>
                <w:szCs w:val="20"/>
              </w:rPr>
            </w:pPr>
            <w:r w:rsidRPr="00A122AD">
              <w:rPr>
                <w:rFonts w:cstheme="minorHAnsi"/>
                <w:b w:val="0"/>
                <w:sz w:val="20"/>
                <w:szCs w:val="20"/>
              </w:rPr>
              <w:t>25.7 (23.4, 27.9)</w:t>
            </w:r>
          </w:p>
        </w:tc>
      </w:tr>
      <w:tr w:rsidR="00E37AC4" w:rsidRPr="001D0858" w14:paraId="0DCBF805" w14:textId="77777777" w:rsidTr="0032098C">
        <w:trPr>
          <w:trHeight w:val="20"/>
        </w:trPr>
        <w:tc>
          <w:tcPr>
            <w:tcW w:w="1152" w:type="pct"/>
          </w:tcPr>
          <w:p w14:paraId="4A0F93CE" w14:textId="5A2B266A" w:rsidR="00E37AC4" w:rsidRDefault="00E37AC4" w:rsidP="00E37AC4">
            <w:pPr>
              <w:pStyle w:val="Tableheading"/>
              <w:rPr>
                <w:rFonts w:cstheme="minorHAnsi"/>
                <w:sz w:val="20"/>
                <w:szCs w:val="20"/>
              </w:rPr>
            </w:pPr>
            <w:r w:rsidRPr="00E0379F">
              <w:rPr>
                <w:rFonts w:cstheme="minorHAnsi"/>
                <w:sz w:val="20"/>
                <w:szCs w:val="20"/>
              </w:rPr>
              <w:t>Dyslipidaemia</w:t>
            </w:r>
          </w:p>
        </w:tc>
        <w:tc>
          <w:tcPr>
            <w:tcW w:w="960" w:type="pct"/>
          </w:tcPr>
          <w:p w14:paraId="52A6237F" w14:textId="4FF9FDC8" w:rsidR="00E37AC4" w:rsidRPr="000F2789" w:rsidRDefault="00E37AC4" w:rsidP="00E37AC4">
            <w:pPr>
              <w:pStyle w:val="Tableheading"/>
              <w:rPr>
                <w:rFonts w:cstheme="minorHAnsi"/>
                <w:b w:val="0"/>
                <w:sz w:val="20"/>
                <w:szCs w:val="20"/>
              </w:rPr>
            </w:pPr>
            <w:r w:rsidRPr="000C107A">
              <w:rPr>
                <w:rFonts w:cstheme="minorHAnsi"/>
                <w:b w:val="0"/>
                <w:sz w:val="20"/>
                <w:szCs w:val="20"/>
              </w:rPr>
              <w:t>443</w:t>
            </w:r>
          </w:p>
        </w:tc>
        <w:tc>
          <w:tcPr>
            <w:tcW w:w="964" w:type="pct"/>
          </w:tcPr>
          <w:p w14:paraId="4AAC9AEC" w14:textId="05007A3D" w:rsidR="00E37AC4" w:rsidRPr="000F2789" w:rsidRDefault="00E37AC4" w:rsidP="00E37AC4">
            <w:pPr>
              <w:pStyle w:val="Tableheading"/>
              <w:rPr>
                <w:rFonts w:cstheme="minorHAnsi"/>
                <w:b w:val="0"/>
                <w:sz w:val="20"/>
                <w:szCs w:val="20"/>
              </w:rPr>
            </w:pPr>
            <w:r w:rsidRPr="00E37AC4">
              <w:rPr>
                <w:rFonts w:cstheme="minorHAnsi"/>
                <w:b w:val="0"/>
                <w:sz w:val="20"/>
                <w:szCs w:val="20"/>
              </w:rPr>
              <w:t>29.2 (25.1, 33.2)</w:t>
            </w:r>
          </w:p>
        </w:tc>
        <w:tc>
          <w:tcPr>
            <w:tcW w:w="961" w:type="pct"/>
          </w:tcPr>
          <w:p w14:paraId="5AC03D21" w14:textId="35FB9B7C" w:rsidR="00E37AC4" w:rsidRPr="000F2789" w:rsidRDefault="00E37AC4" w:rsidP="00E37AC4">
            <w:pPr>
              <w:pStyle w:val="Tableheading"/>
              <w:rPr>
                <w:rFonts w:cstheme="minorHAnsi"/>
                <w:b w:val="0"/>
                <w:sz w:val="20"/>
                <w:szCs w:val="20"/>
              </w:rPr>
            </w:pPr>
            <w:r>
              <w:rPr>
                <w:rFonts w:cstheme="minorHAnsi"/>
                <w:b w:val="0"/>
                <w:sz w:val="20"/>
                <w:szCs w:val="20"/>
              </w:rPr>
              <w:t>466</w:t>
            </w:r>
          </w:p>
        </w:tc>
        <w:tc>
          <w:tcPr>
            <w:tcW w:w="963" w:type="pct"/>
          </w:tcPr>
          <w:p w14:paraId="1BF5FC53" w14:textId="20DDA35A" w:rsidR="00E37AC4" w:rsidRPr="000F2789" w:rsidRDefault="00E37AC4" w:rsidP="00E37AC4">
            <w:pPr>
              <w:pStyle w:val="Tableheading"/>
              <w:rPr>
                <w:rFonts w:cstheme="minorHAnsi"/>
                <w:b w:val="0"/>
                <w:sz w:val="20"/>
                <w:szCs w:val="20"/>
              </w:rPr>
            </w:pPr>
            <w:r w:rsidRPr="005D79D5">
              <w:rPr>
                <w:rFonts w:cstheme="minorHAnsi"/>
                <w:b w:val="0"/>
                <w:sz w:val="20"/>
                <w:szCs w:val="20"/>
              </w:rPr>
              <w:t>33.5 (30.3, 36.7)</w:t>
            </w:r>
          </w:p>
        </w:tc>
      </w:tr>
    </w:tbl>
    <w:p w14:paraId="09F911CA" w14:textId="454DE3EB" w:rsidR="004B41EC" w:rsidRDefault="004B41EC" w:rsidP="004D1145">
      <w:pPr>
        <w:spacing w:after="0"/>
        <w:rPr>
          <w:rFonts w:cstheme="minorHAnsi"/>
          <w:sz w:val="20"/>
          <w:szCs w:val="20"/>
        </w:rPr>
      </w:pPr>
      <w:r w:rsidRPr="00FE47BB">
        <w:rPr>
          <w:rFonts w:cstheme="minorHAnsi"/>
          <w:sz w:val="20"/>
          <w:szCs w:val="20"/>
        </w:rPr>
        <w:t>*</w:t>
      </w:r>
      <w:r w:rsidR="004D1145">
        <w:rPr>
          <w:rFonts w:cstheme="minorHAnsi"/>
          <w:sz w:val="20"/>
          <w:szCs w:val="20"/>
        </w:rPr>
        <w:t xml:space="preserve">CKD: chronic kidney disease; CVD: cardiovascular disease; </w:t>
      </w:r>
      <w:r w:rsidR="002C3FE7">
        <w:rPr>
          <w:rFonts w:cstheme="minorHAnsi"/>
          <w:sz w:val="20"/>
          <w:szCs w:val="20"/>
        </w:rPr>
        <w:t>HCV</w:t>
      </w:r>
      <w:r w:rsidR="004D1145">
        <w:rPr>
          <w:rFonts w:cstheme="minorHAnsi"/>
          <w:sz w:val="20"/>
          <w:szCs w:val="20"/>
        </w:rPr>
        <w:t>: hepatitis C</w:t>
      </w:r>
    </w:p>
    <w:p w14:paraId="41F04A45" w14:textId="77777777" w:rsidR="002460D0" w:rsidRDefault="004D1145" w:rsidP="002460D0">
      <w:pPr>
        <w:spacing w:after="0"/>
        <w:rPr>
          <w:rFonts w:cstheme="minorHAnsi"/>
          <w:sz w:val="20"/>
          <w:szCs w:val="20"/>
        </w:rPr>
      </w:pPr>
      <w:r>
        <w:rPr>
          <w:rFonts w:cstheme="minorHAnsi"/>
          <w:sz w:val="20"/>
          <w:szCs w:val="20"/>
        </w:rPr>
        <w:t>*</w:t>
      </w:r>
      <w:r w:rsidR="00E067E6">
        <w:rPr>
          <w:rFonts w:cstheme="minorHAnsi"/>
          <w:sz w:val="20"/>
          <w:szCs w:val="20"/>
        </w:rPr>
        <w:t>Patients were classified as being at risk of CVD if they had a</w:t>
      </w:r>
      <w:r w:rsidR="000B6BF5">
        <w:rPr>
          <w:rFonts w:cstheme="minorHAnsi"/>
          <w:sz w:val="20"/>
          <w:szCs w:val="20"/>
        </w:rPr>
        <w:t xml:space="preserve"> </w:t>
      </w:r>
      <w:r w:rsidR="00E067E6">
        <w:rPr>
          <w:rFonts w:cstheme="minorHAnsi"/>
          <w:sz w:val="20"/>
          <w:szCs w:val="20"/>
        </w:rPr>
        <w:t xml:space="preserve">record of one or more of diabetes, </w:t>
      </w:r>
      <w:r w:rsidR="000B6BF5">
        <w:rPr>
          <w:rFonts w:cstheme="minorHAnsi"/>
          <w:sz w:val="20"/>
          <w:szCs w:val="20"/>
        </w:rPr>
        <w:t xml:space="preserve">hypertension or dyslipidaemia. They were classified as being at risk of CKD if they had a record of diabetes or </w:t>
      </w:r>
      <w:r w:rsidR="002460D0">
        <w:rPr>
          <w:rFonts w:cstheme="minorHAnsi"/>
          <w:sz w:val="20"/>
          <w:szCs w:val="20"/>
        </w:rPr>
        <w:t>hypertension.</w:t>
      </w:r>
    </w:p>
    <w:p w14:paraId="0C5EA084" w14:textId="29B4FB3B" w:rsidR="00862723" w:rsidRDefault="00862723" w:rsidP="00862723">
      <w:pPr>
        <w:pStyle w:val="Heading2"/>
      </w:pPr>
      <w:r w:rsidRPr="00862723">
        <w:t>Patients prescribed HIV meds</w:t>
      </w:r>
    </w:p>
    <w:p w14:paraId="61BF8C10" w14:textId="532D8494" w:rsidR="00DE6F20" w:rsidRDefault="00DE6F20" w:rsidP="00386B49">
      <w:r>
        <w:t xml:space="preserve">The combination </w:t>
      </w:r>
      <w:r w:rsidR="008C62DE">
        <w:t>antiretroviral medicines were the most commonly prescribed to MedicineInsight patients in 2018 and 2019 (</w:t>
      </w:r>
      <w:r w:rsidR="00F0225C">
        <w:t>Figure 1</w:t>
      </w:r>
      <w:r w:rsidR="0097375B">
        <w:t xml:space="preserve"> and Table </w:t>
      </w:r>
      <w:r w:rsidR="00B2123F">
        <w:t>5</w:t>
      </w:r>
      <w:r w:rsidR="00F0225C">
        <w:t>)</w:t>
      </w:r>
      <w:r w:rsidR="008C62DE">
        <w:t xml:space="preserve">. </w:t>
      </w:r>
    </w:p>
    <w:p w14:paraId="108BE12E" w14:textId="31BB7017" w:rsidR="00F0225C" w:rsidRDefault="0026039D" w:rsidP="00386B49">
      <w:r>
        <w:rPr>
          <w:noProof/>
        </w:rPr>
        <w:lastRenderedPageBreak/>
        <w:drawing>
          <wp:inline distT="0" distB="0" distL="0" distR="0" wp14:anchorId="7EC7EF61" wp14:editId="391E7C17">
            <wp:extent cx="5687695" cy="2650490"/>
            <wp:effectExtent l="0" t="0" r="8255" b="16510"/>
            <wp:docPr id="1" name="Chart 1" descr="Number of patients treated with different classes of antiretroviral medicines in 2018 or 2019. The highest number of patients are on combination medication.">
              <a:extLst xmlns:a="http://schemas.openxmlformats.org/drawingml/2006/main">
                <a:ext uri="{FF2B5EF4-FFF2-40B4-BE49-F238E27FC236}">
                  <a16:creationId xmlns:a16="http://schemas.microsoft.com/office/drawing/2014/main" id="{133B0CA4-3F70-4C59-A726-C709C47E40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8537C4" w14:textId="28DA43F9" w:rsidR="00671E9E" w:rsidRDefault="00671E9E" w:rsidP="00671E9E">
      <w:pPr>
        <w:pStyle w:val="Figuretitle"/>
      </w:pPr>
      <w:r w:rsidRPr="00231A43">
        <w:t>F</w:t>
      </w:r>
      <w:r>
        <w:t>igure</w:t>
      </w:r>
      <w:r w:rsidRPr="00231A43">
        <w:t xml:space="preserve"> 1: Number of patients treated with </w:t>
      </w:r>
      <w:r>
        <w:t xml:space="preserve">different classes of </w:t>
      </w:r>
      <w:r w:rsidR="00FC2FF1">
        <w:t>antiretroviral medicines in 2018 or 2019</w:t>
      </w:r>
    </w:p>
    <w:p w14:paraId="66B949EB" w14:textId="06C89C77" w:rsidR="00671E9E" w:rsidRPr="00894ED3" w:rsidRDefault="00671E9E" w:rsidP="00671E9E">
      <w:pPr>
        <w:rPr>
          <w:sz w:val="20"/>
          <w:szCs w:val="20"/>
        </w:rPr>
      </w:pPr>
      <w:r w:rsidRPr="00894ED3">
        <w:rPr>
          <w:sz w:val="20"/>
          <w:szCs w:val="20"/>
        </w:rPr>
        <w:t>N</w:t>
      </w:r>
      <w:r w:rsidR="00FC2FF1">
        <w:rPr>
          <w:sz w:val="20"/>
          <w:szCs w:val="20"/>
        </w:rPr>
        <w:t xml:space="preserve">RTI: </w:t>
      </w:r>
      <w:r w:rsidR="00C43E70" w:rsidRPr="00C43E70">
        <w:rPr>
          <w:sz w:val="20"/>
          <w:szCs w:val="20"/>
        </w:rPr>
        <w:t>Nucleoside and nucleotide reverse transcriptase inhibitor</w:t>
      </w:r>
      <w:r w:rsidR="00C43E70">
        <w:rPr>
          <w:sz w:val="20"/>
          <w:szCs w:val="20"/>
        </w:rPr>
        <w:t xml:space="preserve">. </w:t>
      </w:r>
      <w:r w:rsidR="002F3A81">
        <w:rPr>
          <w:sz w:val="20"/>
          <w:szCs w:val="20"/>
        </w:rPr>
        <w:t>HIV-PI</w:t>
      </w:r>
      <w:r w:rsidR="007278F2">
        <w:rPr>
          <w:sz w:val="20"/>
          <w:szCs w:val="20"/>
        </w:rPr>
        <w:t>: HIV protease inhibitors</w:t>
      </w:r>
      <w:r w:rsidR="001673AC">
        <w:rPr>
          <w:sz w:val="20"/>
          <w:szCs w:val="20"/>
        </w:rPr>
        <w:t>; NNRTI:</w:t>
      </w:r>
      <w:r w:rsidR="001673AC" w:rsidRPr="001673AC">
        <w:t xml:space="preserve"> </w:t>
      </w:r>
      <w:r w:rsidR="001673AC">
        <w:t>n</w:t>
      </w:r>
      <w:r w:rsidR="001673AC" w:rsidRPr="001673AC">
        <w:rPr>
          <w:sz w:val="20"/>
          <w:szCs w:val="20"/>
        </w:rPr>
        <w:t>on</w:t>
      </w:r>
      <w:r w:rsidR="001673AC" w:rsidRPr="001673AC">
        <w:rPr>
          <w:rFonts w:ascii="Cambria Math" w:hAnsi="Cambria Math" w:cs="Cambria Math"/>
          <w:sz w:val="20"/>
          <w:szCs w:val="20"/>
        </w:rPr>
        <w:t>‑</w:t>
      </w:r>
      <w:r w:rsidR="001673AC" w:rsidRPr="001673AC">
        <w:rPr>
          <w:sz w:val="20"/>
          <w:szCs w:val="20"/>
        </w:rPr>
        <w:t>nucleoside analogue reverse transcriptase inhibitors</w:t>
      </w:r>
      <w:r w:rsidRPr="00894ED3">
        <w:rPr>
          <w:sz w:val="20"/>
          <w:szCs w:val="20"/>
        </w:rPr>
        <w:t>.</w:t>
      </w:r>
    </w:p>
    <w:p w14:paraId="7BA4965D" w14:textId="113A6269" w:rsidR="0097375B" w:rsidRDefault="0097375B" w:rsidP="0097375B">
      <w:r>
        <w:t xml:space="preserve">The most commonly prescribed of all the medicines was </w:t>
      </w:r>
      <w:r w:rsidRPr="004C1A08">
        <w:t>bictegravir + tenofovir alafenamide + emtricitabine (</w:t>
      </w:r>
      <w:proofErr w:type="spellStart"/>
      <w:r w:rsidRPr="004C1A08">
        <w:t>Biktarvy</w:t>
      </w:r>
      <w:proofErr w:type="spellEnd"/>
      <w:r w:rsidRPr="004C1A08">
        <w:t>)</w:t>
      </w:r>
      <w:r>
        <w:t xml:space="preserve"> w</w:t>
      </w:r>
      <w:r w:rsidR="00C641A0">
        <w:t xml:space="preserve">hich is one of the regimens recommended for initial </w:t>
      </w:r>
      <w:r w:rsidR="007D1D04">
        <w:t xml:space="preserve">treatment in </w:t>
      </w:r>
      <w:r>
        <w:t xml:space="preserve">Australian guidelines (Figure 2 and Table </w:t>
      </w:r>
      <w:r w:rsidR="00B2123F">
        <w:t>5</w:t>
      </w:r>
      <w:r>
        <w:t>).</w:t>
      </w:r>
      <w:r w:rsidR="001842DC">
        <w:t xml:space="preserve"> </w:t>
      </w:r>
    </w:p>
    <w:p w14:paraId="3D57E5F2" w14:textId="1DAA1853" w:rsidR="0097375B" w:rsidRDefault="0097375B" w:rsidP="0097375B">
      <w:r>
        <w:rPr>
          <w:noProof/>
        </w:rPr>
        <w:drawing>
          <wp:inline distT="0" distB="0" distL="0" distR="0" wp14:anchorId="2173EBBD" wp14:editId="003B8DB1">
            <wp:extent cx="5687695" cy="2245995"/>
            <wp:effectExtent l="0" t="0" r="8255" b="1905"/>
            <wp:docPr id="8" name="Chart 8" descr="Number of patients treated with different individual medicines (excluding medicines where fewer than 100 patients were prescribed the medicine) in 2018 or 2019. &#10;The most commonly prescribed of all the medicines was bictegravir + tenofovir alafenamide + emtricitabine (Biktarvy) which is one of the regimens recommended for initial treatment in Australian guidelines ">
              <a:extLst xmlns:a="http://schemas.openxmlformats.org/drawingml/2006/main">
                <a:ext uri="{FF2B5EF4-FFF2-40B4-BE49-F238E27FC236}">
                  <a16:creationId xmlns:a16="http://schemas.microsoft.com/office/drawing/2014/main" id="{9C6ECC0C-969E-4096-B3A3-46F5444627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46E328" w14:textId="0D15E354" w:rsidR="00671E9E" w:rsidRDefault="0097375B" w:rsidP="0097375B">
      <w:pPr>
        <w:pStyle w:val="Figuretitle"/>
      </w:pPr>
      <w:r w:rsidRPr="0097375B">
        <w:t xml:space="preserve">Figure </w:t>
      </w:r>
      <w:r w:rsidR="00491A59">
        <w:t>2</w:t>
      </w:r>
      <w:r w:rsidRPr="0097375B">
        <w:t xml:space="preserve">: Number of patients treated with different </w:t>
      </w:r>
      <w:r>
        <w:t>individual medicines (</w:t>
      </w:r>
      <w:r w:rsidR="009D381A">
        <w:t>excluding</w:t>
      </w:r>
      <w:r>
        <w:t xml:space="preserve"> medicines where </w:t>
      </w:r>
      <w:r w:rsidR="009D381A">
        <w:t>fewer</w:t>
      </w:r>
      <w:r>
        <w:t xml:space="preserve"> than 100 patients were prescribed the medicine)</w:t>
      </w:r>
      <w:r w:rsidRPr="0097375B">
        <w:t xml:space="preserve"> in 2018 or 2019</w:t>
      </w:r>
    </w:p>
    <w:p w14:paraId="4896161E" w14:textId="77777777" w:rsidR="0048210C" w:rsidRDefault="0048210C" w:rsidP="0048210C"/>
    <w:p w14:paraId="06C7179F" w14:textId="77777777" w:rsidR="007D15B8" w:rsidRDefault="0048210C" w:rsidP="00386B49">
      <w:r>
        <w:t xml:space="preserve">Most of the other commonly used medicines are also medicines that are recommended as part of initiating treatment for HIV. However, the FDCs of </w:t>
      </w:r>
      <w:r w:rsidRPr="005F4785">
        <w:t>elvitegravir + cobicistat + emtricitabine + tenofovir alafenamide (</w:t>
      </w:r>
      <w:proofErr w:type="spellStart"/>
      <w:r w:rsidRPr="005F4785">
        <w:t>Genvoya</w:t>
      </w:r>
      <w:proofErr w:type="spellEnd"/>
      <w:r w:rsidRPr="005F4785">
        <w:t>)</w:t>
      </w:r>
      <w:r>
        <w:t xml:space="preserve"> and </w:t>
      </w:r>
      <w:r w:rsidRPr="0048210C">
        <w:t>emtricitabine + rilpivirine + tenofovir alafenamide (</w:t>
      </w:r>
      <w:proofErr w:type="spellStart"/>
      <w:r w:rsidRPr="0048210C">
        <w:t>Odefsey</w:t>
      </w:r>
      <w:proofErr w:type="spellEnd"/>
      <w:r w:rsidRPr="0048210C">
        <w:t xml:space="preserve">) </w:t>
      </w:r>
      <w:r>
        <w:t xml:space="preserve">are not </w:t>
      </w:r>
      <w:r w:rsidR="00DA1B80">
        <w:t>included in this group of medicines</w:t>
      </w:r>
      <w:r w:rsidR="00BA7837">
        <w:t>.</w:t>
      </w:r>
    </w:p>
    <w:p w14:paraId="1F16C201" w14:textId="44D0512D" w:rsidR="00386B49" w:rsidRDefault="00ED73AE" w:rsidP="00386B49">
      <w:r>
        <w:lastRenderedPageBreak/>
        <w:t>T</w:t>
      </w:r>
      <w:r w:rsidR="00523059">
        <w:t xml:space="preserve">wo of the </w:t>
      </w:r>
      <w:r>
        <w:t>NRTIs, didanosine and stavudine</w:t>
      </w:r>
      <w:r w:rsidR="00847D75">
        <w:t>,</w:t>
      </w:r>
      <w:r>
        <w:t xml:space="preserve"> were</w:t>
      </w:r>
      <w:r w:rsidR="00847D75">
        <w:t xml:space="preserve"> removed from the PBS in mid-2018</w:t>
      </w:r>
      <w:r w:rsidR="00A069FF">
        <w:t xml:space="preserve"> and were rarely prescribed to MedicineInsight </w:t>
      </w:r>
      <w:r w:rsidR="0049728E">
        <w:t>patients</w:t>
      </w:r>
      <w:r w:rsidR="0038755F">
        <w:t xml:space="preserve"> during the study period</w:t>
      </w:r>
      <w:r w:rsidR="00A069FF">
        <w:t>.</w:t>
      </w:r>
    </w:p>
    <w:p w14:paraId="0188606B" w14:textId="6F76C427" w:rsidR="0098049A" w:rsidRDefault="001E59EA" w:rsidP="0098049A">
      <w:pPr>
        <w:pStyle w:val="Tabletitle"/>
      </w:pPr>
      <w:r>
        <w:t xml:space="preserve">Table </w:t>
      </w:r>
      <w:r w:rsidR="00B2123F">
        <w:t>5</w:t>
      </w:r>
      <w:r>
        <w:t xml:space="preserve">: </w:t>
      </w:r>
      <w:r w:rsidR="00CA6C1F" w:rsidRPr="00CA6C1F">
        <w:t xml:space="preserve">Number </w:t>
      </w:r>
      <w:r w:rsidR="00AB2FD2">
        <w:t xml:space="preserve">of </w:t>
      </w:r>
      <w:r w:rsidR="00AB2FD2" w:rsidRPr="00AB2FD2">
        <w:t>p</w:t>
      </w:r>
      <w:r w:rsidR="006877FC">
        <w:t>atients</w:t>
      </w:r>
      <w:r w:rsidR="00761FDE">
        <w:t>*</w:t>
      </w:r>
      <w:r w:rsidR="006877FC">
        <w:t xml:space="preserve"> prescribed </w:t>
      </w:r>
      <w:r w:rsidR="007C1958">
        <w:t>HIV antiretroviral medicines, by active ingredient and c</w:t>
      </w:r>
      <w:r w:rsidR="006877FC">
        <w:t>lass</w:t>
      </w:r>
    </w:p>
    <w:tbl>
      <w:tblPr>
        <w:tblStyle w:val="TableGrid1"/>
        <w:tblW w:w="5000" w:type="pct"/>
        <w:tblLook w:val="04A0" w:firstRow="1" w:lastRow="0" w:firstColumn="1" w:lastColumn="0" w:noHBand="0" w:noVBand="1"/>
      </w:tblPr>
      <w:tblGrid>
        <w:gridCol w:w="5950"/>
        <w:gridCol w:w="2997"/>
      </w:tblGrid>
      <w:tr w:rsidR="00427730" w:rsidRPr="00952DED" w14:paraId="73C4837B" w14:textId="77777777" w:rsidTr="002864CE">
        <w:trPr>
          <w:trHeight w:val="20"/>
          <w:tblHeader/>
        </w:trPr>
        <w:tc>
          <w:tcPr>
            <w:tcW w:w="3325" w:type="pct"/>
            <w:shd w:val="clear" w:color="auto" w:fill="BFBFBF" w:themeFill="background1" w:themeFillShade="BF"/>
            <w:vAlign w:val="center"/>
          </w:tcPr>
          <w:p w14:paraId="70A109BB" w14:textId="77777777" w:rsidR="00427730" w:rsidRPr="00952DED" w:rsidRDefault="00427730" w:rsidP="001F3116">
            <w:pPr>
              <w:autoSpaceDE w:val="0"/>
              <w:autoSpaceDN w:val="0"/>
              <w:adjustRightInd w:val="0"/>
              <w:spacing w:before="60" w:after="60"/>
              <w:jc w:val="center"/>
              <w:rPr>
                <w:rFonts w:cstheme="minorHAnsi"/>
                <w:b/>
                <w:sz w:val="20"/>
                <w:szCs w:val="20"/>
              </w:rPr>
            </w:pPr>
            <w:r w:rsidRPr="00952DED">
              <w:rPr>
                <w:rFonts w:cstheme="minorHAnsi"/>
                <w:b/>
                <w:sz w:val="20"/>
                <w:szCs w:val="20"/>
              </w:rPr>
              <w:t>Active ingredient</w:t>
            </w:r>
          </w:p>
        </w:tc>
        <w:tc>
          <w:tcPr>
            <w:tcW w:w="1675" w:type="pct"/>
            <w:shd w:val="clear" w:color="auto" w:fill="BFBFBF" w:themeFill="background1" w:themeFillShade="BF"/>
            <w:vAlign w:val="center"/>
          </w:tcPr>
          <w:p w14:paraId="7707138C" w14:textId="76F0E6D3" w:rsidR="00BA36F2" w:rsidRDefault="00427730" w:rsidP="00427730">
            <w:pPr>
              <w:autoSpaceDE w:val="0"/>
              <w:autoSpaceDN w:val="0"/>
              <w:adjustRightInd w:val="0"/>
              <w:spacing w:before="60" w:after="60"/>
              <w:jc w:val="center"/>
              <w:rPr>
                <w:rFonts w:cstheme="minorHAnsi"/>
                <w:b/>
                <w:sz w:val="20"/>
                <w:szCs w:val="20"/>
              </w:rPr>
            </w:pPr>
            <w:r w:rsidRPr="00427730">
              <w:rPr>
                <w:rFonts w:cstheme="minorHAnsi"/>
                <w:b/>
                <w:sz w:val="20"/>
                <w:szCs w:val="20"/>
              </w:rPr>
              <w:t>2018</w:t>
            </w:r>
            <w:r w:rsidR="00BA36F2">
              <w:rPr>
                <w:rFonts w:cstheme="minorHAnsi"/>
                <w:b/>
                <w:sz w:val="20"/>
                <w:szCs w:val="20"/>
              </w:rPr>
              <w:t xml:space="preserve"> and </w:t>
            </w:r>
            <w:r w:rsidRPr="00427730">
              <w:rPr>
                <w:rFonts w:cstheme="minorHAnsi"/>
                <w:b/>
                <w:sz w:val="20"/>
                <w:szCs w:val="20"/>
              </w:rPr>
              <w:t>2019 ART population</w:t>
            </w:r>
            <w:r w:rsidR="002864CE">
              <w:rPr>
                <w:rFonts w:cstheme="minorHAnsi"/>
                <w:b/>
                <w:sz w:val="20"/>
                <w:szCs w:val="20"/>
              </w:rPr>
              <w:t>*</w:t>
            </w:r>
            <w:r>
              <w:rPr>
                <w:rFonts w:cstheme="minorHAnsi"/>
                <w:b/>
                <w:sz w:val="20"/>
                <w:szCs w:val="20"/>
              </w:rPr>
              <w:t xml:space="preserve"> </w:t>
            </w:r>
          </w:p>
          <w:p w14:paraId="1800DA54" w14:textId="0E4B3A45" w:rsidR="00427730" w:rsidRPr="00952DED" w:rsidRDefault="00427730" w:rsidP="00427730">
            <w:pPr>
              <w:autoSpaceDE w:val="0"/>
              <w:autoSpaceDN w:val="0"/>
              <w:adjustRightInd w:val="0"/>
              <w:spacing w:before="60" w:after="60"/>
              <w:jc w:val="center"/>
              <w:rPr>
                <w:rFonts w:cstheme="minorHAnsi"/>
                <w:b/>
                <w:sz w:val="20"/>
                <w:szCs w:val="20"/>
              </w:rPr>
            </w:pPr>
            <w:r w:rsidRPr="00952DED">
              <w:rPr>
                <w:rFonts w:cstheme="minorHAnsi"/>
                <w:b/>
                <w:sz w:val="20"/>
                <w:szCs w:val="20"/>
              </w:rPr>
              <w:t>No. (%)</w:t>
            </w:r>
          </w:p>
        </w:tc>
      </w:tr>
      <w:tr w:rsidR="00427730" w:rsidRPr="00952DED" w14:paraId="56A7CA85" w14:textId="77777777" w:rsidTr="00427730">
        <w:trPr>
          <w:trHeight w:val="20"/>
        </w:trPr>
        <w:tc>
          <w:tcPr>
            <w:tcW w:w="5000" w:type="pct"/>
            <w:gridSpan w:val="2"/>
            <w:shd w:val="clear" w:color="auto" w:fill="D9D9D9" w:themeFill="background1" w:themeFillShade="D9"/>
            <w:vAlign w:val="center"/>
          </w:tcPr>
          <w:p w14:paraId="54F50403" w14:textId="77777777" w:rsidR="00427730" w:rsidRPr="00952DED" w:rsidRDefault="00427730" w:rsidP="00427730">
            <w:pPr>
              <w:autoSpaceDE w:val="0"/>
              <w:autoSpaceDN w:val="0"/>
              <w:adjustRightInd w:val="0"/>
              <w:spacing w:before="60" w:after="60"/>
              <w:jc w:val="center"/>
              <w:rPr>
                <w:rFonts w:cstheme="minorHAnsi"/>
                <w:sz w:val="20"/>
                <w:szCs w:val="20"/>
              </w:rPr>
            </w:pPr>
            <w:r w:rsidRPr="00952DED">
              <w:rPr>
                <w:rFonts w:cstheme="minorHAnsi"/>
                <w:b/>
                <w:sz w:val="20"/>
                <w:szCs w:val="20"/>
              </w:rPr>
              <w:t>Nucleoside and nucleotide reverse transcriptase inhibitor (NRTI)</w:t>
            </w:r>
          </w:p>
        </w:tc>
      </w:tr>
      <w:tr w:rsidR="00427730" w:rsidRPr="00952DED" w14:paraId="68800A47" w14:textId="77777777" w:rsidTr="002864CE">
        <w:trPr>
          <w:trHeight w:val="20"/>
        </w:trPr>
        <w:tc>
          <w:tcPr>
            <w:tcW w:w="3325" w:type="pct"/>
            <w:vAlign w:val="center"/>
          </w:tcPr>
          <w:p w14:paraId="7E112B93" w14:textId="77777777"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 xml:space="preserve">abacavir (Ziagen) </w:t>
            </w:r>
          </w:p>
        </w:tc>
        <w:tc>
          <w:tcPr>
            <w:tcW w:w="1675" w:type="pct"/>
            <w:vAlign w:val="center"/>
          </w:tcPr>
          <w:p w14:paraId="73C1AFBE" w14:textId="7A849404" w:rsidR="00427730" w:rsidRPr="00952DED" w:rsidRDefault="00007C59" w:rsidP="001F3116">
            <w:pPr>
              <w:autoSpaceDE w:val="0"/>
              <w:autoSpaceDN w:val="0"/>
              <w:adjustRightInd w:val="0"/>
              <w:spacing w:before="60" w:after="60"/>
              <w:rPr>
                <w:rFonts w:cstheme="minorHAnsi"/>
                <w:sz w:val="20"/>
                <w:szCs w:val="20"/>
              </w:rPr>
            </w:pPr>
            <w:r w:rsidRPr="00007C59">
              <w:rPr>
                <w:rFonts w:cstheme="minorHAnsi"/>
                <w:sz w:val="20"/>
                <w:szCs w:val="20"/>
              </w:rPr>
              <w:t>24 (1.6)</w:t>
            </w:r>
          </w:p>
        </w:tc>
      </w:tr>
      <w:tr w:rsidR="00427730" w:rsidRPr="00952DED" w14:paraId="4E8F0D5A" w14:textId="77777777" w:rsidTr="002864CE">
        <w:trPr>
          <w:trHeight w:val="20"/>
        </w:trPr>
        <w:tc>
          <w:tcPr>
            <w:tcW w:w="3325" w:type="pct"/>
            <w:vAlign w:val="center"/>
          </w:tcPr>
          <w:p w14:paraId="1317222F" w14:textId="782DA31F" w:rsidR="00427730" w:rsidRPr="00952DED" w:rsidRDefault="007F63AD" w:rsidP="001F3116">
            <w:pPr>
              <w:autoSpaceDE w:val="0"/>
              <w:autoSpaceDN w:val="0"/>
              <w:adjustRightInd w:val="0"/>
              <w:spacing w:before="60" w:after="60"/>
              <w:rPr>
                <w:rFonts w:cstheme="minorHAnsi"/>
                <w:b/>
                <w:sz w:val="20"/>
                <w:szCs w:val="20"/>
              </w:rPr>
            </w:pPr>
            <w:r>
              <w:rPr>
                <w:rFonts w:cstheme="minorHAnsi"/>
                <w:b/>
                <w:sz w:val="20"/>
                <w:szCs w:val="20"/>
              </w:rPr>
              <w:t>l</w:t>
            </w:r>
            <w:r w:rsidR="00427730" w:rsidRPr="00952DED">
              <w:rPr>
                <w:rFonts w:cstheme="minorHAnsi"/>
                <w:b/>
                <w:sz w:val="20"/>
                <w:szCs w:val="20"/>
              </w:rPr>
              <w:t>amivudine</w:t>
            </w:r>
            <w:r>
              <w:rPr>
                <w:rFonts w:cstheme="minorHAnsi"/>
                <w:b/>
                <w:sz w:val="20"/>
                <w:szCs w:val="20"/>
              </w:rPr>
              <w:t xml:space="preserve"> + </w:t>
            </w:r>
            <w:r w:rsidR="00427730" w:rsidRPr="00952DED">
              <w:rPr>
                <w:rFonts w:cstheme="minorHAnsi"/>
                <w:b/>
                <w:sz w:val="20"/>
                <w:szCs w:val="20"/>
              </w:rPr>
              <w:t xml:space="preserve">zidovudine (Combivir) </w:t>
            </w:r>
          </w:p>
        </w:tc>
        <w:tc>
          <w:tcPr>
            <w:tcW w:w="1675" w:type="pct"/>
            <w:vAlign w:val="center"/>
          </w:tcPr>
          <w:p w14:paraId="79871720" w14:textId="2DCC2030" w:rsidR="00427730" w:rsidRPr="00952DED" w:rsidRDefault="00C65E0A" w:rsidP="001F3116">
            <w:pPr>
              <w:autoSpaceDE w:val="0"/>
              <w:autoSpaceDN w:val="0"/>
              <w:adjustRightInd w:val="0"/>
              <w:spacing w:before="60" w:after="60"/>
              <w:rPr>
                <w:rFonts w:cstheme="minorHAnsi"/>
                <w:sz w:val="20"/>
                <w:szCs w:val="20"/>
              </w:rPr>
            </w:pPr>
            <w:r w:rsidRPr="00C65E0A">
              <w:rPr>
                <w:rFonts w:cstheme="minorHAnsi"/>
                <w:sz w:val="20"/>
                <w:szCs w:val="20"/>
              </w:rPr>
              <w:t>6 (0.4)</w:t>
            </w:r>
          </w:p>
        </w:tc>
      </w:tr>
      <w:tr w:rsidR="00427730" w:rsidRPr="00952DED" w14:paraId="32F682B1" w14:textId="77777777" w:rsidTr="002864CE">
        <w:trPr>
          <w:trHeight w:val="20"/>
        </w:trPr>
        <w:tc>
          <w:tcPr>
            <w:tcW w:w="3325" w:type="pct"/>
            <w:vAlign w:val="center"/>
          </w:tcPr>
          <w:p w14:paraId="610010BB" w14:textId="77777777" w:rsidR="00427730" w:rsidRPr="00952DED" w:rsidRDefault="00427730" w:rsidP="001F3116">
            <w:pPr>
              <w:autoSpaceDE w:val="0"/>
              <w:autoSpaceDN w:val="0"/>
              <w:adjustRightInd w:val="0"/>
              <w:spacing w:before="60" w:after="60"/>
              <w:rPr>
                <w:rFonts w:cstheme="minorHAnsi"/>
                <w:b/>
                <w:sz w:val="20"/>
                <w:szCs w:val="20"/>
              </w:rPr>
            </w:pPr>
            <w:proofErr w:type="spellStart"/>
            <w:r w:rsidRPr="00952DED">
              <w:rPr>
                <w:rFonts w:cstheme="minorHAnsi"/>
                <w:b/>
                <w:sz w:val="20"/>
                <w:szCs w:val="20"/>
              </w:rPr>
              <w:t>didanosine</w:t>
            </w:r>
            <w:proofErr w:type="spellEnd"/>
            <w:r w:rsidRPr="00952DED">
              <w:rPr>
                <w:rFonts w:cstheme="minorHAnsi"/>
                <w:b/>
                <w:sz w:val="20"/>
                <w:szCs w:val="20"/>
              </w:rPr>
              <w:t xml:space="preserve"> (</w:t>
            </w:r>
            <w:proofErr w:type="spellStart"/>
            <w:r w:rsidRPr="00952DED">
              <w:rPr>
                <w:rFonts w:cstheme="minorHAnsi"/>
                <w:b/>
                <w:sz w:val="20"/>
                <w:szCs w:val="20"/>
              </w:rPr>
              <w:t>Videx</w:t>
            </w:r>
            <w:proofErr w:type="spellEnd"/>
            <w:r w:rsidRPr="00952DED">
              <w:rPr>
                <w:rFonts w:cstheme="minorHAnsi"/>
                <w:b/>
                <w:sz w:val="20"/>
                <w:szCs w:val="20"/>
              </w:rPr>
              <w:t xml:space="preserve"> EC) </w:t>
            </w:r>
          </w:p>
        </w:tc>
        <w:tc>
          <w:tcPr>
            <w:tcW w:w="1675" w:type="pct"/>
            <w:vAlign w:val="center"/>
          </w:tcPr>
          <w:p w14:paraId="5A8ECA5F" w14:textId="79F3B1A4" w:rsidR="00427730" w:rsidRPr="00952DED" w:rsidRDefault="00623E85" w:rsidP="001F3116">
            <w:pPr>
              <w:autoSpaceDE w:val="0"/>
              <w:autoSpaceDN w:val="0"/>
              <w:adjustRightInd w:val="0"/>
              <w:spacing w:before="60" w:after="60"/>
              <w:rPr>
                <w:rFonts w:cstheme="minorHAnsi"/>
                <w:sz w:val="20"/>
                <w:szCs w:val="20"/>
              </w:rPr>
            </w:pPr>
            <w:r>
              <w:rPr>
                <w:rFonts w:cstheme="minorHAnsi"/>
                <w:sz w:val="20"/>
                <w:szCs w:val="20"/>
              </w:rPr>
              <w:t>&lt;5</w:t>
            </w:r>
          </w:p>
        </w:tc>
      </w:tr>
      <w:tr w:rsidR="00427730" w:rsidRPr="00952DED" w14:paraId="14552158" w14:textId="77777777" w:rsidTr="002864CE">
        <w:trPr>
          <w:trHeight w:val="20"/>
        </w:trPr>
        <w:tc>
          <w:tcPr>
            <w:tcW w:w="3325" w:type="pct"/>
            <w:vAlign w:val="center"/>
          </w:tcPr>
          <w:p w14:paraId="36009485" w14:textId="77777777"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emtricitabine (</w:t>
            </w:r>
            <w:proofErr w:type="spellStart"/>
            <w:r w:rsidRPr="00952DED">
              <w:rPr>
                <w:rFonts w:cstheme="minorHAnsi"/>
                <w:b/>
                <w:sz w:val="20"/>
                <w:szCs w:val="20"/>
              </w:rPr>
              <w:t>Emtriva</w:t>
            </w:r>
            <w:proofErr w:type="spellEnd"/>
            <w:r w:rsidRPr="00952DED">
              <w:rPr>
                <w:rFonts w:cstheme="minorHAnsi"/>
                <w:b/>
                <w:sz w:val="20"/>
                <w:szCs w:val="20"/>
              </w:rPr>
              <w:t xml:space="preserve">) </w:t>
            </w:r>
          </w:p>
        </w:tc>
        <w:tc>
          <w:tcPr>
            <w:tcW w:w="1675" w:type="pct"/>
            <w:vAlign w:val="center"/>
          </w:tcPr>
          <w:p w14:paraId="4F4E9273" w14:textId="5CE14627" w:rsidR="00427730" w:rsidRPr="00952DED" w:rsidRDefault="00623E85" w:rsidP="001F3116">
            <w:pPr>
              <w:autoSpaceDE w:val="0"/>
              <w:autoSpaceDN w:val="0"/>
              <w:adjustRightInd w:val="0"/>
              <w:spacing w:before="60" w:after="60"/>
              <w:rPr>
                <w:rFonts w:cstheme="minorHAnsi"/>
                <w:sz w:val="20"/>
                <w:szCs w:val="20"/>
              </w:rPr>
            </w:pPr>
            <w:r>
              <w:rPr>
                <w:rFonts w:cstheme="minorHAnsi"/>
                <w:sz w:val="20"/>
                <w:szCs w:val="20"/>
              </w:rPr>
              <w:t>&lt;5</w:t>
            </w:r>
          </w:p>
        </w:tc>
      </w:tr>
      <w:tr w:rsidR="00427730" w:rsidRPr="00952DED" w14:paraId="7F9F7E59" w14:textId="77777777" w:rsidTr="002864CE">
        <w:trPr>
          <w:trHeight w:val="20"/>
        </w:trPr>
        <w:tc>
          <w:tcPr>
            <w:tcW w:w="3325" w:type="pct"/>
            <w:vAlign w:val="center"/>
          </w:tcPr>
          <w:p w14:paraId="20ECDF19" w14:textId="656730C1" w:rsidR="00427730" w:rsidRPr="00952DED" w:rsidRDefault="006E7AF5" w:rsidP="001F3116">
            <w:pPr>
              <w:autoSpaceDE w:val="0"/>
              <w:autoSpaceDN w:val="0"/>
              <w:adjustRightInd w:val="0"/>
              <w:spacing w:before="60" w:after="60"/>
              <w:rPr>
                <w:rFonts w:cstheme="minorHAnsi"/>
                <w:b/>
                <w:sz w:val="20"/>
                <w:szCs w:val="20"/>
              </w:rPr>
            </w:pPr>
            <w:r>
              <w:rPr>
                <w:rFonts w:cstheme="minorHAnsi"/>
                <w:b/>
                <w:sz w:val="20"/>
                <w:szCs w:val="20"/>
              </w:rPr>
              <w:t>a</w:t>
            </w:r>
            <w:r w:rsidR="00427730" w:rsidRPr="00952DED">
              <w:rPr>
                <w:rFonts w:cstheme="minorHAnsi"/>
                <w:b/>
                <w:sz w:val="20"/>
                <w:szCs w:val="20"/>
              </w:rPr>
              <w:t>bacavir</w:t>
            </w:r>
            <w:r>
              <w:rPr>
                <w:rFonts w:cstheme="minorHAnsi"/>
                <w:b/>
                <w:sz w:val="20"/>
                <w:szCs w:val="20"/>
              </w:rPr>
              <w:t xml:space="preserve"> +</w:t>
            </w:r>
            <w:r w:rsidR="00427730" w:rsidRPr="00952DED">
              <w:rPr>
                <w:rFonts w:cstheme="minorHAnsi"/>
                <w:b/>
                <w:sz w:val="20"/>
                <w:szCs w:val="20"/>
              </w:rPr>
              <w:t xml:space="preserve">lamivudine (Kivexa) </w:t>
            </w:r>
          </w:p>
        </w:tc>
        <w:tc>
          <w:tcPr>
            <w:tcW w:w="1675" w:type="pct"/>
            <w:vAlign w:val="center"/>
          </w:tcPr>
          <w:p w14:paraId="3A37896A" w14:textId="2BCBBB4A" w:rsidR="00427730" w:rsidRPr="00952DED" w:rsidRDefault="004A4DF7" w:rsidP="001F3116">
            <w:pPr>
              <w:autoSpaceDE w:val="0"/>
              <w:autoSpaceDN w:val="0"/>
              <w:adjustRightInd w:val="0"/>
              <w:spacing w:before="60" w:after="60"/>
              <w:rPr>
                <w:rFonts w:cstheme="minorHAnsi"/>
                <w:sz w:val="20"/>
                <w:szCs w:val="20"/>
              </w:rPr>
            </w:pPr>
            <w:r w:rsidRPr="004A4DF7">
              <w:rPr>
                <w:rFonts w:cstheme="minorHAnsi"/>
                <w:sz w:val="20"/>
                <w:szCs w:val="20"/>
              </w:rPr>
              <w:t>65 (4.3)</w:t>
            </w:r>
          </w:p>
        </w:tc>
      </w:tr>
      <w:tr w:rsidR="00427730" w:rsidRPr="00952DED" w14:paraId="35CC81F8" w14:textId="77777777" w:rsidTr="002864CE">
        <w:trPr>
          <w:trHeight w:val="20"/>
        </w:trPr>
        <w:tc>
          <w:tcPr>
            <w:tcW w:w="3325" w:type="pct"/>
            <w:vAlign w:val="center"/>
          </w:tcPr>
          <w:p w14:paraId="24BF0A2E" w14:textId="38098039" w:rsidR="00427730" w:rsidRPr="00952DED" w:rsidRDefault="007F63AD" w:rsidP="001F3116">
            <w:pPr>
              <w:autoSpaceDE w:val="0"/>
              <w:autoSpaceDN w:val="0"/>
              <w:adjustRightInd w:val="0"/>
              <w:spacing w:before="60" w:after="60"/>
              <w:rPr>
                <w:rFonts w:cstheme="minorHAnsi"/>
                <w:b/>
                <w:sz w:val="20"/>
                <w:szCs w:val="20"/>
              </w:rPr>
            </w:pPr>
            <w:r w:rsidRPr="000B1B63">
              <w:rPr>
                <w:rFonts w:cstheme="minorHAnsi"/>
                <w:b/>
                <w:sz w:val="20"/>
                <w:szCs w:val="20"/>
              </w:rPr>
              <w:t>l</w:t>
            </w:r>
            <w:r w:rsidR="00427730" w:rsidRPr="000B1B63">
              <w:rPr>
                <w:rFonts w:cstheme="minorHAnsi"/>
                <w:b/>
                <w:sz w:val="20"/>
                <w:szCs w:val="20"/>
              </w:rPr>
              <w:t>amivudine (</w:t>
            </w:r>
            <w:proofErr w:type="spellStart"/>
            <w:r w:rsidR="00427730" w:rsidRPr="000B1B63">
              <w:rPr>
                <w:rFonts w:cstheme="minorHAnsi"/>
                <w:b/>
                <w:sz w:val="20"/>
                <w:szCs w:val="20"/>
              </w:rPr>
              <w:t>Zeffix</w:t>
            </w:r>
            <w:proofErr w:type="spellEnd"/>
            <w:r w:rsidR="00427730" w:rsidRPr="000B1B63">
              <w:rPr>
                <w:rFonts w:cstheme="minorHAnsi"/>
                <w:b/>
                <w:sz w:val="20"/>
                <w:szCs w:val="20"/>
              </w:rPr>
              <w:t>)</w:t>
            </w:r>
            <w:r w:rsidR="00427730" w:rsidRPr="00952DED">
              <w:rPr>
                <w:rFonts w:cstheme="minorHAnsi"/>
                <w:b/>
                <w:sz w:val="20"/>
                <w:szCs w:val="20"/>
              </w:rPr>
              <w:t xml:space="preserve"> </w:t>
            </w:r>
          </w:p>
        </w:tc>
        <w:tc>
          <w:tcPr>
            <w:tcW w:w="1675" w:type="pct"/>
            <w:vAlign w:val="center"/>
          </w:tcPr>
          <w:p w14:paraId="4FF64547" w14:textId="54815177" w:rsidR="00427730" w:rsidRPr="00952DED" w:rsidRDefault="007867E0" w:rsidP="001F3116">
            <w:pPr>
              <w:autoSpaceDE w:val="0"/>
              <w:autoSpaceDN w:val="0"/>
              <w:adjustRightInd w:val="0"/>
              <w:spacing w:before="60" w:after="60"/>
              <w:rPr>
                <w:rFonts w:cstheme="minorHAnsi"/>
                <w:sz w:val="20"/>
                <w:szCs w:val="20"/>
              </w:rPr>
            </w:pPr>
            <w:r w:rsidRPr="007867E0">
              <w:rPr>
                <w:rFonts w:cstheme="minorHAnsi"/>
                <w:sz w:val="20"/>
                <w:szCs w:val="20"/>
              </w:rPr>
              <w:t>37 (2.4)</w:t>
            </w:r>
          </w:p>
        </w:tc>
      </w:tr>
      <w:tr w:rsidR="00427730" w:rsidRPr="00952DED" w14:paraId="2CBFA280" w14:textId="77777777" w:rsidTr="002864CE">
        <w:trPr>
          <w:trHeight w:val="20"/>
        </w:trPr>
        <w:tc>
          <w:tcPr>
            <w:tcW w:w="3325" w:type="pct"/>
            <w:vAlign w:val="center"/>
          </w:tcPr>
          <w:p w14:paraId="01A2E462" w14:textId="77777777"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stavudine (</w:t>
            </w:r>
            <w:proofErr w:type="spellStart"/>
            <w:r w:rsidRPr="00952DED">
              <w:rPr>
                <w:rFonts w:cstheme="minorHAnsi"/>
                <w:b/>
                <w:sz w:val="20"/>
                <w:szCs w:val="20"/>
              </w:rPr>
              <w:t>Zerit</w:t>
            </w:r>
            <w:proofErr w:type="spellEnd"/>
            <w:r w:rsidRPr="00952DED">
              <w:rPr>
                <w:rFonts w:cstheme="minorHAnsi"/>
                <w:b/>
                <w:sz w:val="20"/>
                <w:szCs w:val="20"/>
              </w:rPr>
              <w:t xml:space="preserve">) </w:t>
            </w:r>
          </w:p>
        </w:tc>
        <w:tc>
          <w:tcPr>
            <w:tcW w:w="1675" w:type="pct"/>
            <w:vAlign w:val="center"/>
          </w:tcPr>
          <w:p w14:paraId="61203C8C" w14:textId="4190EC5C" w:rsidR="00427730" w:rsidRPr="00952DED" w:rsidRDefault="007867E0" w:rsidP="001F3116">
            <w:pPr>
              <w:autoSpaceDE w:val="0"/>
              <w:autoSpaceDN w:val="0"/>
              <w:adjustRightInd w:val="0"/>
              <w:spacing w:before="60" w:after="60"/>
              <w:rPr>
                <w:rFonts w:cstheme="minorHAnsi"/>
                <w:sz w:val="20"/>
                <w:szCs w:val="20"/>
              </w:rPr>
            </w:pPr>
            <w:r w:rsidRPr="007867E0">
              <w:rPr>
                <w:rFonts w:cstheme="minorHAnsi"/>
                <w:sz w:val="20"/>
                <w:szCs w:val="20"/>
              </w:rPr>
              <w:t>0 (0.0)</w:t>
            </w:r>
          </w:p>
        </w:tc>
      </w:tr>
      <w:tr w:rsidR="00427730" w:rsidRPr="00952DED" w14:paraId="7A3D053B" w14:textId="77777777" w:rsidTr="002864CE">
        <w:trPr>
          <w:trHeight w:val="20"/>
        </w:trPr>
        <w:tc>
          <w:tcPr>
            <w:tcW w:w="3325" w:type="pct"/>
            <w:vAlign w:val="center"/>
          </w:tcPr>
          <w:p w14:paraId="4EC9CD0F" w14:textId="22023D0B" w:rsidR="00427730" w:rsidRPr="00952DED" w:rsidRDefault="007F63AD" w:rsidP="001F3116">
            <w:pPr>
              <w:autoSpaceDE w:val="0"/>
              <w:autoSpaceDN w:val="0"/>
              <w:adjustRightInd w:val="0"/>
              <w:spacing w:before="60" w:after="60"/>
              <w:rPr>
                <w:rFonts w:cstheme="minorHAnsi"/>
                <w:b/>
                <w:sz w:val="20"/>
                <w:szCs w:val="20"/>
              </w:rPr>
            </w:pPr>
            <w:r>
              <w:rPr>
                <w:rFonts w:cstheme="minorHAnsi"/>
                <w:b/>
                <w:sz w:val="20"/>
                <w:szCs w:val="20"/>
              </w:rPr>
              <w:t>t</w:t>
            </w:r>
            <w:r w:rsidR="00427730" w:rsidRPr="00952DED">
              <w:rPr>
                <w:rFonts w:cstheme="minorHAnsi"/>
                <w:b/>
                <w:sz w:val="20"/>
                <w:szCs w:val="20"/>
              </w:rPr>
              <w:t>enofovir disoproxil (</w:t>
            </w:r>
            <w:proofErr w:type="spellStart"/>
            <w:r w:rsidR="00427730" w:rsidRPr="00952DED">
              <w:rPr>
                <w:rFonts w:cstheme="minorHAnsi"/>
                <w:b/>
                <w:sz w:val="20"/>
                <w:szCs w:val="20"/>
              </w:rPr>
              <w:t>Viread</w:t>
            </w:r>
            <w:proofErr w:type="spellEnd"/>
            <w:r w:rsidR="00427730" w:rsidRPr="00952DED">
              <w:rPr>
                <w:rFonts w:cstheme="minorHAnsi"/>
                <w:b/>
                <w:sz w:val="20"/>
                <w:szCs w:val="20"/>
              </w:rPr>
              <w:t xml:space="preserve">) </w:t>
            </w:r>
          </w:p>
        </w:tc>
        <w:tc>
          <w:tcPr>
            <w:tcW w:w="1675" w:type="pct"/>
            <w:vAlign w:val="center"/>
          </w:tcPr>
          <w:p w14:paraId="2ECC9A02" w14:textId="79E016A4" w:rsidR="00427730" w:rsidRPr="00952DED" w:rsidRDefault="00013450" w:rsidP="001F3116">
            <w:pPr>
              <w:autoSpaceDE w:val="0"/>
              <w:autoSpaceDN w:val="0"/>
              <w:adjustRightInd w:val="0"/>
              <w:spacing w:before="60" w:after="60"/>
              <w:rPr>
                <w:rFonts w:cstheme="minorHAnsi"/>
                <w:sz w:val="20"/>
                <w:szCs w:val="20"/>
              </w:rPr>
            </w:pPr>
            <w:r w:rsidRPr="00013450">
              <w:rPr>
                <w:rFonts w:cstheme="minorHAnsi"/>
                <w:sz w:val="20"/>
                <w:szCs w:val="20"/>
              </w:rPr>
              <w:t>11 (0.7)</w:t>
            </w:r>
          </w:p>
        </w:tc>
      </w:tr>
      <w:tr w:rsidR="00427730" w:rsidRPr="00952DED" w14:paraId="2D2A2A1F" w14:textId="77777777" w:rsidTr="002864CE">
        <w:trPr>
          <w:trHeight w:val="20"/>
        </w:trPr>
        <w:tc>
          <w:tcPr>
            <w:tcW w:w="3325" w:type="pct"/>
            <w:vAlign w:val="center"/>
          </w:tcPr>
          <w:p w14:paraId="11FEA5B8" w14:textId="04CCBB76" w:rsidR="00427730" w:rsidRPr="00952DED" w:rsidRDefault="007F63AD" w:rsidP="001F3116">
            <w:pPr>
              <w:autoSpaceDE w:val="0"/>
              <w:autoSpaceDN w:val="0"/>
              <w:adjustRightInd w:val="0"/>
              <w:spacing w:before="60" w:after="60"/>
              <w:rPr>
                <w:rFonts w:cstheme="minorHAnsi"/>
                <w:b/>
                <w:sz w:val="20"/>
                <w:szCs w:val="20"/>
              </w:rPr>
            </w:pPr>
            <w:r>
              <w:rPr>
                <w:rFonts w:cstheme="minorHAnsi"/>
                <w:b/>
                <w:sz w:val="20"/>
                <w:szCs w:val="20"/>
              </w:rPr>
              <w:t>a</w:t>
            </w:r>
            <w:r w:rsidR="00427730" w:rsidRPr="00952DED">
              <w:rPr>
                <w:rFonts w:cstheme="minorHAnsi"/>
                <w:b/>
                <w:sz w:val="20"/>
                <w:szCs w:val="20"/>
              </w:rPr>
              <w:t>bacavir</w:t>
            </w:r>
            <w:r>
              <w:rPr>
                <w:rFonts w:cstheme="minorHAnsi"/>
                <w:b/>
                <w:sz w:val="20"/>
                <w:szCs w:val="20"/>
              </w:rPr>
              <w:t xml:space="preserve"> + </w:t>
            </w:r>
            <w:r w:rsidR="00427730" w:rsidRPr="00952DED">
              <w:rPr>
                <w:rFonts w:cstheme="minorHAnsi"/>
                <w:b/>
                <w:sz w:val="20"/>
                <w:szCs w:val="20"/>
              </w:rPr>
              <w:t>lamivudine</w:t>
            </w:r>
            <w:r>
              <w:rPr>
                <w:rFonts w:cstheme="minorHAnsi"/>
                <w:b/>
                <w:sz w:val="20"/>
                <w:szCs w:val="20"/>
              </w:rPr>
              <w:t xml:space="preserve"> + </w:t>
            </w:r>
            <w:r w:rsidR="00427730" w:rsidRPr="00952DED">
              <w:rPr>
                <w:rFonts w:cstheme="minorHAnsi"/>
                <w:b/>
                <w:sz w:val="20"/>
                <w:szCs w:val="20"/>
              </w:rPr>
              <w:t>zidovudine (</w:t>
            </w:r>
            <w:proofErr w:type="spellStart"/>
            <w:r w:rsidR="00427730" w:rsidRPr="00952DED">
              <w:rPr>
                <w:rFonts w:cstheme="minorHAnsi"/>
                <w:b/>
                <w:sz w:val="20"/>
                <w:szCs w:val="20"/>
              </w:rPr>
              <w:t>Trizivir</w:t>
            </w:r>
            <w:proofErr w:type="spellEnd"/>
            <w:r w:rsidR="00427730" w:rsidRPr="00952DED">
              <w:rPr>
                <w:rFonts w:cstheme="minorHAnsi"/>
                <w:b/>
                <w:sz w:val="20"/>
                <w:szCs w:val="20"/>
              </w:rPr>
              <w:t xml:space="preserve">) </w:t>
            </w:r>
          </w:p>
        </w:tc>
        <w:tc>
          <w:tcPr>
            <w:tcW w:w="1675" w:type="pct"/>
            <w:vAlign w:val="center"/>
          </w:tcPr>
          <w:p w14:paraId="71282BED" w14:textId="6AD4C4C1" w:rsidR="00427730" w:rsidRPr="00952DED" w:rsidRDefault="00495D3D" w:rsidP="001F3116">
            <w:pPr>
              <w:autoSpaceDE w:val="0"/>
              <w:autoSpaceDN w:val="0"/>
              <w:adjustRightInd w:val="0"/>
              <w:spacing w:before="60" w:after="60"/>
              <w:rPr>
                <w:rFonts w:cstheme="minorHAnsi"/>
                <w:sz w:val="20"/>
                <w:szCs w:val="20"/>
              </w:rPr>
            </w:pPr>
            <w:r w:rsidRPr="00495D3D">
              <w:rPr>
                <w:rFonts w:cstheme="minorHAnsi"/>
                <w:sz w:val="20"/>
                <w:szCs w:val="20"/>
              </w:rPr>
              <w:t>0 (0.0)</w:t>
            </w:r>
          </w:p>
        </w:tc>
      </w:tr>
      <w:tr w:rsidR="00427730" w:rsidRPr="008C7EB3" w14:paraId="60B86A56" w14:textId="77777777" w:rsidTr="002864CE">
        <w:trPr>
          <w:trHeight w:val="20"/>
        </w:trPr>
        <w:tc>
          <w:tcPr>
            <w:tcW w:w="3325" w:type="pct"/>
            <w:vAlign w:val="center"/>
          </w:tcPr>
          <w:p w14:paraId="459EA707" w14:textId="7EDE2F29" w:rsidR="00427730" w:rsidRPr="00427730" w:rsidRDefault="007F63AD" w:rsidP="001F3116">
            <w:pPr>
              <w:autoSpaceDE w:val="0"/>
              <w:autoSpaceDN w:val="0"/>
              <w:adjustRightInd w:val="0"/>
              <w:spacing w:before="60" w:after="60"/>
              <w:rPr>
                <w:rFonts w:cstheme="minorHAnsi"/>
                <w:b/>
                <w:sz w:val="20"/>
                <w:szCs w:val="20"/>
                <w:lang w:val="es-ES"/>
              </w:rPr>
            </w:pPr>
            <w:proofErr w:type="spellStart"/>
            <w:r>
              <w:rPr>
                <w:rFonts w:cstheme="minorHAnsi"/>
                <w:b/>
                <w:sz w:val="20"/>
                <w:szCs w:val="20"/>
                <w:lang w:val="es-ES"/>
              </w:rPr>
              <w:t>e</w:t>
            </w:r>
            <w:r w:rsidR="00427730" w:rsidRPr="00427730">
              <w:rPr>
                <w:rFonts w:cstheme="minorHAnsi"/>
                <w:b/>
                <w:sz w:val="20"/>
                <w:szCs w:val="20"/>
                <w:lang w:val="es-ES"/>
              </w:rPr>
              <w:t>mtricitabine</w:t>
            </w:r>
            <w:proofErr w:type="spellEnd"/>
            <w:r>
              <w:rPr>
                <w:rFonts w:cstheme="minorHAnsi"/>
                <w:b/>
                <w:sz w:val="20"/>
                <w:szCs w:val="20"/>
                <w:lang w:val="es-ES"/>
              </w:rPr>
              <w:t xml:space="preserve"> + </w:t>
            </w:r>
            <w:proofErr w:type="spellStart"/>
            <w:r w:rsidR="00427730" w:rsidRPr="00427730">
              <w:rPr>
                <w:rFonts w:cstheme="minorHAnsi"/>
                <w:b/>
                <w:sz w:val="20"/>
                <w:szCs w:val="20"/>
                <w:lang w:val="es-ES"/>
              </w:rPr>
              <w:t>tenofovir</w:t>
            </w:r>
            <w:proofErr w:type="spellEnd"/>
            <w:r w:rsidR="00427730" w:rsidRPr="00427730">
              <w:rPr>
                <w:rFonts w:cstheme="minorHAnsi"/>
                <w:b/>
                <w:sz w:val="20"/>
                <w:szCs w:val="20"/>
                <w:lang w:val="es-ES"/>
              </w:rPr>
              <w:t xml:space="preserve"> </w:t>
            </w:r>
            <w:proofErr w:type="spellStart"/>
            <w:r w:rsidR="00427730" w:rsidRPr="00427730">
              <w:rPr>
                <w:rFonts w:cstheme="minorHAnsi"/>
                <w:b/>
                <w:sz w:val="20"/>
                <w:szCs w:val="20"/>
                <w:lang w:val="es-ES"/>
              </w:rPr>
              <w:t>disoproxil</w:t>
            </w:r>
            <w:proofErr w:type="spellEnd"/>
            <w:r w:rsidR="00427730" w:rsidRPr="00427730">
              <w:rPr>
                <w:rFonts w:cstheme="minorHAnsi"/>
                <w:b/>
                <w:sz w:val="20"/>
                <w:szCs w:val="20"/>
                <w:lang w:val="es-ES"/>
              </w:rPr>
              <w:t xml:space="preserve"> (</w:t>
            </w:r>
            <w:proofErr w:type="spellStart"/>
            <w:r w:rsidR="00427730" w:rsidRPr="00427730">
              <w:rPr>
                <w:rFonts w:cstheme="minorHAnsi"/>
                <w:b/>
                <w:sz w:val="20"/>
                <w:szCs w:val="20"/>
                <w:lang w:val="es-ES"/>
              </w:rPr>
              <w:t>Truvada</w:t>
            </w:r>
            <w:proofErr w:type="spellEnd"/>
            <w:r w:rsidR="00427730" w:rsidRPr="00427730">
              <w:rPr>
                <w:rFonts w:cstheme="minorHAnsi"/>
                <w:b/>
                <w:sz w:val="20"/>
                <w:szCs w:val="20"/>
                <w:lang w:val="es-ES"/>
              </w:rPr>
              <w:t xml:space="preserve">, </w:t>
            </w:r>
            <w:proofErr w:type="spellStart"/>
            <w:r w:rsidR="00427730" w:rsidRPr="00427730">
              <w:rPr>
                <w:rFonts w:cstheme="minorHAnsi"/>
                <w:b/>
                <w:sz w:val="20"/>
                <w:szCs w:val="20"/>
                <w:lang w:val="es-ES"/>
              </w:rPr>
              <w:t>Apotex</w:t>
            </w:r>
            <w:proofErr w:type="spellEnd"/>
            <w:r w:rsidR="00427730" w:rsidRPr="00427730">
              <w:rPr>
                <w:rFonts w:cstheme="minorHAnsi"/>
                <w:b/>
                <w:sz w:val="20"/>
                <w:szCs w:val="20"/>
                <w:lang w:val="es-ES"/>
              </w:rPr>
              <w:t xml:space="preserve">, </w:t>
            </w:r>
            <w:proofErr w:type="spellStart"/>
            <w:r w:rsidR="00427730" w:rsidRPr="00427730">
              <w:rPr>
                <w:rFonts w:cstheme="minorHAnsi"/>
                <w:b/>
                <w:sz w:val="20"/>
                <w:szCs w:val="20"/>
                <w:lang w:val="es-ES"/>
              </w:rPr>
              <w:t>Cipla</w:t>
            </w:r>
            <w:proofErr w:type="spellEnd"/>
            <w:r w:rsidR="00427730" w:rsidRPr="00427730">
              <w:rPr>
                <w:rFonts w:cstheme="minorHAnsi"/>
                <w:b/>
                <w:sz w:val="20"/>
                <w:szCs w:val="20"/>
                <w:lang w:val="es-ES"/>
              </w:rPr>
              <w:t xml:space="preserve">) </w:t>
            </w:r>
          </w:p>
        </w:tc>
        <w:tc>
          <w:tcPr>
            <w:tcW w:w="1675" w:type="pct"/>
            <w:vAlign w:val="center"/>
          </w:tcPr>
          <w:p w14:paraId="727A811F" w14:textId="4798624E" w:rsidR="00427730" w:rsidRPr="00427730" w:rsidRDefault="00C65E0A" w:rsidP="001F3116">
            <w:pPr>
              <w:autoSpaceDE w:val="0"/>
              <w:autoSpaceDN w:val="0"/>
              <w:adjustRightInd w:val="0"/>
              <w:spacing w:before="60" w:after="60"/>
              <w:rPr>
                <w:rFonts w:cstheme="minorHAnsi"/>
                <w:sz w:val="20"/>
                <w:szCs w:val="20"/>
                <w:lang w:val="es-ES"/>
              </w:rPr>
            </w:pPr>
            <w:r w:rsidRPr="00C65E0A">
              <w:rPr>
                <w:rFonts w:cstheme="minorHAnsi"/>
                <w:sz w:val="20"/>
                <w:szCs w:val="20"/>
                <w:lang w:val="es-ES"/>
              </w:rPr>
              <w:t>76 (5.0)</w:t>
            </w:r>
          </w:p>
        </w:tc>
      </w:tr>
      <w:tr w:rsidR="00427730" w:rsidRPr="00952DED" w14:paraId="44134886" w14:textId="77777777" w:rsidTr="002864CE">
        <w:trPr>
          <w:trHeight w:val="20"/>
        </w:trPr>
        <w:tc>
          <w:tcPr>
            <w:tcW w:w="3325" w:type="pct"/>
            <w:vAlign w:val="center"/>
          </w:tcPr>
          <w:p w14:paraId="1DD44A9F" w14:textId="75F7D388" w:rsidR="00427730" w:rsidRPr="00952DED" w:rsidRDefault="007F63AD" w:rsidP="001F3116">
            <w:pPr>
              <w:autoSpaceDE w:val="0"/>
              <w:autoSpaceDN w:val="0"/>
              <w:adjustRightInd w:val="0"/>
              <w:spacing w:before="60" w:after="60"/>
              <w:rPr>
                <w:rFonts w:cstheme="minorHAnsi"/>
                <w:b/>
                <w:sz w:val="20"/>
                <w:szCs w:val="20"/>
              </w:rPr>
            </w:pPr>
            <w:r w:rsidRPr="000B1B63">
              <w:rPr>
                <w:rFonts w:cstheme="minorHAnsi"/>
                <w:b/>
                <w:sz w:val="20"/>
                <w:szCs w:val="20"/>
              </w:rPr>
              <w:t>e</w:t>
            </w:r>
            <w:r w:rsidR="00427730" w:rsidRPr="000B1B63">
              <w:rPr>
                <w:rFonts w:cstheme="minorHAnsi"/>
                <w:b/>
                <w:sz w:val="20"/>
                <w:szCs w:val="20"/>
              </w:rPr>
              <w:t>mtricitabine</w:t>
            </w:r>
            <w:r w:rsidRPr="000B1B63">
              <w:rPr>
                <w:rFonts w:cstheme="minorHAnsi"/>
                <w:b/>
                <w:sz w:val="20"/>
                <w:szCs w:val="20"/>
              </w:rPr>
              <w:t xml:space="preserve"> + </w:t>
            </w:r>
            <w:r w:rsidR="00427730" w:rsidRPr="000B1B63">
              <w:rPr>
                <w:rFonts w:cstheme="minorHAnsi"/>
                <w:b/>
                <w:sz w:val="20"/>
                <w:szCs w:val="20"/>
              </w:rPr>
              <w:t>tenofovir alafenamide (Descovy)</w:t>
            </w:r>
            <w:r w:rsidR="00427730" w:rsidRPr="00952DED">
              <w:rPr>
                <w:rFonts w:cstheme="minorHAnsi"/>
                <w:b/>
                <w:sz w:val="20"/>
                <w:szCs w:val="20"/>
              </w:rPr>
              <w:t xml:space="preserve"> </w:t>
            </w:r>
          </w:p>
        </w:tc>
        <w:tc>
          <w:tcPr>
            <w:tcW w:w="1675" w:type="pct"/>
            <w:vAlign w:val="center"/>
          </w:tcPr>
          <w:p w14:paraId="743F8662" w14:textId="363F2871" w:rsidR="00427730" w:rsidRPr="00952DED" w:rsidRDefault="00C65E0A" w:rsidP="001F3116">
            <w:pPr>
              <w:autoSpaceDE w:val="0"/>
              <w:autoSpaceDN w:val="0"/>
              <w:adjustRightInd w:val="0"/>
              <w:spacing w:before="60" w:after="60"/>
              <w:rPr>
                <w:rFonts w:cstheme="minorHAnsi"/>
                <w:sz w:val="20"/>
                <w:szCs w:val="20"/>
              </w:rPr>
            </w:pPr>
            <w:r w:rsidRPr="00C65E0A">
              <w:rPr>
                <w:rFonts w:cstheme="minorHAnsi"/>
                <w:sz w:val="20"/>
                <w:szCs w:val="20"/>
              </w:rPr>
              <w:t>333 (21.9)</w:t>
            </w:r>
          </w:p>
        </w:tc>
      </w:tr>
      <w:tr w:rsidR="00427730" w:rsidRPr="00952DED" w14:paraId="0A3E70EF" w14:textId="77777777" w:rsidTr="002864CE">
        <w:trPr>
          <w:trHeight w:val="20"/>
        </w:trPr>
        <w:tc>
          <w:tcPr>
            <w:tcW w:w="3325" w:type="pct"/>
            <w:vAlign w:val="center"/>
          </w:tcPr>
          <w:p w14:paraId="32D21E50" w14:textId="77777777"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 xml:space="preserve">zidovudine (Retrovir) </w:t>
            </w:r>
          </w:p>
        </w:tc>
        <w:tc>
          <w:tcPr>
            <w:tcW w:w="1675" w:type="pct"/>
            <w:vAlign w:val="center"/>
          </w:tcPr>
          <w:p w14:paraId="41E1B08A" w14:textId="2F759707" w:rsidR="00427730" w:rsidRPr="00952DED" w:rsidRDefault="00623E85" w:rsidP="001F3116">
            <w:pPr>
              <w:autoSpaceDE w:val="0"/>
              <w:autoSpaceDN w:val="0"/>
              <w:adjustRightInd w:val="0"/>
              <w:spacing w:before="60" w:after="60"/>
              <w:rPr>
                <w:rFonts w:cstheme="minorHAnsi"/>
                <w:sz w:val="20"/>
                <w:szCs w:val="20"/>
              </w:rPr>
            </w:pPr>
            <w:r>
              <w:rPr>
                <w:rFonts w:cstheme="minorHAnsi"/>
                <w:sz w:val="20"/>
                <w:szCs w:val="20"/>
              </w:rPr>
              <w:t>&lt;5</w:t>
            </w:r>
          </w:p>
        </w:tc>
      </w:tr>
      <w:tr w:rsidR="00427730" w:rsidRPr="00952DED" w14:paraId="2F55A868" w14:textId="77777777" w:rsidTr="002864CE">
        <w:trPr>
          <w:trHeight w:val="20"/>
        </w:trPr>
        <w:tc>
          <w:tcPr>
            <w:tcW w:w="3325" w:type="pct"/>
            <w:shd w:val="clear" w:color="auto" w:fill="F2F2F2" w:themeFill="background1" w:themeFillShade="F2"/>
            <w:vAlign w:val="center"/>
          </w:tcPr>
          <w:p w14:paraId="187F294A" w14:textId="2F9BE648" w:rsidR="00427730" w:rsidRPr="00952DED" w:rsidRDefault="00427730" w:rsidP="001F3116">
            <w:pPr>
              <w:autoSpaceDE w:val="0"/>
              <w:autoSpaceDN w:val="0"/>
              <w:adjustRightInd w:val="0"/>
              <w:spacing w:before="60" w:after="60"/>
              <w:rPr>
                <w:rFonts w:cstheme="minorHAnsi"/>
                <w:b/>
                <w:sz w:val="20"/>
                <w:szCs w:val="20"/>
              </w:rPr>
            </w:pPr>
            <w:r>
              <w:rPr>
                <w:rFonts w:cstheme="minorHAnsi"/>
                <w:b/>
                <w:sz w:val="20"/>
                <w:szCs w:val="20"/>
              </w:rPr>
              <w:t xml:space="preserve">NRTI </w:t>
            </w:r>
            <w:r w:rsidR="00A22582">
              <w:rPr>
                <w:rFonts w:cstheme="minorHAnsi"/>
                <w:b/>
                <w:sz w:val="20"/>
                <w:szCs w:val="20"/>
              </w:rPr>
              <w:t>t</w:t>
            </w:r>
            <w:r>
              <w:rPr>
                <w:rFonts w:cstheme="minorHAnsi"/>
                <w:b/>
                <w:sz w:val="20"/>
                <w:szCs w:val="20"/>
              </w:rPr>
              <w:t>otal</w:t>
            </w:r>
          </w:p>
        </w:tc>
        <w:tc>
          <w:tcPr>
            <w:tcW w:w="1675" w:type="pct"/>
            <w:shd w:val="clear" w:color="auto" w:fill="F2F2F2" w:themeFill="background1" w:themeFillShade="F2"/>
            <w:vAlign w:val="center"/>
          </w:tcPr>
          <w:p w14:paraId="615FB2A7" w14:textId="419B5316" w:rsidR="00427730" w:rsidRPr="00952DED" w:rsidRDefault="00025C15" w:rsidP="00F075E5">
            <w:pPr>
              <w:autoSpaceDE w:val="0"/>
              <w:autoSpaceDN w:val="0"/>
              <w:adjustRightInd w:val="0"/>
              <w:spacing w:before="60" w:after="60"/>
              <w:rPr>
                <w:rFonts w:cstheme="minorHAnsi"/>
                <w:sz w:val="20"/>
                <w:szCs w:val="20"/>
              </w:rPr>
            </w:pPr>
            <w:r w:rsidRPr="00025C15">
              <w:rPr>
                <w:rFonts w:cstheme="minorHAnsi"/>
                <w:sz w:val="20"/>
                <w:szCs w:val="20"/>
              </w:rPr>
              <w:t>510 (33.6)</w:t>
            </w:r>
          </w:p>
        </w:tc>
      </w:tr>
      <w:tr w:rsidR="00427730" w:rsidRPr="00952DED" w14:paraId="67FD5151" w14:textId="77777777" w:rsidTr="00427730">
        <w:trPr>
          <w:trHeight w:val="20"/>
        </w:trPr>
        <w:tc>
          <w:tcPr>
            <w:tcW w:w="5000" w:type="pct"/>
            <w:gridSpan w:val="2"/>
            <w:shd w:val="clear" w:color="auto" w:fill="D9D9D9" w:themeFill="background1" w:themeFillShade="D9"/>
            <w:vAlign w:val="center"/>
          </w:tcPr>
          <w:p w14:paraId="042A5B4D" w14:textId="77777777" w:rsidR="00427730" w:rsidRPr="00952DED" w:rsidRDefault="00427730" w:rsidP="00427730">
            <w:pPr>
              <w:autoSpaceDE w:val="0"/>
              <w:autoSpaceDN w:val="0"/>
              <w:adjustRightInd w:val="0"/>
              <w:spacing w:before="60" w:after="60"/>
              <w:jc w:val="center"/>
              <w:rPr>
                <w:rFonts w:cstheme="minorHAnsi"/>
                <w:b/>
                <w:bCs/>
                <w:sz w:val="20"/>
                <w:szCs w:val="20"/>
              </w:rPr>
            </w:pPr>
            <w:r w:rsidRPr="00952DED">
              <w:rPr>
                <w:rFonts w:cstheme="minorHAnsi"/>
                <w:b/>
                <w:bCs/>
                <w:sz w:val="20"/>
                <w:szCs w:val="20"/>
              </w:rPr>
              <w:t>Non</w:t>
            </w:r>
            <w:r w:rsidRPr="00952DED">
              <w:rPr>
                <w:rFonts w:ascii="Cambria Math" w:hAnsi="Cambria Math" w:cs="Cambria Math"/>
                <w:b/>
                <w:bCs/>
                <w:sz w:val="20"/>
                <w:szCs w:val="20"/>
              </w:rPr>
              <w:t>‑</w:t>
            </w:r>
            <w:r w:rsidRPr="00952DED">
              <w:rPr>
                <w:rFonts w:cstheme="minorHAnsi"/>
                <w:b/>
                <w:bCs/>
                <w:sz w:val="20"/>
                <w:szCs w:val="20"/>
              </w:rPr>
              <w:t>nucleoside analogue reverse transcriptase inhibitors (NNRTIs)</w:t>
            </w:r>
          </w:p>
        </w:tc>
      </w:tr>
      <w:tr w:rsidR="00427730" w:rsidRPr="00952DED" w14:paraId="7F02EF2C" w14:textId="77777777" w:rsidTr="002864CE">
        <w:trPr>
          <w:trHeight w:val="20"/>
        </w:trPr>
        <w:tc>
          <w:tcPr>
            <w:tcW w:w="3325" w:type="pct"/>
            <w:vAlign w:val="center"/>
          </w:tcPr>
          <w:p w14:paraId="7C25810A" w14:textId="77777777"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efavirenz (</w:t>
            </w:r>
            <w:proofErr w:type="spellStart"/>
            <w:r w:rsidRPr="00952DED">
              <w:rPr>
                <w:rFonts w:cstheme="minorHAnsi"/>
                <w:b/>
                <w:sz w:val="20"/>
                <w:szCs w:val="20"/>
              </w:rPr>
              <w:t>Stocrin</w:t>
            </w:r>
            <w:proofErr w:type="spellEnd"/>
            <w:r w:rsidRPr="00952DED">
              <w:rPr>
                <w:rFonts w:cstheme="minorHAnsi"/>
                <w:b/>
                <w:sz w:val="20"/>
                <w:szCs w:val="20"/>
              </w:rPr>
              <w:t xml:space="preserve">) </w:t>
            </w:r>
          </w:p>
        </w:tc>
        <w:tc>
          <w:tcPr>
            <w:tcW w:w="1675" w:type="pct"/>
            <w:vAlign w:val="center"/>
          </w:tcPr>
          <w:p w14:paraId="45D45D0F" w14:textId="1AA8A029" w:rsidR="00427730" w:rsidRPr="00952DED" w:rsidRDefault="006F2F32" w:rsidP="001F3116">
            <w:pPr>
              <w:autoSpaceDE w:val="0"/>
              <w:autoSpaceDN w:val="0"/>
              <w:adjustRightInd w:val="0"/>
              <w:spacing w:before="60" w:after="60"/>
              <w:rPr>
                <w:rFonts w:cstheme="minorHAnsi"/>
                <w:sz w:val="20"/>
                <w:szCs w:val="20"/>
              </w:rPr>
            </w:pPr>
            <w:r w:rsidRPr="006F2F32">
              <w:rPr>
                <w:rFonts w:cstheme="minorHAnsi"/>
                <w:sz w:val="20"/>
                <w:szCs w:val="20"/>
              </w:rPr>
              <w:t>26 (1.7)</w:t>
            </w:r>
          </w:p>
        </w:tc>
      </w:tr>
      <w:tr w:rsidR="00427730" w:rsidRPr="00952DED" w14:paraId="444F19AA" w14:textId="77777777" w:rsidTr="002864CE">
        <w:trPr>
          <w:trHeight w:val="20"/>
        </w:trPr>
        <w:tc>
          <w:tcPr>
            <w:tcW w:w="3325" w:type="pct"/>
            <w:vAlign w:val="center"/>
          </w:tcPr>
          <w:p w14:paraId="2E9E6C50" w14:textId="77777777"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etravirine (</w:t>
            </w:r>
            <w:proofErr w:type="spellStart"/>
            <w:r w:rsidRPr="00952DED">
              <w:rPr>
                <w:rFonts w:cstheme="minorHAnsi"/>
                <w:b/>
                <w:sz w:val="20"/>
                <w:szCs w:val="20"/>
              </w:rPr>
              <w:t>Intelence</w:t>
            </w:r>
            <w:proofErr w:type="spellEnd"/>
            <w:r w:rsidRPr="00952DED">
              <w:rPr>
                <w:rFonts w:cstheme="minorHAnsi"/>
                <w:b/>
                <w:sz w:val="20"/>
                <w:szCs w:val="20"/>
              </w:rPr>
              <w:t xml:space="preserve">) </w:t>
            </w:r>
          </w:p>
        </w:tc>
        <w:tc>
          <w:tcPr>
            <w:tcW w:w="1675" w:type="pct"/>
            <w:vAlign w:val="center"/>
          </w:tcPr>
          <w:p w14:paraId="0EAE0053" w14:textId="3C0969D9" w:rsidR="00427730" w:rsidRPr="00952DED" w:rsidRDefault="007B1B06" w:rsidP="001F3116">
            <w:pPr>
              <w:autoSpaceDE w:val="0"/>
              <w:autoSpaceDN w:val="0"/>
              <w:adjustRightInd w:val="0"/>
              <w:spacing w:before="60" w:after="60"/>
              <w:rPr>
                <w:rFonts w:cstheme="minorHAnsi"/>
                <w:sz w:val="20"/>
                <w:szCs w:val="20"/>
              </w:rPr>
            </w:pPr>
            <w:r w:rsidRPr="007B1B06">
              <w:rPr>
                <w:rFonts w:cstheme="minorHAnsi"/>
                <w:sz w:val="20"/>
                <w:szCs w:val="20"/>
              </w:rPr>
              <w:t>24 (1.6)</w:t>
            </w:r>
          </w:p>
        </w:tc>
      </w:tr>
      <w:tr w:rsidR="00427730" w:rsidRPr="00952DED" w14:paraId="329C0AC7" w14:textId="77777777" w:rsidTr="002864CE">
        <w:trPr>
          <w:trHeight w:val="20"/>
        </w:trPr>
        <w:tc>
          <w:tcPr>
            <w:tcW w:w="3325" w:type="pct"/>
            <w:vAlign w:val="center"/>
          </w:tcPr>
          <w:p w14:paraId="29985A5D" w14:textId="77777777"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nevirapine (</w:t>
            </w:r>
            <w:proofErr w:type="spellStart"/>
            <w:r w:rsidRPr="00952DED">
              <w:rPr>
                <w:rFonts w:cstheme="minorHAnsi"/>
                <w:b/>
                <w:sz w:val="20"/>
                <w:szCs w:val="20"/>
              </w:rPr>
              <w:t>Viramune</w:t>
            </w:r>
            <w:proofErr w:type="spellEnd"/>
            <w:r w:rsidRPr="00952DED">
              <w:rPr>
                <w:rFonts w:cstheme="minorHAnsi"/>
                <w:b/>
                <w:sz w:val="20"/>
                <w:szCs w:val="20"/>
              </w:rPr>
              <w:t xml:space="preserve">) </w:t>
            </w:r>
          </w:p>
        </w:tc>
        <w:tc>
          <w:tcPr>
            <w:tcW w:w="1675" w:type="pct"/>
            <w:vAlign w:val="center"/>
          </w:tcPr>
          <w:p w14:paraId="54CF5FD3" w14:textId="5371F4F3" w:rsidR="00427730" w:rsidRPr="00952DED" w:rsidRDefault="007B1B06" w:rsidP="001F3116">
            <w:pPr>
              <w:autoSpaceDE w:val="0"/>
              <w:autoSpaceDN w:val="0"/>
              <w:adjustRightInd w:val="0"/>
              <w:spacing w:before="60" w:after="60"/>
              <w:rPr>
                <w:rFonts w:cstheme="minorHAnsi"/>
                <w:sz w:val="20"/>
                <w:szCs w:val="20"/>
              </w:rPr>
            </w:pPr>
            <w:r w:rsidRPr="007B1B06">
              <w:rPr>
                <w:rFonts w:cstheme="minorHAnsi"/>
                <w:sz w:val="20"/>
                <w:szCs w:val="20"/>
              </w:rPr>
              <w:t>82 (5.4)</w:t>
            </w:r>
          </w:p>
        </w:tc>
      </w:tr>
      <w:tr w:rsidR="00427730" w:rsidRPr="00952DED" w14:paraId="015D7E6E" w14:textId="77777777" w:rsidTr="002864CE">
        <w:trPr>
          <w:trHeight w:val="20"/>
        </w:trPr>
        <w:tc>
          <w:tcPr>
            <w:tcW w:w="3325" w:type="pct"/>
            <w:vAlign w:val="center"/>
          </w:tcPr>
          <w:p w14:paraId="27564811" w14:textId="77777777" w:rsidR="00427730" w:rsidRPr="00952DED" w:rsidRDefault="00427730" w:rsidP="001F3116">
            <w:pPr>
              <w:autoSpaceDE w:val="0"/>
              <w:autoSpaceDN w:val="0"/>
              <w:adjustRightInd w:val="0"/>
              <w:spacing w:before="60" w:after="60"/>
              <w:rPr>
                <w:rFonts w:cstheme="minorHAnsi"/>
                <w:b/>
                <w:sz w:val="20"/>
                <w:szCs w:val="20"/>
              </w:rPr>
            </w:pPr>
            <w:proofErr w:type="spellStart"/>
            <w:r w:rsidRPr="00952DED">
              <w:rPr>
                <w:rFonts w:cstheme="minorHAnsi"/>
                <w:b/>
                <w:sz w:val="20"/>
                <w:szCs w:val="20"/>
              </w:rPr>
              <w:t>rilpivirine</w:t>
            </w:r>
            <w:proofErr w:type="spellEnd"/>
            <w:r w:rsidRPr="00952DED">
              <w:rPr>
                <w:rFonts w:cstheme="minorHAnsi"/>
                <w:b/>
                <w:sz w:val="20"/>
                <w:szCs w:val="20"/>
              </w:rPr>
              <w:t xml:space="preserve"> (</w:t>
            </w:r>
            <w:proofErr w:type="spellStart"/>
            <w:r w:rsidRPr="00952DED">
              <w:rPr>
                <w:rFonts w:cstheme="minorHAnsi"/>
                <w:b/>
                <w:sz w:val="20"/>
                <w:szCs w:val="20"/>
              </w:rPr>
              <w:t>Edurant</w:t>
            </w:r>
            <w:proofErr w:type="spellEnd"/>
            <w:r w:rsidRPr="00952DED">
              <w:rPr>
                <w:rFonts w:cstheme="minorHAnsi"/>
                <w:b/>
                <w:sz w:val="20"/>
                <w:szCs w:val="20"/>
              </w:rPr>
              <w:t xml:space="preserve">) </w:t>
            </w:r>
          </w:p>
        </w:tc>
        <w:tc>
          <w:tcPr>
            <w:tcW w:w="1675" w:type="pct"/>
            <w:vAlign w:val="center"/>
          </w:tcPr>
          <w:p w14:paraId="34176A80" w14:textId="65F3E126" w:rsidR="00427730" w:rsidRPr="00952DED" w:rsidRDefault="007B1B06" w:rsidP="001F3116">
            <w:pPr>
              <w:autoSpaceDE w:val="0"/>
              <w:autoSpaceDN w:val="0"/>
              <w:adjustRightInd w:val="0"/>
              <w:spacing w:before="60" w:after="60"/>
              <w:rPr>
                <w:rFonts w:cstheme="minorHAnsi"/>
                <w:sz w:val="20"/>
                <w:szCs w:val="20"/>
              </w:rPr>
            </w:pPr>
            <w:r w:rsidRPr="007B1B06">
              <w:rPr>
                <w:rFonts w:cstheme="minorHAnsi"/>
                <w:sz w:val="20"/>
                <w:szCs w:val="20"/>
              </w:rPr>
              <w:t>29 (1.9)</w:t>
            </w:r>
          </w:p>
        </w:tc>
      </w:tr>
      <w:tr w:rsidR="00427730" w:rsidRPr="00952DED" w14:paraId="7E642298" w14:textId="77777777" w:rsidTr="002864CE">
        <w:trPr>
          <w:trHeight w:val="20"/>
        </w:trPr>
        <w:tc>
          <w:tcPr>
            <w:tcW w:w="3325" w:type="pct"/>
            <w:shd w:val="clear" w:color="auto" w:fill="F2F2F2" w:themeFill="background1" w:themeFillShade="F2"/>
            <w:vAlign w:val="center"/>
          </w:tcPr>
          <w:p w14:paraId="7AC7F1D6" w14:textId="22DF8CF4" w:rsidR="00427730" w:rsidRPr="00952DED" w:rsidRDefault="00427730" w:rsidP="001F3116">
            <w:pPr>
              <w:autoSpaceDE w:val="0"/>
              <w:autoSpaceDN w:val="0"/>
              <w:adjustRightInd w:val="0"/>
              <w:spacing w:before="60" w:after="60"/>
              <w:rPr>
                <w:rFonts w:cstheme="minorHAnsi"/>
                <w:b/>
                <w:sz w:val="20"/>
                <w:szCs w:val="20"/>
              </w:rPr>
            </w:pPr>
            <w:r>
              <w:rPr>
                <w:rFonts w:cstheme="minorHAnsi"/>
                <w:b/>
                <w:sz w:val="20"/>
                <w:szCs w:val="20"/>
              </w:rPr>
              <w:t xml:space="preserve">NNRTI </w:t>
            </w:r>
            <w:r w:rsidR="00A22582">
              <w:rPr>
                <w:rFonts w:cstheme="minorHAnsi"/>
                <w:b/>
                <w:sz w:val="20"/>
                <w:szCs w:val="20"/>
              </w:rPr>
              <w:t>t</w:t>
            </w:r>
            <w:r>
              <w:rPr>
                <w:rFonts w:cstheme="minorHAnsi"/>
                <w:b/>
                <w:sz w:val="20"/>
                <w:szCs w:val="20"/>
              </w:rPr>
              <w:t>otal</w:t>
            </w:r>
          </w:p>
        </w:tc>
        <w:tc>
          <w:tcPr>
            <w:tcW w:w="1675" w:type="pct"/>
            <w:shd w:val="clear" w:color="auto" w:fill="F2F2F2" w:themeFill="background1" w:themeFillShade="F2"/>
            <w:vAlign w:val="center"/>
          </w:tcPr>
          <w:p w14:paraId="6395A191" w14:textId="08C5593E" w:rsidR="00427730" w:rsidRPr="00952DED" w:rsidRDefault="00025C15" w:rsidP="00F075E5">
            <w:pPr>
              <w:autoSpaceDE w:val="0"/>
              <w:autoSpaceDN w:val="0"/>
              <w:adjustRightInd w:val="0"/>
              <w:spacing w:before="60" w:after="60"/>
              <w:rPr>
                <w:rFonts w:cstheme="minorHAnsi"/>
                <w:sz w:val="20"/>
                <w:szCs w:val="20"/>
              </w:rPr>
            </w:pPr>
            <w:r w:rsidRPr="00025C15">
              <w:rPr>
                <w:rFonts w:cstheme="minorHAnsi"/>
                <w:sz w:val="20"/>
                <w:szCs w:val="20"/>
              </w:rPr>
              <w:t>160 (10.5)</w:t>
            </w:r>
          </w:p>
        </w:tc>
      </w:tr>
      <w:tr w:rsidR="00427730" w:rsidRPr="00952DED" w14:paraId="4F8710BC" w14:textId="77777777" w:rsidTr="00427730">
        <w:trPr>
          <w:trHeight w:val="20"/>
        </w:trPr>
        <w:tc>
          <w:tcPr>
            <w:tcW w:w="5000" w:type="pct"/>
            <w:gridSpan w:val="2"/>
            <w:shd w:val="clear" w:color="auto" w:fill="D9D9D9" w:themeFill="background1" w:themeFillShade="D9"/>
            <w:vAlign w:val="center"/>
          </w:tcPr>
          <w:p w14:paraId="62902923" w14:textId="697D8A8D" w:rsidR="00427730" w:rsidRPr="00952DED" w:rsidRDefault="008B2CA0" w:rsidP="00427730">
            <w:pPr>
              <w:autoSpaceDE w:val="0"/>
              <w:autoSpaceDN w:val="0"/>
              <w:adjustRightInd w:val="0"/>
              <w:spacing w:before="60" w:after="60"/>
              <w:jc w:val="center"/>
              <w:rPr>
                <w:rFonts w:cstheme="minorHAnsi"/>
                <w:b/>
                <w:bCs/>
                <w:sz w:val="20"/>
                <w:szCs w:val="20"/>
              </w:rPr>
            </w:pPr>
            <w:r>
              <w:rPr>
                <w:rFonts w:cstheme="minorHAnsi"/>
                <w:b/>
                <w:bCs/>
                <w:sz w:val="20"/>
                <w:szCs w:val="20"/>
              </w:rPr>
              <w:t>HIV p</w:t>
            </w:r>
            <w:r w:rsidR="00427730" w:rsidRPr="00952DED">
              <w:rPr>
                <w:rFonts w:cstheme="minorHAnsi"/>
                <w:b/>
                <w:bCs/>
                <w:sz w:val="20"/>
                <w:szCs w:val="20"/>
              </w:rPr>
              <w:t>rotease inhibitors (</w:t>
            </w:r>
            <w:r>
              <w:rPr>
                <w:rFonts w:cstheme="minorHAnsi"/>
                <w:b/>
                <w:bCs/>
                <w:sz w:val="20"/>
                <w:szCs w:val="20"/>
              </w:rPr>
              <w:t>HIV-</w:t>
            </w:r>
            <w:r w:rsidR="00427730" w:rsidRPr="00952DED">
              <w:rPr>
                <w:rFonts w:cstheme="minorHAnsi"/>
                <w:b/>
                <w:bCs/>
                <w:sz w:val="20"/>
                <w:szCs w:val="20"/>
              </w:rPr>
              <w:t>PIs)</w:t>
            </w:r>
          </w:p>
        </w:tc>
      </w:tr>
      <w:tr w:rsidR="00427730" w:rsidRPr="00952DED" w14:paraId="4A415348" w14:textId="77777777" w:rsidTr="002864CE">
        <w:trPr>
          <w:trHeight w:val="20"/>
        </w:trPr>
        <w:tc>
          <w:tcPr>
            <w:tcW w:w="3325" w:type="pct"/>
            <w:vAlign w:val="center"/>
          </w:tcPr>
          <w:p w14:paraId="0B99E127" w14:textId="77777777"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 xml:space="preserve">atazanavir (Reyataz) </w:t>
            </w:r>
          </w:p>
        </w:tc>
        <w:tc>
          <w:tcPr>
            <w:tcW w:w="1675" w:type="pct"/>
            <w:vAlign w:val="center"/>
          </w:tcPr>
          <w:p w14:paraId="295F5B61" w14:textId="2486059D" w:rsidR="00427730" w:rsidRPr="00952DED" w:rsidRDefault="002974FE" w:rsidP="001F3116">
            <w:pPr>
              <w:autoSpaceDE w:val="0"/>
              <w:autoSpaceDN w:val="0"/>
              <w:adjustRightInd w:val="0"/>
              <w:spacing w:before="60" w:after="60"/>
              <w:rPr>
                <w:rFonts w:cstheme="minorHAnsi"/>
                <w:sz w:val="20"/>
                <w:szCs w:val="20"/>
              </w:rPr>
            </w:pPr>
            <w:r w:rsidRPr="002974FE">
              <w:rPr>
                <w:rFonts w:cstheme="minorHAnsi"/>
                <w:sz w:val="20"/>
                <w:szCs w:val="20"/>
              </w:rPr>
              <w:t>31 (2.0)</w:t>
            </w:r>
          </w:p>
        </w:tc>
      </w:tr>
      <w:tr w:rsidR="00427730" w:rsidRPr="00952DED" w14:paraId="158B52A8" w14:textId="77777777" w:rsidTr="002864CE">
        <w:trPr>
          <w:trHeight w:val="20"/>
        </w:trPr>
        <w:tc>
          <w:tcPr>
            <w:tcW w:w="3325" w:type="pct"/>
            <w:vAlign w:val="center"/>
          </w:tcPr>
          <w:p w14:paraId="4724D017" w14:textId="77777777"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darunavir (</w:t>
            </w:r>
            <w:proofErr w:type="spellStart"/>
            <w:r w:rsidRPr="00952DED">
              <w:rPr>
                <w:rFonts w:cstheme="minorHAnsi"/>
                <w:b/>
                <w:sz w:val="20"/>
                <w:szCs w:val="20"/>
              </w:rPr>
              <w:t>Prezista</w:t>
            </w:r>
            <w:proofErr w:type="spellEnd"/>
            <w:r w:rsidRPr="00952DED">
              <w:rPr>
                <w:rFonts w:cstheme="minorHAnsi"/>
                <w:b/>
                <w:sz w:val="20"/>
                <w:szCs w:val="20"/>
              </w:rPr>
              <w:t xml:space="preserve">) </w:t>
            </w:r>
          </w:p>
        </w:tc>
        <w:tc>
          <w:tcPr>
            <w:tcW w:w="1675" w:type="pct"/>
            <w:vAlign w:val="center"/>
          </w:tcPr>
          <w:p w14:paraId="6A4FE183" w14:textId="78958B4A" w:rsidR="00427730" w:rsidRPr="00952DED" w:rsidRDefault="000C58D0" w:rsidP="001F3116">
            <w:pPr>
              <w:autoSpaceDE w:val="0"/>
              <w:autoSpaceDN w:val="0"/>
              <w:adjustRightInd w:val="0"/>
              <w:spacing w:before="60" w:after="60"/>
              <w:rPr>
                <w:rFonts w:cstheme="minorHAnsi"/>
                <w:sz w:val="20"/>
                <w:szCs w:val="20"/>
              </w:rPr>
            </w:pPr>
            <w:r w:rsidRPr="000C58D0">
              <w:rPr>
                <w:rFonts w:cstheme="minorHAnsi"/>
                <w:sz w:val="20"/>
                <w:szCs w:val="20"/>
              </w:rPr>
              <w:t>65 (4.3</w:t>
            </w:r>
            <w:r w:rsidR="002974FE">
              <w:rPr>
                <w:rFonts w:cstheme="minorHAnsi"/>
                <w:sz w:val="20"/>
                <w:szCs w:val="20"/>
              </w:rPr>
              <w:t>)</w:t>
            </w:r>
          </w:p>
        </w:tc>
      </w:tr>
      <w:tr w:rsidR="00427730" w:rsidRPr="00952DED" w14:paraId="32FAECB8" w14:textId="77777777" w:rsidTr="002864CE">
        <w:trPr>
          <w:trHeight w:val="20"/>
        </w:trPr>
        <w:tc>
          <w:tcPr>
            <w:tcW w:w="3325" w:type="pct"/>
            <w:vAlign w:val="center"/>
          </w:tcPr>
          <w:p w14:paraId="1CEEB85F" w14:textId="08145725" w:rsidR="00427730" w:rsidRPr="00952DED" w:rsidRDefault="00442B97" w:rsidP="001F3116">
            <w:pPr>
              <w:autoSpaceDE w:val="0"/>
              <w:autoSpaceDN w:val="0"/>
              <w:adjustRightInd w:val="0"/>
              <w:spacing w:before="60" w:after="60"/>
              <w:rPr>
                <w:rFonts w:cstheme="minorHAnsi"/>
                <w:b/>
                <w:sz w:val="20"/>
                <w:szCs w:val="20"/>
              </w:rPr>
            </w:pPr>
            <w:r>
              <w:rPr>
                <w:rFonts w:cstheme="minorHAnsi"/>
                <w:b/>
                <w:sz w:val="20"/>
                <w:szCs w:val="20"/>
              </w:rPr>
              <w:t>d</w:t>
            </w:r>
            <w:r w:rsidR="00427730" w:rsidRPr="00952DED">
              <w:rPr>
                <w:rFonts w:cstheme="minorHAnsi"/>
                <w:b/>
                <w:sz w:val="20"/>
                <w:szCs w:val="20"/>
              </w:rPr>
              <w:t>arunavir</w:t>
            </w:r>
            <w:r>
              <w:rPr>
                <w:rFonts w:cstheme="minorHAnsi"/>
                <w:b/>
                <w:sz w:val="20"/>
                <w:szCs w:val="20"/>
              </w:rPr>
              <w:t xml:space="preserve"> + </w:t>
            </w:r>
            <w:r w:rsidR="00427730" w:rsidRPr="00952DED">
              <w:rPr>
                <w:rFonts w:cstheme="minorHAnsi"/>
                <w:b/>
                <w:sz w:val="20"/>
                <w:szCs w:val="20"/>
              </w:rPr>
              <w:t>cobi</w:t>
            </w:r>
            <w:r>
              <w:rPr>
                <w:rFonts w:cstheme="minorHAnsi"/>
                <w:b/>
                <w:sz w:val="20"/>
                <w:szCs w:val="20"/>
              </w:rPr>
              <w:t>ci</w:t>
            </w:r>
            <w:r w:rsidR="00427730" w:rsidRPr="00952DED">
              <w:rPr>
                <w:rFonts w:cstheme="minorHAnsi"/>
                <w:b/>
                <w:sz w:val="20"/>
                <w:szCs w:val="20"/>
              </w:rPr>
              <w:t>stat (</w:t>
            </w:r>
            <w:proofErr w:type="spellStart"/>
            <w:r w:rsidR="00427730" w:rsidRPr="00952DED">
              <w:rPr>
                <w:rFonts w:cstheme="minorHAnsi"/>
                <w:b/>
                <w:sz w:val="20"/>
                <w:szCs w:val="20"/>
              </w:rPr>
              <w:t>Prezcobix</w:t>
            </w:r>
            <w:proofErr w:type="spellEnd"/>
            <w:r w:rsidR="00427730" w:rsidRPr="00952DED">
              <w:rPr>
                <w:rFonts w:cstheme="minorHAnsi"/>
                <w:b/>
                <w:sz w:val="20"/>
                <w:szCs w:val="20"/>
              </w:rPr>
              <w:t>)</w:t>
            </w:r>
          </w:p>
        </w:tc>
        <w:tc>
          <w:tcPr>
            <w:tcW w:w="1675" w:type="pct"/>
            <w:vAlign w:val="center"/>
          </w:tcPr>
          <w:p w14:paraId="0D23D6FA" w14:textId="667F34D4" w:rsidR="00427730" w:rsidRPr="00952DED" w:rsidRDefault="006543E2" w:rsidP="001F3116">
            <w:pPr>
              <w:autoSpaceDE w:val="0"/>
              <w:autoSpaceDN w:val="0"/>
              <w:adjustRightInd w:val="0"/>
              <w:spacing w:before="60" w:after="60"/>
              <w:rPr>
                <w:rFonts w:cstheme="minorHAnsi"/>
                <w:sz w:val="20"/>
                <w:szCs w:val="20"/>
              </w:rPr>
            </w:pPr>
            <w:r w:rsidRPr="006543E2">
              <w:rPr>
                <w:rFonts w:cstheme="minorHAnsi"/>
                <w:sz w:val="20"/>
                <w:szCs w:val="20"/>
              </w:rPr>
              <w:t>53 (3.5)</w:t>
            </w:r>
          </w:p>
        </w:tc>
      </w:tr>
      <w:tr w:rsidR="00427730" w:rsidRPr="00952DED" w14:paraId="23C9A10D" w14:textId="77777777" w:rsidTr="002864CE">
        <w:trPr>
          <w:trHeight w:val="20"/>
        </w:trPr>
        <w:tc>
          <w:tcPr>
            <w:tcW w:w="3325" w:type="pct"/>
            <w:vAlign w:val="center"/>
          </w:tcPr>
          <w:p w14:paraId="5F5815A6" w14:textId="24699B89" w:rsidR="00427730" w:rsidRPr="00952DED" w:rsidRDefault="008512DF" w:rsidP="001F3116">
            <w:pPr>
              <w:autoSpaceDE w:val="0"/>
              <w:autoSpaceDN w:val="0"/>
              <w:adjustRightInd w:val="0"/>
              <w:spacing w:before="60" w:after="60"/>
              <w:rPr>
                <w:rFonts w:cstheme="minorHAnsi"/>
                <w:b/>
                <w:sz w:val="20"/>
                <w:szCs w:val="20"/>
              </w:rPr>
            </w:pPr>
            <w:r>
              <w:rPr>
                <w:rFonts w:cstheme="minorHAnsi"/>
                <w:b/>
                <w:sz w:val="20"/>
                <w:szCs w:val="20"/>
              </w:rPr>
              <w:t>f</w:t>
            </w:r>
            <w:r w:rsidR="00427730" w:rsidRPr="00952DED">
              <w:rPr>
                <w:rFonts w:cstheme="minorHAnsi"/>
                <w:b/>
                <w:sz w:val="20"/>
                <w:szCs w:val="20"/>
              </w:rPr>
              <w:t>osamprenavir</w:t>
            </w:r>
            <w:r>
              <w:rPr>
                <w:rFonts w:cstheme="minorHAnsi"/>
                <w:b/>
                <w:sz w:val="20"/>
                <w:szCs w:val="20"/>
              </w:rPr>
              <w:t xml:space="preserve"> (Telzir)</w:t>
            </w:r>
          </w:p>
        </w:tc>
        <w:tc>
          <w:tcPr>
            <w:tcW w:w="1675" w:type="pct"/>
            <w:vAlign w:val="center"/>
          </w:tcPr>
          <w:p w14:paraId="51437418" w14:textId="3B544733" w:rsidR="00427730" w:rsidRPr="00952DED" w:rsidRDefault="00623E85" w:rsidP="001F3116">
            <w:pPr>
              <w:autoSpaceDE w:val="0"/>
              <w:autoSpaceDN w:val="0"/>
              <w:adjustRightInd w:val="0"/>
              <w:spacing w:before="60" w:after="60"/>
              <w:rPr>
                <w:rFonts w:cstheme="minorHAnsi"/>
                <w:sz w:val="20"/>
                <w:szCs w:val="20"/>
              </w:rPr>
            </w:pPr>
            <w:r>
              <w:rPr>
                <w:rFonts w:cstheme="minorHAnsi"/>
                <w:sz w:val="20"/>
                <w:szCs w:val="20"/>
              </w:rPr>
              <w:t>&lt;5</w:t>
            </w:r>
          </w:p>
        </w:tc>
      </w:tr>
      <w:tr w:rsidR="00427730" w:rsidRPr="00952DED" w14:paraId="2055C0C8" w14:textId="77777777" w:rsidTr="002864CE">
        <w:trPr>
          <w:trHeight w:val="20"/>
        </w:trPr>
        <w:tc>
          <w:tcPr>
            <w:tcW w:w="3325" w:type="pct"/>
            <w:vAlign w:val="center"/>
          </w:tcPr>
          <w:p w14:paraId="09342B85" w14:textId="77777777"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indinavir (</w:t>
            </w:r>
            <w:proofErr w:type="spellStart"/>
            <w:r w:rsidRPr="00952DED">
              <w:rPr>
                <w:rFonts w:cstheme="minorHAnsi"/>
                <w:b/>
                <w:sz w:val="20"/>
                <w:szCs w:val="20"/>
              </w:rPr>
              <w:t>Crixivan</w:t>
            </w:r>
            <w:proofErr w:type="spellEnd"/>
            <w:r w:rsidRPr="00952DED">
              <w:rPr>
                <w:rFonts w:cstheme="minorHAnsi"/>
                <w:b/>
                <w:sz w:val="20"/>
                <w:szCs w:val="20"/>
              </w:rPr>
              <w:t xml:space="preserve">) </w:t>
            </w:r>
          </w:p>
        </w:tc>
        <w:tc>
          <w:tcPr>
            <w:tcW w:w="1675" w:type="pct"/>
            <w:vAlign w:val="center"/>
          </w:tcPr>
          <w:p w14:paraId="31763ED8" w14:textId="4D772F5E" w:rsidR="00427730" w:rsidRPr="00952DED" w:rsidRDefault="00DD6A44" w:rsidP="001F3116">
            <w:pPr>
              <w:autoSpaceDE w:val="0"/>
              <w:autoSpaceDN w:val="0"/>
              <w:adjustRightInd w:val="0"/>
              <w:spacing w:before="60" w:after="60"/>
              <w:rPr>
                <w:rFonts w:cstheme="minorHAnsi"/>
                <w:sz w:val="20"/>
                <w:szCs w:val="20"/>
              </w:rPr>
            </w:pPr>
            <w:r w:rsidRPr="00DD6A44">
              <w:rPr>
                <w:rFonts w:cstheme="minorHAnsi"/>
                <w:sz w:val="20"/>
                <w:szCs w:val="20"/>
              </w:rPr>
              <w:t>0 (0.0)</w:t>
            </w:r>
          </w:p>
        </w:tc>
      </w:tr>
      <w:tr w:rsidR="00427730" w:rsidRPr="00952DED" w14:paraId="707B01D5" w14:textId="77777777" w:rsidTr="002864CE">
        <w:trPr>
          <w:trHeight w:val="20"/>
        </w:trPr>
        <w:tc>
          <w:tcPr>
            <w:tcW w:w="3325" w:type="pct"/>
            <w:vAlign w:val="center"/>
          </w:tcPr>
          <w:p w14:paraId="14D18A1B" w14:textId="7DE89CE9" w:rsidR="00427730" w:rsidRPr="00952DED" w:rsidRDefault="00442B97" w:rsidP="001F3116">
            <w:pPr>
              <w:autoSpaceDE w:val="0"/>
              <w:autoSpaceDN w:val="0"/>
              <w:adjustRightInd w:val="0"/>
              <w:spacing w:before="60" w:after="60"/>
              <w:rPr>
                <w:rFonts w:cstheme="minorHAnsi"/>
                <w:b/>
                <w:sz w:val="20"/>
                <w:szCs w:val="20"/>
              </w:rPr>
            </w:pPr>
            <w:r>
              <w:rPr>
                <w:rFonts w:cstheme="minorHAnsi"/>
                <w:b/>
                <w:sz w:val="20"/>
                <w:szCs w:val="20"/>
              </w:rPr>
              <w:t>l</w:t>
            </w:r>
            <w:r w:rsidR="00427730" w:rsidRPr="00952DED">
              <w:rPr>
                <w:rFonts w:cstheme="minorHAnsi"/>
                <w:b/>
                <w:sz w:val="20"/>
                <w:szCs w:val="20"/>
              </w:rPr>
              <w:t>opinavir</w:t>
            </w:r>
            <w:r>
              <w:rPr>
                <w:rFonts w:cstheme="minorHAnsi"/>
                <w:b/>
                <w:sz w:val="20"/>
                <w:szCs w:val="20"/>
              </w:rPr>
              <w:t xml:space="preserve"> + </w:t>
            </w:r>
            <w:r w:rsidR="00427730" w:rsidRPr="00952DED">
              <w:rPr>
                <w:rFonts w:cstheme="minorHAnsi"/>
                <w:b/>
                <w:sz w:val="20"/>
                <w:szCs w:val="20"/>
              </w:rPr>
              <w:t>ritonavir (</w:t>
            </w:r>
            <w:proofErr w:type="spellStart"/>
            <w:r w:rsidR="00427730" w:rsidRPr="00952DED">
              <w:rPr>
                <w:rFonts w:cstheme="minorHAnsi"/>
                <w:b/>
                <w:sz w:val="20"/>
                <w:szCs w:val="20"/>
              </w:rPr>
              <w:t>Kaletra</w:t>
            </w:r>
            <w:proofErr w:type="spellEnd"/>
            <w:r w:rsidR="00427730" w:rsidRPr="00952DED">
              <w:rPr>
                <w:rFonts w:cstheme="minorHAnsi"/>
                <w:b/>
                <w:sz w:val="20"/>
                <w:szCs w:val="20"/>
              </w:rPr>
              <w:t xml:space="preserve">) </w:t>
            </w:r>
          </w:p>
        </w:tc>
        <w:tc>
          <w:tcPr>
            <w:tcW w:w="1675" w:type="pct"/>
            <w:vAlign w:val="center"/>
          </w:tcPr>
          <w:p w14:paraId="45ABF24B" w14:textId="59D21F45" w:rsidR="00427730" w:rsidRPr="00952DED" w:rsidRDefault="006543E2" w:rsidP="001F3116">
            <w:pPr>
              <w:autoSpaceDE w:val="0"/>
              <w:autoSpaceDN w:val="0"/>
              <w:adjustRightInd w:val="0"/>
              <w:spacing w:before="60" w:after="60"/>
              <w:rPr>
                <w:rFonts w:cstheme="minorHAnsi"/>
                <w:sz w:val="20"/>
                <w:szCs w:val="20"/>
              </w:rPr>
            </w:pPr>
            <w:r w:rsidRPr="006543E2">
              <w:rPr>
                <w:rFonts w:cstheme="minorHAnsi"/>
                <w:sz w:val="20"/>
                <w:szCs w:val="20"/>
              </w:rPr>
              <w:t>9 (0.6)</w:t>
            </w:r>
          </w:p>
        </w:tc>
      </w:tr>
      <w:tr w:rsidR="00427730" w:rsidRPr="00952DED" w14:paraId="0367FD51" w14:textId="77777777" w:rsidTr="002864CE">
        <w:trPr>
          <w:trHeight w:val="20"/>
        </w:trPr>
        <w:tc>
          <w:tcPr>
            <w:tcW w:w="3325" w:type="pct"/>
            <w:vAlign w:val="center"/>
          </w:tcPr>
          <w:p w14:paraId="72387559" w14:textId="0F5FD905"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 xml:space="preserve">ritonavir (Norvir) </w:t>
            </w:r>
          </w:p>
        </w:tc>
        <w:tc>
          <w:tcPr>
            <w:tcW w:w="1675" w:type="pct"/>
            <w:vAlign w:val="center"/>
          </w:tcPr>
          <w:p w14:paraId="7AFAD270" w14:textId="04F9FB73" w:rsidR="00427730" w:rsidRPr="00952DED" w:rsidRDefault="00DD6A44" w:rsidP="001F3116">
            <w:pPr>
              <w:autoSpaceDE w:val="0"/>
              <w:autoSpaceDN w:val="0"/>
              <w:adjustRightInd w:val="0"/>
              <w:spacing w:before="60" w:after="60"/>
              <w:rPr>
                <w:rFonts w:cstheme="minorHAnsi"/>
                <w:sz w:val="20"/>
                <w:szCs w:val="20"/>
              </w:rPr>
            </w:pPr>
            <w:r w:rsidRPr="00DD6A44">
              <w:rPr>
                <w:rFonts w:cstheme="minorHAnsi"/>
                <w:sz w:val="20"/>
                <w:szCs w:val="20"/>
              </w:rPr>
              <w:t>66 (4.3)</w:t>
            </w:r>
          </w:p>
        </w:tc>
      </w:tr>
      <w:tr w:rsidR="00427730" w:rsidRPr="00952DED" w14:paraId="304FE98C" w14:textId="77777777" w:rsidTr="002864CE">
        <w:trPr>
          <w:trHeight w:val="20"/>
        </w:trPr>
        <w:tc>
          <w:tcPr>
            <w:tcW w:w="3325" w:type="pct"/>
            <w:vAlign w:val="center"/>
          </w:tcPr>
          <w:p w14:paraId="476DABD2" w14:textId="77777777"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 xml:space="preserve">saquinavir (Invirase) </w:t>
            </w:r>
          </w:p>
        </w:tc>
        <w:tc>
          <w:tcPr>
            <w:tcW w:w="1675" w:type="pct"/>
            <w:vAlign w:val="center"/>
          </w:tcPr>
          <w:p w14:paraId="55657540" w14:textId="7D199F2D" w:rsidR="00427730" w:rsidRPr="00952DED" w:rsidRDefault="00464842" w:rsidP="001F3116">
            <w:pPr>
              <w:autoSpaceDE w:val="0"/>
              <w:autoSpaceDN w:val="0"/>
              <w:adjustRightInd w:val="0"/>
              <w:spacing w:before="60" w:after="60"/>
              <w:rPr>
                <w:rFonts w:cstheme="minorHAnsi"/>
                <w:sz w:val="20"/>
                <w:szCs w:val="20"/>
              </w:rPr>
            </w:pPr>
            <w:r w:rsidRPr="00464842">
              <w:rPr>
                <w:rFonts w:cstheme="minorHAnsi"/>
                <w:sz w:val="20"/>
                <w:szCs w:val="20"/>
              </w:rPr>
              <w:t>0 (0.0)</w:t>
            </w:r>
          </w:p>
        </w:tc>
      </w:tr>
      <w:tr w:rsidR="00427730" w:rsidRPr="00952DED" w14:paraId="61D836EF" w14:textId="77777777" w:rsidTr="002864CE">
        <w:trPr>
          <w:trHeight w:val="20"/>
        </w:trPr>
        <w:tc>
          <w:tcPr>
            <w:tcW w:w="3325" w:type="pct"/>
            <w:vAlign w:val="center"/>
          </w:tcPr>
          <w:p w14:paraId="04BF7CC6" w14:textId="77777777"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tipranavir (</w:t>
            </w:r>
            <w:proofErr w:type="spellStart"/>
            <w:r w:rsidRPr="00952DED">
              <w:rPr>
                <w:rFonts w:cstheme="minorHAnsi"/>
                <w:b/>
                <w:sz w:val="20"/>
                <w:szCs w:val="20"/>
              </w:rPr>
              <w:t>Aptivus</w:t>
            </w:r>
            <w:proofErr w:type="spellEnd"/>
            <w:r w:rsidRPr="00952DED">
              <w:rPr>
                <w:rFonts w:cstheme="minorHAnsi"/>
                <w:b/>
                <w:sz w:val="20"/>
                <w:szCs w:val="20"/>
              </w:rPr>
              <w:t xml:space="preserve">) </w:t>
            </w:r>
          </w:p>
        </w:tc>
        <w:tc>
          <w:tcPr>
            <w:tcW w:w="1675" w:type="pct"/>
            <w:vAlign w:val="center"/>
          </w:tcPr>
          <w:p w14:paraId="41227466" w14:textId="7C6EE865" w:rsidR="00427730" w:rsidRPr="00952DED" w:rsidRDefault="00464842" w:rsidP="001F3116">
            <w:pPr>
              <w:autoSpaceDE w:val="0"/>
              <w:autoSpaceDN w:val="0"/>
              <w:adjustRightInd w:val="0"/>
              <w:spacing w:before="60" w:after="60"/>
              <w:rPr>
                <w:rFonts w:cstheme="minorHAnsi"/>
                <w:sz w:val="20"/>
                <w:szCs w:val="20"/>
              </w:rPr>
            </w:pPr>
            <w:r w:rsidRPr="00464842">
              <w:rPr>
                <w:rFonts w:cstheme="minorHAnsi"/>
                <w:sz w:val="20"/>
                <w:szCs w:val="20"/>
              </w:rPr>
              <w:t>0 (0.0)</w:t>
            </w:r>
          </w:p>
        </w:tc>
      </w:tr>
      <w:tr w:rsidR="00427730" w:rsidRPr="00952DED" w14:paraId="2309CAE3" w14:textId="77777777" w:rsidTr="002864CE">
        <w:trPr>
          <w:trHeight w:val="20"/>
        </w:trPr>
        <w:tc>
          <w:tcPr>
            <w:tcW w:w="3325" w:type="pct"/>
            <w:vAlign w:val="center"/>
          </w:tcPr>
          <w:p w14:paraId="3EC04C69" w14:textId="5D893B64" w:rsidR="00427730" w:rsidRPr="00952DED" w:rsidRDefault="00442B97" w:rsidP="001F3116">
            <w:pPr>
              <w:autoSpaceDE w:val="0"/>
              <w:autoSpaceDN w:val="0"/>
              <w:adjustRightInd w:val="0"/>
              <w:spacing w:before="60" w:after="60"/>
              <w:rPr>
                <w:rFonts w:cstheme="minorHAnsi"/>
                <w:b/>
                <w:sz w:val="20"/>
                <w:szCs w:val="20"/>
              </w:rPr>
            </w:pPr>
            <w:r>
              <w:rPr>
                <w:rFonts w:cstheme="minorHAnsi"/>
                <w:b/>
                <w:sz w:val="20"/>
                <w:szCs w:val="20"/>
              </w:rPr>
              <w:lastRenderedPageBreak/>
              <w:t>a</w:t>
            </w:r>
            <w:r w:rsidR="00427730" w:rsidRPr="00952DED">
              <w:rPr>
                <w:rFonts w:cstheme="minorHAnsi"/>
                <w:b/>
                <w:sz w:val="20"/>
                <w:szCs w:val="20"/>
              </w:rPr>
              <w:t>tazanavir</w:t>
            </w:r>
            <w:r>
              <w:rPr>
                <w:rFonts w:cstheme="minorHAnsi"/>
                <w:b/>
                <w:sz w:val="20"/>
                <w:szCs w:val="20"/>
              </w:rPr>
              <w:t xml:space="preserve"> + </w:t>
            </w:r>
            <w:r w:rsidR="00427730" w:rsidRPr="00952DED">
              <w:rPr>
                <w:rFonts w:cstheme="minorHAnsi"/>
                <w:b/>
                <w:sz w:val="20"/>
                <w:szCs w:val="20"/>
              </w:rPr>
              <w:t>cobicistat (</w:t>
            </w:r>
            <w:proofErr w:type="spellStart"/>
            <w:r w:rsidR="00427730" w:rsidRPr="00952DED">
              <w:rPr>
                <w:rFonts w:cstheme="minorHAnsi"/>
                <w:b/>
                <w:sz w:val="20"/>
                <w:szCs w:val="20"/>
              </w:rPr>
              <w:t>Evotaz</w:t>
            </w:r>
            <w:proofErr w:type="spellEnd"/>
            <w:r w:rsidR="00427730" w:rsidRPr="00952DED">
              <w:rPr>
                <w:rFonts w:cstheme="minorHAnsi"/>
                <w:b/>
                <w:sz w:val="20"/>
                <w:szCs w:val="20"/>
              </w:rPr>
              <w:t xml:space="preserve">) </w:t>
            </w:r>
          </w:p>
        </w:tc>
        <w:tc>
          <w:tcPr>
            <w:tcW w:w="1675" w:type="pct"/>
            <w:vAlign w:val="center"/>
          </w:tcPr>
          <w:p w14:paraId="72402CF6" w14:textId="16C0C98F" w:rsidR="00427730" w:rsidRPr="00952DED" w:rsidRDefault="00D35674" w:rsidP="001F3116">
            <w:pPr>
              <w:autoSpaceDE w:val="0"/>
              <w:autoSpaceDN w:val="0"/>
              <w:adjustRightInd w:val="0"/>
              <w:spacing w:before="60" w:after="60"/>
              <w:rPr>
                <w:rFonts w:cstheme="minorHAnsi"/>
                <w:sz w:val="20"/>
                <w:szCs w:val="20"/>
              </w:rPr>
            </w:pPr>
            <w:r w:rsidRPr="00D35674">
              <w:rPr>
                <w:rFonts w:cstheme="minorHAnsi"/>
                <w:sz w:val="20"/>
                <w:szCs w:val="20"/>
              </w:rPr>
              <w:t>13 (0.9)</w:t>
            </w:r>
          </w:p>
        </w:tc>
      </w:tr>
      <w:tr w:rsidR="00427730" w:rsidRPr="00952DED" w14:paraId="4A878D9A" w14:textId="77777777" w:rsidTr="002864CE">
        <w:trPr>
          <w:trHeight w:val="20"/>
        </w:trPr>
        <w:tc>
          <w:tcPr>
            <w:tcW w:w="3325" w:type="pct"/>
            <w:shd w:val="clear" w:color="auto" w:fill="F2F2F2" w:themeFill="background1" w:themeFillShade="F2"/>
            <w:vAlign w:val="center"/>
          </w:tcPr>
          <w:p w14:paraId="49B92122" w14:textId="40A2E599" w:rsidR="00427730" w:rsidRPr="00952DED" w:rsidRDefault="00A22582" w:rsidP="001F3116">
            <w:pPr>
              <w:autoSpaceDE w:val="0"/>
              <w:autoSpaceDN w:val="0"/>
              <w:adjustRightInd w:val="0"/>
              <w:spacing w:before="60" w:after="60"/>
              <w:rPr>
                <w:rFonts w:cstheme="minorHAnsi"/>
                <w:b/>
                <w:sz w:val="20"/>
                <w:szCs w:val="20"/>
              </w:rPr>
            </w:pPr>
            <w:r>
              <w:rPr>
                <w:rFonts w:cstheme="minorHAnsi"/>
                <w:b/>
                <w:sz w:val="20"/>
                <w:szCs w:val="20"/>
              </w:rPr>
              <w:t>HIV-PI t</w:t>
            </w:r>
            <w:r w:rsidR="00427730">
              <w:rPr>
                <w:rFonts w:cstheme="minorHAnsi"/>
                <w:b/>
                <w:sz w:val="20"/>
                <w:szCs w:val="20"/>
              </w:rPr>
              <w:t>otal</w:t>
            </w:r>
          </w:p>
        </w:tc>
        <w:tc>
          <w:tcPr>
            <w:tcW w:w="1675" w:type="pct"/>
            <w:shd w:val="clear" w:color="auto" w:fill="F2F2F2" w:themeFill="background1" w:themeFillShade="F2"/>
            <w:vAlign w:val="center"/>
          </w:tcPr>
          <w:p w14:paraId="5E38F7CE" w14:textId="36685B31" w:rsidR="00427730" w:rsidRPr="00952DED" w:rsidRDefault="00025C15" w:rsidP="00F075E5">
            <w:pPr>
              <w:autoSpaceDE w:val="0"/>
              <w:autoSpaceDN w:val="0"/>
              <w:adjustRightInd w:val="0"/>
              <w:spacing w:before="60" w:after="60"/>
              <w:rPr>
                <w:rFonts w:cstheme="minorHAnsi"/>
                <w:sz w:val="20"/>
                <w:szCs w:val="20"/>
              </w:rPr>
            </w:pPr>
            <w:r w:rsidRPr="00025C15">
              <w:rPr>
                <w:rFonts w:cstheme="minorHAnsi"/>
                <w:sz w:val="20"/>
                <w:szCs w:val="20"/>
              </w:rPr>
              <w:t>164 (10.8)</w:t>
            </w:r>
          </w:p>
        </w:tc>
      </w:tr>
      <w:tr w:rsidR="00427730" w:rsidRPr="00952DED" w14:paraId="14D336E1" w14:textId="77777777" w:rsidTr="00427730">
        <w:trPr>
          <w:trHeight w:val="20"/>
        </w:trPr>
        <w:tc>
          <w:tcPr>
            <w:tcW w:w="5000" w:type="pct"/>
            <w:gridSpan w:val="2"/>
            <w:shd w:val="clear" w:color="auto" w:fill="D9D9D9" w:themeFill="background1" w:themeFillShade="D9"/>
            <w:vAlign w:val="center"/>
          </w:tcPr>
          <w:p w14:paraId="4D5018C6" w14:textId="77777777" w:rsidR="00427730" w:rsidRPr="00952DED" w:rsidRDefault="00427730" w:rsidP="00427730">
            <w:pPr>
              <w:autoSpaceDE w:val="0"/>
              <w:autoSpaceDN w:val="0"/>
              <w:adjustRightInd w:val="0"/>
              <w:spacing w:before="60" w:after="60"/>
              <w:jc w:val="center"/>
              <w:rPr>
                <w:rFonts w:cstheme="minorHAnsi"/>
                <w:b/>
                <w:bCs/>
                <w:sz w:val="20"/>
                <w:szCs w:val="20"/>
              </w:rPr>
            </w:pPr>
            <w:r w:rsidRPr="00952DED">
              <w:rPr>
                <w:rFonts w:cstheme="minorHAnsi"/>
                <w:b/>
                <w:bCs/>
                <w:sz w:val="20"/>
                <w:szCs w:val="20"/>
              </w:rPr>
              <w:t>Entry inhibitors (Fusion inhibitors and CCR5 inhibitors)</w:t>
            </w:r>
          </w:p>
        </w:tc>
      </w:tr>
      <w:tr w:rsidR="00427730" w:rsidRPr="00952DED" w14:paraId="3C8185CB" w14:textId="77777777" w:rsidTr="002864CE">
        <w:trPr>
          <w:trHeight w:val="20"/>
        </w:trPr>
        <w:tc>
          <w:tcPr>
            <w:tcW w:w="3325" w:type="pct"/>
            <w:vAlign w:val="center"/>
          </w:tcPr>
          <w:p w14:paraId="05ED0C24" w14:textId="6A9ABDEC"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 xml:space="preserve">enfuvirtide </w:t>
            </w:r>
            <w:r w:rsidR="00C95C3F">
              <w:rPr>
                <w:rFonts w:cstheme="minorHAnsi"/>
                <w:b/>
                <w:sz w:val="20"/>
                <w:szCs w:val="20"/>
              </w:rPr>
              <w:t>(</w:t>
            </w:r>
            <w:proofErr w:type="spellStart"/>
            <w:r w:rsidR="00C95C3F">
              <w:rPr>
                <w:rFonts w:cstheme="minorHAnsi"/>
                <w:b/>
                <w:sz w:val="20"/>
                <w:szCs w:val="20"/>
              </w:rPr>
              <w:t>Fuzeon</w:t>
            </w:r>
            <w:proofErr w:type="spellEnd"/>
            <w:r w:rsidR="00315CC1">
              <w:rPr>
                <w:rFonts w:cstheme="minorHAnsi"/>
                <w:b/>
                <w:sz w:val="20"/>
                <w:szCs w:val="20"/>
              </w:rPr>
              <w:t>)</w:t>
            </w:r>
          </w:p>
        </w:tc>
        <w:tc>
          <w:tcPr>
            <w:tcW w:w="1675" w:type="pct"/>
            <w:vAlign w:val="center"/>
          </w:tcPr>
          <w:p w14:paraId="71F76F9B" w14:textId="3D35972B" w:rsidR="00427730" w:rsidRPr="00952DED" w:rsidRDefault="00464842" w:rsidP="001F3116">
            <w:pPr>
              <w:autoSpaceDE w:val="0"/>
              <w:autoSpaceDN w:val="0"/>
              <w:adjustRightInd w:val="0"/>
              <w:spacing w:before="60" w:after="60"/>
              <w:rPr>
                <w:rFonts w:cstheme="minorHAnsi"/>
                <w:sz w:val="20"/>
                <w:szCs w:val="20"/>
              </w:rPr>
            </w:pPr>
            <w:r w:rsidRPr="00464842">
              <w:rPr>
                <w:rFonts w:cstheme="minorHAnsi"/>
                <w:sz w:val="20"/>
                <w:szCs w:val="20"/>
              </w:rPr>
              <w:t>0 (0.0)</w:t>
            </w:r>
          </w:p>
        </w:tc>
      </w:tr>
      <w:tr w:rsidR="00427730" w:rsidRPr="00952DED" w14:paraId="2E881246" w14:textId="77777777" w:rsidTr="002864CE">
        <w:trPr>
          <w:trHeight w:val="20"/>
        </w:trPr>
        <w:tc>
          <w:tcPr>
            <w:tcW w:w="3325" w:type="pct"/>
            <w:vAlign w:val="center"/>
          </w:tcPr>
          <w:p w14:paraId="4FF69995" w14:textId="032992B2" w:rsidR="00427730" w:rsidRPr="00952DED" w:rsidRDefault="00427730" w:rsidP="001F3116">
            <w:pPr>
              <w:autoSpaceDE w:val="0"/>
              <w:autoSpaceDN w:val="0"/>
              <w:adjustRightInd w:val="0"/>
              <w:spacing w:before="60" w:after="60"/>
              <w:rPr>
                <w:rFonts w:cstheme="minorHAnsi"/>
                <w:b/>
                <w:sz w:val="20"/>
                <w:szCs w:val="20"/>
              </w:rPr>
            </w:pPr>
            <w:r w:rsidRPr="00952DED">
              <w:rPr>
                <w:rFonts w:cstheme="minorHAnsi"/>
                <w:b/>
                <w:sz w:val="20"/>
                <w:szCs w:val="20"/>
              </w:rPr>
              <w:t xml:space="preserve">maraviroc </w:t>
            </w:r>
            <w:r w:rsidR="00315CC1">
              <w:rPr>
                <w:rFonts w:cstheme="minorHAnsi"/>
                <w:b/>
                <w:sz w:val="20"/>
                <w:szCs w:val="20"/>
              </w:rPr>
              <w:t>(</w:t>
            </w:r>
            <w:proofErr w:type="spellStart"/>
            <w:r w:rsidR="00315CC1" w:rsidRPr="00315CC1">
              <w:rPr>
                <w:rFonts w:cstheme="minorHAnsi"/>
                <w:b/>
                <w:sz w:val="20"/>
                <w:szCs w:val="20"/>
              </w:rPr>
              <w:t>Celsentri</w:t>
            </w:r>
            <w:proofErr w:type="spellEnd"/>
            <w:r w:rsidR="00315CC1">
              <w:rPr>
                <w:rFonts w:cstheme="minorHAnsi"/>
                <w:b/>
                <w:sz w:val="20"/>
                <w:szCs w:val="20"/>
              </w:rPr>
              <w:t>)</w:t>
            </w:r>
          </w:p>
        </w:tc>
        <w:tc>
          <w:tcPr>
            <w:tcW w:w="1675" w:type="pct"/>
            <w:vAlign w:val="center"/>
          </w:tcPr>
          <w:p w14:paraId="426EC4FE" w14:textId="7281518C" w:rsidR="00427730" w:rsidRPr="00952DED" w:rsidRDefault="00464842" w:rsidP="001F3116">
            <w:pPr>
              <w:autoSpaceDE w:val="0"/>
              <w:autoSpaceDN w:val="0"/>
              <w:adjustRightInd w:val="0"/>
              <w:spacing w:before="60" w:after="60"/>
              <w:rPr>
                <w:rFonts w:cstheme="minorHAnsi"/>
                <w:sz w:val="20"/>
                <w:szCs w:val="20"/>
              </w:rPr>
            </w:pPr>
            <w:r w:rsidRPr="00464842">
              <w:rPr>
                <w:rFonts w:cstheme="minorHAnsi"/>
                <w:sz w:val="20"/>
                <w:szCs w:val="20"/>
              </w:rPr>
              <w:t>35 (2.3)</w:t>
            </w:r>
          </w:p>
        </w:tc>
      </w:tr>
      <w:tr w:rsidR="00427730" w:rsidRPr="00952DED" w14:paraId="3B29FA21" w14:textId="77777777" w:rsidTr="002864CE">
        <w:trPr>
          <w:trHeight w:val="20"/>
        </w:trPr>
        <w:tc>
          <w:tcPr>
            <w:tcW w:w="3325" w:type="pct"/>
            <w:shd w:val="clear" w:color="auto" w:fill="F2F2F2" w:themeFill="background1" w:themeFillShade="F2"/>
            <w:vAlign w:val="center"/>
          </w:tcPr>
          <w:p w14:paraId="3531E4A4" w14:textId="08679E5D" w:rsidR="00427730" w:rsidRPr="00952DED" w:rsidRDefault="00427730" w:rsidP="001F3116">
            <w:pPr>
              <w:autoSpaceDE w:val="0"/>
              <w:autoSpaceDN w:val="0"/>
              <w:adjustRightInd w:val="0"/>
              <w:spacing w:before="60" w:after="60"/>
              <w:rPr>
                <w:rFonts w:cstheme="minorHAnsi"/>
                <w:b/>
                <w:sz w:val="20"/>
                <w:szCs w:val="20"/>
              </w:rPr>
            </w:pPr>
            <w:r>
              <w:rPr>
                <w:rFonts w:cstheme="minorHAnsi"/>
                <w:b/>
                <w:sz w:val="20"/>
                <w:szCs w:val="20"/>
              </w:rPr>
              <w:t xml:space="preserve">Entry inhibitor </w:t>
            </w:r>
            <w:r w:rsidR="00A22582">
              <w:rPr>
                <w:rFonts w:cstheme="minorHAnsi"/>
                <w:b/>
                <w:sz w:val="20"/>
                <w:szCs w:val="20"/>
              </w:rPr>
              <w:t>t</w:t>
            </w:r>
            <w:r>
              <w:rPr>
                <w:rFonts w:cstheme="minorHAnsi"/>
                <w:b/>
                <w:sz w:val="20"/>
                <w:szCs w:val="20"/>
              </w:rPr>
              <w:t>otal</w:t>
            </w:r>
          </w:p>
        </w:tc>
        <w:tc>
          <w:tcPr>
            <w:tcW w:w="1675" w:type="pct"/>
            <w:shd w:val="clear" w:color="auto" w:fill="F2F2F2" w:themeFill="background1" w:themeFillShade="F2"/>
            <w:vAlign w:val="center"/>
          </w:tcPr>
          <w:p w14:paraId="561D3FEB" w14:textId="1DDFE644" w:rsidR="00427730" w:rsidRPr="00952DED" w:rsidRDefault="00707642" w:rsidP="001F3116">
            <w:pPr>
              <w:autoSpaceDE w:val="0"/>
              <w:autoSpaceDN w:val="0"/>
              <w:adjustRightInd w:val="0"/>
              <w:spacing w:before="60" w:after="60"/>
              <w:rPr>
                <w:rFonts w:cstheme="minorHAnsi"/>
                <w:sz w:val="20"/>
                <w:szCs w:val="20"/>
              </w:rPr>
            </w:pPr>
            <w:r w:rsidRPr="00707642">
              <w:rPr>
                <w:rFonts w:cstheme="minorHAnsi"/>
                <w:sz w:val="20"/>
                <w:szCs w:val="20"/>
              </w:rPr>
              <w:t>35 (2.3)</w:t>
            </w:r>
          </w:p>
        </w:tc>
      </w:tr>
      <w:tr w:rsidR="00427730" w:rsidRPr="00952DED" w14:paraId="0D15D6A3" w14:textId="77777777" w:rsidTr="00427730">
        <w:trPr>
          <w:trHeight w:val="20"/>
        </w:trPr>
        <w:tc>
          <w:tcPr>
            <w:tcW w:w="5000" w:type="pct"/>
            <w:gridSpan w:val="2"/>
            <w:shd w:val="clear" w:color="auto" w:fill="D9D9D9" w:themeFill="background1" w:themeFillShade="D9"/>
            <w:vAlign w:val="center"/>
          </w:tcPr>
          <w:p w14:paraId="546DA312" w14:textId="77777777" w:rsidR="00427730" w:rsidRPr="00952DED" w:rsidRDefault="00427730" w:rsidP="00427730">
            <w:pPr>
              <w:autoSpaceDE w:val="0"/>
              <w:autoSpaceDN w:val="0"/>
              <w:adjustRightInd w:val="0"/>
              <w:spacing w:before="60" w:after="60"/>
              <w:jc w:val="center"/>
              <w:rPr>
                <w:rFonts w:cstheme="minorHAnsi"/>
                <w:b/>
                <w:bCs/>
                <w:sz w:val="20"/>
                <w:szCs w:val="20"/>
              </w:rPr>
            </w:pPr>
            <w:r w:rsidRPr="00952DED">
              <w:rPr>
                <w:rFonts w:cstheme="minorHAnsi"/>
                <w:b/>
                <w:bCs/>
                <w:sz w:val="20"/>
                <w:szCs w:val="20"/>
              </w:rPr>
              <w:t>Integrase inhibitors</w:t>
            </w:r>
          </w:p>
        </w:tc>
      </w:tr>
      <w:tr w:rsidR="00427730" w:rsidRPr="00952DED" w14:paraId="7CCD589A" w14:textId="77777777" w:rsidTr="002864CE">
        <w:trPr>
          <w:trHeight w:val="20"/>
        </w:trPr>
        <w:tc>
          <w:tcPr>
            <w:tcW w:w="3325" w:type="pct"/>
            <w:vAlign w:val="center"/>
          </w:tcPr>
          <w:p w14:paraId="19D7F0AD" w14:textId="77777777" w:rsidR="00427730" w:rsidRPr="000B1B63" w:rsidRDefault="00427730" w:rsidP="001F3116">
            <w:pPr>
              <w:autoSpaceDE w:val="0"/>
              <w:autoSpaceDN w:val="0"/>
              <w:adjustRightInd w:val="0"/>
              <w:spacing w:before="60" w:after="60"/>
              <w:rPr>
                <w:rFonts w:cstheme="minorHAnsi"/>
                <w:b/>
                <w:sz w:val="20"/>
                <w:szCs w:val="20"/>
              </w:rPr>
            </w:pPr>
            <w:r w:rsidRPr="000B1B63">
              <w:rPr>
                <w:rFonts w:cstheme="minorHAnsi"/>
                <w:b/>
                <w:sz w:val="20"/>
                <w:szCs w:val="20"/>
              </w:rPr>
              <w:t>dolutegravir (</w:t>
            </w:r>
            <w:proofErr w:type="spellStart"/>
            <w:r w:rsidRPr="000B1B63">
              <w:rPr>
                <w:rFonts w:cstheme="minorHAnsi"/>
                <w:b/>
                <w:sz w:val="20"/>
                <w:szCs w:val="20"/>
              </w:rPr>
              <w:t>Tivicay</w:t>
            </w:r>
            <w:proofErr w:type="spellEnd"/>
            <w:r w:rsidRPr="000B1B63">
              <w:rPr>
                <w:rFonts w:cstheme="minorHAnsi"/>
                <w:b/>
                <w:sz w:val="20"/>
                <w:szCs w:val="20"/>
              </w:rPr>
              <w:t xml:space="preserve">) </w:t>
            </w:r>
          </w:p>
        </w:tc>
        <w:tc>
          <w:tcPr>
            <w:tcW w:w="1675" w:type="pct"/>
            <w:vAlign w:val="center"/>
          </w:tcPr>
          <w:p w14:paraId="0C38DEF0" w14:textId="6ABB67AB" w:rsidR="00427730" w:rsidRPr="00952DED" w:rsidRDefault="00464842" w:rsidP="001F3116">
            <w:pPr>
              <w:autoSpaceDE w:val="0"/>
              <w:autoSpaceDN w:val="0"/>
              <w:adjustRightInd w:val="0"/>
              <w:spacing w:before="60" w:after="60"/>
              <w:rPr>
                <w:rFonts w:cstheme="minorHAnsi"/>
                <w:sz w:val="20"/>
                <w:szCs w:val="20"/>
              </w:rPr>
            </w:pPr>
            <w:r w:rsidRPr="00464842">
              <w:rPr>
                <w:rFonts w:cstheme="minorHAnsi"/>
                <w:sz w:val="20"/>
                <w:szCs w:val="20"/>
              </w:rPr>
              <w:t>221 (14.6)</w:t>
            </w:r>
          </w:p>
        </w:tc>
      </w:tr>
      <w:tr w:rsidR="00427730" w:rsidRPr="00952DED" w14:paraId="7EEBD47C" w14:textId="77777777" w:rsidTr="002864CE">
        <w:trPr>
          <w:trHeight w:val="20"/>
        </w:trPr>
        <w:tc>
          <w:tcPr>
            <w:tcW w:w="3325" w:type="pct"/>
            <w:vAlign w:val="center"/>
          </w:tcPr>
          <w:p w14:paraId="6CCD0DB8" w14:textId="77777777" w:rsidR="00427730" w:rsidRPr="000B1B63" w:rsidRDefault="00427730" w:rsidP="001F3116">
            <w:pPr>
              <w:autoSpaceDE w:val="0"/>
              <w:autoSpaceDN w:val="0"/>
              <w:adjustRightInd w:val="0"/>
              <w:spacing w:before="60" w:after="60"/>
              <w:rPr>
                <w:rFonts w:cstheme="minorHAnsi"/>
                <w:b/>
                <w:sz w:val="20"/>
                <w:szCs w:val="20"/>
              </w:rPr>
            </w:pPr>
            <w:proofErr w:type="spellStart"/>
            <w:r w:rsidRPr="000B1B63">
              <w:rPr>
                <w:rFonts w:cstheme="minorHAnsi"/>
                <w:b/>
                <w:sz w:val="20"/>
                <w:szCs w:val="20"/>
              </w:rPr>
              <w:t>raltegravir</w:t>
            </w:r>
            <w:proofErr w:type="spellEnd"/>
            <w:r w:rsidRPr="000B1B63">
              <w:rPr>
                <w:rFonts w:cstheme="minorHAnsi"/>
                <w:b/>
                <w:sz w:val="20"/>
                <w:szCs w:val="20"/>
              </w:rPr>
              <w:t xml:space="preserve"> (</w:t>
            </w:r>
            <w:proofErr w:type="spellStart"/>
            <w:r w:rsidRPr="000B1B63">
              <w:rPr>
                <w:rFonts w:cstheme="minorHAnsi"/>
                <w:b/>
                <w:sz w:val="20"/>
                <w:szCs w:val="20"/>
              </w:rPr>
              <w:t>Isentress</w:t>
            </w:r>
            <w:proofErr w:type="spellEnd"/>
            <w:r w:rsidRPr="000B1B63">
              <w:rPr>
                <w:rFonts w:cstheme="minorHAnsi"/>
                <w:b/>
                <w:sz w:val="20"/>
                <w:szCs w:val="20"/>
              </w:rPr>
              <w:t xml:space="preserve">) </w:t>
            </w:r>
          </w:p>
        </w:tc>
        <w:tc>
          <w:tcPr>
            <w:tcW w:w="1675" w:type="pct"/>
            <w:vAlign w:val="center"/>
          </w:tcPr>
          <w:p w14:paraId="11943CC4" w14:textId="73E889E1" w:rsidR="00427730" w:rsidRPr="00952DED" w:rsidRDefault="00DC78E2" w:rsidP="001F3116">
            <w:pPr>
              <w:autoSpaceDE w:val="0"/>
              <w:autoSpaceDN w:val="0"/>
              <w:adjustRightInd w:val="0"/>
              <w:spacing w:before="60" w:after="60"/>
              <w:rPr>
                <w:rFonts w:cstheme="minorHAnsi"/>
                <w:sz w:val="20"/>
                <w:szCs w:val="20"/>
              </w:rPr>
            </w:pPr>
            <w:r w:rsidRPr="00DC78E2">
              <w:rPr>
                <w:rFonts w:cstheme="minorHAnsi"/>
                <w:sz w:val="20"/>
                <w:szCs w:val="20"/>
              </w:rPr>
              <w:t>105 (6.9)</w:t>
            </w:r>
          </w:p>
        </w:tc>
      </w:tr>
      <w:tr w:rsidR="00427730" w:rsidRPr="00952DED" w14:paraId="07A5A92B" w14:textId="77777777" w:rsidTr="002864CE">
        <w:trPr>
          <w:trHeight w:val="20"/>
        </w:trPr>
        <w:tc>
          <w:tcPr>
            <w:tcW w:w="3325" w:type="pct"/>
            <w:shd w:val="clear" w:color="auto" w:fill="F2F2F2" w:themeFill="background1" w:themeFillShade="F2"/>
            <w:vAlign w:val="center"/>
          </w:tcPr>
          <w:p w14:paraId="38439C79" w14:textId="65E27F63" w:rsidR="00427730" w:rsidRPr="00952DED" w:rsidRDefault="00427730" w:rsidP="001F3116">
            <w:pPr>
              <w:autoSpaceDE w:val="0"/>
              <w:autoSpaceDN w:val="0"/>
              <w:adjustRightInd w:val="0"/>
              <w:spacing w:before="60" w:after="60"/>
              <w:rPr>
                <w:rFonts w:cstheme="minorHAnsi"/>
                <w:b/>
                <w:sz w:val="20"/>
                <w:szCs w:val="20"/>
              </w:rPr>
            </w:pPr>
            <w:r>
              <w:rPr>
                <w:rFonts w:cstheme="minorHAnsi"/>
                <w:b/>
                <w:sz w:val="20"/>
                <w:szCs w:val="20"/>
              </w:rPr>
              <w:t xml:space="preserve">Integrase Inhibitor </w:t>
            </w:r>
            <w:r w:rsidR="00A22582">
              <w:rPr>
                <w:rFonts w:cstheme="minorHAnsi"/>
                <w:b/>
                <w:sz w:val="20"/>
                <w:szCs w:val="20"/>
              </w:rPr>
              <w:t>t</w:t>
            </w:r>
            <w:r>
              <w:rPr>
                <w:rFonts w:cstheme="minorHAnsi"/>
                <w:b/>
                <w:sz w:val="20"/>
                <w:szCs w:val="20"/>
              </w:rPr>
              <w:t>otal</w:t>
            </w:r>
          </w:p>
        </w:tc>
        <w:tc>
          <w:tcPr>
            <w:tcW w:w="1675" w:type="pct"/>
            <w:shd w:val="clear" w:color="auto" w:fill="F2F2F2" w:themeFill="background1" w:themeFillShade="F2"/>
            <w:vAlign w:val="center"/>
          </w:tcPr>
          <w:p w14:paraId="14D69883" w14:textId="7B112558" w:rsidR="00427730" w:rsidRPr="00952DED" w:rsidRDefault="00707642" w:rsidP="001F3116">
            <w:pPr>
              <w:autoSpaceDE w:val="0"/>
              <w:autoSpaceDN w:val="0"/>
              <w:adjustRightInd w:val="0"/>
              <w:spacing w:before="60" w:after="60"/>
              <w:rPr>
                <w:rFonts w:cstheme="minorHAnsi"/>
                <w:sz w:val="20"/>
                <w:szCs w:val="20"/>
              </w:rPr>
            </w:pPr>
            <w:r w:rsidRPr="00707642">
              <w:rPr>
                <w:rFonts w:cstheme="minorHAnsi"/>
                <w:sz w:val="20"/>
                <w:szCs w:val="20"/>
              </w:rPr>
              <w:t>319 (21.0)</w:t>
            </w:r>
          </w:p>
        </w:tc>
      </w:tr>
      <w:tr w:rsidR="00427730" w:rsidRPr="00952DED" w14:paraId="2DC9F939" w14:textId="77777777" w:rsidTr="00427730">
        <w:trPr>
          <w:trHeight w:val="20"/>
        </w:trPr>
        <w:tc>
          <w:tcPr>
            <w:tcW w:w="5000" w:type="pct"/>
            <w:gridSpan w:val="2"/>
            <w:shd w:val="clear" w:color="auto" w:fill="D9D9D9" w:themeFill="background1" w:themeFillShade="D9"/>
            <w:vAlign w:val="center"/>
          </w:tcPr>
          <w:p w14:paraId="79578659" w14:textId="77777777" w:rsidR="00427730" w:rsidRPr="00952DED" w:rsidRDefault="00427730" w:rsidP="009D1A3E">
            <w:pPr>
              <w:autoSpaceDE w:val="0"/>
              <w:autoSpaceDN w:val="0"/>
              <w:adjustRightInd w:val="0"/>
              <w:spacing w:before="60" w:after="60"/>
              <w:jc w:val="center"/>
              <w:rPr>
                <w:rFonts w:cstheme="minorHAnsi"/>
                <w:b/>
                <w:bCs/>
                <w:sz w:val="20"/>
                <w:szCs w:val="20"/>
              </w:rPr>
            </w:pPr>
            <w:r w:rsidRPr="00952DED">
              <w:rPr>
                <w:rFonts w:cstheme="minorHAnsi"/>
                <w:b/>
                <w:bCs/>
                <w:sz w:val="20"/>
                <w:szCs w:val="20"/>
              </w:rPr>
              <w:t>Combination class ART</w:t>
            </w:r>
          </w:p>
        </w:tc>
      </w:tr>
      <w:tr w:rsidR="00427730" w:rsidRPr="008C7EB3" w14:paraId="45920BA8" w14:textId="77777777" w:rsidTr="002864CE">
        <w:trPr>
          <w:trHeight w:val="20"/>
        </w:trPr>
        <w:tc>
          <w:tcPr>
            <w:tcW w:w="3325" w:type="pct"/>
            <w:vAlign w:val="center"/>
          </w:tcPr>
          <w:p w14:paraId="386AC0F8" w14:textId="0C2E3490" w:rsidR="00427730" w:rsidRPr="00427730" w:rsidRDefault="00ED64C0" w:rsidP="001F3116">
            <w:pPr>
              <w:autoSpaceDE w:val="0"/>
              <w:autoSpaceDN w:val="0"/>
              <w:adjustRightInd w:val="0"/>
              <w:spacing w:before="60" w:after="60"/>
              <w:rPr>
                <w:rFonts w:cstheme="minorHAnsi"/>
                <w:b/>
                <w:sz w:val="20"/>
                <w:szCs w:val="20"/>
                <w:lang w:val="es-ES"/>
              </w:rPr>
            </w:pPr>
            <w:proofErr w:type="spellStart"/>
            <w:r>
              <w:rPr>
                <w:rFonts w:cstheme="minorHAnsi"/>
                <w:b/>
                <w:sz w:val="20"/>
                <w:szCs w:val="20"/>
                <w:lang w:val="es-ES"/>
              </w:rPr>
              <w:t>e</w:t>
            </w:r>
            <w:r w:rsidR="00427730" w:rsidRPr="00427730">
              <w:rPr>
                <w:rFonts w:cstheme="minorHAnsi"/>
                <w:b/>
                <w:sz w:val="20"/>
                <w:szCs w:val="20"/>
                <w:lang w:val="es-ES"/>
              </w:rPr>
              <w:t>favirenz</w:t>
            </w:r>
            <w:proofErr w:type="spellEnd"/>
            <w:r>
              <w:rPr>
                <w:rFonts w:cstheme="minorHAnsi"/>
                <w:b/>
                <w:sz w:val="20"/>
                <w:szCs w:val="20"/>
                <w:lang w:val="es-ES"/>
              </w:rPr>
              <w:t xml:space="preserve"> + </w:t>
            </w:r>
            <w:proofErr w:type="spellStart"/>
            <w:r w:rsidR="00427730" w:rsidRPr="00427730">
              <w:rPr>
                <w:rFonts w:cstheme="minorHAnsi"/>
                <w:b/>
                <w:sz w:val="20"/>
                <w:szCs w:val="20"/>
                <w:lang w:val="es-ES"/>
              </w:rPr>
              <w:t>emtricitabine</w:t>
            </w:r>
            <w:proofErr w:type="spellEnd"/>
            <w:r>
              <w:rPr>
                <w:rFonts w:cstheme="minorHAnsi"/>
                <w:b/>
                <w:sz w:val="20"/>
                <w:szCs w:val="20"/>
                <w:lang w:val="es-ES"/>
              </w:rPr>
              <w:t xml:space="preserve"> + </w:t>
            </w:r>
            <w:proofErr w:type="spellStart"/>
            <w:r w:rsidR="00427730" w:rsidRPr="00427730">
              <w:rPr>
                <w:rFonts w:cstheme="minorHAnsi"/>
                <w:b/>
                <w:sz w:val="20"/>
                <w:szCs w:val="20"/>
                <w:lang w:val="es-ES"/>
              </w:rPr>
              <w:t>tenofovir</w:t>
            </w:r>
            <w:proofErr w:type="spellEnd"/>
            <w:r w:rsidR="00427730" w:rsidRPr="00427730">
              <w:rPr>
                <w:rFonts w:cstheme="minorHAnsi"/>
                <w:b/>
                <w:sz w:val="20"/>
                <w:szCs w:val="20"/>
                <w:lang w:val="es-ES"/>
              </w:rPr>
              <w:t xml:space="preserve"> </w:t>
            </w:r>
            <w:proofErr w:type="spellStart"/>
            <w:r w:rsidR="00427730" w:rsidRPr="00427730">
              <w:rPr>
                <w:rFonts w:cstheme="minorHAnsi"/>
                <w:b/>
                <w:sz w:val="20"/>
                <w:szCs w:val="20"/>
                <w:lang w:val="es-ES"/>
              </w:rPr>
              <w:t>disoproxil</w:t>
            </w:r>
            <w:proofErr w:type="spellEnd"/>
            <w:r w:rsidR="00427730" w:rsidRPr="00427730">
              <w:rPr>
                <w:rFonts w:cstheme="minorHAnsi"/>
                <w:b/>
                <w:sz w:val="20"/>
                <w:szCs w:val="20"/>
                <w:lang w:val="es-ES"/>
              </w:rPr>
              <w:t xml:space="preserve"> (</w:t>
            </w:r>
            <w:proofErr w:type="spellStart"/>
            <w:r w:rsidR="00427730" w:rsidRPr="00427730">
              <w:rPr>
                <w:rFonts w:cstheme="minorHAnsi"/>
                <w:b/>
                <w:sz w:val="20"/>
                <w:szCs w:val="20"/>
                <w:lang w:val="es-ES"/>
              </w:rPr>
              <w:t>Atripla</w:t>
            </w:r>
            <w:proofErr w:type="spellEnd"/>
            <w:r w:rsidR="00427730" w:rsidRPr="00427730">
              <w:rPr>
                <w:rFonts w:cstheme="minorHAnsi"/>
                <w:b/>
                <w:sz w:val="20"/>
                <w:szCs w:val="20"/>
                <w:lang w:val="es-ES"/>
              </w:rPr>
              <w:t xml:space="preserve">) </w:t>
            </w:r>
          </w:p>
        </w:tc>
        <w:tc>
          <w:tcPr>
            <w:tcW w:w="1675" w:type="pct"/>
            <w:vAlign w:val="center"/>
          </w:tcPr>
          <w:p w14:paraId="7279CBF3" w14:textId="258F175C" w:rsidR="00427730" w:rsidRPr="00427730" w:rsidRDefault="00707642" w:rsidP="001F3116">
            <w:pPr>
              <w:autoSpaceDE w:val="0"/>
              <w:autoSpaceDN w:val="0"/>
              <w:adjustRightInd w:val="0"/>
              <w:spacing w:before="60" w:after="60"/>
              <w:rPr>
                <w:rFonts w:cstheme="minorHAnsi"/>
                <w:sz w:val="20"/>
                <w:szCs w:val="20"/>
                <w:lang w:val="es-ES"/>
              </w:rPr>
            </w:pPr>
            <w:r w:rsidRPr="00707642">
              <w:rPr>
                <w:rFonts w:cstheme="minorHAnsi"/>
                <w:sz w:val="20"/>
                <w:szCs w:val="20"/>
                <w:lang w:val="es-ES"/>
              </w:rPr>
              <w:t>67 (4.4)</w:t>
            </w:r>
          </w:p>
        </w:tc>
      </w:tr>
      <w:tr w:rsidR="00427730" w:rsidRPr="00952DED" w14:paraId="2472DC32" w14:textId="77777777" w:rsidTr="002864CE">
        <w:trPr>
          <w:trHeight w:val="20"/>
        </w:trPr>
        <w:tc>
          <w:tcPr>
            <w:tcW w:w="3325" w:type="pct"/>
            <w:vAlign w:val="center"/>
          </w:tcPr>
          <w:p w14:paraId="0ED618E8" w14:textId="4F5612D8" w:rsidR="00427730" w:rsidRPr="00952DED" w:rsidRDefault="00ED64C0" w:rsidP="001F3116">
            <w:pPr>
              <w:autoSpaceDE w:val="0"/>
              <w:autoSpaceDN w:val="0"/>
              <w:adjustRightInd w:val="0"/>
              <w:spacing w:before="60" w:after="60"/>
              <w:rPr>
                <w:rFonts w:cstheme="minorHAnsi"/>
                <w:b/>
                <w:sz w:val="20"/>
                <w:szCs w:val="20"/>
              </w:rPr>
            </w:pPr>
            <w:r>
              <w:rPr>
                <w:rFonts w:cstheme="minorHAnsi"/>
                <w:b/>
                <w:sz w:val="20"/>
                <w:szCs w:val="20"/>
              </w:rPr>
              <w:t>r</w:t>
            </w:r>
            <w:r w:rsidR="00427730" w:rsidRPr="00952DED">
              <w:rPr>
                <w:rFonts w:cstheme="minorHAnsi"/>
                <w:b/>
                <w:sz w:val="20"/>
                <w:szCs w:val="20"/>
              </w:rPr>
              <w:t>ilpivirine</w:t>
            </w:r>
            <w:r>
              <w:rPr>
                <w:rFonts w:cstheme="minorHAnsi"/>
                <w:b/>
                <w:sz w:val="20"/>
                <w:szCs w:val="20"/>
              </w:rPr>
              <w:t xml:space="preserve"> + </w:t>
            </w:r>
            <w:r w:rsidR="00427730" w:rsidRPr="00952DED">
              <w:rPr>
                <w:rFonts w:cstheme="minorHAnsi"/>
                <w:b/>
                <w:sz w:val="20"/>
                <w:szCs w:val="20"/>
              </w:rPr>
              <w:t>emtricitabine</w:t>
            </w:r>
            <w:r>
              <w:rPr>
                <w:rFonts w:cstheme="minorHAnsi"/>
                <w:b/>
                <w:sz w:val="20"/>
                <w:szCs w:val="20"/>
              </w:rPr>
              <w:t xml:space="preserve"> + </w:t>
            </w:r>
            <w:r w:rsidR="00427730" w:rsidRPr="00952DED">
              <w:rPr>
                <w:rFonts w:cstheme="minorHAnsi"/>
                <w:b/>
                <w:sz w:val="20"/>
                <w:szCs w:val="20"/>
              </w:rPr>
              <w:t>tenofovir (</w:t>
            </w:r>
            <w:proofErr w:type="spellStart"/>
            <w:r w:rsidR="00427730" w:rsidRPr="00952DED">
              <w:rPr>
                <w:rFonts w:cstheme="minorHAnsi"/>
                <w:b/>
                <w:sz w:val="20"/>
                <w:szCs w:val="20"/>
              </w:rPr>
              <w:t>Evipler</w:t>
            </w:r>
            <w:r w:rsidR="001378C7">
              <w:rPr>
                <w:rFonts w:cstheme="minorHAnsi"/>
                <w:b/>
                <w:sz w:val="20"/>
                <w:szCs w:val="20"/>
              </w:rPr>
              <w:t>a</w:t>
            </w:r>
            <w:proofErr w:type="spellEnd"/>
            <w:r w:rsidR="00427730" w:rsidRPr="00952DED">
              <w:rPr>
                <w:rFonts w:cstheme="minorHAnsi"/>
                <w:b/>
                <w:sz w:val="20"/>
                <w:szCs w:val="20"/>
              </w:rPr>
              <w:t xml:space="preserve">) </w:t>
            </w:r>
          </w:p>
        </w:tc>
        <w:tc>
          <w:tcPr>
            <w:tcW w:w="1675" w:type="pct"/>
            <w:vAlign w:val="center"/>
          </w:tcPr>
          <w:p w14:paraId="46862CD6" w14:textId="02D2A694" w:rsidR="00427730" w:rsidRPr="00952DED" w:rsidRDefault="00D75465" w:rsidP="001F3116">
            <w:pPr>
              <w:autoSpaceDE w:val="0"/>
              <w:autoSpaceDN w:val="0"/>
              <w:adjustRightInd w:val="0"/>
              <w:spacing w:before="60" w:after="60"/>
              <w:rPr>
                <w:rFonts w:cstheme="minorHAnsi"/>
                <w:sz w:val="20"/>
                <w:szCs w:val="20"/>
              </w:rPr>
            </w:pPr>
            <w:r w:rsidRPr="00D75465">
              <w:rPr>
                <w:rFonts w:cstheme="minorHAnsi"/>
                <w:sz w:val="20"/>
                <w:szCs w:val="20"/>
              </w:rPr>
              <w:t>41 (2.7)</w:t>
            </w:r>
          </w:p>
        </w:tc>
      </w:tr>
      <w:tr w:rsidR="00427730" w:rsidRPr="008C7EB3" w14:paraId="37D78AB1" w14:textId="77777777" w:rsidTr="002864CE">
        <w:trPr>
          <w:trHeight w:val="20"/>
        </w:trPr>
        <w:tc>
          <w:tcPr>
            <w:tcW w:w="3325" w:type="pct"/>
            <w:vAlign w:val="center"/>
          </w:tcPr>
          <w:p w14:paraId="65762475" w14:textId="45AB164E" w:rsidR="00427730" w:rsidRPr="00427730" w:rsidRDefault="00ED64C0" w:rsidP="001F3116">
            <w:pPr>
              <w:autoSpaceDE w:val="0"/>
              <w:autoSpaceDN w:val="0"/>
              <w:adjustRightInd w:val="0"/>
              <w:spacing w:before="60" w:after="60"/>
              <w:rPr>
                <w:rFonts w:cstheme="minorHAnsi"/>
                <w:b/>
                <w:sz w:val="20"/>
                <w:szCs w:val="20"/>
                <w:lang w:val="es-ES"/>
              </w:rPr>
            </w:pPr>
            <w:proofErr w:type="spellStart"/>
            <w:r>
              <w:rPr>
                <w:rFonts w:cstheme="minorHAnsi"/>
                <w:b/>
                <w:sz w:val="20"/>
                <w:szCs w:val="20"/>
                <w:lang w:val="es-ES"/>
              </w:rPr>
              <w:t>e</w:t>
            </w:r>
            <w:r w:rsidR="00427730" w:rsidRPr="00427730">
              <w:rPr>
                <w:rFonts w:cstheme="minorHAnsi"/>
                <w:b/>
                <w:sz w:val="20"/>
                <w:szCs w:val="20"/>
                <w:lang w:val="es-ES"/>
              </w:rPr>
              <w:t>lvitegravir</w:t>
            </w:r>
            <w:proofErr w:type="spellEnd"/>
            <w:r>
              <w:rPr>
                <w:rFonts w:cstheme="minorHAnsi"/>
                <w:b/>
                <w:sz w:val="20"/>
                <w:szCs w:val="20"/>
                <w:lang w:val="es-ES"/>
              </w:rPr>
              <w:t xml:space="preserve"> + </w:t>
            </w:r>
            <w:proofErr w:type="spellStart"/>
            <w:r w:rsidR="00427730" w:rsidRPr="00427730">
              <w:rPr>
                <w:rFonts w:cstheme="minorHAnsi"/>
                <w:b/>
                <w:sz w:val="20"/>
                <w:szCs w:val="20"/>
                <w:lang w:val="es-ES"/>
              </w:rPr>
              <w:t>cobicistat</w:t>
            </w:r>
            <w:proofErr w:type="spellEnd"/>
            <w:r>
              <w:rPr>
                <w:rFonts w:cstheme="minorHAnsi"/>
                <w:b/>
                <w:sz w:val="20"/>
                <w:szCs w:val="20"/>
                <w:lang w:val="es-ES"/>
              </w:rPr>
              <w:t xml:space="preserve"> + </w:t>
            </w:r>
            <w:proofErr w:type="spellStart"/>
            <w:r w:rsidR="00427730" w:rsidRPr="00427730">
              <w:rPr>
                <w:rFonts w:cstheme="minorHAnsi"/>
                <w:b/>
                <w:sz w:val="20"/>
                <w:szCs w:val="20"/>
                <w:lang w:val="es-ES"/>
              </w:rPr>
              <w:t>tenofovir</w:t>
            </w:r>
            <w:proofErr w:type="spellEnd"/>
            <w:r w:rsidR="00427730" w:rsidRPr="00427730">
              <w:rPr>
                <w:rFonts w:cstheme="minorHAnsi"/>
                <w:b/>
                <w:sz w:val="20"/>
                <w:szCs w:val="20"/>
                <w:lang w:val="es-ES"/>
              </w:rPr>
              <w:t xml:space="preserve"> </w:t>
            </w:r>
            <w:proofErr w:type="spellStart"/>
            <w:r w:rsidR="00427730" w:rsidRPr="00427730">
              <w:rPr>
                <w:rFonts w:cstheme="minorHAnsi"/>
                <w:b/>
                <w:sz w:val="20"/>
                <w:szCs w:val="20"/>
                <w:lang w:val="es-ES"/>
              </w:rPr>
              <w:t>disoproxil</w:t>
            </w:r>
            <w:proofErr w:type="spellEnd"/>
            <w:r>
              <w:rPr>
                <w:rFonts w:cstheme="minorHAnsi"/>
                <w:b/>
                <w:sz w:val="20"/>
                <w:szCs w:val="20"/>
                <w:lang w:val="es-ES"/>
              </w:rPr>
              <w:t xml:space="preserve"> + </w:t>
            </w:r>
            <w:proofErr w:type="spellStart"/>
            <w:r w:rsidR="00427730" w:rsidRPr="00427730">
              <w:rPr>
                <w:rFonts w:cstheme="minorHAnsi"/>
                <w:b/>
                <w:sz w:val="20"/>
                <w:szCs w:val="20"/>
                <w:lang w:val="es-ES"/>
              </w:rPr>
              <w:t>emtricitabine</w:t>
            </w:r>
            <w:proofErr w:type="spellEnd"/>
            <w:r w:rsidR="00427730" w:rsidRPr="00427730">
              <w:rPr>
                <w:rFonts w:cstheme="minorHAnsi"/>
                <w:b/>
                <w:sz w:val="20"/>
                <w:szCs w:val="20"/>
                <w:lang w:val="es-ES"/>
              </w:rPr>
              <w:t xml:space="preserve"> (</w:t>
            </w:r>
            <w:proofErr w:type="spellStart"/>
            <w:r w:rsidR="00427730" w:rsidRPr="00427730">
              <w:rPr>
                <w:rFonts w:cstheme="minorHAnsi"/>
                <w:b/>
                <w:sz w:val="20"/>
                <w:szCs w:val="20"/>
                <w:lang w:val="es-ES"/>
              </w:rPr>
              <w:t>Stribild</w:t>
            </w:r>
            <w:proofErr w:type="spellEnd"/>
            <w:r w:rsidR="00427730" w:rsidRPr="00427730">
              <w:rPr>
                <w:rFonts w:cstheme="minorHAnsi"/>
                <w:b/>
                <w:sz w:val="20"/>
                <w:szCs w:val="20"/>
                <w:lang w:val="es-ES"/>
              </w:rPr>
              <w:t>)</w:t>
            </w:r>
          </w:p>
        </w:tc>
        <w:tc>
          <w:tcPr>
            <w:tcW w:w="1675" w:type="pct"/>
            <w:vAlign w:val="center"/>
          </w:tcPr>
          <w:p w14:paraId="0061827C" w14:textId="32207BCE" w:rsidR="00427730" w:rsidRPr="00427730" w:rsidRDefault="00D75465" w:rsidP="001F3116">
            <w:pPr>
              <w:autoSpaceDE w:val="0"/>
              <w:autoSpaceDN w:val="0"/>
              <w:adjustRightInd w:val="0"/>
              <w:spacing w:before="60" w:after="60"/>
              <w:rPr>
                <w:rFonts w:cstheme="minorHAnsi"/>
                <w:sz w:val="20"/>
                <w:szCs w:val="20"/>
                <w:lang w:val="es-ES"/>
              </w:rPr>
            </w:pPr>
            <w:r w:rsidRPr="00D75465">
              <w:rPr>
                <w:rFonts w:cstheme="minorHAnsi"/>
                <w:sz w:val="20"/>
                <w:szCs w:val="20"/>
                <w:lang w:val="es-ES"/>
              </w:rPr>
              <w:t>18 (1.2)</w:t>
            </w:r>
          </w:p>
        </w:tc>
      </w:tr>
      <w:tr w:rsidR="00427730" w:rsidRPr="00952DED" w14:paraId="1173857E" w14:textId="77777777" w:rsidTr="002864CE">
        <w:trPr>
          <w:trHeight w:val="20"/>
        </w:trPr>
        <w:tc>
          <w:tcPr>
            <w:tcW w:w="3325" w:type="pct"/>
            <w:vAlign w:val="center"/>
          </w:tcPr>
          <w:p w14:paraId="62F07241" w14:textId="055C48E4" w:rsidR="00427730" w:rsidRPr="00952DED" w:rsidRDefault="00ED64C0" w:rsidP="001F3116">
            <w:pPr>
              <w:autoSpaceDE w:val="0"/>
              <w:autoSpaceDN w:val="0"/>
              <w:adjustRightInd w:val="0"/>
              <w:spacing w:before="60" w:after="60"/>
              <w:rPr>
                <w:rFonts w:cstheme="minorHAnsi"/>
                <w:b/>
                <w:sz w:val="20"/>
                <w:szCs w:val="20"/>
              </w:rPr>
            </w:pPr>
            <w:r w:rsidRPr="000B1B63">
              <w:rPr>
                <w:rFonts w:cstheme="minorHAnsi"/>
                <w:b/>
                <w:sz w:val="20"/>
                <w:szCs w:val="20"/>
              </w:rPr>
              <w:t>a</w:t>
            </w:r>
            <w:r w:rsidR="00427730" w:rsidRPr="000B1B63">
              <w:rPr>
                <w:rFonts w:cstheme="minorHAnsi"/>
                <w:b/>
                <w:sz w:val="20"/>
                <w:szCs w:val="20"/>
              </w:rPr>
              <w:t>bacavir</w:t>
            </w:r>
            <w:r w:rsidRPr="000B1B63">
              <w:rPr>
                <w:rFonts w:cstheme="minorHAnsi"/>
                <w:b/>
                <w:sz w:val="20"/>
                <w:szCs w:val="20"/>
              </w:rPr>
              <w:t xml:space="preserve"> + </w:t>
            </w:r>
            <w:r w:rsidR="00427730" w:rsidRPr="000B1B63">
              <w:rPr>
                <w:rFonts w:cstheme="minorHAnsi"/>
                <w:b/>
                <w:sz w:val="20"/>
                <w:szCs w:val="20"/>
              </w:rPr>
              <w:t>dolutegravir</w:t>
            </w:r>
            <w:r w:rsidRPr="000B1B63">
              <w:rPr>
                <w:rFonts w:cstheme="minorHAnsi"/>
                <w:b/>
                <w:sz w:val="20"/>
                <w:szCs w:val="20"/>
              </w:rPr>
              <w:t xml:space="preserve"> + </w:t>
            </w:r>
            <w:r w:rsidR="00427730" w:rsidRPr="000B1B63">
              <w:rPr>
                <w:rFonts w:cstheme="minorHAnsi"/>
                <w:b/>
                <w:sz w:val="20"/>
                <w:szCs w:val="20"/>
              </w:rPr>
              <w:t>lamivudine (</w:t>
            </w:r>
            <w:proofErr w:type="spellStart"/>
            <w:r w:rsidR="00427730" w:rsidRPr="000B1B63">
              <w:rPr>
                <w:rFonts w:cstheme="minorHAnsi"/>
                <w:b/>
                <w:sz w:val="20"/>
                <w:szCs w:val="20"/>
              </w:rPr>
              <w:t>Triumeq</w:t>
            </w:r>
            <w:proofErr w:type="spellEnd"/>
            <w:r w:rsidR="00427730" w:rsidRPr="000B1B63">
              <w:rPr>
                <w:rFonts w:cstheme="minorHAnsi"/>
                <w:b/>
                <w:sz w:val="20"/>
                <w:szCs w:val="20"/>
              </w:rPr>
              <w:t>)</w:t>
            </w:r>
            <w:r w:rsidR="00427730" w:rsidRPr="00952DED">
              <w:rPr>
                <w:rFonts w:cstheme="minorHAnsi"/>
                <w:b/>
                <w:sz w:val="20"/>
                <w:szCs w:val="20"/>
              </w:rPr>
              <w:t xml:space="preserve"> </w:t>
            </w:r>
          </w:p>
        </w:tc>
        <w:tc>
          <w:tcPr>
            <w:tcW w:w="1675" w:type="pct"/>
            <w:vAlign w:val="center"/>
          </w:tcPr>
          <w:p w14:paraId="3D5C1A8E" w14:textId="73CFB64B" w:rsidR="00427730" w:rsidRPr="00952DED" w:rsidRDefault="00495D3D" w:rsidP="001F3116">
            <w:pPr>
              <w:autoSpaceDE w:val="0"/>
              <w:autoSpaceDN w:val="0"/>
              <w:adjustRightInd w:val="0"/>
              <w:spacing w:before="60" w:after="60"/>
              <w:rPr>
                <w:rFonts w:cstheme="minorHAnsi"/>
                <w:sz w:val="20"/>
                <w:szCs w:val="20"/>
              </w:rPr>
            </w:pPr>
            <w:r w:rsidRPr="00495D3D">
              <w:rPr>
                <w:rFonts w:cstheme="minorHAnsi"/>
                <w:sz w:val="20"/>
                <w:szCs w:val="20"/>
              </w:rPr>
              <w:t>336 (22.1)</w:t>
            </w:r>
          </w:p>
        </w:tc>
      </w:tr>
      <w:tr w:rsidR="00427730" w:rsidRPr="00952DED" w14:paraId="3200FF04" w14:textId="77777777" w:rsidTr="002864CE">
        <w:trPr>
          <w:trHeight w:val="20"/>
        </w:trPr>
        <w:tc>
          <w:tcPr>
            <w:tcW w:w="3325" w:type="pct"/>
            <w:vAlign w:val="center"/>
          </w:tcPr>
          <w:p w14:paraId="17D4E654" w14:textId="0119B435" w:rsidR="00427730" w:rsidRPr="00952DED" w:rsidRDefault="00ED64C0" w:rsidP="001F3116">
            <w:pPr>
              <w:autoSpaceDE w:val="0"/>
              <w:autoSpaceDN w:val="0"/>
              <w:adjustRightInd w:val="0"/>
              <w:spacing w:before="60" w:after="60"/>
              <w:rPr>
                <w:rFonts w:cstheme="minorHAnsi"/>
                <w:b/>
                <w:sz w:val="20"/>
                <w:szCs w:val="20"/>
              </w:rPr>
            </w:pPr>
            <w:bookmarkStart w:id="1" w:name="_Hlk79653181"/>
            <w:r>
              <w:rPr>
                <w:rFonts w:cstheme="minorHAnsi"/>
                <w:b/>
                <w:sz w:val="20"/>
                <w:szCs w:val="20"/>
              </w:rPr>
              <w:t>e</w:t>
            </w:r>
            <w:r w:rsidR="00427730" w:rsidRPr="00952DED">
              <w:rPr>
                <w:rFonts w:cstheme="minorHAnsi"/>
                <w:b/>
                <w:sz w:val="20"/>
                <w:szCs w:val="20"/>
              </w:rPr>
              <w:t>mtricitabine</w:t>
            </w:r>
            <w:r>
              <w:rPr>
                <w:rFonts w:cstheme="minorHAnsi"/>
                <w:b/>
                <w:sz w:val="20"/>
                <w:szCs w:val="20"/>
              </w:rPr>
              <w:t xml:space="preserve"> + </w:t>
            </w:r>
            <w:r w:rsidR="00427730" w:rsidRPr="00952DED">
              <w:rPr>
                <w:rFonts w:cstheme="minorHAnsi"/>
                <w:b/>
                <w:sz w:val="20"/>
                <w:szCs w:val="20"/>
              </w:rPr>
              <w:t>rilpivirine</w:t>
            </w:r>
            <w:r>
              <w:rPr>
                <w:rFonts w:cstheme="minorHAnsi"/>
                <w:b/>
                <w:sz w:val="20"/>
                <w:szCs w:val="20"/>
              </w:rPr>
              <w:t xml:space="preserve"> + </w:t>
            </w:r>
            <w:r w:rsidR="00427730" w:rsidRPr="00952DED">
              <w:rPr>
                <w:rFonts w:cstheme="minorHAnsi"/>
                <w:b/>
                <w:sz w:val="20"/>
                <w:szCs w:val="20"/>
              </w:rPr>
              <w:t>tenofovir alafenamide (</w:t>
            </w:r>
            <w:proofErr w:type="spellStart"/>
            <w:r w:rsidR="00427730" w:rsidRPr="00952DED">
              <w:rPr>
                <w:rFonts w:cstheme="minorHAnsi"/>
                <w:b/>
                <w:sz w:val="20"/>
                <w:szCs w:val="20"/>
              </w:rPr>
              <w:t>Odefsey</w:t>
            </w:r>
            <w:proofErr w:type="spellEnd"/>
            <w:r w:rsidR="00427730" w:rsidRPr="00952DED">
              <w:rPr>
                <w:rFonts w:cstheme="minorHAnsi"/>
                <w:b/>
                <w:sz w:val="20"/>
                <w:szCs w:val="20"/>
              </w:rPr>
              <w:t xml:space="preserve">) </w:t>
            </w:r>
            <w:bookmarkEnd w:id="1"/>
          </w:p>
        </w:tc>
        <w:tc>
          <w:tcPr>
            <w:tcW w:w="1675" w:type="pct"/>
            <w:vAlign w:val="center"/>
          </w:tcPr>
          <w:p w14:paraId="5D94D6CB" w14:textId="167A45A9" w:rsidR="00427730" w:rsidRPr="00952DED" w:rsidRDefault="00D75465" w:rsidP="001F3116">
            <w:pPr>
              <w:autoSpaceDE w:val="0"/>
              <w:autoSpaceDN w:val="0"/>
              <w:adjustRightInd w:val="0"/>
              <w:spacing w:before="60" w:after="60"/>
              <w:rPr>
                <w:rFonts w:cstheme="minorHAnsi"/>
                <w:sz w:val="20"/>
                <w:szCs w:val="20"/>
              </w:rPr>
            </w:pPr>
            <w:r w:rsidRPr="00D75465">
              <w:rPr>
                <w:rFonts w:cstheme="minorHAnsi"/>
                <w:sz w:val="20"/>
                <w:szCs w:val="20"/>
              </w:rPr>
              <w:t>135 (8.9)</w:t>
            </w:r>
          </w:p>
        </w:tc>
      </w:tr>
      <w:tr w:rsidR="00427730" w:rsidRPr="008C7EB3" w14:paraId="4E726129" w14:textId="77777777" w:rsidTr="002864CE">
        <w:trPr>
          <w:trHeight w:val="20"/>
        </w:trPr>
        <w:tc>
          <w:tcPr>
            <w:tcW w:w="3325" w:type="pct"/>
            <w:vAlign w:val="center"/>
          </w:tcPr>
          <w:p w14:paraId="6B440B0D" w14:textId="2474A6B9" w:rsidR="00427730" w:rsidRPr="00427730" w:rsidRDefault="00ED64C0" w:rsidP="001F3116">
            <w:pPr>
              <w:autoSpaceDE w:val="0"/>
              <w:autoSpaceDN w:val="0"/>
              <w:adjustRightInd w:val="0"/>
              <w:spacing w:before="60" w:after="60"/>
              <w:rPr>
                <w:rFonts w:cstheme="minorHAnsi"/>
                <w:b/>
                <w:sz w:val="20"/>
                <w:szCs w:val="20"/>
                <w:lang w:val="es-ES"/>
              </w:rPr>
            </w:pPr>
            <w:proofErr w:type="spellStart"/>
            <w:r>
              <w:rPr>
                <w:rFonts w:cstheme="minorHAnsi"/>
                <w:b/>
                <w:sz w:val="20"/>
                <w:szCs w:val="20"/>
                <w:lang w:val="es-ES"/>
              </w:rPr>
              <w:t>e</w:t>
            </w:r>
            <w:r w:rsidR="00427730" w:rsidRPr="00427730">
              <w:rPr>
                <w:rFonts w:cstheme="minorHAnsi"/>
                <w:b/>
                <w:sz w:val="20"/>
                <w:szCs w:val="20"/>
                <w:lang w:val="es-ES"/>
              </w:rPr>
              <w:t>lvitegravir</w:t>
            </w:r>
            <w:proofErr w:type="spellEnd"/>
            <w:r>
              <w:rPr>
                <w:rFonts w:cstheme="minorHAnsi"/>
                <w:b/>
                <w:sz w:val="20"/>
                <w:szCs w:val="20"/>
                <w:lang w:val="es-ES"/>
              </w:rPr>
              <w:t xml:space="preserve"> + </w:t>
            </w:r>
            <w:proofErr w:type="spellStart"/>
            <w:r w:rsidR="00427730" w:rsidRPr="00427730">
              <w:rPr>
                <w:rFonts w:cstheme="minorHAnsi"/>
                <w:b/>
                <w:sz w:val="20"/>
                <w:szCs w:val="20"/>
                <w:lang w:val="es-ES"/>
              </w:rPr>
              <w:t>cobicistat</w:t>
            </w:r>
            <w:proofErr w:type="spellEnd"/>
            <w:r>
              <w:rPr>
                <w:rFonts w:cstheme="minorHAnsi"/>
                <w:b/>
                <w:sz w:val="20"/>
                <w:szCs w:val="20"/>
                <w:lang w:val="es-ES"/>
              </w:rPr>
              <w:t xml:space="preserve"> + </w:t>
            </w:r>
            <w:proofErr w:type="spellStart"/>
            <w:r w:rsidR="00427730" w:rsidRPr="00427730">
              <w:rPr>
                <w:rFonts w:cstheme="minorHAnsi"/>
                <w:b/>
                <w:sz w:val="20"/>
                <w:szCs w:val="20"/>
                <w:lang w:val="es-ES"/>
              </w:rPr>
              <w:t>emtricitabine</w:t>
            </w:r>
            <w:proofErr w:type="spellEnd"/>
            <w:r>
              <w:rPr>
                <w:rFonts w:cstheme="minorHAnsi"/>
                <w:b/>
                <w:sz w:val="20"/>
                <w:szCs w:val="20"/>
                <w:lang w:val="es-ES"/>
              </w:rPr>
              <w:t xml:space="preserve"> + </w:t>
            </w:r>
            <w:proofErr w:type="spellStart"/>
            <w:r w:rsidR="00427730" w:rsidRPr="00427730">
              <w:rPr>
                <w:rFonts w:cstheme="minorHAnsi"/>
                <w:b/>
                <w:sz w:val="20"/>
                <w:szCs w:val="20"/>
                <w:lang w:val="es-ES"/>
              </w:rPr>
              <w:t>tenofovir</w:t>
            </w:r>
            <w:proofErr w:type="spellEnd"/>
            <w:r w:rsidR="00427730" w:rsidRPr="00427730">
              <w:rPr>
                <w:rFonts w:cstheme="minorHAnsi"/>
                <w:b/>
                <w:sz w:val="20"/>
                <w:szCs w:val="20"/>
                <w:lang w:val="es-ES"/>
              </w:rPr>
              <w:t xml:space="preserve"> </w:t>
            </w:r>
            <w:proofErr w:type="spellStart"/>
            <w:r w:rsidR="00427730" w:rsidRPr="00427730">
              <w:rPr>
                <w:rFonts w:cstheme="minorHAnsi"/>
                <w:b/>
                <w:sz w:val="20"/>
                <w:szCs w:val="20"/>
                <w:lang w:val="es-ES"/>
              </w:rPr>
              <w:t>alafenamide</w:t>
            </w:r>
            <w:proofErr w:type="spellEnd"/>
            <w:r w:rsidR="00427730" w:rsidRPr="00427730">
              <w:rPr>
                <w:rFonts w:cstheme="minorHAnsi"/>
                <w:b/>
                <w:sz w:val="20"/>
                <w:szCs w:val="20"/>
                <w:lang w:val="es-ES"/>
              </w:rPr>
              <w:t xml:space="preserve"> (</w:t>
            </w:r>
            <w:proofErr w:type="spellStart"/>
            <w:r w:rsidR="00427730" w:rsidRPr="00427730">
              <w:rPr>
                <w:rFonts w:cstheme="minorHAnsi"/>
                <w:b/>
                <w:sz w:val="20"/>
                <w:szCs w:val="20"/>
                <w:lang w:val="es-ES"/>
              </w:rPr>
              <w:t>Genvoya</w:t>
            </w:r>
            <w:proofErr w:type="spellEnd"/>
            <w:r w:rsidR="00427730" w:rsidRPr="00427730">
              <w:rPr>
                <w:rFonts w:cstheme="minorHAnsi"/>
                <w:b/>
                <w:sz w:val="20"/>
                <w:szCs w:val="20"/>
                <w:lang w:val="es-ES"/>
              </w:rPr>
              <w:t>)</w:t>
            </w:r>
          </w:p>
        </w:tc>
        <w:tc>
          <w:tcPr>
            <w:tcW w:w="1675" w:type="pct"/>
            <w:vAlign w:val="center"/>
          </w:tcPr>
          <w:p w14:paraId="2C68E051" w14:textId="45B01625" w:rsidR="00427730" w:rsidRPr="00427730" w:rsidRDefault="00D75465" w:rsidP="001F3116">
            <w:pPr>
              <w:autoSpaceDE w:val="0"/>
              <w:autoSpaceDN w:val="0"/>
              <w:adjustRightInd w:val="0"/>
              <w:spacing w:before="60" w:after="60"/>
              <w:rPr>
                <w:rFonts w:cstheme="minorHAnsi"/>
                <w:sz w:val="20"/>
                <w:szCs w:val="20"/>
                <w:lang w:val="es-ES"/>
              </w:rPr>
            </w:pPr>
            <w:r w:rsidRPr="00D75465">
              <w:rPr>
                <w:rFonts w:cstheme="minorHAnsi"/>
                <w:sz w:val="20"/>
                <w:szCs w:val="20"/>
                <w:lang w:val="es-ES"/>
              </w:rPr>
              <w:t>354 (23.3)</w:t>
            </w:r>
          </w:p>
        </w:tc>
      </w:tr>
      <w:tr w:rsidR="00427730" w:rsidRPr="008C7EB3" w14:paraId="71D27878" w14:textId="77777777" w:rsidTr="002864CE">
        <w:trPr>
          <w:trHeight w:val="20"/>
        </w:trPr>
        <w:tc>
          <w:tcPr>
            <w:tcW w:w="3325" w:type="pct"/>
            <w:vAlign w:val="center"/>
          </w:tcPr>
          <w:p w14:paraId="150644A7" w14:textId="12221051" w:rsidR="00427730" w:rsidRPr="00427730" w:rsidRDefault="00ED64C0" w:rsidP="001F3116">
            <w:pPr>
              <w:autoSpaceDE w:val="0"/>
              <w:autoSpaceDN w:val="0"/>
              <w:adjustRightInd w:val="0"/>
              <w:spacing w:before="60" w:after="60"/>
              <w:rPr>
                <w:rFonts w:cstheme="minorHAnsi"/>
                <w:b/>
                <w:sz w:val="20"/>
                <w:szCs w:val="20"/>
                <w:lang w:val="es-ES"/>
              </w:rPr>
            </w:pPr>
            <w:proofErr w:type="spellStart"/>
            <w:r w:rsidRPr="000B1B63">
              <w:rPr>
                <w:rFonts w:cstheme="minorHAnsi"/>
                <w:b/>
                <w:sz w:val="20"/>
                <w:szCs w:val="20"/>
                <w:lang w:val="es-ES"/>
              </w:rPr>
              <w:t>b</w:t>
            </w:r>
            <w:r w:rsidR="00427730" w:rsidRPr="000B1B63">
              <w:rPr>
                <w:rFonts w:cstheme="minorHAnsi"/>
                <w:b/>
                <w:sz w:val="20"/>
                <w:szCs w:val="20"/>
                <w:lang w:val="es-ES"/>
              </w:rPr>
              <w:t>ictegravir</w:t>
            </w:r>
            <w:proofErr w:type="spellEnd"/>
            <w:r w:rsidR="00427730" w:rsidRPr="000B1B63">
              <w:rPr>
                <w:rFonts w:cstheme="minorHAnsi"/>
                <w:b/>
                <w:sz w:val="20"/>
                <w:szCs w:val="20"/>
                <w:lang w:val="es-ES"/>
              </w:rPr>
              <w:t xml:space="preserve"> </w:t>
            </w:r>
            <w:r w:rsidRPr="000B1B63">
              <w:rPr>
                <w:rFonts w:cstheme="minorHAnsi"/>
                <w:b/>
                <w:sz w:val="20"/>
                <w:szCs w:val="20"/>
                <w:lang w:val="es-ES"/>
              </w:rPr>
              <w:t>+</w:t>
            </w:r>
            <w:r w:rsidR="00427730" w:rsidRPr="000B1B63">
              <w:rPr>
                <w:rFonts w:cstheme="minorHAnsi"/>
                <w:b/>
                <w:sz w:val="20"/>
                <w:szCs w:val="20"/>
                <w:lang w:val="es-ES"/>
              </w:rPr>
              <w:t xml:space="preserve"> </w:t>
            </w:r>
            <w:proofErr w:type="spellStart"/>
            <w:r w:rsidR="00427730" w:rsidRPr="000B1B63">
              <w:rPr>
                <w:rFonts w:cstheme="minorHAnsi"/>
                <w:b/>
                <w:sz w:val="20"/>
                <w:szCs w:val="20"/>
                <w:lang w:val="es-ES"/>
              </w:rPr>
              <w:t>tenofovir</w:t>
            </w:r>
            <w:proofErr w:type="spellEnd"/>
            <w:r w:rsidR="00427730" w:rsidRPr="000B1B63">
              <w:rPr>
                <w:rFonts w:cstheme="minorHAnsi"/>
                <w:b/>
                <w:sz w:val="20"/>
                <w:szCs w:val="20"/>
                <w:lang w:val="es-ES"/>
              </w:rPr>
              <w:t xml:space="preserve"> </w:t>
            </w:r>
            <w:proofErr w:type="spellStart"/>
            <w:r w:rsidR="00427730" w:rsidRPr="000B1B63">
              <w:rPr>
                <w:rFonts w:cstheme="minorHAnsi"/>
                <w:b/>
                <w:sz w:val="20"/>
                <w:szCs w:val="20"/>
                <w:lang w:val="es-ES"/>
              </w:rPr>
              <w:t>alafenamide</w:t>
            </w:r>
            <w:proofErr w:type="spellEnd"/>
            <w:r w:rsidR="00427730" w:rsidRPr="000B1B63">
              <w:rPr>
                <w:rFonts w:cstheme="minorHAnsi"/>
                <w:b/>
                <w:sz w:val="20"/>
                <w:szCs w:val="20"/>
                <w:lang w:val="es-ES"/>
              </w:rPr>
              <w:t xml:space="preserve"> </w:t>
            </w:r>
            <w:r w:rsidRPr="000B1B63">
              <w:rPr>
                <w:rFonts w:cstheme="minorHAnsi"/>
                <w:b/>
                <w:sz w:val="20"/>
                <w:szCs w:val="20"/>
                <w:lang w:val="es-ES"/>
              </w:rPr>
              <w:t>+</w:t>
            </w:r>
            <w:r w:rsidR="00427730" w:rsidRPr="000B1B63">
              <w:rPr>
                <w:rFonts w:cstheme="minorHAnsi"/>
                <w:b/>
                <w:sz w:val="20"/>
                <w:szCs w:val="20"/>
                <w:lang w:val="es-ES"/>
              </w:rPr>
              <w:t xml:space="preserve"> </w:t>
            </w:r>
            <w:proofErr w:type="spellStart"/>
            <w:r w:rsidR="00427730" w:rsidRPr="000B1B63">
              <w:rPr>
                <w:rFonts w:cstheme="minorHAnsi"/>
                <w:b/>
                <w:sz w:val="20"/>
                <w:szCs w:val="20"/>
                <w:lang w:val="es-ES"/>
              </w:rPr>
              <w:t>emtricitabine</w:t>
            </w:r>
            <w:proofErr w:type="spellEnd"/>
            <w:r w:rsidR="00427730" w:rsidRPr="000B1B63">
              <w:rPr>
                <w:rFonts w:cstheme="minorHAnsi"/>
                <w:b/>
                <w:sz w:val="20"/>
                <w:szCs w:val="20"/>
                <w:lang w:val="es-ES"/>
              </w:rPr>
              <w:t xml:space="preserve"> (</w:t>
            </w:r>
            <w:proofErr w:type="spellStart"/>
            <w:r w:rsidR="00427730" w:rsidRPr="000B1B63">
              <w:rPr>
                <w:rFonts w:cstheme="minorHAnsi"/>
                <w:b/>
                <w:sz w:val="20"/>
                <w:szCs w:val="20"/>
                <w:lang w:val="es-ES"/>
              </w:rPr>
              <w:t>Biktarvy</w:t>
            </w:r>
            <w:proofErr w:type="spellEnd"/>
            <w:r w:rsidR="00427730" w:rsidRPr="000B1B63">
              <w:rPr>
                <w:rFonts w:cstheme="minorHAnsi"/>
                <w:b/>
                <w:sz w:val="20"/>
                <w:szCs w:val="20"/>
                <w:lang w:val="es-ES"/>
              </w:rPr>
              <w:t>)</w:t>
            </w:r>
          </w:p>
        </w:tc>
        <w:tc>
          <w:tcPr>
            <w:tcW w:w="1675" w:type="pct"/>
            <w:vAlign w:val="center"/>
          </w:tcPr>
          <w:p w14:paraId="2C847D95" w14:textId="514CE632" w:rsidR="00427730" w:rsidRPr="00427730" w:rsidRDefault="008F2CFC" w:rsidP="001F3116">
            <w:pPr>
              <w:autoSpaceDE w:val="0"/>
              <w:autoSpaceDN w:val="0"/>
              <w:adjustRightInd w:val="0"/>
              <w:spacing w:before="60" w:after="60"/>
              <w:rPr>
                <w:rFonts w:cstheme="minorHAnsi"/>
                <w:sz w:val="20"/>
                <w:szCs w:val="20"/>
                <w:lang w:val="es-ES"/>
              </w:rPr>
            </w:pPr>
            <w:r w:rsidRPr="008F2CFC">
              <w:rPr>
                <w:rFonts w:cstheme="minorHAnsi"/>
                <w:sz w:val="20"/>
                <w:szCs w:val="20"/>
                <w:lang w:val="es-ES"/>
              </w:rPr>
              <w:t>471 (31.0)</w:t>
            </w:r>
          </w:p>
        </w:tc>
      </w:tr>
      <w:tr w:rsidR="00427730" w:rsidRPr="00952DED" w14:paraId="65534BC9" w14:textId="77777777" w:rsidTr="002864CE">
        <w:trPr>
          <w:trHeight w:val="20"/>
        </w:trPr>
        <w:tc>
          <w:tcPr>
            <w:tcW w:w="3325" w:type="pct"/>
            <w:vAlign w:val="center"/>
          </w:tcPr>
          <w:p w14:paraId="32648E67" w14:textId="76F1ED4B" w:rsidR="00427730" w:rsidRPr="00952DED" w:rsidRDefault="00ED64C0" w:rsidP="001F3116">
            <w:pPr>
              <w:autoSpaceDE w:val="0"/>
              <w:autoSpaceDN w:val="0"/>
              <w:adjustRightInd w:val="0"/>
              <w:spacing w:before="60" w:after="60"/>
              <w:rPr>
                <w:rFonts w:cstheme="minorHAnsi"/>
                <w:b/>
                <w:sz w:val="20"/>
                <w:szCs w:val="20"/>
              </w:rPr>
            </w:pPr>
            <w:r>
              <w:rPr>
                <w:rFonts w:cstheme="minorHAnsi"/>
                <w:b/>
                <w:sz w:val="20"/>
                <w:szCs w:val="20"/>
              </w:rPr>
              <w:t>d</w:t>
            </w:r>
            <w:r w:rsidR="00427730" w:rsidRPr="00952DED">
              <w:rPr>
                <w:rFonts w:cstheme="minorHAnsi"/>
                <w:b/>
                <w:sz w:val="20"/>
                <w:szCs w:val="20"/>
              </w:rPr>
              <w:t xml:space="preserve">olutegravir </w:t>
            </w:r>
            <w:r>
              <w:rPr>
                <w:rFonts w:cstheme="minorHAnsi"/>
                <w:b/>
                <w:sz w:val="20"/>
                <w:szCs w:val="20"/>
              </w:rPr>
              <w:t>+</w:t>
            </w:r>
            <w:r w:rsidR="00427730" w:rsidRPr="00952DED">
              <w:rPr>
                <w:rFonts w:cstheme="minorHAnsi"/>
                <w:b/>
                <w:sz w:val="20"/>
                <w:szCs w:val="20"/>
              </w:rPr>
              <w:t xml:space="preserve"> </w:t>
            </w:r>
            <w:proofErr w:type="spellStart"/>
            <w:r w:rsidR="00427730" w:rsidRPr="00952DED">
              <w:rPr>
                <w:rFonts w:cstheme="minorHAnsi"/>
                <w:b/>
                <w:sz w:val="20"/>
                <w:szCs w:val="20"/>
              </w:rPr>
              <w:t>rilpivirine</w:t>
            </w:r>
            <w:proofErr w:type="spellEnd"/>
            <w:r w:rsidR="00427730" w:rsidRPr="00952DED">
              <w:rPr>
                <w:rFonts w:cstheme="minorHAnsi"/>
                <w:b/>
                <w:sz w:val="20"/>
                <w:szCs w:val="20"/>
              </w:rPr>
              <w:t xml:space="preserve"> (</w:t>
            </w:r>
            <w:proofErr w:type="spellStart"/>
            <w:r w:rsidR="00427730" w:rsidRPr="00952DED">
              <w:rPr>
                <w:rFonts w:cstheme="minorHAnsi"/>
                <w:b/>
                <w:sz w:val="20"/>
                <w:szCs w:val="20"/>
              </w:rPr>
              <w:t>Juluca</w:t>
            </w:r>
            <w:proofErr w:type="spellEnd"/>
            <w:r w:rsidR="00427730" w:rsidRPr="00952DED">
              <w:rPr>
                <w:rFonts w:cstheme="minorHAnsi"/>
                <w:b/>
                <w:sz w:val="20"/>
                <w:szCs w:val="20"/>
              </w:rPr>
              <w:t>)</w:t>
            </w:r>
          </w:p>
        </w:tc>
        <w:tc>
          <w:tcPr>
            <w:tcW w:w="1675" w:type="pct"/>
            <w:vAlign w:val="center"/>
          </w:tcPr>
          <w:p w14:paraId="56B7D42B" w14:textId="53BA9969" w:rsidR="00427730" w:rsidRPr="00952DED" w:rsidRDefault="008F2CFC" w:rsidP="001F3116">
            <w:pPr>
              <w:autoSpaceDE w:val="0"/>
              <w:autoSpaceDN w:val="0"/>
              <w:adjustRightInd w:val="0"/>
              <w:spacing w:before="60" w:after="60"/>
              <w:rPr>
                <w:rFonts w:cstheme="minorHAnsi"/>
                <w:sz w:val="20"/>
                <w:szCs w:val="20"/>
              </w:rPr>
            </w:pPr>
            <w:r w:rsidRPr="008F2CFC">
              <w:rPr>
                <w:rFonts w:cstheme="minorHAnsi"/>
                <w:sz w:val="20"/>
                <w:szCs w:val="20"/>
              </w:rPr>
              <w:t>40 (2.6)</w:t>
            </w:r>
          </w:p>
        </w:tc>
      </w:tr>
      <w:tr w:rsidR="00427730" w:rsidRPr="008C7EB3" w14:paraId="4B889EF8" w14:textId="77777777" w:rsidTr="002864CE">
        <w:trPr>
          <w:trHeight w:val="20"/>
        </w:trPr>
        <w:tc>
          <w:tcPr>
            <w:tcW w:w="3325" w:type="pct"/>
            <w:vAlign w:val="center"/>
          </w:tcPr>
          <w:p w14:paraId="478F59E0" w14:textId="5BC16FBC" w:rsidR="00427730" w:rsidRPr="00427730" w:rsidRDefault="00ED64C0" w:rsidP="001F3116">
            <w:pPr>
              <w:autoSpaceDE w:val="0"/>
              <w:autoSpaceDN w:val="0"/>
              <w:adjustRightInd w:val="0"/>
              <w:spacing w:before="60" w:after="60"/>
              <w:rPr>
                <w:rFonts w:cstheme="minorHAnsi"/>
                <w:b/>
                <w:sz w:val="20"/>
                <w:szCs w:val="20"/>
                <w:lang w:val="es-ES"/>
              </w:rPr>
            </w:pPr>
            <w:proofErr w:type="spellStart"/>
            <w:r>
              <w:rPr>
                <w:rFonts w:cstheme="minorHAnsi"/>
                <w:b/>
                <w:sz w:val="20"/>
                <w:szCs w:val="20"/>
                <w:lang w:val="es-ES"/>
              </w:rPr>
              <w:t>d</w:t>
            </w:r>
            <w:r w:rsidR="00427730" w:rsidRPr="00427730">
              <w:rPr>
                <w:rFonts w:cstheme="minorHAnsi"/>
                <w:b/>
                <w:sz w:val="20"/>
                <w:szCs w:val="20"/>
                <w:lang w:val="es-ES"/>
              </w:rPr>
              <w:t>arunavir</w:t>
            </w:r>
            <w:proofErr w:type="spellEnd"/>
            <w:r>
              <w:rPr>
                <w:rFonts w:cstheme="minorHAnsi"/>
                <w:b/>
                <w:sz w:val="20"/>
                <w:szCs w:val="20"/>
                <w:lang w:val="es-ES"/>
              </w:rPr>
              <w:t xml:space="preserve"> + </w:t>
            </w:r>
            <w:proofErr w:type="spellStart"/>
            <w:r w:rsidR="00427730" w:rsidRPr="00427730">
              <w:rPr>
                <w:rFonts w:cstheme="minorHAnsi"/>
                <w:b/>
                <w:sz w:val="20"/>
                <w:szCs w:val="20"/>
                <w:lang w:val="es-ES"/>
              </w:rPr>
              <w:t>cobi</w:t>
            </w:r>
            <w:r>
              <w:rPr>
                <w:rFonts w:cstheme="minorHAnsi"/>
                <w:b/>
                <w:sz w:val="20"/>
                <w:szCs w:val="20"/>
                <w:lang w:val="es-ES"/>
              </w:rPr>
              <w:t>ci</w:t>
            </w:r>
            <w:r w:rsidR="00427730" w:rsidRPr="00427730">
              <w:rPr>
                <w:rFonts w:cstheme="minorHAnsi"/>
                <w:b/>
                <w:sz w:val="20"/>
                <w:szCs w:val="20"/>
                <w:lang w:val="es-ES"/>
              </w:rPr>
              <w:t>stat</w:t>
            </w:r>
            <w:proofErr w:type="spellEnd"/>
            <w:r>
              <w:rPr>
                <w:rFonts w:cstheme="minorHAnsi"/>
                <w:b/>
                <w:sz w:val="20"/>
                <w:szCs w:val="20"/>
                <w:lang w:val="es-ES"/>
              </w:rPr>
              <w:t xml:space="preserve"> +</w:t>
            </w:r>
            <w:r w:rsidR="00427730" w:rsidRPr="00427730">
              <w:rPr>
                <w:rFonts w:cstheme="minorHAnsi"/>
                <w:b/>
                <w:sz w:val="20"/>
                <w:szCs w:val="20"/>
                <w:lang w:val="es-ES"/>
              </w:rPr>
              <w:t xml:space="preserve"> </w:t>
            </w:r>
            <w:proofErr w:type="spellStart"/>
            <w:r w:rsidR="00427730" w:rsidRPr="00427730">
              <w:rPr>
                <w:rFonts w:cstheme="minorHAnsi"/>
                <w:b/>
                <w:sz w:val="20"/>
                <w:szCs w:val="20"/>
                <w:lang w:val="es-ES"/>
              </w:rPr>
              <w:t>emtricitabine</w:t>
            </w:r>
            <w:proofErr w:type="spellEnd"/>
            <w:r>
              <w:rPr>
                <w:rFonts w:cstheme="minorHAnsi"/>
                <w:b/>
                <w:sz w:val="20"/>
                <w:szCs w:val="20"/>
                <w:lang w:val="es-ES"/>
              </w:rPr>
              <w:t xml:space="preserve"> + </w:t>
            </w:r>
            <w:proofErr w:type="spellStart"/>
            <w:r w:rsidR="00427730" w:rsidRPr="00427730">
              <w:rPr>
                <w:rFonts w:cstheme="minorHAnsi"/>
                <w:b/>
                <w:sz w:val="20"/>
                <w:szCs w:val="20"/>
                <w:lang w:val="es-ES"/>
              </w:rPr>
              <w:t>tenofovir</w:t>
            </w:r>
            <w:proofErr w:type="spellEnd"/>
            <w:r w:rsidR="00427730" w:rsidRPr="00427730">
              <w:rPr>
                <w:rFonts w:cstheme="minorHAnsi"/>
                <w:b/>
                <w:sz w:val="20"/>
                <w:szCs w:val="20"/>
                <w:lang w:val="es-ES"/>
              </w:rPr>
              <w:t xml:space="preserve"> </w:t>
            </w:r>
            <w:proofErr w:type="spellStart"/>
            <w:r w:rsidR="00427730" w:rsidRPr="00427730">
              <w:rPr>
                <w:rFonts w:cstheme="minorHAnsi"/>
                <w:b/>
                <w:sz w:val="20"/>
                <w:szCs w:val="20"/>
                <w:lang w:val="es-ES"/>
              </w:rPr>
              <w:t>alafenamide</w:t>
            </w:r>
            <w:proofErr w:type="spellEnd"/>
            <w:r w:rsidR="00427730" w:rsidRPr="00427730">
              <w:rPr>
                <w:rFonts w:cstheme="minorHAnsi"/>
                <w:b/>
                <w:sz w:val="20"/>
                <w:szCs w:val="20"/>
                <w:lang w:val="es-ES"/>
              </w:rPr>
              <w:t xml:space="preserve"> (</w:t>
            </w:r>
            <w:proofErr w:type="spellStart"/>
            <w:r w:rsidR="00427730" w:rsidRPr="00427730">
              <w:rPr>
                <w:rFonts w:cstheme="minorHAnsi"/>
                <w:b/>
                <w:sz w:val="20"/>
                <w:szCs w:val="20"/>
                <w:lang w:val="es-ES"/>
              </w:rPr>
              <w:t>Symtuza</w:t>
            </w:r>
            <w:proofErr w:type="spellEnd"/>
            <w:r w:rsidR="00427730" w:rsidRPr="00427730">
              <w:rPr>
                <w:rFonts w:cstheme="minorHAnsi"/>
                <w:b/>
                <w:sz w:val="20"/>
                <w:szCs w:val="20"/>
                <w:lang w:val="es-ES"/>
              </w:rPr>
              <w:t>)</w:t>
            </w:r>
          </w:p>
        </w:tc>
        <w:tc>
          <w:tcPr>
            <w:tcW w:w="1675" w:type="pct"/>
            <w:vAlign w:val="center"/>
          </w:tcPr>
          <w:p w14:paraId="6177C9E1" w14:textId="32693CCA" w:rsidR="00427730" w:rsidRPr="00427730" w:rsidRDefault="008F2CFC" w:rsidP="001F3116">
            <w:pPr>
              <w:autoSpaceDE w:val="0"/>
              <w:autoSpaceDN w:val="0"/>
              <w:adjustRightInd w:val="0"/>
              <w:spacing w:before="60" w:after="60"/>
              <w:rPr>
                <w:rFonts w:cstheme="minorHAnsi"/>
                <w:sz w:val="20"/>
                <w:szCs w:val="20"/>
                <w:lang w:val="es-ES"/>
              </w:rPr>
            </w:pPr>
            <w:r w:rsidRPr="008F2CFC">
              <w:rPr>
                <w:rFonts w:cstheme="minorHAnsi"/>
                <w:sz w:val="20"/>
                <w:szCs w:val="20"/>
                <w:lang w:val="es-ES"/>
              </w:rPr>
              <w:t>0 (0.0)</w:t>
            </w:r>
          </w:p>
        </w:tc>
      </w:tr>
      <w:tr w:rsidR="00427730" w:rsidRPr="00952DED" w14:paraId="02DAE334" w14:textId="77777777" w:rsidTr="002864CE">
        <w:trPr>
          <w:trHeight w:val="20"/>
        </w:trPr>
        <w:tc>
          <w:tcPr>
            <w:tcW w:w="3325" w:type="pct"/>
            <w:vAlign w:val="center"/>
          </w:tcPr>
          <w:p w14:paraId="53476EF4" w14:textId="3C1D74F6" w:rsidR="00427730" w:rsidRPr="00952DED" w:rsidRDefault="00ED64C0" w:rsidP="001F3116">
            <w:pPr>
              <w:autoSpaceDE w:val="0"/>
              <w:autoSpaceDN w:val="0"/>
              <w:adjustRightInd w:val="0"/>
              <w:spacing w:before="60" w:after="60"/>
              <w:rPr>
                <w:rFonts w:cstheme="minorHAnsi"/>
                <w:b/>
                <w:sz w:val="20"/>
                <w:szCs w:val="20"/>
              </w:rPr>
            </w:pPr>
            <w:r>
              <w:rPr>
                <w:rFonts w:cstheme="minorHAnsi"/>
                <w:b/>
                <w:sz w:val="20"/>
                <w:szCs w:val="20"/>
              </w:rPr>
              <w:t>d</w:t>
            </w:r>
            <w:r w:rsidR="00427730" w:rsidRPr="00952DED">
              <w:rPr>
                <w:rFonts w:cstheme="minorHAnsi"/>
                <w:b/>
                <w:sz w:val="20"/>
                <w:szCs w:val="20"/>
              </w:rPr>
              <w:t xml:space="preserve">olutegravir </w:t>
            </w:r>
            <w:r>
              <w:rPr>
                <w:rFonts w:cstheme="minorHAnsi"/>
                <w:b/>
                <w:sz w:val="20"/>
                <w:szCs w:val="20"/>
              </w:rPr>
              <w:t xml:space="preserve">+ </w:t>
            </w:r>
            <w:r w:rsidR="00427730" w:rsidRPr="00952DED">
              <w:rPr>
                <w:rFonts w:cstheme="minorHAnsi"/>
                <w:b/>
                <w:sz w:val="20"/>
                <w:szCs w:val="20"/>
              </w:rPr>
              <w:t>lamivudine (</w:t>
            </w:r>
            <w:proofErr w:type="spellStart"/>
            <w:r w:rsidR="00427730" w:rsidRPr="00952DED">
              <w:rPr>
                <w:rFonts w:cstheme="minorHAnsi"/>
                <w:b/>
                <w:sz w:val="20"/>
                <w:szCs w:val="20"/>
              </w:rPr>
              <w:t>Dovato</w:t>
            </w:r>
            <w:proofErr w:type="spellEnd"/>
            <w:r w:rsidR="00427730" w:rsidRPr="00952DED">
              <w:rPr>
                <w:rFonts w:cstheme="minorHAnsi"/>
                <w:b/>
                <w:sz w:val="20"/>
                <w:szCs w:val="20"/>
              </w:rPr>
              <w:t>)</w:t>
            </w:r>
          </w:p>
        </w:tc>
        <w:tc>
          <w:tcPr>
            <w:tcW w:w="1675" w:type="pct"/>
            <w:vAlign w:val="center"/>
          </w:tcPr>
          <w:p w14:paraId="76785ED4" w14:textId="3F64F486" w:rsidR="00427730" w:rsidRPr="00952DED" w:rsidRDefault="00623E85" w:rsidP="001F3116">
            <w:pPr>
              <w:autoSpaceDE w:val="0"/>
              <w:autoSpaceDN w:val="0"/>
              <w:adjustRightInd w:val="0"/>
              <w:spacing w:before="60" w:after="60"/>
              <w:rPr>
                <w:rFonts w:cstheme="minorHAnsi"/>
                <w:sz w:val="20"/>
                <w:szCs w:val="20"/>
              </w:rPr>
            </w:pPr>
            <w:r>
              <w:rPr>
                <w:rFonts w:cstheme="minorHAnsi"/>
                <w:sz w:val="20"/>
                <w:szCs w:val="20"/>
              </w:rPr>
              <w:t>&lt;5</w:t>
            </w:r>
          </w:p>
        </w:tc>
      </w:tr>
      <w:tr w:rsidR="00427730" w:rsidRPr="00952DED" w14:paraId="0A7A2501" w14:textId="77777777" w:rsidTr="002864CE">
        <w:trPr>
          <w:trHeight w:val="20"/>
        </w:trPr>
        <w:tc>
          <w:tcPr>
            <w:tcW w:w="3325" w:type="pct"/>
            <w:shd w:val="clear" w:color="auto" w:fill="F2F2F2" w:themeFill="background1" w:themeFillShade="F2"/>
            <w:vAlign w:val="center"/>
          </w:tcPr>
          <w:p w14:paraId="224B02DB" w14:textId="082336A2" w:rsidR="00427730" w:rsidRPr="00952DED" w:rsidRDefault="00427730" w:rsidP="001F3116">
            <w:pPr>
              <w:autoSpaceDE w:val="0"/>
              <w:autoSpaceDN w:val="0"/>
              <w:adjustRightInd w:val="0"/>
              <w:spacing w:before="60" w:after="60"/>
              <w:rPr>
                <w:rFonts w:cstheme="minorHAnsi"/>
                <w:b/>
                <w:sz w:val="20"/>
                <w:szCs w:val="20"/>
              </w:rPr>
            </w:pPr>
            <w:r>
              <w:rPr>
                <w:rFonts w:cstheme="minorHAnsi"/>
                <w:b/>
                <w:sz w:val="20"/>
                <w:szCs w:val="20"/>
              </w:rPr>
              <w:t xml:space="preserve">Combination product </w:t>
            </w:r>
            <w:r w:rsidR="00A22582">
              <w:rPr>
                <w:rFonts w:cstheme="minorHAnsi"/>
                <w:b/>
                <w:sz w:val="20"/>
                <w:szCs w:val="20"/>
              </w:rPr>
              <w:t>t</w:t>
            </w:r>
            <w:r>
              <w:rPr>
                <w:rFonts w:cstheme="minorHAnsi"/>
                <w:b/>
                <w:sz w:val="20"/>
                <w:szCs w:val="20"/>
              </w:rPr>
              <w:t>otal</w:t>
            </w:r>
          </w:p>
        </w:tc>
        <w:tc>
          <w:tcPr>
            <w:tcW w:w="1675" w:type="pct"/>
            <w:shd w:val="clear" w:color="auto" w:fill="F2F2F2" w:themeFill="background1" w:themeFillShade="F2"/>
            <w:vAlign w:val="center"/>
          </w:tcPr>
          <w:p w14:paraId="32B9518C" w14:textId="1803CB26" w:rsidR="00427730" w:rsidRPr="00952DED" w:rsidRDefault="004E71CC" w:rsidP="00F075E5">
            <w:pPr>
              <w:autoSpaceDE w:val="0"/>
              <w:autoSpaceDN w:val="0"/>
              <w:adjustRightInd w:val="0"/>
              <w:spacing w:before="60" w:after="60"/>
              <w:rPr>
                <w:rFonts w:cstheme="minorHAnsi"/>
                <w:sz w:val="20"/>
                <w:szCs w:val="20"/>
              </w:rPr>
            </w:pPr>
            <w:r w:rsidRPr="004E71CC">
              <w:rPr>
                <w:rFonts w:cstheme="minorHAnsi"/>
                <w:sz w:val="20"/>
                <w:szCs w:val="20"/>
              </w:rPr>
              <w:t>1160 (76.4)</w:t>
            </w:r>
          </w:p>
        </w:tc>
      </w:tr>
    </w:tbl>
    <w:p w14:paraId="7158110E" w14:textId="6DBA3DEC" w:rsidR="004A3941" w:rsidRDefault="003442D4" w:rsidP="004A3941">
      <w:r w:rsidRPr="003442D4">
        <w:rPr>
          <w:rFonts w:cstheme="minorHAnsi"/>
          <w:sz w:val="20"/>
          <w:szCs w:val="20"/>
        </w:rPr>
        <w:t>*</w:t>
      </w:r>
      <w:r w:rsidR="00761FDE">
        <w:rPr>
          <w:rFonts w:cstheme="minorHAnsi"/>
          <w:sz w:val="20"/>
          <w:szCs w:val="20"/>
        </w:rPr>
        <w:t>Note that patients could be prescribed more than one medicine</w:t>
      </w:r>
      <w:r w:rsidR="00E71910">
        <w:rPr>
          <w:rFonts w:cstheme="minorHAnsi"/>
          <w:sz w:val="20"/>
          <w:szCs w:val="20"/>
        </w:rPr>
        <w:t>. Therefore totals within each class and overall</w:t>
      </w:r>
      <w:r w:rsidR="0080361A">
        <w:rPr>
          <w:rFonts w:cstheme="minorHAnsi"/>
          <w:sz w:val="20"/>
          <w:szCs w:val="20"/>
        </w:rPr>
        <w:t xml:space="preserve"> will be greater than 100.0%.</w:t>
      </w:r>
    </w:p>
    <w:p w14:paraId="4EE23465" w14:textId="342A5A60" w:rsidR="001166E5" w:rsidRDefault="009D67BA" w:rsidP="001166E5">
      <w:pPr>
        <w:pStyle w:val="Heading2"/>
      </w:pPr>
      <w:r w:rsidRPr="009D67BA">
        <w:t xml:space="preserve">Medicines </w:t>
      </w:r>
      <w:r>
        <w:t xml:space="preserve">to </w:t>
      </w:r>
      <w:r w:rsidRPr="009D67BA">
        <w:t>avoid or use</w:t>
      </w:r>
      <w:r>
        <w:t xml:space="preserve"> cautiously </w:t>
      </w:r>
      <w:r w:rsidR="00656CF9">
        <w:t xml:space="preserve">in patients with </w:t>
      </w:r>
      <w:r w:rsidRPr="009D67BA">
        <w:t>co-morbidities</w:t>
      </w:r>
    </w:p>
    <w:p w14:paraId="3B764EFF" w14:textId="0828B495" w:rsidR="00C972D8" w:rsidRDefault="00C972D8" w:rsidP="00B2123F">
      <w:r>
        <w:t>T</w:t>
      </w:r>
      <w:r w:rsidR="00B2123F">
        <w:t xml:space="preserve">here are a number of antiretroviral medicines that should be used with caution or avoided in patients with </w:t>
      </w:r>
      <w:r>
        <w:t>HIV and particular co-morbidities.</w:t>
      </w:r>
      <w:r w:rsidR="001F3116">
        <w:fldChar w:fldCharType="begin"/>
      </w:r>
      <w:r w:rsidR="00FC11B4">
        <w:instrText xml:space="preserve"> ADDIN EN.CITE &lt;EndNote&gt;&lt;Cite&gt;&lt;Author&gt;ASHM Sub-Committee for Guidance on HIV Management in Australia&lt;/Author&gt;&lt;Year&gt;2020&lt;/Year&gt;&lt;RecNum&gt;1&lt;/RecNum&gt;&lt;DisplayText&gt;&lt;style face="superscript"&gt;8,10&lt;/style&gt;&lt;/DisplayText&gt;&lt;record&gt;&lt;rec-number&gt;1&lt;/rec-number&gt;&lt;foreign-keys&gt;&lt;key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2021&lt;/access-date&gt;&lt;/record&gt;&lt;/Cite&gt;&lt;Cite&gt;&lt;Author&gt;Panel on Antiretroviral Guidelines for Adults and Adolescents&lt;/Author&gt;&lt;Year&gt;2021&lt;/Year&gt;&lt;RecNum&gt;2&lt;/RecNum&gt;&lt;record&gt;&lt;rec-number&gt;2&lt;/rec-number&gt;&lt;foreign-keys&gt;&lt;key app="EN" db-id="vwfdxvwwn0rrs6ea9sex9v2hafxp5zf2dexd" timestamp="1628641370"&gt;2&lt;/key&gt;&lt;/foreign-keys&gt;&lt;ref-type name="Report"&gt;27&lt;/ref-type&gt;&lt;contributors&gt;&lt;authors&gt;&lt;author&gt;Panel on Antiretroviral Guidelines for Adults and Adolescents,&lt;/author&gt;&lt;/authors&gt;&lt;/contributors&gt;&lt;titles&gt;&lt;title&gt;Guidelines for the use of antiretroviral agents in adults and adolescents living with HIV&lt;/title&gt;&lt;/titles&gt;&lt;dates&gt;&lt;year&gt;2021&lt;/year&gt;&lt;/dates&gt;&lt;pub-location&gt;Rockville&lt;/pub-location&gt;&lt;publisher&gt;Office of AIDS Research&lt;/publisher&gt;&lt;urls&gt;&lt;related-urls&gt;&lt;url&gt;https://clinicalinfo.hiv.gov/sites/default/files/guidelines/documents/AdultandAdolescentGL.pdf&lt;/url&gt;&lt;/related-urls&gt;&lt;/urls&gt;&lt;access-date&gt;11 August 2021&lt;/access-date&gt;&lt;/record&gt;&lt;/Cite&gt;&lt;/EndNote&gt;</w:instrText>
      </w:r>
      <w:r w:rsidR="001F3116">
        <w:fldChar w:fldCharType="separate"/>
      </w:r>
      <w:r w:rsidR="00FC11B4" w:rsidRPr="00FC11B4">
        <w:rPr>
          <w:noProof/>
          <w:vertAlign w:val="superscript"/>
        </w:rPr>
        <w:t>8,10</w:t>
      </w:r>
      <w:r w:rsidR="001F3116">
        <w:fldChar w:fldCharType="end"/>
      </w:r>
      <w:r>
        <w:t xml:space="preserve"> </w:t>
      </w:r>
    </w:p>
    <w:p w14:paraId="3C1997AB" w14:textId="02ED6AB7" w:rsidR="00E208E5" w:rsidRDefault="00C972D8" w:rsidP="00B2123F">
      <w:r>
        <w:t>Table 6 explores the extent to which these medicines are being used in patients with HIV and co-morbidities.</w:t>
      </w:r>
      <w:r w:rsidR="00B32149">
        <w:t xml:space="preserve"> However, it should be borne in mind that </w:t>
      </w:r>
      <w:r w:rsidR="00356DF3">
        <w:t xml:space="preserve">patients may have been prescribed these medicines at any </w:t>
      </w:r>
      <w:r w:rsidR="00BF25B7">
        <w:t>point</w:t>
      </w:r>
      <w:r w:rsidR="00E13931">
        <w:t xml:space="preserve"> </w:t>
      </w:r>
      <w:r w:rsidR="00E16BF3">
        <w:t>during 2018 or 2019</w:t>
      </w:r>
      <w:r w:rsidR="00E13931">
        <w:t xml:space="preserve"> or been diagnosed with these conditions </w:t>
      </w:r>
      <w:r w:rsidR="00AD7047" w:rsidRPr="00AD7047">
        <w:t xml:space="preserve">at any point </w:t>
      </w:r>
      <w:r w:rsidR="00E13931">
        <w:t xml:space="preserve">up until 31 December 2019. It is possible that </w:t>
      </w:r>
      <w:r w:rsidR="00DA09D3">
        <w:t xml:space="preserve">this analysis may have overestimated the extent </w:t>
      </w:r>
      <w:r w:rsidR="003836D5">
        <w:t xml:space="preserve">to which these medicines are being used as we did not attempt to confirm whether the </w:t>
      </w:r>
      <w:r w:rsidR="00187B41">
        <w:t xml:space="preserve">diagnosis had been made at the time that the prescription was </w:t>
      </w:r>
      <w:r w:rsidR="00187B41">
        <w:lastRenderedPageBreak/>
        <w:t>issued.</w:t>
      </w:r>
      <w:r w:rsidR="00EA4A9D">
        <w:t xml:space="preserve"> </w:t>
      </w:r>
      <w:r w:rsidR="009F4CF5">
        <w:t xml:space="preserve">It is also possible that </w:t>
      </w:r>
      <w:r w:rsidR="009F2ADE">
        <w:t xml:space="preserve">clinicians may have changed </w:t>
      </w:r>
      <w:r w:rsidR="00925BB7">
        <w:t xml:space="preserve">regimens in response to newly diagnosed </w:t>
      </w:r>
      <w:r w:rsidR="004023D6">
        <w:t xml:space="preserve">co-morbidities </w:t>
      </w:r>
      <w:r w:rsidR="00E71B2E">
        <w:t>which would not have been captured in this analysis.</w:t>
      </w:r>
    </w:p>
    <w:p w14:paraId="3E508359" w14:textId="0D5991B0" w:rsidR="00B2123F" w:rsidRDefault="00CB14D6" w:rsidP="00B2123F">
      <w:r w:rsidRPr="007939FA">
        <w:t>The HIV-PIs are associated with increased cardiovascular risk with the possible exception of atazanavir</w:t>
      </w:r>
      <w:r w:rsidR="00056FBE">
        <w:t>.</w:t>
      </w:r>
      <w:r w:rsidR="001F3116">
        <w:fldChar w:fldCharType="begin"/>
      </w:r>
      <w:r w:rsidR="001F3116">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fldChar w:fldCharType="separate"/>
      </w:r>
      <w:r w:rsidR="001F3116" w:rsidRPr="001F3116">
        <w:rPr>
          <w:noProof/>
          <w:vertAlign w:val="superscript"/>
        </w:rPr>
        <w:t>8</w:t>
      </w:r>
      <w:r w:rsidR="001F3116">
        <w:fldChar w:fldCharType="end"/>
      </w:r>
      <w:r w:rsidR="00651CEC">
        <w:t xml:space="preserve"> </w:t>
      </w:r>
      <w:r w:rsidR="00E208E5">
        <w:t xml:space="preserve">A quarter of patients </w:t>
      </w:r>
      <w:r w:rsidR="00651CEC">
        <w:t>(n=32)</w:t>
      </w:r>
      <w:r w:rsidR="006D5E2E">
        <w:t xml:space="preserve"> </w:t>
      </w:r>
      <w:r w:rsidR="002F442F">
        <w:t xml:space="preserve">with a history of cardiovascular disease were </w:t>
      </w:r>
      <w:r w:rsidR="00E82588">
        <w:t xml:space="preserve">prescribed </w:t>
      </w:r>
      <w:r w:rsidR="00165277">
        <w:t xml:space="preserve">an HIV-PI </w:t>
      </w:r>
      <w:r w:rsidR="00966858">
        <w:t>in 2018–19</w:t>
      </w:r>
      <w:r w:rsidR="006D5E2E">
        <w:t xml:space="preserve">. Among patients </w:t>
      </w:r>
      <w:r w:rsidR="003F17DF">
        <w:t xml:space="preserve">identified as being at risk of CVD </w:t>
      </w:r>
      <w:r w:rsidR="006F4519">
        <w:t>14.5</w:t>
      </w:r>
      <w:r w:rsidR="00CD0AC3">
        <w:t>%</w:t>
      </w:r>
      <w:r w:rsidR="006F4519">
        <w:t xml:space="preserve"> </w:t>
      </w:r>
      <w:r w:rsidR="00CD0AC3">
        <w:t>(</w:t>
      </w:r>
      <w:r w:rsidR="009E22D7">
        <w:t xml:space="preserve">n=97) </w:t>
      </w:r>
      <w:r w:rsidR="003F17DF">
        <w:t xml:space="preserve">were prescribed </w:t>
      </w:r>
      <w:r w:rsidR="00280371">
        <w:t xml:space="preserve">an HIV-PI. </w:t>
      </w:r>
      <w:r w:rsidR="0023372C">
        <w:t xml:space="preserve">As a percentage of all patients who were prescribed an </w:t>
      </w:r>
      <w:r w:rsidR="00C95AE4">
        <w:t>antiretroviral</w:t>
      </w:r>
      <w:r w:rsidR="0023372C">
        <w:t xml:space="preserve"> medicine</w:t>
      </w:r>
      <w:r w:rsidR="000D19DF">
        <w:t xml:space="preserve">, the number of patients </w:t>
      </w:r>
      <w:r w:rsidR="00DB6584">
        <w:t xml:space="preserve">with </w:t>
      </w:r>
      <w:r w:rsidR="007858ED">
        <w:t xml:space="preserve">recorded </w:t>
      </w:r>
      <w:r w:rsidR="00B62F70">
        <w:t>cardiovascular disease</w:t>
      </w:r>
      <w:r w:rsidR="008B5339">
        <w:t>,</w:t>
      </w:r>
      <w:r w:rsidR="00DB6584">
        <w:t xml:space="preserve"> at</w:t>
      </w:r>
      <w:r w:rsidR="007D4604">
        <w:t xml:space="preserve"> risk of cardiovascular disease or </w:t>
      </w:r>
      <w:r w:rsidR="00C4107A">
        <w:t>with</w:t>
      </w:r>
      <w:r w:rsidR="009D0CD5">
        <w:t xml:space="preserve"> </w:t>
      </w:r>
      <w:r w:rsidR="00653236">
        <w:t xml:space="preserve">recorded </w:t>
      </w:r>
      <w:r w:rsidR="00F776F4">
        <w:t>dyslipidaemia</w:t>
      </w:r>
      <w:r w:rsidR="009D0CD5">
        <w:t xml:space="preserve"> </w:t>
      </w:r>
      <w:r w:rsidR="00C4107A">
        <w:t xml:space="preserve">who were prescribed an HIV-PI </w:t>
      </w:r>
      <w:r w:rsidR="009D0CD5">
        <w:t xml:space="preserve">was </w:t>
      </w:r>
      <w:r w:rsidR="004033C7">
        <w:t>2.1%</w:t>
      </w:r>
      <w:r w:rsidR="005170D4">
        <w:t>,</w:t>
      </w:r>
      <w:r w:rsidR="00172C70">
        <w:t xml:space="preserve"> </w:t>
      </w:r>
      <w:r w:rsidR="00F776F4">
        <w:t>6.4%</w:t>
      </w:r>
      <w:r w:rsidR="005170D4">
        <w:t xml:space="preserve"> and 4.4</w:t>
      </w:r>
      <w:r w:rsidR="00F776F4">
        <w:t xml:space="preserve">%, </w:t>
      </w:r>
      <w:r w:rsidR="00241D9C">
        <w:t>respectively.</w:t>
      </w:r>
      <w:r w:rsidR="00241D9C" w:rsidRPr="007939FA">
        <w:t xml:space="preserve"> </w:t>
      </w:r>
    </w:p>
    <w:p w14:paraId="6F12ECEE" w14:textId="021EE6FA" w:rsidR="00594DC7" w:rsidRDefault="000E1707" w:rsidP="00B2123F">
      <w:r>
        <w:t xml:space="preserve">It is recommended that </w:t>
      </w:r>
      <w:r w:rsidR="009908D0">
        <w:t xml:space="preserve">regimens including </w:t>
      </w:r>
      <w:r w:rsidR="00F21105">
        <w:t>ril</w:t>
      </w:r>
      <w:r w:rsidR="00134AEF">
        <w:t>pivirine or efavirenz be avoided in patient with mental illness</w:t>
      </w:r>
      <w:r w:rsidR="001D2897" w:rsidRPr="001D2897">
        <w:t xml:space="preserve"> </w:t>
      </w:r>
      <w:r w:rsidR="001D2897">
        <w:t>due to</w:t>
      </w:r>
      <w:r w:rsidR="001D2897" w:rsidRPr="001D2897">
        <w:t xml:space="preserve"> a higher risk of central nervous system side effects. However, rilpivirine is preferred over efavirenz.</w:t>
      </w:r>
      <w:r w:rsidR="00100D1E">
        <w:t xml:space="preserve"> </w:t>
      </w:r>
      <w:r w:rsidR="00C002DA">
        <w:t xml:space="preserve">Among patients with a </w:t>
      </w:r>
      <w:r w:rsidR="003C5CCC">
        <w:t xml:space="preserve">prior or current </w:t>
      </w:r>
      <w:r w:rsidR="00C002DA">
        <w:t xml:space="preserve">record of mental illness, </w:t>
      </w:r>
      <w:r w:rsidR="00FD7687">
        <w:t xml:space="preserve">116 patients </w:t>
      </w:r>
      <w:r w:rsidR="00C002DA">
        <w:t xml:space="preserve">(14.3%) were </w:t>
      </w:r>
      <w:r w:rsidR="0017217E">
        <w:t xml:space="preserve">prescribed </w:t>
      </w:r>
      <w:r w:rsidR="00D72E0A">
        <w:t>rilpivirine</w:t>
      </w:r>
      <w:r w:rsidR="00C002DA">
        <w:t xml:space="preserve"> and 34 (3.8%) were prescribed </w:t>
      </w:r>
      <w:r w:rsidR="0006794C">
        <w:t>efavirenz.</w:t>
      </w:r>
    </w:p>
    <w:p w14:paraId="422CF401" w14:textId="0123B481" w:rsidR="003D7A5F" w:rsidRDefault="003D7A5F" w:rsidP="00B2123F">
      <w:r>
        <w:t xml:space="preserve">The proportion of patients with </w:t>
      </w:r>
      <w:r w:rsidR="00653236">
        <w:t xml:space="preserve">a record of </w:t>
      </w:r>
      <w:r>
        <w:t xml:space="preserve">dyslipidaemia who were prescribed medicines associated with </w:t>
      </w:r>
      <w:r w:rsidR="00EA5D85">
        <w:t xml:space="preserve">an increase in lipid levels ranged from </w:t>
      </w:r>
      <w:r w:rsidR="003374DA">
        <w:t>7.0</w:t>
      </w:r>
      <w:r w:rsidR="00C40A84">
        <w:t>% to 25.5%</w:t>
      </w:r>
      <w:r w:rsidR="00B57A55">
        <w:t xml:space="preserve">. </w:t>
      </w:r>
      <w:r w:rsidR="00510BCE">
        <w:t xml:space="preserve">Most commonly this was due to the use of FDCs that include </w:t>
      </w:r>
      <w:r w:rsidR="00B57A55">
        <w:t>both elvit</w:t>
      </w:r>
      <w:r w:rsidR="00FE5602">
        <w:t xml:space="preserve">egravir </w:t>
      </w:r>
      <w:r w:rsidR="00C07F6B">
        <w:t>and cobicistat (</w:t>
      </w:r>
      <w:proofErr w:type="spellStart"/>
      <w:r w:rsidR="00160D85">
        <w:t>Genvoya</w:t>
      </w:r>
      <w:proofErr w:type="spellEnd"/>
      <w:r w:rsidR="00160D85">
        <w:t xml:space="preserve"> or </w:t>
      </w:r>
      <w:proofErr w:type="spellStart"/>
      <w:r w:rsidR="002F2697">
        <w:t>Stribild</w:t>
      </w:r>
      <w:proofErr w:type="spellEnd"/>
      <w:r w:rsidR="002F2697">
        <w:t>).</w:t>
      </w:r>
      <w:r>
        <w:t xml:space="preserve"> </w:t>
      </w:r>
    </w:p>
    <w:p w14:paraId="682E37B7" w14:textId="4AC347E8" w:rsidR="007E6884" w:rsidRDefault="008F52DD" w:rsidP="00B2123F">
      <w:r>
        <w:t xml:space="preserve">Patients with both HIV and </w:t>
      </w:r>
      <w:r w:rsidR="00653236">
        <w:t xml:space="preserve">a record of </w:t>
      </w:r>
      <w:r>
        <w:t xml:space="preserve">CKD were highly unlikely to be </w:t>
      </w:r>
      <w:r w:rsidR="00885D54">
        <w:t xml:space="preserve">treated </w:t>
      </w:r>
      <w:r>
        <w:t>with medici</w:t>
      </w:r>
      <w:r w:rsidR="00C2081C">
        <w:t>nes that are not recommended for use.</w:t>
      </w:r>
      <w:r w:rsidR="00CC35A9">
        <w:t xml:space="preserve"> Only 7 of the 132 patients (5.3%) with </w:t>
      </w:r>
      <w:r w:rsidR="00653236">
        <w:t xml:space="preserve">recorded </w:t>
      </w:r>
      <w:r w:rsidR="00CC35A9">
        <w:t>osteoporosis were prescribed tenofovir disoproxil.</w:t>
      </w:r>
    </w:p>
    <w:p w14:paraId="665946D4" w14:textId="1B62B0EE" w:rsidR="0076171B" w:rsidRPr="0076171B" w:rsidRDefault="0076171B" w:rsidP="0076171B">
      <w:pPr>
        <w:pStyle w:val="Tabletitle"/>
      </w:pPr>
      <w:r>
        <w:t xml:space="preserve">Table </w:t>
      </w:r>
      <w:r w:rsidR="00B2123F">
        <w:t>6</w:t>
      </w:r>
      <w:r>
        <w:t xml:space="preserve">: </w:t>
      </w:r>
      <w:r w:rsidR="00C92180" w:rsidRPr="00C92180">
        <w:t>Proportion of patients prescribed at least 1 HIV medicine between 1 January 2018 and 31 December 2019, with potentially inappropriate prescribing of ART by co-morbidities</w:t>
      </w:r>
    </w:p>
    <w:tbl>
      <w:tblPr>
        <w:tblStyle w:val="TableGrid"/>
        <w:tblW w:w="5000" w:type="pct"/>
        <w:tblLook w:val="04A0" w:firstRow="1" w:lastRow="0" w:firstColumn="1" w:lastColumn="0" w:noHBand="0" w:noVBand="1"/>
      </w:tblPr>
      <w:tblGrid>
        <w:gridCol w:w="3583"/>
        <w:gridCol w:w="1236"/>
        <w:gridCol w:w="1984"/>
        <w:gridCol w:w="2144"/>
      </w:tblGrid>
      <w:tr w:rsidR="00C10198" w14:paraId="189DC799" w14:textId="77777777" w:rsidTr="00E34872">
        <w:trPr>
          <w:trHeight w:val="20"/>
          <w:tblHeader/>
        </w:trPr>
        <w:tc>
          <w:tcPr>
            <w:tcW w:w="2002" w:type="pct"/>
            <w:shd w:val="clear" w:color="auto" w:fill="BFBFBF" w:themeFill="background1" w:themeFillShade="BF"/>
          </w:tcPr>
          <w:p w14:paraId="466F24B7" w14:textId="77777777" w:rsidR="00C10198" w:rsidRPr="001D0858" w:rsidRDefault="00C10198" w:rsidP="001F3116">
            <w:pPr>
              <w:pStyle w:val="Tableheading"/>
              <w:rPr>
                <w:sz w:val="20"/>
                <w:szCs w:val="20"/>
              </w:rPr>
            </w:pPr>
            <w:r>
              <w:rPr>
                <w:sz w:val="20"/>
                <w:szCs w:val="20"/>
              </w:rPr>
              <w:t>Potentially inappropriate regimen</w:t>
            </w:r>
          </w:p>
          <w:p w14:paraId="22ADF952" w14:textId="028F16ED" w:rsidR="00C10198" w:rsidRPr="001D0858" w:rsidRDefault="00C10198" w:rsidP="001F3116">
            <w:pPr>
              <w:pStyle w:val="Tableheading"/>
              <w:rPr>
                <w:sz w:val="20"/>
                <w:szCs w:val="20"/>
              </w:rPr>
            </w:pPr>
            <w:r>
              <w:rPr>
                <w:sz w:val="20"/>
                <w:szCs w:val="20"/>
              </w:rPr>
              <w:t>% (95% CI)</w:t>
            </w:r>
          </w:p>
        </w:tc>
        <w:tc>
          <w:tcPr>
            <w:tcW w:w="691" w:type="pct"/>
            <w:shd w:val="clear" w:color="auto" w:fill="BFBFBF" w:themeFill="background1" w:themeFillShade="BF"/>
          </w:tcPr>
          <w:p w14:paraId="074273C4" w14:textId="77777777" w:rsidR="00C10198" w:rsidRPr="001D0858" w:rsidRDefault="00C10198" w:rsidP="001F3116">
            <w:pPr>
              <w:pStyle w:val="Tableheading"/>
              <w:rPr>
                <w:sz w:val="20"/>
                <w:szCs w:val="20"/>
              </w:rPr>
            </w:pPr>
            <w:r>
              <w:rPr>
                <w:sz w:val="20"/>
                <w:szCs w:val="20"/>
              </w:rPr>
              <w:t>Number</w:t>
            </w:r>
          </w:p>
        </w:tc>
        <w:tc>
          <w:tcPr>
            <w:tcW w:w="1109" w:type="pct"/>
            <w:shd w:val="clear" w:color="auto" w:fill="BFBFBF" w:themeFill="background1" w:themeFillShade="BF"/>
          </w:tcPr>
          <w:p w14:paraId="1B5FE9CA" w14:textId="24955466" w:rsidR="00C10198" w:rsidRPr="001D0858" w:rsidRDefault="00C01875" w:rsidP="001F3116">
            <w:pPr>
              <w:pStyle w:val="Tableheading"/>
              <w:rPr>
                <w:sz w:val="20"/>
                <w:szCs w:val="20"/>
              </w:rPr>
            </w:pPr>
            <w:r w:rsidRPr="00C01875">
              <w:rPr>
                <w:sz w:val="20"/>
                <w:szCs w:val="20"/>
              </w:rPr>
              <w:t>% (95% CI) of patients with</w:t>
            </w:r>
            <w:r w:rsidR="00386F39">
              <w:rPr>
                <w:sz w:val="20"/>
                <w:szCs w:val="20"/>
              </w:rPr>
              <w:t xml:space="preserve"> HIV and </w:t>
            </w:r>
            <w:r w:rsidRPr="00C01875">
              <w:rPr>
                <w:sz w:val="20"/>
                <w:szCs w:val="20"/>
              </w:rPr>
              <w:t>the condition of interest</w:t>
            </w:r>
          </w:p>
        </w:tc>
        <w:tc>
          <w:tcPr>
            <w:tcW w:w="1199" w:type="pct"/>
            <w:shd w:val="clear" w:color="auto" w:fill="BFBFBF" w:themeFill="background1" w:themeFillShade="BF"/>
          </w:tcPr>
          <w:p w14:paraId="03C0DAFD" w14:textId="6D5BACB4" w:rsidR="00C10198" w:rsidRDefault="00A36743" w:rsidP="001F3116">
            <w:pPr>
              <w:pStyle w:val="Tableheading"/>
              <w:rPr>
                <w:sz w:val="20"/>
                <w:szCs w:val="20"/>
              </w:rPr>
            </w:pPr>
            <w:r w:rsidRPr="00A36743">
              <w:rPr>
                <w:sz w:val="20"/>
                <w:szCs w:val="20"/>
              </w:rPr>
              <w:t xml:space="preserve">% (95% CI) of </w:t>
            </w:r>
            <w:r w:rsidR="00D35597">
              <w:rPr>
                <w:sz w:val="20"/>
                <w:szCs w:val="20"/>
              </w:rPr>
              <w:t>all patients prescribed an antiretroviral med</w:t>
            </w:r>
            <w:r w:rsidR="00BC0727">
              <w:rPr>
                <w:sz w:val="20"/>
                <w:szCs w:val="20"/>
              </w:rPr>
              <w:t>i</w:t>
            </w:r>
            <w:r w:rsidR="00D35597">
              <w:rPr>
                <w:sz w:val="20"/>
                <w:szCs w:val="20"/>
              </w:rPr>
              <w:t>cine</w:t>
            </w:r>
          </w:p>
        </w:tc>
      </w:tr>
      <w:tr w:rsidR="00C10198" w:rsidRPr="000F2789" w14:paraId="77A00BA8" w14:textId="77777777" w:rsidTr="000108F8">
        <w:trPr>
          <w:trHeight w:val="20"/>
        </w:trPr>
        <w:tc>
          <w:tcPr>
            <w:tcW w:w="5000" w:type="pct"/>
            <w:gridSpan w:val="4"/>
            <w:shd w:val="clear" w:color="auto" w:fill="D9D9D9" w:themeFill="background1" w:themeFillShade="D9"/>
          </w:tcPr>
          <w:p w14:paraId="26A734C4" w14:textId="6DF4BADA" w:rsidR="00C10198" w:rsidRPr="006B6DFF" w:rsidRDefault="00C10198" w:rsidP="001F3116">
            <w:pPr>
              <w:pStyle w:val="Tableheading"/>
              <w:rPr>
                <w:rFonts w:cstheme="minorHAnsi"/>
                <w:bCs/>
                <w:sz w:val="20"/>
                <w:szCs w:val="20"/>
              </w:rPr>
            </w:pPr>
            <w:r w:rsidRPr="006B6DFF">
              <w:rPr>
                <w:rFonts w:cstheme="minorHAnsi"/>
                <w:bCs/>
                <w:sz w:val="20"/>
                <w:szCs w:val="20"/>
              </w:rPr>
              <w:t>At risk of CKD</w:t>
            </w:r>
          </w:p>
        </w:tc>
      </w:tr>
      <w:tr w:rsidR="00BB48B0" w:rsidRPr="000F2789" w14:paraId="22A255E2" w14:textId="77777777" w:rsidTr="00E34872">
        <w:trPr>
          <w:trHeight w:val="20"/>
        </w:trPr>
        <w:tc>
          <w:tcPr>
            <w:tcW w:w="2002" w:type="pct"/>
          </w:tcPr>
          <w:p w14:paraId="36ADD908" w14:textId="526DAF76" w:rsidR="00BB48B0" w:rsidRPr="000F2789" w:rsidRDefault="00BB48B0" w:rsidP="00B711EB">
            <w:pPr>
              <w:pStyle w:val="Tableheading"/>
              <w:rPr>
                <w:rFonts w:cstheme="minorHAnsi"/>
                <w:b w:val="0"/>
                <w:sz w:val="20"/>
                <w:szCs w:val="20"/>
              </w:rPr>
            </w:pPr>
            <w:r w:rsidRPr="00BB48B0">
              <w:rPr>
                <w:rFonts w:cstheme="minorHAnsi"/>
                <w:b w:val="0"/>
                <w:sz w:val="20"/>
                <w:szCs w:val="20"/>
              </w:rPr>
              <w:t>tenofovir disoproxil</w:t>
            </w:r>
            <w:r w:rsidR="00B711EB">
              <w:rPr>
                <w:rFonts w:cstheme="minorHAnsi"/>
                <w:b w:val="0"/>
                <w:sz w:val="20"/>
                <w:szCs w:val="20"/>
              </w:rPr>
              <w:t xml:space="preserve"> – </w:t>
            </w:r>
            <w:r w:rsidRPr="00BB48B0">
              <w:rPr>
                <w:rFonts w:cstheme="minorHAnsi"/>
                <w:b w:val="0"/>
                <w:sz w:val="20"/>
                <w:szCs w:val="20"/>
              </w:rPr>
              <w:t>avoid</w:t>
            </w:r>
          </w:p>
        </w:tc>
        <w:tc>
          <w:tcPr>
            <w:tcW w:w="691" w:type="pct"/>
          </w:tcPr>
          <w:p w14:paraId="466BEB30" w14:textId="70486E2F" w:rsidR="00BB48B0" w:rsidRPr="000F2789" w:rsidRDefault="006D35D3" w:rsidP="00BB48B0">
            <w:pPr>
              <w:pStyle w:val="Tableheading"/>
              <w:rPr>
                <w:rFonts w:cstheme="minorHAnsi"/>
                <w:b w:val="0"/>
                <w:sz w:val="20"/>
                <w:szCs w:val="20"/>
              </w:rPr>
            </w:pPr>
            <w:r>
              <w:rPr>
                <w:rFonts w:cstheme="minorHAnsi"/>
                <w:b w:val="0"/>
                <w:sz w:val="20"/>
                <w:szCs w:val="20"/>
              </w:rPr>
              <w:t>48</w:t>
            </w:r>
          </w:p>
        </w:tc>
        <w:tc>
          <w:tcPr>
            <w:tcW w:w="1109" w:type="pct"/>
          </w:tcPr>
          <w:p w14:paraId="352A5DC4" w14:textId="4B28F5B3" w:rsidR="00BB48B0" w:rsidRPr="000F2789" w:rsidRDefault="006D35D3" w:rsidP="00BB48B0">
            <w:pPr>
              <w:pStyle w:val="Tableheading"/>
              <w:rPr>
                <w:rFonts w:cstheme="minorHAnsi"/>
                <w:b w:val="0"/>
                <w:sz w:val="20"/>
                <w:szCs w:val="20"/>
              </w:rPr>
            </w:pPr>
            <w:r>
              <w:rPr>
                <w:rFonts w:cstheme="minorHAnsi"/>
                <w:b w:val="0"/>
                <w:sz w:val="20"/>
                <w:szCs w:val="20"/>
              </w:rPr>
              <w:t>11.5 (8.3, 14.7)</w:t>
            </w:r>
          </w:p>
        </w:tc>
        <w:tc>
          <w:tcPr>
            <w:tcW w:w="1199" w:type="pct"/>
          </w:tcPr>
          <w:p w14:paraId="355BED10" w14:textId="7320CB54" w:rsidR="00BB48B0" w:rsidRPr="000F2789" w:rsidRDefault="006D35D3" w:rsidP="00BB48B0">
            <w:pPr>
              <w:pStyle w:val="Tableheading"/>
              <w:rPr>
                <w:rFonts w:cstheme="minorHAnsi"/>
                <w:b w:val="0"/>
                <w:sz w:val="20"/>
                <w:szCs w:val="20"/>
              </w:rPr>
            </w:pPr>
            <w:r>
              <w:rPr>
                <w:rFonts w:cstheme="minorHAnsi"/>
                <w:b w:val="0"/>
                <w:sz w:val="20"/>
                <w:szCs w:val="20"/>
              </w:rPr>
              <w:t>3.2 (1.9, 4.4)</w:t>
            </w:r>
          </w:p>
        </w:tc>
      </w:tr>
      <w:tr w:rsidR="005C5EE1" w:rsidRPr="000F2789" w14:paraId="3DEAD1F2" w14:textId="77777777" w:rsidTr="000108F8">
        <w:trPr>
          <w:trHeight w:val="20"/>
        </w:trPr>
        <w:tc>
          <w:tcPr>
            <w:tcW w:w="5000" w:type="pct"/>
            <w:gridSpan w:val="4"/>
            <w:shd w:val="clear" w:color="auto" w:fill="D9D9D9" w:themeFill="background1" w:themeFillShade="D9"/>
          </w:tcPr>
          <w:p w14:paraId="0508CE9B" w14:textId="5C6D9AE4" w:rsidR="005C5EE1" w:rsidRPr="006B6DFF" w:rsidRDefault="005C5EE1" w:rsidP="001F3116">
            <w:pPr>
              <w:pStyle w:val="Tableheading"/>
              <w:rPr>
                <w:rFonts w:cstheme="minorHAnsi"/>
                <w:bCs/>
                <w:sz w:val="20"/>
                <w:szCs w:val="20"/>
              </w:rPr>
            </w:pPr>
            <w:r w:rsidRPr="006B6DFF">
              <w:rPr>
                <w:rFonts w:cstheme="minorHAnsi"/>
                <w:bCs/>
                <w:sz w:val="20"/>
                <w:szCs w:val="20"/>
              </w:rPr>
              <w:t>CKD</w:t>
            </w:r>
          </w:p>
        </w:tc>
      </w:tr>
      <w:tr w:rsidR="005C5EE1" w:rsidRPr="000F2789" w14:paraId="4244345B" w14:textId="77777777" w:rsidTr="00E34872">
        <w:trPr>
          <w:trHeight w:val="20"/>
        </w:trPr>
        <w:tc>
          <w:tcPr>
            <w:tcW w:w="2002" w:type="pct"/>
          </w:tcPr>
          <w:p w14:paraId="03250B30" w14:textId="6ECB03A9" w:rsidR="005C5EE1" w:rsidRPr="000F2789" w:rsidRDefault="005C5EE1" w:rsidP="005C5EE1">
            <w:pPr>
              <w:pStyle w:val="Tableheading"/>
              <w:rPr>
                <w:rFonts w:cstheme="minorHAnsi"/>
                <w:b w:val="0"/>
                <w:sz w:val="20"/>
                <w:szCs w:val="20"/>
              </w:rPr>
            </w:pPr>
            <w:r w:rsidRPr="00BB48B0">
              <w:rPr>
                <w:rFonts w:cstheme="minorHAnsi"/>
                <w:b w:val="0"/>
                <w:sz w:val="20"/>
                <w:szCs w:val="20"/>
              </w:rPr>
              <w:t>tenofovir disoproxil</w:t>
            </w:r>
            <w:r w:rsidR="00B711EB">
              <w:rPr>
                <w:rFonts w:cstheme="minorHAnsi"/>
                <w:b w:val="0"/>
                <w:sz w:val="20"/>
                <w:szCs w:val="20"/>
              </w:rPr>
              <w:t xml:space="preserve"> – </w:t>
            </w:r>
            <w:r w:rsidRPr="00BB48B0">
              <w:rPr>
                <w:rFonts w:cstheme="minorHAnsi"/>
                <w:b w:val="0"/>
                <w:sz w:val="20"/>
                <w:szCs w:val="20"/>
              </w:rPr>
              <w:t>avoid</w:t>
            </w:r>
          </w:p>
        </w:tc>
        <w:tc>
          <w:tcPr>
            <w:tcW w:w="691" w:type="pct"/>
          </w:tcPr>
          <w:p w14:paraId="3F2AF479" w14:textId="5C53683F" w:rsidR="005C5EE1" w:rsidRPr="000F2789" w:rsidRDefault="009C00AC" w:rsidP="005C5EE1">
            <w:pPr>
              <w:pStyle w:val="Tableheading"/>
              <w:rPr>
                <w:rFonts w:cstheme="minorHAnsi"/>
                <w:b w:val="0"/>
                <w:sz w:val="20"/>
                <w:szCs w:val="20"/>
              </w:rPr>
            </w:pPr>
            <w:r>
              <w:rPr>
                <w:rFonts w:cstheme="minorHAnsi"/>
                <w:b w:val="0"/>
                <w:sz w:val="20"/>
                <w:szCs w:val="20"/>
              </w:rPr>
              <w:t>&lt;5</w:t>
            </w:r>
          </w:p>
        </w:tc>
        <w:tc>
          <w:tcPr>
            <w:tcW w:w="1109" w:type="pct"/>
          </w:tcPr>
          <w:p w14:paraId="6DF19D19" w14:textId="0CB20C62" w:rsidR="005C5EE1" w:rsidRPr="00581BFC" w:rsidRDefault="00581BFC" w:rsidP="005C5EE1">
            <w:pPr>
              <w:pStyle w:val="Tableheading"/>
              <w:rPr>
                <w:rFonts w:cstheme="minorHAnsi"/>
                <w:b w:val="0"/>
                <w:sz w:val="20"/>
                <w:szCs w:val="20"/>
              </w:rPr>
            </w:pPr>
            <w:r w:rsidRPr="00581BFC">
              <w:rPr>
                <w:rFonts w:cstheme="minorHAnsi"/>
                <w:b w:val="0"/>
                <w:sz w:val="20"/>
                <w:szCs w:val="20"/>
              </w:rPr>
              <w:t>-</w:t>
            </w:r>
          </w:p>
        </w:tc>
        <w:tc>
          <w:tcPr>
            <w:tcW w:w="1199" w:type="pct"/>
          </w:tcPr>
          <w:p w14:paraId="6924C270" w14:textId="2591D2C9" w:rsidR="005C5EE1" w:rsidRPr="00581BFC" w:rsidRDefault="00581BFC" w:rsidP="005C5EE1">
            <w:pPr>
              <w:pStyle w:val="Tableheading"/>
              <w:rPr>
                <w:rFonts w:cstheme="minorHAnsi"/>
                <w:b w:val="0"/>
                <w:sz w:val="20"/>
                <w:szCs w:val="20"/>
              </w:rPr>
            </w:pPr>
            <w:r w:rsidRPr="00581BFC">
              <w:rPr>
                <w:rFonts w:cstheme="minorHAnsi"/>
                <w:b w:val="0"/>
                <w:sz w:val="20"/>
                <w:szCs w:val="20"/>
              </w:rPr>
              <w:t>-</w:t>
            </w:r>
          </w:p>
        </w:tc>
      </w:tr>
      <w:tr w:rsidR="005C5EE1" w:rsidRPr="000F2789" w14:paraId="1EE1EC02" w14:textId="77777777" w:rsidTr="00E34872">
        <w:trPr>
          <w:trHeight w:val="20"/>
        </w:trPr>
        <w:tc>
          <w:tcPr>
            <w:tcW w:w="2002" w:type="pct"/>
          </w:tcPr>
          <w:p w14:paraId="1ABEF648" w14:textId="77777777" w:rsidR="00B805A3" w:rsidRDefault="00A03B0B" w:rsidP="005C5EE1">
            <w:pPr>
              <w:pStyle w:val="Tableheading"/>
              <w:rPr>
                <w:rFonts w:cstheme="minorHAnsi"/>
                <w:b w:val="0"/>
                <w:sz w:val="20"/>
                <w:szCs w:val="20"/>
              </w:rPr>
            </w:pPr>
            <w:r>
              <w:rPr>
                <w:rFonts w:cstheme="minorHAnsi"/>
                <w:b w:val="0"/>
                <w:sz w:val="20"/>
                <w:szCs w:val="20"/>
              </w:rPr>
              <w:t>Not re</w:t>
            </w:r>
            <w:r w:rsidR="00A77801">
              <w:rPr>
                <w:rFonts w:cstheme="minorHAnsi"/>
                <w:b w:val="0"/>
                <w:sz w:val="20"/>
                <w:szCs w:val="20"/>
              </w:rPr>
              <w:t>c</w:t>
            </w:r>
            <w:r>
              <w:rPr>
                <w:rFonts w:cstheme="minorHAnsi"/>
                <w:b w:val="0"/>
                <w:sz w:val="20"/>
                <w:szCs w:val="20"/>
              </w:rPr>
              <w:t>ommended</w:t>
            </w:r>
            <w:r w:rsidR="00FF28C9">
              <w:rPr>
                <w:rFonts w:cstheme="minorHAnsi"/>
                <w:b w:val="0"/>
                <w:sz w:val="20"/>
                <w:szCs w:val="20"/>
              </w:rPr>
              <w:t xml:space="preserve"> in</w:t>
            </w:r>
            <w:r>
              <w:rPr>
                <w:rFonts w:cstheme="minorHAnsi"/>
                <w:b w:val="0"/>
                <w:sz w:val="20"/>
                <w:szCs w:val="20"/>
              </w:rPr>
              <w:t xml:space="preserve">: </w:t>
            </w:r>
          </w:p>
          <w:p w14:paraId="6815E791" w14:textId="77777777" w:rsidR="00B805A3" w:rsidRDefault="00B805A3" w:rsidP="005C5EE1">
            <w:pPr>
              <w:pStyle w:val="Tableheading"/>
              <w:rPr>
                <w:rFonts w:cstheme="minorHAnsi"/>
                <w:b w:val="0"/>
                <w:sz w:val="20"/>
                <w:szCs w:val="20"/>
              </w:rPr>
            </w:pPr>
            <w:r>
              <w:rPr>
                <w:rFonts w:cstheme="minorHAnsi"/>
                <w:b w:val="0"/>
                <w:sz w:val="20"/>
                <w:szCs w:val="20"/>
              </w:rPr>
              <w:t xml:space="preserve">Moderate or severe CKD: </w:t>
            </w:r>
            <w:proofErr w:type="spellStart"/>
            <w:r w:rsidR="00873306" w:rsidRPr="00873306">
              <w:rPr>
                <w:rFonts w:cstheme="minorHAnsi"/>
                <w:b w:val="0"/>
                <w:sz w:val="20"/>
                <w:szCs w:val="20"/>
              </w:rPr>
              <w:t>Atripla</w:t>
            </w:r>
            <w:proofErr w:type="spellEnd"/>
            <w:r w:rsidR="00873306" w:rsidRPr="00873306">
              <w:rPr>
                <w:rFonts w:cstheme="minorHAnsi"/>
                <w:b w:val="0"/>
                <w:sz w:val="20"/>
                <w:szCs w:val="20"/>
              </w:rPr>
              <w:t xml:space="preserve"> OR </w:t>
            </w:r>
            <w:proofErr w:type="spellStart"/>
            <w:r w:rsidR="00873306" w:rsidRPr="00873306">
              <w:rPr>
                <w:rFonts w:cstheme="minorHAnsi"/>
                <w:b w:val="0"/>
                <w:sz w:val="20"/>
                <w:szCs w:val="20"/>
              </w:rPr>
              <w:t>Combivir</w:t>
            </w:r>
            <w:proofErr w:type="spellEnd"/>
            <w:r w:rsidR="00873306" w:rsidRPr="00873306">
              <w:rPr>
                <w:rFonts w:cstheme="minorHAnsi"/>
                <w:b w:val="0"/>
                <w:sz w:val="20"/>
                <w:szCs w:val="20"/>
              </w:rPr>
              <w:t xml:space="preserve"> OR </w:t>
            </w:r>
            <w:proofErr w:type="spellStart"/>
            <w:r w:rsidR="00873306" w:rsidRPr="00873306">
              <w:rPr>
                <w:rFonts w:cstheme="minorHAnsi"/>
                <w:b w:val="0"/>
                <w:sz w:val="20"/>
                <w:szCs w:val="20"/>
              </w:rPr>
              <w:t>Triumeq</w:t>
            </w:r>
            <w:proofErr w:type="spellEnd"/>
            <w:r w:rsidR="00873306" w:rsidRPr="00873306">
              <w:rPr>
                <w:rFonts w:cstheme="minorHAnsi"/>
                <w:b w:val="0"/>
                <w:sz w:val="20"/>
                <w:szCs w:val="20"/>
              </w:rPr>
              <w:t xml:space="preserve"> OR </w:t>
            </w:r>
            <w:proofErr w:type="spellStart"/>
            <w:r w:rsidR="00873306" w:rsidRPr="00873306">
              <w:rPr>
                <w:rFonts w:cstheme="minorHAnsi"/>
                <w:b w:val="0"/>
                <w:sz w:val="20"/>
                <w:szCs w:val="20"/>
              </w:rPr>
              <w:t>Trizivir</w:t>
            </w:r>
            <w:proofErr w:type="spellEnd"/>
            <w:r w:rsidR="00873306" w:rsidRPr="00873306">
              <w:rPr>
                <w:rFonts w:cstheme="minorHAnsi"/>
                <w:b w:val="0"/>
                <w:sz w:val="20"/>
                <w:szCs w:val="20"/>
              </w:rPr>
              <w:t xml:space="preserve"> </w:t>
            </w:r>
          </w:p>
          <w:p w14:paraId="55CD17CD" w14:textId="0D34593E" w:rsidR="005C5EE1" w:rsidRPr="000F2789" w:rsidRDefault="00B805A3" w:rsidP="005C5EE1">
            <w:pPr>
              <w:pStyle w:val="Tableheading"/>
              <w:rPr>
                <w:rFonts w:cstheme="minorHAnsi"/>
                <w:b w:val="0"/>
                <w:sz w:val="20"/>
                <w:szCs w:val="20"/>
              </w:rPr>
            </w:pPr>
            <w:r>
              <w:rPr>
                <w:rFonts w:cstheme="minorHAnsi"/>
                <w:b w:val="0"/>
                <w:sz w:val="20"/>
                <w:szCs w:val="20"/>
              </w:rPr>
              <w:t xml:space="preserve">Not recommended in severe CKD: </w:t>
            </w:r>
            <w:proofErr w:type="spellStart"/>
            <w:r w:rsidR="00873306" w:rsidRPr="00873306">
              <w:rPr>
                <w:rFonts w:cstheme="minorHAnsi"/>
                <w:b w:val="0"/>
                <w:sz w:val="20"/>
                <w:szCs w:val="20"/>
              </w:rPr>
              <w:t>Biktarvy</w:t>
            </w:r>
            <w:proofErr w:type="spellEnd"/>
            <w:r w:rsidR="00873306" w:rsidRPr="00873306">
              <w:rPr>
                <w:rFonts w:cstheme="minorHAnsi"/>
                <w:b w:val="0"/>
                <w:sz w:val="20"/>
                <w:szCs w:val="20"/>
              </w:rPr>
              <w:t xml:space="preserve"> OR </w:t>
            </w:r>
            <w:proofErr w:type="spellStart"/>
            <w:r w:rsidR="00873306" w:rsidRPr="00873306">
              <w:rPr>
                <w:rFonts w:cstheme="minorHAnsi"/>
                <w:b w:val="0"/>
                <w:sz w:val="20"/>
                <w:szCs w:val="20"/>
              </w:rPr>
              <w:t>Descovy</w:t>
            </w:r>
            <w:proofErr w:type="spellEnd"/>
            <w:r w:rsidR="00873306" w:rsidRPr="00873306">
              <w:rPr>
                <w:rFonts w:cstheme="minorHAnsi"/>
                <w:b w:val="0"/>
                <w:sz w:val="20"/>
                <w:szCs w:val="20"/>
              </w:rPr>
              <w:t xml:space="preserve"> OR </w:t>
            </w:r>
            <w:proofErr w:type="spellStart"/>
            <w:r w:rsidR="00873306" w:rsidRPr="00873306">
              <w:rPr>
                <w:rFonts w:cstheme="minorHAnsi"/>
                <w:b w:val="0"/>
                <w:sz w:val="20"/>
                <w:szCs w:val="20"/>
              </w:rPr>
              <w:t>Genvoya</w:t>
            </w:r>
            <w:proofErr w:type="spellEnd"/>
            <w:r w:rsidR="00873306" w:rsidRPr="00873306">
              <w:rPr>
                <w:rFonts w:cstheme="minorHAnsi"/>
                <w:b w:val="0"/>
                <w:sz w:val="20"/>
                <w:szCs w:val="20"/>
              </w:rPr>
              <w:t xml:space="preserve"> OR </w:t>
            </w:r>
            <w:proofErr w:type="spellStart"/>
            <w:r w:rsidR="00873306" w:rsidRPr="00873306">
              <w:rPr>
                <w:rFonts w:cstheme="minorHAnsi"/>
                <w:b w:val="0"/>
                <w:sz w:val="20"/>
                <w:szCs w:val="20"/>
              </w:rPr>
              <w:t>Odefsey</w:t>
            </w:r>
            <w:proofErr w:type="spellEnd"/>
            <w:r w:rsidR="00873306" w:rsidRPr="00873306">
              <w:rPr>
                <w:rFonts w:cstheme="minorHAnsi"/>
                <w:b w:val="0"/>
                <w:sz w:val="20"/>
                <w:szCs w:val="20"/>
              </w:rPr>
              <w:t xml:space="preserve"> OR </w:t>
            </w:r>
            <w:proofErr w:type="spellStart"/>
            <w:r w:rsidR="00873306" w:rsidRPr="00873306">
              <w:rPr>
                <w:rFonts w:cstheme="minorHAnsi"/>
                <w:b w:val="0"/>
                <w:sz w:val="20"/>
                <w:szCs w:val="20"/>
              </w:rPr>
              <w:t>Symtuza</w:t>
            </w:r>
            <w:proofErr w:type="spellEnd"/>
            <w:r w:rsidR="00873306" w:rsidRPr="00873306">
              <w:rPr>
                <w:rFonts w:cstheme="minorHAnsi"/>
                <w:b w:val="0"/>
                <w:sz w:val="20"/>
                <w:szCs w:val="20"/>
              </w:rPr>
              <w:t xml:space="preserve"> OR Truvada</w:t>
            </w:r>
            <w:r w:rsidR="00A03B0B">
              <w:rPr>
                <w:rFonts w:cstheme="minorHAnsi"/>
                <w:b w:val="0"/>
                <w:sz w:val="20"/>
                <w:szCs w:val="20"/>
              </w:rPr>
              <w:t xml:space="preserve"> in </w:t>
            </w:r>
          </w:p>
        </w:tc>
        <w:tc>
          <w:tcPr>
            <w:tcW w:w="691" w:type="pct"/>
          </w:tcPr>
          <w:p w14:paraId="3817042A" w14:textId="46836D26" w:rsidR="005C5EE1" w:rsidRPr="000F2789" w:rsidRDefault="006A4B1F" w:rsidP="005C5EE1">
            <w:pPr>
              <w:pStyle w:val="Tableheading"/>
              <w:rPr>
                <w:rFonts w:cstheme="minorHAnsi"/>
                <w:b w:val="0"/>
                <w:sz w:val="20"/>
                <w:szCs w:val="20"/>
              </w:rPr>
            </w:pPr>
            <w:r>
              <w:rPr>
                <w:rFonts w:cstheme="minorHAnsi"/>
                <w:b w:val="0"/>
                <w:sz w:val="20"/>
                <w:szCs w:val="20"/>
              </w:rPr>
              <w:t>&lt;5</w:t>
            </w:r>
          </w:p>
        </w:tc>
        <w:tc>
          <w:tcPr>
            <w:tcW w:w="1109" w:type="pct"/>
          </w:tcPr>
          <w:p w14:paraId="6607A04A" w14:textId="3AFF2D30" w:rsidR="005C5EE1" w:rsidRPr="000F2789" w:rsidRDefault="006A4B1F" w:rsidP="005C5EE1">
            <w:pPr>
              <w:pStyle w:val="Tableheading"/>
              <w:rPr>
                <w:rFonts w:cstheme="minorHAnsi"/>
                <w:b w:val="0"/>
                <w:sz w:val="20"/>
                <w:szCs w:val="20"/>
              </w:rPr>
            </w:pPr>
            <w:r>
              <w:rPr>
                <w:rFonts w:cstheme="minorHAnsi"/>
                <w:b w:val="0"/>
                <w:sz w:val="20"/>
                <w:szCs w:val="20"/>
              </w:rPr>
              <w:t>-</w:t>
            </w:r>
          </w:p>
        </w:tc>
        <w:tc>
          <w:tcPr>
            <w:tcW w:w="1199" w:type="pct"/>
          </w:tcPr>
          <w:p w14:paraId="4D9D1957" w14:textId="6A7550DE" w:rsidR="005C5EE1" w:rsidRPr="000F2789" w:rsidRDefault="006A4B1F" w:rsidP="005C5EE1">
            <w:pPr>
              <w:pStyle w:val="Tableheading"/>
              <w:rPr>
                <w:rFonts w:cstheme="minorHAnsi"/>
                <w:b w:val="0"/>
                <w:sz w:val="20"/>
                <w:szCs w:val="20"/>
              </w:rPr>
            </w:pPr>
            <w:r>
              <w:rPr>
                <w:rFonts w:cstheme="minorHAnsi"/>
                <w:b w:val="0"/>
                <w:sz w:val="20"/>
                <w:szCs w:val="20"/>
              </w:rPr>
              <w:t>-</w:t>
            </w:r>
          </w:p>
        </w:tc>
      </w:tr>
      <w:tr w:rsidR="000108F8" w:rsidRPr="000F2789" w14:paraId="2C916ACF" w14:textId="77777777" w:rsidTr="00B711EB">
        <w:trPr>
          <w:trHeight w:val="20"/>
        </w:trPr>
        <w:tc>
          <w:tcPr>
            <w:tcW w:w="5000" w:type="pct"/>
            <w:gridSpan w:val="4"/>
            <w:shd w:val="clear" w:color="auto" w:fill="D9D9D9" w:themeFill="background1" w:themeFillShade="D9"/>
          </w:tcPr>
          <w:p w14:paraId="64019A82" w14:textId="3093C62E" w:rsidR="000108F8" w:rsidRPr="006B6DFF" w:rsidRDefault="000108F8" w:rsidP="001F3116">
            <w:pPr>
              <w:pStyle w:val="Tableheading"/>
              <w:rPr>
                <w:rFonts w:cstheme="minorHAnsi"/>
                <w:bCs/>
                <w:sz w:val="20"/>
                <w:szCs w:val="20"/>
              </w:rPr>
            </w:pPr>
            <w:r w:rsidRPr="006B6DFF">
              <w:rPr>
                <w:rFonts w:cstheme="minorHAnsi"/>
                <w:bCs/>
                <w:sz w:val="20"/>
                <w:szCs w:val="20"/>
              </w:rPr>
              <w:t>Mental health disorder</w:t>
            </w:r>
          </w:p>
        </w:tc>
      </w:tr>
      <w:tr w:rsidR="00F34F12" w:rsidRPr="000F2789" w14:paraId="63442EEF" w14:textId="77777777" w:rsidTr="00E34872">
        <w:trPr>
          <w:trHeight w:val="20"/>
        </w:trPr>
        <w:tc>
          <w:tcPr>
            <w:tcW w:w="2002" w:type="pct"/>
          </w:tcPr>
          <w:p w14:paraId="32F50B1F" w14:textId="1FA2E374" w:rsidR="00F34F12" w:rsidRDefault="00F34F12" w:rsidP="001F3116">
            <w:pPr>
              <w:pStyle w:val="Tableheading"/>
              <w:rPr>
                <w:rFonts w:cstheme="minorHAnsi"/>
                <w:b w:val="0"/>
                <w:sz w:val="20"/>
                <w:szCs w:val="20"/>
              </w:rPr>
            </w:pPr>
            <w:r w:rsidRPr="00F34F12">
              <w:rPr>
                <w:rFonts w:cstheme="minorHAnsi"/>
                <w:b w:val="0"/>
                <w:sz w:val="20"/>
                <w:szCs w:val="20"/>
              </w:rPr>
              <w:t xml:space="preserve">rilpivirine – </w:t>
            </w:r>
            <w:r w:rsidR="005C109F">
              <w:rPr>
                <w:rFonts w:cstheme="minorHAnsi"/>
                <w:b w:val="0"/>
                <w:sz w:val="20"/>
                <w:szCs w:val="20"/>
              </w:rPr>
              <w:t>avoid</w:t>
            </w:r>
          </w:p>
        </w:tc>
        <w:tc>
          <w:tcPr>
            <w:tcW w:w="691" w:type="pct"/>
          </w:tcPr>
          <w:p w14:paraId="7DB87CF9" w14:textId="34143DAE" w:rsidR="00F34F12" w:rsidRDefault="0050279B" w:rsidP="001F3116">
            <w:pPr>
              <w:pStyle w:val="Tableheading"/>
              <w:rPr>
                <w:rFonts w:cstheme="minorHAnsi"/>
                <w:b w:val="0"/>
                <w:sz w:val="20"/>
                <w:szCs w:val="20"/>
              </w:rPr>
            </w:pPr>
            <w:r>
              <w:rPr>
                <w:rFonts w:cstheme="minorHAnsi"/>
                <w:b w:val="0"/>
                <w:sz w:val="20"/>
                <w:szCs w:val="20"/>
              </w:rPr>
              <w:t>116</w:t>
            </w:r>
          </w:p>
        </w:tc>
        <w:tc>
          <w:tcPr>
            <w:tcW w:w="1109" w:type="pct"/>
          </w:tcPr>
          <w:p w14:paraId="299F5F0F" w14:textId="2D15EEDC" w:rsidR="00F34F12" w:rsidRDefault="0050279B" w:rsidP="001F3116">
            <w:pPr>
              <w:pStyle w:val="Tableheading"/>
              <w:rPr>
                <w:rFonts w:cstheme="minorHAnsi"/>
                <w:b w:val="0"/>
                <w:sz w:val="20"/>
                <w:szCs w:val="20"/>
              </w:rPr>
            </w:pPr>
            <w:r>
              <w:rPr>
                <w:rFonts w:cstheme="minorHAnsi"/>
                <w:b w:val="0"/>
                <w:sz w:val="20"/>
                <w:szCs w:val="20"/>
              </w:rPr>
              <w:t>14.3 (12.7, 16.0)</w:t>
            </w:r>
          </w:p>
        </w:tc>
        <w:tc>
          <w:tcPr>
            <w:tcW w:w="1199" w:type="pct"/>
          </w:tcPr>
          <w:p w14:paraId="620E8D00" w14:textId="1FCDCC4B" w:rsidR="00F34F12" w:rsidRDefault="005868E1" w:rsidP="001F3116">
            <w:pPr>
              <w:pStyle w:val="Tableheading"/>
              <w:rPr>
                <w:rFonts w:cstheme="minorHAnsi"/>
                <w:b w:val="0"/>
                <w:sz w:val="20"/>
                <w:szCs w:val="20"/>
              </w:rPr>
            </w:pPr>
            <w:r>
              <w:rPr>
                <w:rFonts w:cstheme="minorHAnsi"/>
                <w:b w:val="0"/>
                <w:sz w:val="20"/>
                <w:szCs w:val="20"/>
              </w:rPr>
              <w:t>7.6 (6.4, 8.9)</w:t>
            </w:r>
          </w:p>
        </w:tc>
      </w:tr>
      <w:tr w:rsidR="005C5EE1" w:rsidRPr="000F2789" w14:paraId="27471EC0" w14:textId="77777777" w:rsidTr="00E34872">
        <w:trPr>
          <w:trHeight w:val="20"/>
        </w:trPr>
        <w:tc>
          <w:tcPr>
            <w:tcW w:w="2002" w:type="pct"/>
          </w:tcPr>
          <w:p w14:paraId="5523E61D" w14:textId="2B2909AB" w:rsidR="005C5EE1" w:rsidRPr="000F2789" w:rsidRDefault="005B5F37" w:rsidP="001F3116">
            <w:pPr>
              <w:pStyle w:val="Tableheading"/>
              <w:rPr>
                <w:rFonts w:cstheme="minorHAnsi"/>
                <w:b w:val="0"/>
                <w:sz w:val="20"/>
                <w:szCs w:val="20"/>
              </w:rPr>
            </w:pPr>
            <w:r>
              <w:rPr>
                <w:rFonts w:cstheme="minorHAnsi"/>
                <w:b w:val="0"/>
                <w:sz w:val="20"/>
                <w:szCs w:val="20"/>
              </w:rPr>
              <w:lastRenderedPageBreak/>
              <w:t>r</w:t>
            </w:r>
            <w:r w:rsidR="00B711EB" w:rsidRPr="00B711EB">
              <w:rPr>
                <w:rFonts w:cstheme="minorHAnsi"/>
                <w:b w:val="0"/>
                <w:sz w:val="20"/>
                <w:szCs w:val="20"/>
              </w:rPr>
              <w:t>ilpivirine</w:t>
            </w:r>
            <w:r>
              <w:rPr>
                <w:rFonts w:cstheme="minorHAnsi"/>
                <w:b w:val="0"/>
                <w:sz w:val="20"/>
                <w:szCs w:val="20"/>
              </w:rPr>
              <w:t xml:space="preserve"> </w:t>
            </w:r>
            <w:r w:rsidR="00B711EB">
              <w:rPr>
                <w:rFonts w:cstheme="minorHAnsi"/>
                <w:b w:val="0"/>
                <w:sz w:val="20"/>
                <w:szCs w:val="20"/>
              </w:rPr>
              <w:t xml:space="preserve">– </w:t>
            </w:r>
            <w:r w:rsidR="00B6634A">
              <w:rPr>
                <w:rFonts w:cstheme="minorHAnsi"/>
                <w:b w:val="0"/>
                <w:sz w:val="20"/>
                <w:szCs w:val="20"/>
              </w:rPr>
              <w:t xml:space="preserve">avoid </w:t>
            </w:r>
            <w:r w:rsidR="005868E1">
              <w:rPr>
                <w:rFonts w:cstheme="minorHAnsi"/>
                <w:b w:val="0"/>
                <w:sz w:val="20"/>
                <w:szCs w:val="20"/>
              </w:rPr>
              <w:t>(</w:t>
            </w:r>
            <w:r w:rsidR="00B711EB" w:rsidRPr="00B711EB">
              <w:rPr>
                <w:rFonts w:cstheme="minorHAnsi"/>
                <w:b w:val="0"/>
                <w:sz w:val="20"/>
                <w:szCs w:val="20"/>
              </w:rPr>
              <w:t>depression</w:t>
            </w:r>
            <w:r w:rsidR="005868E1">
              <w:rPr>
                <w:rFonts w:cstheme="minorHAnsi"/>
                <w:b w:val="0"/>
                <w:sz w:val="20"/>
                <w:szCs w:val="20"/>
              </w:rPr>
              <w:t xml:space="preserve"> </w:t>
            </w:r>
            <w:r w:rsidR="00E34872">
              <w:rPr>
                <w:rFonts w:cstheme="minorHAnsi"/>
                <w:b w:val="0"/>
                <w:sz w:val="20"/>
                <w:szCs w:val="20"/>
              </w:rPr>
              <w:t xml:space="preserve">patients </w:t>
            </w:r>
            <w:r w:rsidR="005868E1">
              <w:rPr>
                <w:rFonts w:cstheme="minorHAnsi"/>
                <w:b w:val="0"/>
                <w:sz w:val="20"/>
                <w:szCs w:val="20"/>
              </w:rPr>
              <w:t>only</w:t>
            </w:r>
            <w:r w:rsidR="00E34872">
              <w:rPr>
                <w:rFonts w:cstheme="minorHAnsi"/>
                <w:b w:val="0"/>
                <w:sz w:val="20"/>
                <w:szCs w:val="20"/>
              </w:rPr>
              <w:t>)</w:t>
            </w:r>
          </w:p>
        </w:tc>
        <w:tc>
          <w:tcPr>
            <w:tcW w:w="691" w:type="pct"/>
          </w:tcPr>
          <w:p w14:paraId="5D3FD295" w14:textId="792AE9AA" w:rsidR="005C5EE1" w:rsidRPr="000F2789" w:rsidRDefault="0091557B" w:rsidP="001F3116">
            <w:pPr>
              <w:pStyle w:val="Tableheading"/>
              <w:rPr>
                <w:rFonts w:cstheme="minorHAnsi"/>
                <w:b w:val="0"/>
                <w:sz w:val="20"/>
                <w:szCs w:val="20"/>
              </w:rPr>
            </w:pPr>
            <w:r>
              <w:rPr>
                <w:rFonts w:cstheme="minorHAnsi"/>
                <w:b w:val="0"/>
                <w:sz w:val="20"/>
                <w:szCs w:val="20"/>
              </w:rPr>
              <w:t>89</w:t>
            </w:r>
          </w:p>
        </w:tc>
        <w:tc>
          <w:tcPr>
            <w:tcW w:w="1109" w:type="pct"/>
          </w:tcPr>
          <w:p w14:paraId="747E751E" w14:textId="3F90C11F" w:rsidR="005C5EE1" w:rsidRPr="000F2789" w:rsidRDefault="0091557B" w:rsidP="001F3116">
            <w:pPr>
              <w:pStyle w:val="Tableheading"/>
              <w:rPr>
                <w:rFonts w:cstheme="minorHAnsi"/>
                <w:b w:val="0"/>
                <w:sz w:val="20"/>
                <w:szCs w:val="20"/>
              </w:rPr>
            </w:pPr>
            <w:r>
              <w:rPr>
                <w:rFonts w:cstheme="minorHAnsi"/>
                <w:b w:val="0"/>
                <w:sz w:val="20"/>
                <w:szCs w:val="20"/>
              </w:rPr>
              <w:t>14.2 (11.8, 16.6)</w:t>
            </w:r>
          </w:p>
        </w:tc>
        <w:tc>
          <w:tcPr>
            <w:tcW w:w="1199" w:type="pct"/>
          </w:tcPr>
          <w:p w14:paraId="325FFBAE" w14:textId="73D33367" w:rsidR="005C5EE1" w:rsidRPr="000F2789" w:rsidRDefault="0091557B" w:rsidP="001F3116">
            <w:pPr>
              <w:pStyle w:val="Tableheading"/>
              <w:rPr>
                <w:rFonts w:cstheme="minorHAnsi"/>
                <w:b w:val="0"/>
                <w:sz w:val="20"/>
                <w:szCs w:val="20"/>
              </w:rPr>
            </w:pPr>
            <w:r>
              <w:rPr>
                <w:rFonts w:cstheme="minorHAnsi"/>
                <w:b w:val="0"/>
                <w:sz w:val="20"/>
                <w:szCs w:val="20"/>
              </w:rPr>
              <w:t>5.9 (4.5, 7.3)</w:t>
            </w:r>
          </w:p>
        </w:tc>
      </w:tr>
      <w:tr w:rsidR="005B5F37" w:rsidRPr="000F2789" w14:paraId="0EAAEEB8" w14:textId="77777777" w:rsidTr="00E34872">
        <w:trPr>
          <w:trHeight w:val="20"/>
        </w:trPr>
        <w:tc>
          <w:tcPr>
            <w:tcW w:w="2002" w:type="pct"/>
          </w:tcPr>
          <w:p w14:paraId="168E74DF" w14:textId="18D0130D" w:rsidR="005B5F37" w:rsidRDefault="0015797F" w:rsidP="001F3116">
            <w:pPr>
              <w:pStyle w:val="Tableheading"/>
              <w:rPr>
                <w:rFonts w:cstheme="minorHAnsi"/>
                <w:b w:val="0"/>
                <w:sz w:val="20"/>
                <w:szCs w:val="20"/>
              </w:rPr>
            </w:pPr>
            <w:r>
              <w:rPr>
                <w:rFonts w:cstheme="minorHAnsi"/>
                <w:b w:val="0"/>
                <w:sz w:val="20"/>
                <w:szCs w:val="20"/>
              </w:rPr>
              <w:t>efavirenz</w:t>
            </w:r>
            <w:r w:rsidR="005B5F37" w:rsidRPr="005B5F37">
              <w:rPr>
                <w:rFonts w:cstheme="minorHAnsi"/>
                <w:b w:val="0"/>
                <w:sz w:val="20"/>
                <w:szCs w:val="20"/>
              </w:rPr>
              <w:t xml:space="preserve"> – </w:t>
            </w:r>
            <w:r w:rsidR="005868E1">
              <w:rPr>
                <w:rFonts w:cstheme="minorHAnsi"/>
                <w:b w:val="0"/>
                <w:sz w:val="20"/>
                <w:szCs w:val="20"/>
              </w:rPr>
              <w:t>avoid</w:t>
            </w:r>
          </w:p>
        </w:tc>
        <w:tc>
          <w:tcPr>
            <w:tcW w:w="691" w:type="pct"/>
          </w:tcPr>
          <w:p w14:paraId="722647F4" w14:textId="12B1440B" w:rsidR="005B5F37" w:rsidRDefault="00E34872" w:rsidP="001F3116">
            <w:pPr>
              <w:pStyle w:val="Tableheading"/>
              <w:rPr>
                <w:rFonts w:cstheme="minorHAnsi"/>
                <w:b w:val="0"/>
                <w:sz w:val="20"/>
                <w:szCs w:val="20"/>
              </w:rPr>
            </w:pPr>
            <w:r>
              <w:rPr>
                <w:rFonts w:cstheme="minorHAnsi"/>
                <w:b w:val="0"/>
                <w:sz w:val="20"/>
                <w:szCs w:val="20"/>
              </w:rPr>
              <w:t>34</w:t>
            </w:r>
          </w:p>
        </w:tc>
        <w:tc>
          <w:tcPr>
            <w:tcW w:w="1109" w:type="pct"/>
          </w:tcPr>
          <w:p w14:paraId="41A35DA4" w14:textId="57196F25" w:rsidR="005B5F37" w:rsidRDefault="00E34872" w:rsidP="001F3116">
            <w:pPr>
              <w:pStyle w:val="Tableheading"/>
              <w:rPr>
                <w:rFonts w:cstheme="minorHAnsi"/>
                <w:b w:val="0"/>
                <w:sz w:val="20"/>
                <w:szCs w:val="20"/>
              </w:rPr>
            </w:pPr>
            <w:r>
              <w:rPr>
                <w:rFonts w:cstheme="minorHAnsi"/>
                <w:b w:val="0"/>
                <w:sz w:val="20"/>
                <w:szCs w:val="20"/>
              </w:rPr>
              <w:t xml:space="preserve">4.2 (1.8, </w:t>
            </w:r>
            <w:r w:rsidR="00E66701">
              <w:rPr>
                <w:rFonts w:cstheme="minorHAnsi"/>
                <w:b w:val="0"/>
                <w:sz w:val="20"/>
                <w:szCs w:val="20"/>
              </w:rPr>
              <w:t>6.6)</w:t>
            </w:r>
          </w:p>
        </w:tc>
        <w:tc>
          <w:tcPr>
            <w:tcW w:w="1199" w:type="pct"/>
          </w:tcPr>
          <w:p w14:paraId="334C3C1D" w14:textId="76D7303C" w:rsidR="005B5F37" w:rsidRDefault="00E66701" w:rsidP="001F3116">
            <w:pPr>
              <w:pStyle w:val="Tableheading"/>
              <w:rPr>
                <w:rFonts w:cstheme="minorHAnsi"/>
                <w:b w:val="0"/>
                <w:sz w:val="20"/>
                <w:szCs w:val="20"/>
              </w:rPr>
            </w:pPr>
            <w:r>
              <w:rPr>
                <w:rFonts w:cstheme="minorHAnsi"/>
                <w:b w:val="0"/>
                <w:sz w:val="20"/>
                <w:szCs w:val="20"/>
              </w:rPr>
              <w:t>2.2 (0.9, 3.6)</w:t>
            </w:r>
          </w:p>
        </w:tc>
      </w:tr>
      <w:tr w:rsidR="00E34872" w:rsidRPr="000F2789" w14:paraId="751AB780" w14:textId="77777777" w:rsidTr="00E34872">
        <w:trPr>
          <w:trHeight w:val="20"/>
        </w:trPr>
        <w:tc>
          <w:tcPr>
            <w:tcW w:w="2002" w:type="pct"/>
          </w:tcPr>
          <w:p w14:paraId="7D52141A" w14:textId="14C3B610" w:rsidR="00E34872" w:rsidRDefault="00E34872" w:rsidP="00E34872">
            <w:pPr>
              <w:pStyle w:val="Tableheading"/>
              <w:rPr>
                <w:rFonts w:cstheme="minorHAnsi"/>
                <w:b w:val="0"/>
                <w:sz w:val="20"/>
                <w:szCs w:val="20"/>
              </w:rPr>
            </w:pPr>
            <w:r w:rsidRPr="00CB6EDF">
              <w:rPr>
                <w:rFonts w:cstheme="minorHAnsi"/>
                <w:b w:val="0"/>
                <w:sz w:val="20"/>
                <w:szCs w:val="20"/>
              </w:rPr>
              <w:t xml:space="preserve">efavirenz – </w:t>
            </w:r>
            <w:r>
              <w:rPr>
                <w:rFonts w:cstheme="minorHAnsi"/>
                <w:b w:val="0"/>
                <w:sz w:val="20"/>
                <w:szCs w:val="20"/>
              </w:rPr>
              <w:t>avoid (depression patients only)</w:t>
            </w:r>
          </w:p>
        </w:tc>
        <w:tc>
          <w:tcPr>
            <w:tcW w:w="691" w:type="pct"/>
          </w:tcPr>
          <w:p w14:paraId="50DA1890" w14:textId="2BCB9F91" w:rsidR="00E34872" w:rsidRDefault="00E34872" w:rsidP="00E34872">
            <w:pPr>
              <w:pStyle w:val="Tableheading"/>
              <w:rPr>
                <w:rFonts w:cstheme="minorHAnsi"/>
                <w:b w:val="0"/>
                <w:sz w:val="20"/>
                <w:szCs w:val="20"/>
              </w:rPr>
            </w:pPr>
            <w:r>
              <w:rPr>
                <w:rFonts w:cstheme="minorHAnsi"/>
                <w:b w:val="0"/>
                <w:sz w:val="20"/>
                <w:szCs w:val="20"/>
              </w:rPr>
              <w:t>24</w:t>
            </w:r>
          </w:p>
        </w:tc>
        <w:tc>
          <w:tcPr>
            <w:tcW w:w="1109" w:type="pct"/>
          </w:tcPr>
          <w:p w14:paraId="59ED3489" w14:textId="6DDD57CD" w:rsidR="00E34872" w:rsidRPr="00A377D0" w:rsidRDefault="00E34872" w:rsidP="00E34872">
            <w:pPr>
              <w:pStyle w:val="Tableheading"/>
              <w:rPr>
                <w:rFonts w:cstheme="minorHAnsi"/>
                <w:b w:val="0"/>
                <w:sz w:val="20"/>
                <w:szCs w:val="20"/>
              </w:rPr>
            </w:pPr>
            <w:r>
              <w:rPr>
                <w:rFonts w:cstheme="minorHAnsi"/>
                <w:b w:val="0"/>
                <w:sz w:val="20"/>
                <w:szCs w:val="20"/>
              </w:rPr>
              <w:t>3.8 (1.8, 5.9)</w:t>
            </w:r>
          </w:p>
        </w:tc>
        <w:tc>
          <w:tcPr>
            <w:tcW w:w="1199" w:type="pct"/>
          </w:tcPr>
          <w:p w14:paraId="7C055F02" w14:textId="07CDDA1B" w:rsidR="00E34872" w:rsidRPr="00A377D0" w:rsidRDefault="00E34872" w:rsidP="00E34872">
            <w:pPr>
              <w:pStyle w:val="Tableheading"/>
              <w:rPr>
                <w:rFonts w:cstheme="minorHAnsi"/>
                <w:b w:val="0"/>
                <w:sz w:val="20"/>
                <w:szCs w:val="20"/>
              </w:rPr>
            </w:pPr>
            <w:r>
              <w:rPr>
                <w:rFonts w:cstheme="minorHAnsi"/>
                <w:b w:val="0"/>
                <w:sz w:val="20"/>
                <w:szCs w:val="20"/>
              </w:rPr>
              <w:t>1.6 (0.7, 2.5)</w:t>
            </w:r>
          </w:p>
        </w:tc>
      </w:tr>
      <w:tr w:rsidR="00E34872" w:rsidRPr="000F2789" w14:paraId="2FD8A48F" w14:textId="77777777" w:rsidTr="00391EA6">
        <w:trPr>
          <w:trHeight w:val="20"/>
        </w:trPr>
        <w:tc>
          <w:tcPr>
            <w:tcW w:w="5000" w:type="pct"/>
            <w:gridSpan w:val="4"/>
            <w:shd w:val="clear" w:color="auto" w:fill="D9D9D9" w:themeFill="background1" w:themeFillShade="D9"/>
          </w:tcPr>
          <w:p w14:paraId="72292761" w14:textId="180BA7E2" w:rsidR="00E34872" w:rsidRPr="006B6DFF" w:rsidRDefault="00E34872" w:rsidP="00E34872">
            <w:pPr>
              <w:pStyle w:val="Tableheading"/>
              <w:rPr>
                <w:rFonts w:cstheme="minorHAnsi"/>
                <w:bCs/>
                <w:sz w:val="20"/>
                <w:szCs w:val="20"/>
              </w:rPr>
            </w:pPr>
            <w:r w:rsidRPr="006B6DFF">
              <w:rPr>
                <w:rFonts w:cstheme="minorHAnsi"/>
                <w:bCs/>
                <w:sz w:val="20"/>
                <w:szCs w:val="20"/>
              </w:rPr>
              <w:t>CVD</w:t>
            </w:r>
          </w:p>
        </w:tc>
      </w:tr>
      <w:tr w:rsidR="00E34872" w:rsidRPr="000F2789" w14:paraId="5B0418DC" w14:textId="77777777" w:rsidTr="00E34872">
        <w:trPr>
          <w:trHeight w:val="20"/>
        </w:trPr>
        <w:tc>
          <w:tcPr>
            <w:tcW w:w="2002" w:type="pct"/>
          </w:tcPr>
          <w:p w14:paraId="353D6CD3" w14:textId="2E627E63" w:rsidR="00E34872" w:rsidRPr="000F2789" w:rsidRDefault="00E34872" w:rsidP="00E34872">
            <w:pPr>
              <w:pStyle w:val="Tableheading"/>
              <w:rPr>
                <w:rFonts w:cstheme="minorHAnsi"/>
                <w:b w:val="0"/>
                <w:sz w:val="20"/>
                <w:szCs w:val="20"/>
              </w:rPr>
            </w:pPr>
            <w:r>
              <w:rPr>
                <w:rFonts w:cstheme="minorHAnsi"/>
                <w:b w:val="0"/>
                <w:sz w:val="20"/>
                <w:szCs w:val="20"/>
              </w:rPr>
              <w:t>HIV-PIs*</w:t>
            </w:r>
          </w:p>
        </w:tc>
        <w:tc>
          <w:tcPr>
            <w:tcW w:w="691" w:type="pct"/>
          </w:tcPr>
          <w:p w14:paraId="10849972" w14:textId="2625E962" w:rsidR="00E34872" w:rsidRPr="000F2789" w:rsidRDefault="00E34872" w:rsidP="00E34872">
            <w:pPr>
              <w:pStyle w:val="Tableheading"/>
              <w:rPr>
                <w:rFonts w:cstheme="minorHAnsi"/>
                <w:b w:val="0"/>
                <w:sz w:val="20"/>
                <w:szCs w:val="20"/>
              </w:rPr>
            </w:pPr>
            <w:r>
              <w:rPr>
                <w:rFonts w:cstheme="minorHAnsi"/>
                <w:b w:val="0"/>
                <w:sz w:val="20"/>
                <w:szCs w:val="20"/>
              </w:rPr>
              <w:t>32</w:t>
            </w:r>
          </w:p>
        </w:tc>
        <w:tc>
          <w:tcPr>
            <w:tcW w:w="1109" w:type="pct"/>
          </w:tcPr>
          <w:p w14:paraId="49FF6622" w14:textId="129EC273" w:rsidR="00E34872" w:rsidRPr="000F2789" w:rsidRDefault="00E34872" w:rsidP="00E34872">
            <w:pPr>
              <w:pStyle w:val="Tableheading"/>
              <w:rPr>
                <w:rFonts w:cstheme="minorHAnsi"/>
                <w:b w:val="0"/>
                <w:sz w:val="20"/>
                <w:szCs w:val="20"/>
              </w:rPr>
            </w:pPr>
            <w:r>
              <w:rPr>
                <w:rFonts w:cstheme="minorHAnsi"/>
                <w:b w:val="0"/>
                <w:sz w:val="20"/>
                <w:szCs w:val="20"/>
              </w:rPr>
              <w:t>25.0 (17.3, 32.7)</w:t>
            </w:r>
          </w:p>
        </w:tc>
        <w:tc>
          <w:tcPr>
            <w:tcW w:w="1199" w:type="pct"/>
          </w:tcPr>
          <w:p w14:paraId="65FDF746" w14:textId="6E621644" w:rsidR="00E34872" w:rsidRPr="000F2789" w:rsidRDefault="00E34872" w:rsidP="00E34872">
            <w:pPr>
              <w:pStyle w:val="Tableheading"/>
              <w:rPr>
                <w:rFonts w:cstheme="minorHAnsi"/>
                <w:b w:val="0"/>
                <w:sz w:val="20"/>
                <w:szCs w:val="20"/>
              </w:rPr>
            </w:pPr>
            <w:r>
              <w:rPr>
                <w:rFonts w:cstheme="minorHAnsi"/>
                <w:b w:val="0"/>
                <w:sz w:val="20"/>
                <w:szCs w:val="20"/>
              </w:rPr>
              <w:t>2.1 (1.0, 3.2)</w:t>
            </w:r>
          </w:p>
        </w:tc>
      </w:tr>
      <w:tr w:rsidR="00E34872" w:rsidRPr="000F2789" w14:paraId="6CC0E108" w14:textId="77777777" w:rsidTr="008C66F7">
        <w:trPr>
          <w:trHeight w:val="20"/>
        </w:trPr>
        <w:tc>
          <w:tcPr>
            <w:tcW w:w="5000" w:type="pct"/>
            <w:gridSpan w:val="4"/>
            <w:shd w:val="clear" w:color="auto" w:fill="D9D9D9" w:themeFill="background1" w:themeFillShade="D9"/>
          </w:tcPr>
          <w:p w14:paraId="2D09D1C3" w14:textId="3C4CA363" w:rsidR="00E34872" w:rsidRPr="006B6DFF" w:rsidRDefault="00E34872" w:rsidP="00E34872">
            <w:pPr>
              <w:pStyle w:val="Tableheading"/>
              <w:rPr>
                <w:rFonts w:cstheme="minorHAnsi"/>
                <w:bCs/>
                <w:sz w:val="20"/>
                <w:szCs w:val="20"/>
              </w:rPr>
            </w:pPr>
            <w:r w:rsidRPr="006B6DFF">
              <w:rPr>
                <w:rFonts w:cstheme="minorHAnsi"/>
                <w:bCs/>
                <w:sz w:val="20"/>
                <w:szCs w:val="20"/>
              </w:rPr>
              <w:t>At risk of CVD</w:t>
            </w:r>
          </w:p>
        </w:tc>
      </w:tr>
      <w:tr w:rsidR="00E34872" w:rsidRPr="000F2789" w14:paraId="5E0A7B1E" w14:textId="77777777" w:rsidTr="00E34872">
        <w:trPr>
          <w:trHeight w:val="20"/>
        </w:trPr>
        <w:tc>
          <w:tcPr>
            <w:tcW w:w="2002" w:type="pct"/>
          </w:tcPr>
          <w:p w14:paraId="15FBDC90" w14:textId="43A1A6F9" w:rsidR="00E34872" w:rsidRPr="000F2789" w:rsidRDefault="00E34872" w:rsidP="00E34872">
            <w:pPr>
              <w:pStyle w:val="Tableheading"/>
              <w:rPr>
                <w:rFonts w:cstheme="minorHAnsi"/>
                <w:b w:val="0"/>
                <w:sz w:val="20"/>
                <w:szCs w:val="20"/>
              </w:rPr>
            </w:pPr>
            <w:r>
              <w:rPr>
                <w:rFonts w:cstheme="minorHAnsi"/>
                <w:b w:val="0"/>
                <w:sz w:val="20"/>
                <w:szCs w:val="20"/>
              </w:rPr>
              <w:t>HIV-PIs*</w:t>
            </w:r>
          </w:p>
        </w:tc>
        <w:tc>
          <w:tcPr>
            <w:tcW w:w="691" w:type="pct"/>
          </w:tcPr>
          <w:p w14:paraId="7A49386E" w14:textId="2F4575FD" w:rsidR="00E34872" w:rsidRPr="000F2789" w:rsidRDefault="00E34872" w:rsidP="00E34872">
            <w:pPr>
              <w:pStyle w:val="Tableheading"/>
              <w:rPr>
                <w:rFonts w:cstheme="minorHAnsi"/>
                <w:b w:val="0"/>
                <w:sz w:val="20"/>
                <w:szCs w:val="20"/>
              </w:rPr>
            </w:pPr>
            <w:r>
              <w:rPr>
                <w:rFonts w:cstheme="minorHAnsi"/>
                <w:b w:val="0"/>
                <w:sz w:val="20"/>
                <w:szCs w:val="20"/>
              </w:rPr>
              <w:t>97</w:t>
            </w:r>
          </w:p>
        </w:tc>
        <w:tc>
          <w:tcPr>
            <w:tcW w:w="1109" w:type="pct"/>
          </w:tcPr>
          <w:p w14:paraId="6606D609" w14:textId="50B45370" w:rsidR="00E34872" w:rsidRPr="000F2789" w:rsidRDefault="00E34872" w:rsidP="00E34872">
            <w:pPr>
              <w:pStyle w:val="Tableheading"/>
              <w:rPr>
                <w:rFonts w:cstheme="minorHAnsi"/>
                <w:b w:val="0"/>
                <w:sz w:val="20"/>
                <w:szCs w:val="20"/>
              </w:rPr>
            </w:pPr>
            <w:r>
              <w:rPr>
                <w:rFonts w:cstheme="minorHAnsi"/>
                <w:b w:val="0"/>
                <w:sz w:val="20"/>
                <w:szCs w:val="20"/>
              </w:rPr>
              <w:t>14.5 (12.8, 16.3)</w:t>
            </w:r>
          </w:p>
        </w:tc>
        <w:tc>
          <w:tcPr>
            <w:tcW w:w="1199" w:type="pct"/>
          </w:tcPr>
          <w:p w14:paraId="2F4DFDB3" w14:textId="65E442F1" w:rsidR="00E34872" w:rsidRPr="000F2789" w:rsidRDefault="00E34872" w:rsidP="00E34872">
            <w:pPr>
              <w:pStyle w:val="Tableheading"/>
              <w:rPr>
                <w:rFonts w:cstheme="minorHAnsi"/>
                <w:b w:val="0"/>
                <w:sz w:val="20"/>
                <w:szCs w:val="20"/>
              </w:rPr>
            </w:pPr>
            <w:r>
              <w:rPr>
                <w:rFonts w:cstheme="minorHAnsi"/>
                <w:b w:val="0"/>
                <w:sz w:val="20"/>
                <w:szCs w:val="20"/>
              </w:rPr>
              <w:t>6.4 (5.1, 7.7)</w:t>
            </w:r>
          </w:p>
        </w:tc>
      </w:tr>
      <w:tr w:rsidR="00E34872" w:rsidRPr="000F2789" w14:paraId="71BF1CE4" w14:textId="77777777" w:rsidTr="00E34872">
        <w:trPr>
          <w:trHeight w:val="20"/>
        </w:trPr>
        <w:tc>
          <w:tcPr>
            <w:tcW w:w="2002" w:type="pct"/>
          </w:tcPr>
          <w:p w14:paraId="22D9E9F4" w14:textId="505508E0" w:rsidR="00E34872" w:rsidRPr="000F2789" w:rsidRDefault="00E34872" w:rsidP="00E34872">
            <w:pPr>
              <w:pStyle w:val="Tableheading"/>
              <w:rPr>
                <w:rFonts w:cstheme="minorHAnsi"/>
                <w:b w:val="0"/>
                <w:sz w:val="20"/>
                <w:szCs w:val="20"/>
              </w:rPr>
            </w:pPr>
            <w:r>
              <w:rPr>
                <w:rFonts w:cstheme="minorHAnsi"/>
                <w:b w:val="0"/>
                <w:sz w:val="20"/>
                <w:szCs w:val="20"/>
              </w:rPr>
              <w:t>abacavir</w:t>
            </w:r>
          </w:p>
        </w:tc>
        <w:tc>
          <w:tcPr>
            <w:tcW w:w="691" w:type="pct"/>
          </w:tcPr>
          <w:p w14:paraId="1CF0FC3A" w14:textId="105893F0" w:rsidR="00E34872" w:rsidRPr="000F2789" w:rsidRDefault="00E34872" w:rsidP="00E34872">
            <w:pPr>
              <w:pStyle w:val="Tableheading"/>
              <w:rPr>
                <w:rFonts w:cstheme="minorHAnsi"/>
                <w:b w:val="0"/>
                <w:sz w:val="20"/>
                <w:szCs w:val="20"/>
              </w:rPr>
            </w:pPr>
            <w:r>
              <w:rPr>
                <w:rFonts w:cstheme="minorHAnsi"/>
                <w:b w:val="0"/>
                <w:sz w:val="20"/>
                <w:szCs w:val="20"/>
              </w:rPr>
              <w:t>184</w:t>
            </w:r>
          </w:p>
        </w:tc>
        <w:tc>
          <w:tcPr>
            <w:tcW w:w="1109" w:type="pct"/>
          </w:tcPr>
          <w:p w14:paraId="6408F497" w14:textId="1917CD41" w:rsidR="00E34872" w:rsidRPr="000F2789" w:rsidRDefault="00E34872" w:rsidP="00E34872">
            <w:pPr>
              <w:pStyle w:val="Tableheading"/>
              <w:rPr>
                <w:rFonts w:cstheme="minorHAnsi"/>
                <w:b w:val="0"/>
                <w:sz w:val="20"/>
                <w:szCs w:val="20"/>
              </w:rPr>
            </w:pPr>
            <w:r>
              <w:rPr>
                <w:rFonts w:cstheme="minorHAnsi"/>
                <w:b w:val="0"/>
                <w:sz w:val="20"/>
                <w:szCs w:val="20"/>
              </w:rPr>
              <w:t>27.6 (19.8, 35.3)</w:t>
            </w:r>
          </w:p>
        </w:tc>
        <w:tc>
          <w:tcPr>
            <w:tcW w:w="1199" w:type="pct"/>
          </w:tcPr>
          <w:p w14:paraId="469C358C" w14:textId="6D8D5D75" w:rsidR="00E34872" w:rsidRPr="000F2789" w:rsidRDefault="00E34872" w:rsidP="00E34872">
            <w:pPr>
              <w:pStyle w:val="Tableheading"/>
              <w:rPr>
                <w:rFonts w:cstheme="minorHAnsi"/>
                <w:b w:val="0"/>
                <w:sz w:val="20"/>
                <w:szCs w:val="20"/>
              </w:rPr>
            </w:pPr>
            <w:r>
              <w:rPr>
                <w:rFonts w:cstheme="minorHAnsi"/>
                <w:b w:val="0"/>
                <w:sz w:val="20"/>
                <w:szCs w:val="20"/>
              </w:rPr>
              <w:t>12.1 (7.0, 17.2)</w:t>
            </w:r>
          </w:p>
        </w:tc>
      </w:tr>
      <w:tr w:rsidR="00E34872" w:rsidRPr="000F2789" w14:paraId="1A64863F" w14:textId="77777777" w:rsidTr="006B6DFF">
        <w:trPr>
          <w:trHeight w:val="20"/>
        </w:trPr>
        <w:tc>
          <w:tcPr>
            <w:tcW w:w="5000" w:type="pct"/>
            <w:gridSpan w:val="4"/>
            <w:shd w:val="clear" w:color="auto" w:fill="D9D9D9" w:themeFill="background1" w:themeFillShade="D9"/>
          </w:tcPr>
          <w:p w14:paraId="3D55A9EC" w14:textId="77DEBCE5" w:rsidR="00E34872" w:rsidRPr="006B6DFF" w:rsidRDefault="00E34872" w:rsidP="00E34872">
            <w:pPr>
              <w:pStyle w:val="Tableheading"/>
              <w:rPr>
                <w:rFonts w:cstheme="minorHAnsi"/>
                <w:bCs/>
                <w:sz w:val="20"/>
                <w:szCs w:val="20"/>
              </w:rPr>
            </w:pPr>
            <w:r w:rsidRPr="006B6DFF">
              <w:rPr>
                <w:rFonts w:cstheme="minorHAnsi"/>
                <w:bCs/>
                <w:sz w:val="20"/>
                <w:szCs w:val="20"/>
              </w:rPr>
              <w:t>Diabetes (Type</w:t>
            </w:r>
            <w:r>
              <w:rPr>
                <w:rFonts w:cstheme="minorHAnsi"/>
                <w:bCs/>
                <w:sz w:val="20"/>
                <w:szCs w:val="20"/>
              </w:rPr>
              <w:t xml:space="preserve"> 1, 2 or </w:t>
            </w:r>
            <w:r w:rsidRPr="006B6DFF">
              <w:rPr>
                <w:rFonts w:cstheme="minorHAnsi"/>
                <w:bCs/>
                <w:sz w:val="20"/>
                <w:szCs w:val="20"/>
              </w:rPr>
              <w:t>unspecified)</w:t>
            </w:r>
          </w:p>
        </w:tc>
      </w:tr>
      <w:tr w:rsidR="00E34872" w:rsidRPr="000F2789" w14:paraId="466A0739" w14:textId="77777777" w:rsidTr="00E34872">
        <w:trPr>
          <w:trHeight w:val="20"/>
        </w:trPr>
        <w:tc>
          <w:tcPr>
            <w:tcW w:w="2002" w:type="pct"/>
          </w:tcPr>
          <w:p w14:paraId="6691840E" w14:textId="068B0A38" w:rsidR="00E34872" w:rsidRPr="0030450D" w:rsidRDefault="00E34872" w:rsidP="00E34872">
            <w:pPr>
              <w:pStyle w:val="Tableheading"/>
              <w:rPr>
                <w:rFonts w:cstheme="minorHAnsi"/>
                <w:b w:val="0"/>
                <w:sz w:val="20"/>
                <w:szCs w:val="20"/>
              </w:rPr>
            </w:pPr>
            <w:r>
              <w:rPr>
                <w:rFonts w:cstheme="minorHAnsi"/>
                <w:b w:val="0"/>
                <w:sz w:val="20"/>
                <w:szCs w:val="20"/>
              </w:rPr>
              <w:t>HIV-PIs</w:t>
            </w:r>
          </w:p>
        </w:tc>
        <w:tc>
          <w:tcPr>
            <w:tcW w:w="691" w:type="pct"/>
          </w:tcPr>
          <w:p w14:paraId="7783F336" w14:textId="3001E10A" w:rsidR="00E34872" w:rsidRPr="0030450D" w:rsidRDefault="00E34872" w:rsidP="00E34872">
            <w:pPr>
              <w:pStyle w:val="Tableheading"/>
              <w:rPr>
                <w:rFonts w:cstheme="minorHAnsi"/>
                <w:b w:val="0"/>
                <w:sz w:val="20"/>
                <w:szCs w:val="20"/>
              </w:rPr>
            </w:pPr>
            <w:r w:rsidRPr="0030450D">
              <w:rPr>
                <w:rFonts w:cstheme="minorHAnsi"/>
                <w:b w:val="0"/>
                <w:sz w:val="20"/>
                <w:szCs w:val="20"/>
              </w:rPr>
              <w:t>19</w:t>
            </w:r>
          </w:p>
        </w:tc>
        <w:tc>
          <w:tcPr>
            <w:tcW w:w="1109" w:type="pct"/>
          </w:tcPr>
          <w:p w14:paraId="1C164E90" w14:textId="048BD31B" w:rsidR="00E34872" w:rsidRPr="0030450D" w:rsidRDefault="00E34872" w:rsidP="00E34872">
            <w:pPr>
              <w:pStyle w:val="Tableheading"/>
              <w:rPr>
                <w:rFonts w:cstheme="minorHAnsi"/>
                <w:b w:val="0"/>
                <w:sz w:val="20"/>
                <w:szCs w:val="20"/>
              </w:rPr>
            </w:pPr>
            <w:r w:rsidRPr="0030450D">
              <w:rPr>
                <w:rFonts w:cstheme="minorHAnsi"/>
                <w:b w:val="0"/>
                <w:sz w:val="20"/>
                <w:szCs w:val="20"/>
              </w:rPr>
              <w:t>18.3 (13.1, 23.5)</w:t>
            </w:r>
          </w:p>
        </w:tc>
        <w:tc>
          <w:tcPr>
            <w:tcW w:w="1199" w:type="pct"/>
          </w:tcPr>
          <w:p w14:paraId="1ED0AC2D" w14:textId="5842E49B" w:rsidR="00E34872" w:rsidRPr="0030450D" w:rsidRDefault="00E34872" w:rsidP="00E34872">
            <w:pPr>
              <w:pStyle w:val="Tableheading"/>
              <w:rPr>
                <w:rFonts w:cstheme="minorHAnsi"/>
                <w:b w:val="0"/>
                <w:sz w:val="20"/>
                <w:szCs w:val="20"/>
              </w:rPr>
            </w:pPr>
            <w:r w:rsidRPr="0030450D">
              <w:rPr>
                <w:rFonts w:cstheme="minorHAnsi"/>
                <w:b w:val="0"/>
                <w:sz w:val="20"/>
                <w:szCs w:val="20"/>
              </w:rPr>
              <w:t>1.3 (1.0, 1.5)</w:t>
            </w:r>
          </w:p>
        </w:tc>
      </w:tr>
      <w:tr w:rsidR="00E34872" w:rsidRPr="000F2789" w14:paraId="7B0ED576" w14:textId="77777777" w:rsidTr="00C345A6">
        <w:trPr>
          <w:trHeight w:val="20"/>
        </w:trPr>
        <w:tc>
          <w:tcPr>
            <w:tcW w:w="5000" w:type="pct"/>
            <w:gridSpan w:val="4"/>
            <w:shd w:val="clear" w:color="auto" w:fill="D9D9D9" w:themeFill="background1" w:themeFillShade="D9"/>
          </w:tcPr>
          <w:p w14:paraId="225D944B" w14:textId="1AAF165D" w:rsidR="00E34872" w:rsidRPr="000F2789" w:rsidRDefault="00E34872" w:rsidP="00E34872">
            <w:pPr>
              <w:pStyle w:val="Tableheading"/>
              <w:rPr>
                <w:rFonts w:cstheme="minorHAnsi"/>
                <w:b w:val="0"/>
                <w:sz w:val="20"/>
                <w:szCs w:val="20"/>
              </w:rPr>
            </w:pPr>
            <w:r w:rsidRPr="00C345A6">
              <w:rPr>
                <w:rFonts w:cstheme="minorHAnsi"/>
                <w:bCs/>
                <w:sz w:val="20"/>
                <w:szCs w:val="20"/>
              </w:rPr>
              <w:t>Dyslipidaemia</w:t>
            </w:r>
          </w:p>
        </w:tc>
      </w:tr>
      <w:tr w:rsidR="00E34872" w:rsidRPr="000F2789" w14:paraId="01616B9D" w14:textId="77777777" w:rsidTr="00E34872">
        <w:trPr>
          <w:trHeight w:val="20"/>
        </w:trPr>
        <w:tc>
          <w:tcPr>
            <w:tcW w:w="2002" w:type="pct"/>
          </w:tcPr>
          <w:p w14:paraId="02BDE57F" w14:textId="4E18F7AB" w:rsidR="00E34872" w:rsidRDefault="00E34872" w:rsidP="00E34872">
            <w:pPr>
              <w:pStyle w:val="Tableheading"/>
              <w:rPr>
                <w:rFonts w:cstheme="minorHAnsi"/>
                <w:b w:val="0"/>
                <w:sz w:val="20"/>
                <w:szCs w:val="20"/>
              </w:rPr>
            </w:pPr>
            <w:r>
              <w:rPr>
                <w:rFonts w:cstheme="minorHAnsi"/>
                <w:b w:val="0"/>
                <w:sz w:val="20"/>
                <w:szCs w:val="20"/>
              </w:rPr>
              <w:t>HIV-PIs*</w:t>
            </w:r>
          </w:p>
        </w:tc>
        <w:tc>
          <w:tcPr>
            <w:tcW w:w="691" w:type="pct"/>
          </w:tcPr>
          <w:p w14:paraId="4A19F8AD" w14:textId="0E4C967A" w:rsidR="00E34872" w:rsidRPr="000F2789" w:rsidRDefault="00E34872" w:rsidP="00E34872">
            <w:pPr>
              <w:pStyle w:val="Tableheading"/>
              <w:rPr>
                <w:rFonts w:cstheme="minorHAnsi"/>
                <w:b w:val="0"/>
                <w:sz w:val="20"/>
                <w:szCs w:val="20"/>
              </w:rPr>
            </w:pPr>
            <w:r>
              <w:rPr>
                <w:rFonts w:cstheme="minorHAnsi"/>
                <w:b w:val="0"/>
                <w:sz w:val="20"/>
                <w:szCs w:val="20"/>
              </w:rPr>
              <w:t>66</w:t>
            </w:r>
          </w:p>
        </w:tc>
        <w:tc>
          <w:tcPr>
            <w:tcW w:w="1109" w:type="pct"/>
          </w:tcPr>
          <w:p w14:paraId="6165DFE3" w14:textId="3D21E619" w:rsidR="00E34872" w:rsidRPr="000F2789" w:rsidRDefault="00E34872" w:rsidP="00E34872">
            <w:pPr>
              <w:pStyle w:val="Tableheading"/>
              <w:rPr>
                <w:rFonts w:cstheme="minorHAnsi"/>
                <w:b w:val="0"/>
                <w:sz w:val="20"/>
                <w:szCs w:val="20"/>
              </w:rPr>
            </w:pPr>
            <w:r>
              <w:rPr>
                <w:rFonts w:cstheme="minorHAnsi"/>
                <w:b w:val="0"/>
                <w:sz w:val="20"/>
                <w:szCs w:val="20"/>
              </w:rPr>
              <w:t>14.9 (13.1, 16.7)</w:t>
            </w:r>
          </w:p>
        </w:tc>
        <w:tc>
          <w:tcPr>
            <w:tcW w:w="1199" w:type="pct"/>
          </w:tcPr>
          <w:p w14:paraId="1C4AEC8C" w14:textId="540AEB80" w:rsidR="00E34872" w:rsidRPr="000F2789" w:rsidRDefault="00E34872" w:rsidP="00E34872">
            <w:pPr>
              <w:pStyle w:val="Tableheading"/>
              <w:rPr>
                <w:rFonts w:cstheme="minorHAnsi"/>
                <w:b w:val="0"/>
                <w:sz w:val="20"/>
                <w:szCs w:val="20"/>
              </w:rPr>
            </w:pPr>
            <w:r>
              <w:rPr>
                <w:rFonts w:cstheme="minorHAnsi"/>
                <w:b w:val="0"/>
                <w:sz w:val="20"/>
                <w:szCs w:val="20"/>
              </w:rPr>
              <w:t>4.4 (3.6, 5.1)</w:t>
            </w:r>
          </w:p>
        </w:tc>
      </w:tr>
      <w:tr w:rsidR="00E34872" w:rsidRPr="000F2789" w14:paraId="553DB0C6" w14:textId="77777777" w:rsidTr="00E34872">
        <w:trPr>
          <w:trHeight w:val="20"/>
        </w:trPr>
        <w:tc>
          <w:tcPr>
            <w:tcW w:w="2002" w:type="pct"/>
          </w:tcPr>
          <w:p w14:paraId="39197E36" w14:textId="717DC665" w:rsidR="00E34872" w:rsidRDefault="00E34872" w:rsidP="00E34872">
            <w:pPr>
              <w:pStyle w:val="Tableheading"/>
              <w:rPr>
                <w:rFonts w:cstheme="minorHAnsi"/>
                <w:b w:val="0"/>
                <w:sz w:val="20"/>
                <w:szCs w:val="20"/>
              </w:rPr>
            </w:pPr>
            <w:r w:rsidRPr="006E233E">
              <w:rPr>
                <w:rFonts w:cstheme="minorHAnsi"/>
                <w:b w:val="0"/>
                <w:sz w:val="20"/>
                <w:szCs w:val="20"/>
              </w:rPr>
              <w:t>efavirenz</w:t>
            </w:r>
          </w:p>
        </w:tc>
        <w:tc>
          <w:tcPr>
            <w:tcW w:w="691" w:type="pct"/>
          </w:tcPr>
          <w:p w14:paraId="220BB476" w14:textId="22D40036" w:rsidR="00E34872" w:rsidRPr="000F2789" w:rsidRDefault="00E34872" w:rsidP="00E34872">
            <w:pPr>
              <w:pStyle w:val="Tableheading"/>
              <w:rPr>
                <w:rFonts w:cstheme="minorHAnsi"/>
                <w:b w:val="0"/>
                <w:sz w:val="20"/>
                <w:szCs w:val="20"/>
              </w:rPr>
            </w:pPr>
            <w:r>
              <w:rPr>
                <w:rFonts w:cstheme="minorHAnsi"/>
                <w:b w:val="0"/>
                <w:sz w:val="20"/>
                <w:szCs w:val="20"/>
              </w:rPr>
              <w:t>31</w:t>
            </w:r>
          </w:p>
        </w:tc>
        <w:tc>
          <w:tcPr>
            <w:tcW w:w="1109" w:type="pct"/>
          </w:tcPr>
          <w:p w14:paraId="3616DA5A" w14:textId="45346FE1" w:rsidR="00E34872" w:rsidRPr="000F2789" w:rsidRDefault="00E34872" w:rsidP="00E34872">
            <w:pPr>
              <w:pStyle w:val="Tableheading"/>
              <w:rPr>
                <w:rFonts w:cstheme="minorHAnsi"/>
                <w:b w:val="0"/>
                <w:sz w:val="20"/>
                <w:szCs w:val="20"/>
              </w:rPr>
            </w:pPr>
            <w:r>
              <w:rPr>
                <w:rFonts w:cstheme="minorHAnsi"/>
                <w:b w:val="0"/>
                <w:sz w:val="20"/>
                <w:szCs w:val="20"/>
              </w:rPr>
              <w:t>7.0 (2.5, 11.5)</w:t>
            </w:r>
          </w:p>
        </w:tc>
        <w:tc>
          <w:tcPr>
            <w:tcW w:w="1199" w:type="pct"/>
          </w:tcPr>
          <w:p w14:paraId="25C36D1D" w14:textId="5D6B5D03" w:rsidR="00E34872" w:rsidRPr="000F2789" w:rsidRDefault="00E34872" w:rsidP="00E34872">
            <w:pPr>
              <w:pStyle w:val="Tableheading"/>
              <w:rPr>
                <w:rFonts w:cstheme="minorHAnsi"/>
                <w:b w:val="0"/>
                <w:sz w:val="20"/>
                <w:szCs w:val="20"/>
              </w:rPr>
            </w:pPr>
            <w:r>
              <w:rPr>
                <w:rFonts w:cstheme="minorHAnsi"/>
                <w:b w:val="0"/>
                <w:sz w:val="20"/>
                <w:szCs w:val="20"/>
              </w:rPr>
              <w:t>2.0 (0.5, 3.6)</w:t>
            </w:r>
          </w:p>
        </w:tc>
      </w:tr>
      <w:tr w:rsidR="00E34872" w:rsidRPr="000F2789" w14:paraId="6CAB65FB" w14:textId="77777777" w:rsidTr="00E34872">
        <w:trPr>
          <w:trHeight w:val="20"/>
        </w:trPr>
        <w:tc>
          <w:tcPr>
            <w:tcW w:w="2002" w:type="pct"/>
          </w:tcPr>
          <w:p w14:paraId="5E5CF517" w14:textId="393E7A36" w:rsidR="00E34872" w:rsidRDefault="00E34872" w:rsidP="00E34872">
            <w:pPr>
              <w:pStyle w:val="Tableheading"/>
              <w:rPr>
                <w:rFonts w:cstheme="minorHAnsi"/>
                <w:b w:val="0"/>
                <w:sz w:val="20"/>
                <w:szCs w:val="20"/>
              </w:rPr>
            </w:pPr>
            <w:r>
              <w:rPr>
                <w:rFonts w:cstheme="minorHAnsi"/>
                <w:b w:val="0"/>
                <w:sz w:val="20"/>
                <w:szCs w:val="20"/>
              </w:rPr>
              <w:t>e</w:t>
            </w:r>
            <w:r w:rsidRPr="006E233E">
              <w:rPr>
                <w:rFonts w:cstheme="minorHAnsi"/>
                <w:b w:val="0"/>
                <w:sz w:val="20"/>
                <w:szCs w:val="20"/>
              </w:rPr>
              <w:t>lvitegravir</w:t>
            </w:r>
            <w:r>
              <w:rPr>
                <w:rFonts w:cstheme="minorHAnsi"/>
                <w:b w:val="0"/>
                <w:sz w:val="20"/>
                <w:szCs w:val="20"/>
              </w:rPr>
              <w:t xml:space="preserve"> + cobicistat</w:t>
            </w:r>
          </w:p>
        </w:tc>
        <w:tc>
          <w:tcPr>
            <w:tcW w:w="691" w:type="pct"/>
          </w:tcPr>
          <w:p w14:paraId="2F336DDD" w14:textId="0503835B" w:rsidR="00E34872" w:rsidRPr="000F2789" w:rsidRDefault="00E34872" w:rsidP="00E34872">
            <w:pPr>
              <w:pStyle w:val="Tableheading"/>
              <w:rPr>
                <w:rFonts w:cstheme="minorHAnsi"/>
                <w:b w:val="0"/>
                <w:sz w:val="20"/>
                <w:szCs w:val="20"/>
              </w:rPr>
            </w:pPr>
            <w:r>
              <w:rPr>
                <w:rFonts w:cstheme="minorHAnsi"/>
                <w:b w:val="0"/>
                <w:sz w:val="20"/>
                <w:szCs w:val="20"/>
              </w:rPr>
              <w:t>113</w:t>
            </w:r>
          </w:p>
        </w:tc>
        <w:tc>
          <w:tcPr>
            <w:tcW w:w="1109" w:type="pct"/>
          </w:tcPr>
          <w:p w14:paraId="630A9073" w14:textId="1481D985" w:rsidR="00E34872" w:rsidRPr="000F2789" w:rsidRDefault="00E34872" w:rsidP="00E34872">
            <w:pPr>
              <w:pStyle w:val="Tableheading"/>
              <w:rPr>
                <w:rFonts w:cstheme="minorHAnsi"/>
                <w:b w:val="0"/>
                <w:sz w:val="20"/>
                <w:szCs w:val="20"/>
              </w:rPr>
            </w:pPr>
            <w:r>
              <w:rPr>
                <w:rFonts w:cstheme="minorHAnsi"/>
                <w:b w:val="0"/>
                <w:sz w:val="20"/>
                <w:szCs w:val="20"/>
              </w:rPr>
              <w:t>25.5 (22.0, 29.0)</w:t>
            </w:r>
          </w:p>
        </w:tc>
        <w:tc>
          <w:tcPr>
            <w:tcW w:w="1199" w:type="pct"/>
          </w:tcPr>
          <w:p w14:paraId="27546B76" w14:textId="5899C381" w:rsidR="00E34872" w:rsidRPr="000F2789" w:rsidRDefault="00E34872" w:rsidP="00E34872">
            <w:pPr>
              <w:pStyle w:val="Tableheading"/>
              <w:rPr>
                <w:rFonts w:cstheme="minorHAnsi"/>
                <w:b w:val="0"/>
                <w:sz w:val="20"/>
                <w:szCs w:val="20"/>
              </w:rPr>
            </w:pPr>
            <w:r>
              <w:rPr>
                <w:rFonts w:cstheme="minorHAnsi"/>
                <w:b w:val="0"/>
                <w:sz w:val="20"/>
                <w:szCs w:val="20"/>
              </w:rPr>
              <w:t>7.4 (5.7, 9.2)</w:t>
            </w:r>
          </w:p>
        </w:tc>
      </w:tr>
      <w:tr w:rsidR="00E34872" w:rsidRPr="000F2789" w14:paraId="200EFA4D" w14:textId="77777777" w:rsidTr="00E34872">
        <w:trPr>
          <w:trHeight w:val="20"/>
        </w:trPr>
        <w:tc>
          <w:tcPr>
            <w:tcW w:w="2002" w:type="pct"/>
          </w:tcPr>
          <w:p w14:paraId="663ECB28" w14:textId="6C41FF2A" w:rsidR="00E34872" w:rsidRPr="006E233E" w:rsidRDefault="00E34872" w:rsidP="00E34872">
            <w:pPr>
              <w:pStyle w:val="Tableheading"/>
              <w:rPr>
                <w:rFonts w:cstheme="minorHAnsi"/>
                <w:b w:val="0"/>
                <w:sz w:val="20"/>
                <w:szCs w:val="20"/>
              </w:rPr>
            </w:pPr>
            <w:r w:rsidRPr="00B01B22">
              <w:rPr>
                <w:rFonts w:cstheme="minorHAnsi"/>
                <w:b w:val="0"/>
                <w:sz w:val="20"/>
                <w:szCs w:val="20"/>
              </w:rPr>
              <w:t xml:space="preserve">cobicistat or ritonavir-boosted </w:t>
            </w:r>
            <w:r>
              <w:rPr>
                <w:rFonts w:cstheme="minorHAnsi"/>
                <w:b w:val="0"/>
                <w:sz w:val="20"/>
                <w:szCs w:val="20"/>
              </w:rPr>
              <w:t>HIV-PIs</w:t>
            </w:r>
          </w:p>
        </w:tc>
        <w:tc>
          <w:tcPr>
            <w:tcW w:w="691" w:type="pct"/>
          </w:tcPr>
          <w:p w14:paraId="12049DF8" w14:textId="76B80EE9" w:rsidR="00E34872" w:rsidRDefault="00E34872" w:rsidP="00E34872">
            <w:pPr>
              <w:pStyle w:val="Tableheading"/>
              <w:rPr>
                <w:rFonts w:cstheme="minorHAnsi"/>
                <w:b w:val="0"/>
                <w:sz w:val="20"/>
                <w:szCs w:val="20"/>
              </w:rPr>
            </w:pPr>
            <w:r>
              <w:rPr>
                <w:rFonts w:cstheme="minorHAnsi"/>
                <w:b w:val="0"/>
                <w:sz w:val="20"/>
                <w:szCs w:val="20"/>
              </w:rPr>
              <w:t>31</w:t>
            </w:r>
          </w:p>
        </w:tc>
        <w:tc>
          <w:tcPr>
            <w:tcW w:w="1109" w:type="pct"/>
          </w:tcPr>
          <w:p w14:paraId="562CDDCD" w14:textId="2FA40788" w:rsidR="00E34872" w:rsidRDefault="00E34872" w:rsidP="00E34872">
            <w:pPr>
              <w:pStyle w:val="Tableheading"/>
              <w:rPr>
                <w:rFonts w:cstheme="minorHAnsi"/>
                <w:b w:val="0"/>
                <w:sz w:val="20"/>
                <w:szCs w:val="20"/>
              </w:rPr>
            </w:pPr>
            <w:r>
              <w:rPr>
                <w:rFonts w:cstheme="minorHAnsi"/>
                <w:b w:val="0"/>
                <w:sz w:val="20"/>
                <w:szCs w:val="20"/>
              </w:rPr>
              <w:t>7.0 (5.9, 8.1)</w:t>
            </w:r>
          </w:p>
        </w:tc>
        <w:tc>
          <w:tcPr>
            <w:tcW w:w="1199" w:type="pct"/>
          </w:tcPr>
          <w:p w14:paraId="1245EFD8" w14:textId="4BF72C83" w:rsidR="00E34872" w:rsidRDefault="00E34872" w:rsidP="00E34872">
            <w:pPr>
              <w:pStyle w:val="Tableheading"/>
              <w:rPr>
                <w:rFonts w:cstheme="minorHAnsi"/>
                <w:b w:val="0"/>
                <w:sz w:val="20"/>
                <w:szCs w:val="20"/>
              </w:rPr>
            </w:pPr>
            <w:r>
              <w:rPr>
                <w:rFonts w:cstheme="minorHAnsi"/>
                <w:b w:val="0"/>
                <w:sz w:val="20"/>
                <w:szCs w:val="20"/>
              </w:rPr>
              <w:t>2.0 (1.6, 2.4)</w:t>
            </w:r>
          </w:p>
        </w:tc>
      </w:tr>
      <w:tr w:rsidR="00E34872" w:rsidRPr="000F2789" w14:paraId="1F3ABE0C" w14:textId="77777777" w:rsidTr="006E233E">
        <w:trPr>
          <w:trHeight w:val="20"/>
        </w:trPr>
        <w:tc>
          <w:tcPr>
            <w:tcW w:w="5000" w:type="pct"/>
            <w:gridSpan w:val="4"/>
            <w:shd w:val="clear" w:color="auto" w:fill="D9D9D9" w:themeFill="background1" w:themeFillShade="D9"/>
          </w:tcPr>
          <w:p w14:paraId="2900D010" w14:textId="2BC7C1A7" w:rsidR="00E34872" w:rsidRPr="000F2789" w:rsidRDefault="00E34872" w:rsidP="00E34872">
            <w:pPr>
              <w:pStyle w:val="Tableheading"/>
              <w:rPr>
                <w:rFonts w:cstheme="minorHAnsi"/>
                <w:b w:val="0"/>
                <w:sz w:val="20"/>
                <w:szCs w:val="20"/>
              </w:rPr>
            </w:pPr>
            <w:r w:rsidRPr="006E233E">
              <w:rPr>
                <w:rFonts w:cstheme="minorHAnsi"/>
                <w:bCs/>
                <w:sz w:val="20"/>
                <w:szCs w:val="20"/>
              </w:rPr>
              <w:t>Osteoporosis</w:t>
            </w:r>
          </w:p>
        </w:tc>
      </w:tr>
      <w:tr w:rsidR="00E34872" w:rsidRPr="000F2789" w14:paraId="7F354F6D" w14:textId="77777777" w:rsidTr="00E34872">
        <w:trPr>
          <w:trHeight w:val="20"/>
        </w:trPr>
        <w:tc>
          <w:tcPr>
            <w:tcW w:w="2002" w:type="pct"/>
          </w:tcPr>
          <w:p w14:paraId="0ADC62FD" w14:textId="6094A587" w:rsidR="00E34872" w:rsidRDefault="00E34872" w:rsidP="00E34872">
            <w:pPr>
              <w:pStyle w:val="Tableheading"/>
              <w:rPr>
                <w:rFonts w:cstheme="minorHAnsi"/>
                <w:b w:val="0"/>
                <w:sz w:val="20"/>
                <w:szCs w:val="20"/>
              </w:rPr>
            </w:pPr>
            <w:r w:rsidRPr="00E138F9">
              <w:rPr>
                <w:rFonts w:cstheme="minorHAnsi"/>
                <w:b w:val="0"/>
                <w:sz w:val="20"/>
                <w:szCs w:val="20"/>
              </w:rPr>
              <w:t xml:space="preserve">tenofovir disoproxil </w:t>
            </w:r>
            <w:r>
              <w:rPr>
                <w:rFonts w:cstheme="minorHAnsi"/>
                <w:b w:val="0"/>
                <w:sz w:val="20"/>
                <w:szCs w:val="20"/>
              </w:rPr>
              <w:t>- avoid</w:t>
            </w:r>
          </w:p>
        </w:tc>
        <w:tc>
          <w:tcPr>
            <w:tcW w:w="691" w:type="pct"/>
          </w:tcPr>
          <w:p w14:paraId="43CE39EF" w14:textId="663D637E" w:rsidR="00E34872" w:rsidRPr="000F2789" w:rsidRDefault="00E34872" w:rsidP="00E34872">
            <w:pPr>
              <w:pStyle w:val="Tableheading"/>
              <w:rPr>
                <w:rFonts w:cstheme="minorHAnsi"/>
                <w:b w:val="0"/>
                <w:sz w:val="20"/>
                <w:szCs w:val="20"/>
              </w:rPr>
            </w:pPr>
            <w:r>
              <w:rPr>
                <w:rFonts w:cstheme="minorHAnsi"/>
                <w:b w:val="0"/>
                <w:sz w:val="20"/>
                <w:szCs w:val="20"/>
              </w:rPr>
              <w:t>7</w:t>
            </w:r>
          </w:p>
        </w:tc>
        <w:tc>
          <w:tcPr>
            <w:tcW w:w="1109" w:type="pct"/>
          </w:tcPr>
          <w:p w14:paraId="59915E3D" w14:textId="31B4990D" w:rsidR="00E34872" w:rsidRPr="000F2789" w:rsidRDefault="00E34872" w:rsidP="00E34872">
            <w:pPr>
              <w:pStyle w:val="Tableheading"/>
              <w:rPr>
                <w:rFonts w:cstheme="minorHAnsi"/>
                <w:b w:val="0"/>
                <w:sz w:val="20"/>
                <w:szCs w:val="20"/>
              </w:rPr>
            </w:pPr>
            <w:r>
              <w:rPr>
                <w:rFonts w:cstheme="minorHAnsi"/>
                <w:b w:val="0"/>
                <w:sz w:val="20"/>
                <w:szCs w:val="20"/>
              </w:rPr>
              <w:t>5.3 (2.0, 8.6)</w:t>
            </w:r>
          </w:p>
        </w:tc>
        <w:tc>
          <w:tcPr>
            <w:tcW w:w="1199" w:type="pct"/>
          </w:tcPr>
          <w:p w14:paraId="38D930E3" w14:textId="728FFCEB" w:rsidR="00E34872" w:rsidRPr="000F2789" w:rsidRDefault="00E34872" w:rsidP="00E34872">
            <w:pPr>
              <w:pStyle w:val="Tableheading"/>
              <w:rPr>
                <w:rFonts w:cstheme="minorHAnsi"/>
                <w:b w:val="0"/>
                <w:sz w:val="20"/>
                <w:szCs w:val="20"/>
              </w:rPr>
            </w:pPr>
            <w:r>
              <w:rPr>
                <w:rFonts w:cstheme="minorHAnsi"/>
                <w:b w:val="0"/>
                <w:sz w:val="20"/>
                <w:szCs w:val="20"/>
              </w:rPr>
              <w:t>0.5 (0.2, 0.7)</w:t>
            </w:r>
          </w:p>
        </w:tc>
      </w:tr>
    </w:tbl>
    <w:p w14:paraId="2F46A6CD" w14:textId="0866B5EC" w:rsidR="00D06AED" w:rsidRDefault="00D06AED" w:rsidP="00D06AED">
      <w:r w:rsidRPr="003442D4">
        <w:rPr>
          <w:rFonts w:cstheme="minorHAnsi"/>
          <w:sz w:val="20"/>
          <w:szCs w:val="20"/>
        </w:rPr>
        <w:t>*</w:t>
      </w:r>
      <w:r w:rsidR="00760623">
        <w:rPr>
          <w:rFonts w:cstheme="minorHAnsi"/>
          <w:sz w:val="20"/>
          <w:szCs w:val="20"/>
        </w:rPr>
        <w:t xml:space="preserve">The HIV-PIs are associated with increased cardiovascular </w:t>
      </w:r>
      <w:r w:rsidR="00760623" w:rsidRPr="00760623">
        <w:rPr>
          <w:rFonts w:cstheme="minorHAnsi"/>
          <w:sz w:val="20"/>
          <w:szCs w:val="20"/>
        </w:rPr>
        <w:t>risk</w:t>
      </w:r>
      <w:r w:rsidR="00760623">
        <w:rPr>
          <w:rFonts w:cstheme="minorHAnsi"/>
          <w:sz w:val="20"/>
          <w:szCs w:val="20"/>
        </w:rPr>
        <w:t xml:space="preserve"> with </w:t>
      </w:r>
      <w:r w:rsidR="00760623" w:rsidRPr="00760623">
        <w:rPr>
          <w:rFonts w:cstheme="minorHAnsi"/>
          <w:sz w:val="20"/>
          <w:szCs w:val="20"/>
        </w:rPr>
        <w:t>the possible exception of atazanavir</w:t>
      </w:r>
      <w:r w:rsidR="001F3116">
        <w:rPr>
          <w:rFonts w:cstheme="minorHAnsi"/>
          <w:sz w:val="20"/>
          <w:szCs w:val="20"/>
        </w:rPr>
        <w:fldChar w:fldCharType="begin"/>
      </w:r>
      <w:r w:rsidR="001F3116">
        <w:rPr>
          <w:rFonts w:cstheme="minorHAnsi"/>
          <w:sz w:val="20"/>
          <w:szCs w:val="20"/>
        </w:rP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1F3116">
        <w:rPr>
          <w:rFonts w:cstheme="minorHAnsi"/>
          <w:sz w:val="20"/>
          <w:szCs w:val="20"/>
        </w:rPr>
        <w:fldChar w:fldCharType="separate"/>
      </w:r>
      <w:r w:rsidR="001F3116" w:rsidRPr="001F3116">
        <w:rPr>
          <w:rFonts w:cstheme="minorHAnsi"/>
          <w:noProof/>
          <w:sz w:val="20"/>
          <w:szCs w:val="20"/>
          <w:vertAlign w:val="superscript"/>
        </w:rPr>
        <w:t>8</w:t>
      </w:r>
      <w:r w:rsidR="001F3116">
        <w:rPr>
          <w:rFonts w:cstheme="minorHAnsi"/>
          <w:sz w:val="20"/>
          <w:szCs w:val="20"/>
        </w:rPr>
        <w:fldChar w:fldCharType="end"/>
      </w:r>
    </w:p>
    <w:p w14:paraId="3555DFBA" w14:textId="1C7ACFEE" w:rsidR="00591512" w:rsidRDefault="00AB3733" w:rsidP="00F73113">
      <w:pPr>
        <w:pStyle w:val="Heading1"/>
      </w:pPr>
      <w:r>
        <w:t>D</w:t>
      </w:r>
      <w:r w:rsidR="007346C7" w:rsidRPr="005E22C2">
        <w:t>iscussion</w:t>
      </w:r>
    </w:p>
    <w:p w14:paraId="4AF77279" w14:textId="77777777" w:rsidR="005471C8" w:rsidRDefault="00845AE1" w:rsidP="00103DC7">
      <w:r w:rsidRPr="00873913">
        <w:t xml:space="preserve">This study </w:t>
      </w:r>
      <w:r>
        <w:t xml:space="preserve">includes </w:t>
      </w:r>
      <w:r w:rsidRPr="00873913">
        <w:t>5.0–5.5% of the approximately 27,500 Australians living with HIV in Australia.</w:t>
      </w:r>
      <w:r>
        <w:t xml:space="preserve"> </w:t>
      </w:r>
      <w:r w:rsidR="008267AE">
        <w:t>Consistent with other Australian studies, MedicineInsight p</w:t>
      </w:r>
      <w:r>
        <w:t xml:space="preserve">atients with diagnosed HIV using antiretroviral medicines were overwhelmingly </w:t>
      </w:r>
      <w:r w:rsidRPr="000433CA">
        <w:t>male</w:t>
      </w:r>
      <w:r>
        <w:t xml:space="preserve"> (~95%)</w:t>
      </w:r>
      <w:r w:rsidRPr="000433CA">
        <w:t xml:space="preserve">, from higher socioeconomic backgrounds </w:t>
      </w:r>
      <w:r>
        <w:t xml:space="preserve">(~62%) </w:t>
      </w:r>
      <w:r w:rsidRPr="000433CA">
        <w:t>and living in major cities</w:t>
      </w:r>
      <w:r>
        <w:t xml:space="preserve"> (~87%)</w:t>
      </w:r>
      <w:r w:rsidRPr="000433CA">
        <w:t xml:space="preserve">. </w:t>
      </w:r>
    </w:p>
    <w:p w14:paraId="29E38621" w14:textId="77DE4CC3" w:rsidR="00845AE1" w:rsidRDefault="00845AE1" w:rsidP="00103DC7">
      <w:r>
        <w:t>Mental illnesses were the most commonly reported co-morbidity. Approximately 40% of patients had a record of depression and approximately 30% had a record of anxiety.</w:t>
      </w:r>
      <w:r w:rsidR="005471C8">
        <w:t xml:space="preserve"> However, patients also commonly had been diagnosed with </w:t>
      </w:r>
      <w:r w:rsidR="00103DC7">
        <w:t xml:space="preserve">cardiovascular risk factors such </w:t>
      </w:r>
      <w:r>
        <w:t>hypertension and dyslipidaemia.</w:t>
      </w:r>
    </w:p>
    <w:p w14:paraId="564EAB8E" w14:textId="15F3E49E" w:rsidR="00845AE1" w:rsidRDefault="00845AE1" w:rsidP="00103DC7">
      <w:r>
        <w:t xml:space="preserve">Fixed dose combination (FDC) </w:t>
      </w:r>
      <w:r w:rsidRPr="003A22E1">
        <w:t xml:space="preserve">antiretroviral medicines </w:t>
      </w:r>
      <w:r>
        <w:t xml:space="preserve">were the </w:t>
      </w:r>
      <w:r w:rsidRPr="003A22E1">
        <w:t>most commonly prescribed</w:t>
      </w:r>
      <w:r w:rsidR="586E1003">
        <w:t xml:space="preserve"> to patients with HIV</w:t>
      </w:r>
      <w:r w:rsidR="32540F0E">
        <w:t>.</w:t>
      </w:r>
      <w:r>
        <w:t xml:space="preserve"> The FDC </w:t>
      </w:r>
      <w:r w:rsidRPr="00491A59">
        <w:t>bictegravir + tenofovir alafenamide + emtricitabine (</w:t>
      </w:r>
      <w:proofErr w:type="spellStart"/>
      <w:r w:rsidRPr="00491A59">
        <w:t>Biktarvy</w:t>
      </w:r>
      <w:proofErr w:type="spellEnd"/>
      <w:r w:rsidRPr="00491A59">
        <w:t>)</w:t>
      </w:r>
      <w:r>
        <w:t xml:space="preserve"> was prescribed for 31.0% of patients and was the most commonly prescribed individual medicine.</w:t>
      </w:r>
    </w:p>
    <w:p w14:paraId="0E6E2690" w14:textId="77777777" w:rsidR="008267AE" w:rsidRPr="00806A28" w:rsidRDefault="008267AE" w:rsidP="00103DC7">
      <w:r>
        <w:lastRenderedPageBreak/>
        <w:t>Most patients received care from practices with more than 100 patients diagnosed with HIV (high caseload practices).</w:t>
      </w:r>
    </w:p>
    <w:p w14:paraId="2ECBFE48" w14:textId="17FD7B6A" w:rsidR="001310AE" w:rsidRDefault="00C050B6" w:rsidP="005E1455">
      <w:pPr>
        <w:pStyle w:val="Heading1"/>
      </w:pPr>
      <w:r w:rsidRPr="00C050B6">
        <w:t xml:space="preserve">Actions undertaken by the </w:t>
      </w:r>
      <w:r w:rsidR="00801E74">
        <w:t xml:space="preserve">DUSC </w:t>
      </w:r>
      <w:r w:rsidRPr="00C050B6">
        <w:t>Secretariat</w:t>
      </w:r>
    </w:p>
    <w:p w14:paraId="65F64CBA" w14:textId="31D45D66" w:rsidR="00E12CDA" w:rsidRDefault="00016142">
      <w:pPr>
        <w:spacing w:line="276" w:lineRule="auto"/>
      </w:pPr>
      <w:r w:rsidRPr="00016142">
        <w:t xml:space="preserve">DUSC requested that the report be provided to the PBAC for consideration. </w:t>
      </w:r>
      <w:r w:rsidR="00E12CDA">
        <w:br w:type="page"/>
      </w:r>
    </w:p>
    <w:p w14:paraId="0584C5DE" w14:textId="4F5478D6" w:rsidR="00AC2E81" w:rsidRDefault="00E12CDA" w:rsidP="00FC11B4">
      <w:pPr>
        <w:pStyle w:val="Heading1"/>
        <w:rPr>
          <w:b w:val="0"/>
          <w:bCs w:val="0"/>
        </w:rPr>
      </w:pPr>
      <w:r w:rsidRPr="00FC11B4">
        <w:lastRenderedPageBreak/>
        <w:t>References</w:t>
      </w:r>
    </w:p>
    <w:p w14:paraId="36F79C93" w14:textId="0305B9B6" w:rsidR="00FC11B4" w:rsidRPr="00FC11B4" w:rsidRDefault="00FC11B4" w:rsidP="00FC11B4">
      <w:pPr>
        <w:pStyle w:val="EndNoteBibliography"/>
        <w:spacing w:after="0"/>
        <w:ind w:left="720" w:hanging="720"/>
      </w:pPr>
      <w:r>
        <w:fldChar w:fldCharType="begin"/>
      </w:r>
      <w:r>
        <w:instrText xml:space="preserve"> ADDIN EN.REFLIST </w:instrText>
      </w:r>
      <w:r>
        <w:fldChar w:fldCharType="separate"/>
      </w:r>
      <w:r w:rsidRPr="00FC11B4">
        <w:t>1.</w:t>
      </w:r>
      <w:r w:rsidRPr="00FC11B4">
        <w:tab/>
        <w:t xml:space="preserve">Pharmaceutical Benefits Advisory Committee. Public summary document: first-line anti-retroviral therapy (ART) - November 2013. Canberra: Australian Department of Health, 2013. </w:t>
      </w:r>
      <w:hyperlink r:id="rId24" w:history="1">
        <w:r w:rsidRPr="00FC11B4">
          <w:rPr>
            <w:rStyle w:val="Hyperlink"/>
          </w:rPr>
          <w:t>https://www.pbs.gov.au/pbs/industry/listing/elements/pbac-meetings/psd/2013-11/first-line-art</w:t>
        </w:r>
      </w:hyperlink>
      <w:r w:rsidRPr="00FC11B4">
        <w:t xml:space="preserve"> (accessed 11 August 2021).</w:t>
      </w:r>
    </w:p>
    <w:p w14:paraId="7FA5E3A0" w14:textId="624C58D0" w:rsidR="00FC11B4" w:rsidRPr="00FC11B4" w:rsidRDefault="00FC11B4" w:rsidP="00FC11B4">
      <w:pPr>
        <w:pStyle w:val="EndNoteBibliography"/>
        <w:spacing w:after="0"/>
        <w:ind w:left="720" w:hanging="720"/>
      </w:pPr>
      <w:r w:rsidRPr="00FC11B4">
        <w:t>2.</w:t>
      </w:r>
      <w:r w:rsidRPr="00FC11B4">
        <w:tab/>
        <w:t xml:space="preserve">Drug Utilisation Sub-Committee. Drug Utilisation Sub-Committee Outcome Statement 3 - 4 June 2021. Canberra: Australian Department of Health, 2021. </w:t>
      </w:r>
      <w:hyperlink r:id="rId25" w:history="1">
        <w:r w:rsidRPr="00FC11B4">
          <w:rPr>
            <w:rStyle w:val="Hyperlink"/>
          </w:rPr>
          <w:t>https://www.pbs.gov.au/industry/listing/elements/dusc-meetings/dos/DUSC-Outcome-Statement-June-2021.pdf</w:t>
        </w:r>
      </w:hyperlink>
      <w:r w:rsidRPr="00FC11B4">
        <w:t xml:space="preserve"> (accessed 11 August 2021).</w:t>
      </w:r>
    </w:p>
    <w:p w14:paraId="02D97C82" w14:textId="0A3A05AE" w:rsidR="00FC11B4" w:rsidRPr="00FC11B4" w:rsidRDefault="00FC11B4" w:rsidP="00FC11B4">
      <w:pPr>
        <w:pStyle w:val="EndNoteBibliography"/>
        <w:spacing w:after="0"/>
        <w:ind w:left="720" w:hanging="720"/>
      </w:pPr>
      <w:r w:rsidRPr="00FC11B4">
        <w:t>3.</w:t>
      </w:r>
      <w:r w:rsidRPr="00FC11B4">
        <w:tab/>
        <w:t xml:space="preserve">Healthdirect Australia. HIV infection and AIDS. Sydney: Healthdirect Australia,, 2021. </w:t>
      </w:r>
      <w:hyperlink r:id="rId26" w:history="1">
        <w:r w:rsidRPr="00FC11B4">
          <w:rPr>
            <w:rStyle w:val="Hyperlink"/>
          </w:rPr>
          <w:t>https://www.healthdirect.gov.au/hiv-infection-and-aids</w:t>
        </w:r>
      </w:hyperlink>
      <w:r w:rsidRPr="00FC11B4">
        <w:t xml:space="preserve"> (accessed 11 August 2021).</w:t>
      </w:r>
    </w:p>
    <w:p w14:paraId="01DD3CAE" w14:textId="49BF7DE2" w:rsidR="00FC11B4" w:rsidRPr="00FC11B4" w:rsidRDefault="00FC11B4" w:rsidP="00FC11B4">
      <w:pPr>
        <w:pStyle w:val="EndNoteBibliography"/>
        <w:spacing w:after="0"/>
        <w:ind w:left="720" w:hanging="720"/>
      </w:pPr>
      <w:r w:rsidRPr="00FC11B4">
        <w:t>4.</w:t>
      </w:r>
      <w:r w:rsidRPr="00FC11B4">
        <w:tab/>
        <w:t xml:space="preserve">Kirby Institute. HIV, viral hepatitis and sexually transmissible infections in Australia: annual surveillance report 2018. Sydney: Kirby Institute, 2018. </w:t>
      </w:r>
      <w:hyperlink r:id="rId27" w:history="1">
        <w:r w:rsidRPr="00FC11B4">
          <w:rPr>
            <w:rStyle w:val="Hyperlink"/>
          </w:rPr>
          <w:t>https://kirby.unsw.edu.au/sites/default/files/kirby/report/KI_Annual-Surveillance-Report-2018.pdf</w:t>
        </w:r>
      </w:hyperlink>
      <w:r w:rsidRPr="00FC11B4">
        <w:t xml:space="preserve"> (accessed 11 August 2021).</w:t>
      </w:r>
    </w:p>
    <w:p w14:paraId="241EAFC9" w14:textId="357F34EA" w:rsidR="00FC11B4" w:rsidRPr="00FC11B4" w:rsidRDefault="00FC11B4" w:rsidP="00FC11B4">
      <w:pPr>
        <w:pStyle w:val="EndNoteBibliography"/>
        <w:spacing w:after="0"/>
        <w:ind w:left="720" w:hanging="720"/>
      </w:pPr>
      <w:r w:rsidRPr="00FC11B4">
        <w:t>5.</w:t>
      </w:r>
      <w:r w:rsidRPr="00FC11B4">
        <w:tab/>
        <w:t xml:space="preserve">Kirby Institute. National update on HIV, viral hepatitis and sexually transmissible infections in Australia: 2009–2018. Sydney: Kirby Institute, 2020. </w:t>
      </w:r>
      <w:hyperlink r:id="rId28" w:history="1">
        <w:r w:rsidRPr="00FC11B4">
          <w:rPr>
            <w:rStyle w:val="Hyperlink"/>
          </w:rPr>
          <w:t>https://kirby.unsw.edu.au/sites/default/files/kirby/report/National-update-on-HIV-viral-hepatitis-and-STIs-2009-2018.pdf</w:t>
        </w:r>
      </w:hyperlink>
      <w:r w:rsidRPr="00FC11B4">
        <w:t xml:space="preserve"> (accessed 11 August 2021).</w:t>
      </w:r>
    </w:p>
    <w:p w14:paraId="69E24245" w14:textId="3AA7750F" w:rsidR="00FC11B4" w:rsidRPr="00FC11B4" w:rsidRDefault="00FC11B4" w:rsidP="00FC11B4">
      <w:pPr>
        <w:pStyle w:val="EndNoteBibliography"/>
        <w:spacing w:after="0"/>
        <w:ind w:left="720" w:hanging="720"/>
      </w:pPr>
      <w:r w:rsidRPr="00FC11B4">
        <w:t>6.</w:t>
      </w:r>
      <w:r w:rsidRPr="00FC11B4">
        <w:tab/>
        <w:t xml:space="preserve">Australasian Society for HIV VHaSHM. HIV Management in Australasia - a guide for clinical care. Sydney: ASHM, 2019. </w:t>
      </w:r>
      <w:hyperlink r:id="rId29" w:history="1">
        <w:r w:rsidRPr="00FC11B4">
          <w:rPr>
            <w:rStyle w:val="Hyperlink"/>
          </w:rPr>
          <w:t>https://hivmanagement.ashm.org.au/</w:t>
        </w:r>
      </w:hyperlink>
      <w:r w:rsidRPr="00FC11B4">
        <w:t xml:space="preserve"> (accessed 11 August 2021).</w:t>
      </w:r>
    </w:p>
    <w:p w14:paraId="20BECABD" w14:textId="0A8381CC" w:rsidR="00FC11B4" w:rsidRPr="00FC11B4" w:rsidRDefault="00FC11B4" w:rsidP="00FC11B4">
      <w:pPr>
        <w:pStyle w:val="EndNoteBibliography"/>
        <w:spacing w:after="0"/>
        <w:ind w:left="720" w:hanging="720"/>
      </w:pPr>
      <w:r w:rsidRPr="00FC11B4">
        <w:t>7.</w:t>
      </w:r>
      <w:r w:rsidRPr="00FC11B4">
        <w:tab/>
        <w:t xml:space="preserve">Antibiotic Expert Group. Therapeutic Guidelines: Antibiotic, version 16. West Melbourne: Therapeutic Guidelines, 2021. </w:t>
      </w:r>
      <w:hyperlink r:id="rId30" w:history="1">
        <w:r w:rsidRPr="00FC11B4">
          <w:rPr>
            <w:rStyle w:val="Hyperlink"/>
          </w:rPr>
          <w:t>www.tg.org.au</w:t>
        </w:r>
      </w:hyperlink>
      <w:r w:rsidRPr="00FC11B4">
        <w:t xml:space="preserve"> (accessed.</w:t>
      </w:r>
    </w:p>
    <w:p w14:paraId="2DE746C0" w14:textId="77D0734C" w:rsidR="00FC11B4" w:rsidRPr="00FC11B4" w:rsidRDefault="00FC11B4" w:rsidP="00FC11B4">
      <w:pPr>
        <w:pStyle w:val="EndNoteBibliography"/>
        <w:spacing w:after="0"/>
        <w:ind w:left="720" w:hanging="720"/>
      </w:pPr>
      <w:r w:rsidRPr="00FC11B4">
        <w:t>8.</w:t>
      </w:r>
      <w:r w:rsidRPr="00FC11B4">
        <w:tab/>
        <w:t xml:space="preserve">ASHM Sub-Committee for Guidance on HIV Management in Australia. Australian commentary on the US Department of Health and Human Services (DHHS) guidelines for the use of antiretroviral agents in HIV 1-infected adults and adolescents. Sydney, 2020. </w:t>
      </w:r>
      <w:hyperlink r:id="rId31" w:history="1">
        <w:r w:rsidRPr="00FC11B4">
          <w:rPr>
            <w:rStyle w:val="Hyperlink"/>
          </w:rPr>
          <w:t>https://arv.ashm.org.au/</w:t>
        </w:r>
      </w:hyperlink>
      <w:r w:rsidRPr="00FC11B4">
        <w:t xml:space="preserve"> (accessed 11 August 2021).</w:t>
      </w:r>
    </w:p>
    <w:p w14:paraId="49236B55" w14:textId="3849B6A8" w:rsidR="00FC11B4" w:rsidRPr="00FC11B4" w:rsidRDefault="00FC11B4" w:rsidP="00FC11B4">
      <w:pPr>
        <w:pStyle w:val="EndNoteBibliography"/>
        <w:spacing w:after="0"/>
        <w:ind w:left="720" w:hanging="720"/>
      </w:pPr>
      <w:r w:rsidRPr="00FC11B4">
        <w:t>9.</w:t>
      </w:r>
      <w:r w:rsidRPr="00FC11B4">
        <w:tab/>
        <w:t xml:space="preserve">Australian Medicines Handbook Pty Ltd. Australian Medicines Handbook. Adelaide: AMH, 2021. </w:t>
      </w:r>
      <w:hyperlink r:id="rId32" w:history="1">
        <w:r w:rsidRPr="00FC11B4">
          <w:rPr>
            <w:rStyle w:val="Hyperlink"/>
          </w:rPr>
          <w:t>https://amhonline.amh.net.au/</w:t>
        </w:r>
      </w:hyperlink>
      <w:r w:rsidRPr="00FC11B4">
        <w:t xml:space="preserve"> (accessed 11 August 2021).</w:t>
      </w:r>
    </w:p>
    <w:p w14:paraId="2D7BDCE7" w14:textId="1B215958" w:rsidR="00FC11B4" w:rsidRPr="00FC11B4" w:rsidRDefault="00FC11B4" w:rsidP="00FC11B4">
      <w:pPr>
        <w:pStyle w:val="EndNoteBibliography"/>
        <w:spacing w:after="0"/>
        <w:ind w:left="720" w:hanging="720"/>
      </w:pPr>
      <w:r w:rsidRPr="00FC11B4">
        <w:t>10.</w:t>
      </w:r>
      <w:r w:rsidRPr="00FC11B4">
        <w:tab/>
        <w:t xml:space="preserve">Panel on Antiretroviral Guidelines for Adults and Adolescents. Guidelines for the use of antiretroviral agents in adults and adolescents living with HIV. Rockville: Office of AIDS Research, 2021. </w:t>
      </w:r>
      <w:hyperlink r:id="rId33" w:history="1">
        <w:r w:rsidRPr="00FC11B4">
          <w:rPr>
            <w:rStyle w:val="Hyperlink"/>
          </w:rPr>
          <w:t>https://clinicalinfo.hiv.gov/sites/default/files/guidelines/documents/AdultandAdolescentGL.pdf</w:t>
        </w:r>
      </w:hyperlink>
      <w:r w:rsidRPr="00FC11B4">
        <w:t xml:space="preserve"> (accessed 11 August 2021).</w:t>
      </w:r>
    </w:p>
    <w:p w14:paraId="551CA963" w14:textId="4FA44E17" w:rsidR="00FC11B4" w:rsidRPr="00FC11B4" w:rsidRDefault="00FC11B4" w:rsidP="00FC11B4">
      <w:pPr>
        <w:pStyle w:val="EndNoteBibliography"/>
        <w:spacing w:after="0"/>
        <w:ind w:left="720" w:hanging="720"/>
      </w:pPr>
      <w:r w:rsidRPr="00FC11B4">
        <w:t>11.</w:t>
      </w:r>
      <w:r w:rsidRPr="00FC11B4">
        <w:tab/>
        <w:t xml:space="preserve">Woods R. HIV and ageing in Australia - the new frontier. Sydney: NAPWHA, 2019. </w:t>
      </w:r>
      <w:hyperlink r:id="rId34" w:history="1">
        <w:r w:rsidRPr="00FC11B4">
          <w:rPr>
            <w:rStyle w:val="Hyperlink"/>
          </w:rPr>
          <w:t>https://napwha.org.au/wp-content/uploads/2019/04/HIV-and-Ageing-in-Australia-New-Frontier-April19.pdf</w:t>
        </w:r>
      </w:hyperlink>
      <w:r w:rsidRPr="00FC11B4">
        <w:t xml:space="preserve"> (accessed 11 August 2021).</w:t>
      </w:r>
    </w:p>
    <w:p w14:paraId="694CFF96" w14:textId="0065F794" w:rsidR="00FC11B4" w:rsidRPr="00FC11B4" w:rsidRDefault="00FC11B4" w:rsidP="00FC11B4">
      <w:pPr>
        <w:pStyle w:val="EndNoteBibliography"/>
        <w:ind w:left="720" w:hanging="720"/>
      </w:pPr>
      <w:r w:rsidRPr="00FC11B4">
        <w:t>12.</w:t>
      </w:r>
      <w:r w:rsidRPr="00FC11B4">
        <w:tab/>
        <w:t xml:space="preserve">Power J, Amir S, Brown G, et al. HIV Futures 9: quality of life among people living with HIV in Australia. Melbourne: La Trobe University, 2019. </w:t>
      </w:r>
      <w:hyperlink r:id="rId35" w:history="1">
        <w:r w:rsidRPr="00FC11B4">
          <w:rPr>
            <w:rStyle w:val="Hyperlink"/>
          </w:rPr>
          <w:t>https://www.latrobe.edu.au/__data/assets/pdf_file/0007/1058614/HIV-Futures-9.pdf</w:t>
        </w:r>
      </w:hyperlink>
      <w:r w:rsidRPr="00FC11B4">
        <w:t xml:space="preserve"> (accessed 11 August 2021).</w:t>
      </w:r>
    </w:p>
    <w:p w14:paraId="76AC921D" w14:textId="23FE2E90" w:rsidR="00E12CDA" w:rsidRDefault="00FC11B4" w:rsidP="00FC11B4">
      <w:pPr>
        <w:spacing w:line="276" w:lineRule="auto"/>
        <w:rPr>
          <w:rFonts w:eastAsiaTheme="majorEastAsia" w:cstheme="majorBidi"/>
          <w:b/>
          <w:bCs/>
          <w:sz w:val="32"/>
          <w:szCs w:val="32"/>
        </w:rPr>
      </w:pPr>
      <w:r>
        <w:fldChar w:fldCharType="end"/>
      </w:r>
    </w:p>
    <w:p w14:paraId="6C8F5B26" w14:textId="0716B561" w:rsidR="007F4125" w:rsidRPr="005D2490" w:rsidRDefault="009A537C" w:rsidP="005D2490">
      <w:pPr>
        <w:pStyle w:val="Heading1"/>
      </w:pPr>
      <w:r w:rsidRPr="005D2490">
        <w:lastRenderedPageBreak/>
        <w:t xml:space="preserve">Appendix A: </w:t>
      </w:r>
      <w:r w:rsidR="005D7D1C" w:rsidRPr="005D2490">
        <w:t xml:space="preserve">Summary of TGA </w:t>
      </w:r>
      <w:r w:rsidR="005D2490" w:rsidRPr="005D2490">
        <w:t xml:space="preserve">approved indications </w:t>
      </w:r>
    </w:p>
    <w:tbl>
      <w:tblPr>
        <w:tblW w:w="9634" w:type="dxa"/>
        <w:tblLook w:val="04A0" w:firstRow="1" w:lastRow="0" w:firstColumn="1" w:lastColumn="0" w:noHBand="0" w:noVBand="1"/>
      </w:tblPr>
      <w:tblGrid>
        <w:gridCol w:w="960"/>
        <w:gridCol w:w="2668"/>
        <w:gridCol w:w="2212"/>
        <w:gridCol w:w="3794"/>
      </w:tblGrid>
      <w:tr w:rsidR="00BC6CEE" w14:paraId="30DB5120" w14:textId="77777777" w:rsidTr="00A311E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D2BECA" w14:textId="422A2061"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0EE1AA8" w14:textId="77777777" w:rsidR="00BC6CEE" w:rsidRPr="005D2490" w:rsidRDefault="00BC6CEE" w:rsidP="00AC5E1B">
            <w:pPr>
              <w:spacing w:before="100" w:beforeAutospacing="1" w:after="100" w:afterAutospacing="1"/>
              <w:rPr>
                <w:rFonts w:ascii="Calibri" w:hAnsi="Calibri" w:cs="Calibri"/>
                <w:b/>
                <w:bCs/>
                <w:color w:val="000000"/>
                <w:sz w:val="20"/>
                <w:szCs w:val="20"/>
              </w:rPr>
            </w:pPr>
            <w:r w:rsidRPr="005D2490">
              <w:rPr>
                <w:rFonts w:ascii="Calibri" w:hAnsi="Calibri" w:cs="Calibri"/>
                <w:b/>
                <w:bCs/>
                <w:color w:val="000000"/>
                <w:sz w:val="20"/>
                <w:szCs w:val="20"/>
              </w:rPr>
              <w:t>Active ingredient(s)</w:t>
            </w:r>
          </w:p>
        </w:tc>
        <w:tc>
          <w:tcPr>
            <w:tcW w:w="221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9817F9E" w14:textId="77777777" w:rsidR="00BC6CEE" w:rsidRPr="005D2490" w:rsidRDefault="00BC6CEE" w:rsidP="00AC5E1B">
            <w:pPr>
              <w:spacing w:before="100" w:beforeAutospacing="1" w:after="100" w:afterAutospacing="1"/>
              <w:rPr>
                <w:rFonts w:ascii="Calibri" w:hAnsi="Calibri" w:cs="Calibri"/>
                <w:b/>
                <w:bCs/>
                <w:color w:val="000000"/>
                <w:sz w:val="20"/>
                <w:szCs w:val="20"/>
              </w:rPr>
            </w:pPr>
            <w:r w:rsidRPr="005D2490">
              <w:rPr>
                <w:rFonts w:ascii="Calibri" w:hAnsi="Calibri" w:cs="Calibri"/>
                <w:b/>
                <w:bCs/>
                <w:color w:val="000000"/>
                <w:sz w:val="20"/>
                <w:szCs w:val="20"/>
              </w:rPr>
              <w:t>Brand name</w:t>
            </w:r>
          </w:p>
        </w:tc>
        <w:tc>
          <w:tcPr>
            <w:tcW w:w="379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809890B" w14:textId="77777777" w:rsidR="00BC6CEE" w:rsidRPr="005D2490" w:rsidRDefault="00BC6CEE" w:rsidP="00AC5E1B">
            <w:pPr>
              <w:spacing w:before="100" w:beforeAutospacing="1" w:after="100" w:afterAutospacing="1"/>
              <w:rPr>
                <w:rFonts w:ascii="Calibri" w:hAnsi="Calibri" w:cs="Calibri"/>
                <w:b/>
                <w:bCs/>
                <w:color w:val="000000"/>
                <w:sz w:val="20"/>
                <w:szCs w:val="20"/>
              </w:rPr>
            </w:pPr>
            <w:r w:rsidRPr="005D2490">
              <w:rPr>
                <w:rFonts w:ascii="Calibri" w:hAnsi="Calibri" w:cs="Calibri"/>
                <w:b/>
                <w:bCs/>
                <w:color w:val="000000"/>
                <w:sz w:val="20"/>
                <w:szCs w:val="20"/>
              </w:rPr>
              <w:t>TGA registration</w:t>
            </w:r>
          </w:p>
        </w:tc>
      </w:tr>
      <w:tr w:rsidR="00BC6CEE" w14:paraId="1FDEB3DB" w14:textId="77777777" w:rsidTr="00A311E1">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8C40234"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NRTIs</w:t>
            </w:r>
          </w:p>
        </w:tc>
        <w:tc>
          <w:tcPr>
            <w:tcW w:w="2668" w:type="dxa"/>
            <w:tcBorders>
              <w:top w:val="single" w:sz="4" w:space="0" w:color="auto"/>
              <w:left w:val="nil"/>
              <w:bottom w:val="single" w:sz="4" w:space="0" w:color="auto"/>
              <w:right w:val="single" w:sz="4" w:space="0" w:color="auto"/>
            </w:tcBorders>
            <w:shd w:val="clear" w:color="auto" w:fill="auto"/>
            <w:vAlign w:val="bottom"/>
            <w:hideMark/>
          </w:tcPr>
          <w:p w14:paraId="42956CF7"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abacavir</w:t>
            </w:r>
          </w:p>
        </w:tc>
        <w:tc>
          <w:tcPr>
            <w:tcW w:w="2212" w:type="dxa"/>
            <w:tcBorders>
              <w:top w:val="nil"/>
              <w:left w:val="nil"/>
              <w:bottom w:val="single" w:sz="4" w:space="0" w:color="auto"/>
              <w:right w:val="single" w:sz="4" w:space="0" w:color="auto"/>
            </w:tcBorders>
            <w:shd w:val="clear" w:color="auto" w:fill="auto"/>
            <w:vAlign w:val="bottom"/>
            <w:hideMark/>
          </w:tcPr>
          <w:p w14:paraId="79822508"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Ziagen</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10D393ED" w14:textId="17BD587F"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Antiretroviral combination therapy for the treatment of Human Immunodeficiency Virus (HIV) infection in adults and children.</w:t>
            </w:r>
          </w:p>
        </w:tc>
      </w:tr>
      <w:tr w:rsidR="00BC6CEE" w14:paraId="4744F086" w14:textId="77777777" w:rsidTr="00A311E1">
        <w:trPr>
          <w:trHeight w:val="9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DA69A59"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7C0E3E"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abacavir + lamivudine</w:t>
            </w:r>
          </w:p>
        </w:tc>
        <w:tc>
          <w:tcPr>
            <w:tcW w:w="2212" w:type="dxa"/>
            <w:tcBorders>
              <w:top w:val="nil"/>
              <w:left w:val="nil"/>
              <w:bottom w:val="single" w:sz="4" w:space="0" w:color="auto"/>
              <w:right w:val="single" w:sz="4" w:space="0" w:color="auto"/>
            </w:tcBorders>
            <w:shd w:val="clear" w:color="auto" w:fill="auto"/>
            <w:vAlign w:val="bottom"/>
            <w:hideMark/>
          </w:tcPr>
          <w:p w14:paraId="213B260F"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Kivexa</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752FD680"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Antiretroviral combination therapy for the treatment of Human Immunodeficiency Virus (HIV) infection in adults and adolescents from 12 years of age.</w:t>
            </w:r>
          </w:p>
        </w:tc>
      </w:tr>
      <w:tr w:rsidR="00BC6CEE" w14:paraId="05F84A9E" w14:textId="77777777" w:rsidTr="00A311E1">
        <w:trPr>
          <w:trHeight w:val="15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ACC209E"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C225E"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abacavir + lamivudine + zidovudine</w:t>
            </w:r>
          </w:p>
        </w:tc>
        <w:tc>
          <w:tcPr>
            <w:tcW w:w="2212" w:type="dxa"/>
            <w:tcBorders>
              <w:top w:val="nil"/>
              <w:left w:val="nil"/>
              <w:bottom w:val="single" w:sz="4" w:space="0" w:color="auto"/>
              <w:right w:val="single" w:sz="4" w:space="0" w:color="auto"/>
            </w:tcBorders>
            <w:shd w:val="clear" w:color="auto" w:fill="auto"/>
            <w:vAlign w:val="bottom"/>
            <w:hideMark/>
          </w:tcPr>
          <w:p w14:paraId="208F493E"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Trizivir</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33F981E0"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Antiretroviral therapy for the treatment of Human Immunodeficiency Virus (HIV) infected adults and adolescents over the age of 12 years. </w:t>
            </w:r>
            <w:proofErr w:type="spellStart"/>
            <w:r w:rsidRPr="005D2490">
              <w:rPr>
                <w:rFonts w:ascii="Calibri" w:hAnsi="Calibri" w:cs="Calibri"/>
                <w:color w:val="000000"/>
                <w:sz w:val="20"/>
                <w:szCs w:val="20"/>
              </w:rPr>
              <w:t>Trizivir</w:t>
            </w:r>
            <w:proofErr w:type="spellEnd"/>
            <w:r w:rsidRPr="005D2490">
              <w:rPr>
                <w:rFonts w:ascii="Calibri" w:hAnsi="Calibri" w:cs="Calibri"/>
                <w:color w:val="000000"/>
                <w:sz w:val="20"/>
                <w:szCs w:val="20"/>
              </w:rPr>
              <w:t xml:space="preserve"> should not be administered to adults and adolescents who weigh less than 40kg because it is a fixed dose tablet, and the dose cannot be adjusted for this patient population.</w:t>
            </w:r>
          </w:p>
        </w:tc>
      </w:tr>
      <w:tr w:rsidR="00BC6CEE" w14:paraId="52699101" w14:textId="77777777" w:rsidTr="00A311E1">
        <w:trPr>
          <w:trHeight w:val="9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1533384"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EC1790"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emtricitabine</w:t>
            </w:r>
          </w:p>
        </w:tc>
        <w:tc>
          <w:tcPr>
            <w:tcW w:w="2212" w:type="dxa"/>
            <w:tcBorders>
              <w:top w:val="nil"/>
              <w:left w:val="nil"/>
              <w:bottom w:val="single" w:sz="4" w:space="0" w:color="auto"/>
              <w:right w:val="single" w:sz="4" w:space="0" w:color="auto"/>
            </w:tcBorders>
            <w:shd w:val="clear" w:color="auto" w:fill="auto"/>
            <w:vAlign w:val="bottom"/>
            <w:hideMark/>
          </w:tcPr>
          <w:p w14:paraId="6F50A329"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Emtriva</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03905069"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of HIV in combination with other antiretroviral agents in adults and paediatric patients 12 years of age and older, weighing more than 33 kg. </w:t>
            </w:r>
          </w:p>
        </w:tc>
      </w:tr>
      <w:tr w:rsidR="00BC6CEE" w14:paraId="5C7E8192" w14:textId="77777777" w:rsidTr="00A311E1">
        <w:trPr>
          <w:trHeight w:val="15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6ECAA6E"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531A59"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emtricitabine + rilpivirine + tenofovir alafenamide</w:t>
            </w:r>
          </w:p>
        </w:tc>
        <w:tc>
          <w:tcPr>
            <w:tcW w:w="2212" w:type="dxa"/>
            <w:tcBorders>
              <w:top w:val="nil"/>
              <w:left w:val="nil"/>
              <w:bottom w:val="single" w:sz="4" w:space="0" w:color="auto"/>
              <w:right w:val="single" w:sz="4" w:space="0" w:color="auto"/>
            </w:tcBorders>
            <w:shd w:val="clear" w:color="auto" w:fill="auto"/>
            <w:vAlign w:val="bottom"/>
            <w:hideMark/>
          </w:tcPr>
          <w:p w14:paraId="7F26A0BE"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Odefsey</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07F1A61E"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HIV-1 infection in adults and adolescents (12 years and older with body weight at least 35 kg) with plasma HIV-1 RNA &lt;= 100,000 copies/mL at the start of therapy. The patients must not have a history of treatment failure or known mutations associated with resistance to the individual components of ODEFSEY.</w:t>
            </w:r>
          </w:p>
        </w:tc>
      </w:tr>
      <w:tr w:rsidR="00BC6CEE" w14:paraId="7AA9E645" w14:textId="77777777" w:rsidTr="00A311E1">
        <w:trPr>
          <w:trHeight w:val="27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C3DB279"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F4D67F"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emtricitabine + tenofovir alafenamide</w:t>
            </w:r>
          </w:p>
        </w:tc>
        <w:tc>
          <w:tcPr>
            <w:tcW w:w="2212" w:type="dxa"/>
            <w:tcBorders>
              <w:top w:val="nil"/>
              <w:left w:val="nil"/>
              <w:bottom w:val="single" w:sz="4" w:space="0" w:color="auto"/>
              <w:right w:val="single" w:sz="4" w:space="0" w:color="auto"/>
            </w:tcBorders>
            <w:shd w:val="clear" w:color="auto" w:fill="auto"/>
            <w:vAlign w:val="bottom"/>
            <w:hideMark/>
          </w:tcPr>
          <w:p w14:paraId="7CD5C0CA"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Descovy</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44F4F8B8" w14:textId="66BE19F9" w:rsidR="006D610F"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of HIV-1 Infection: </w:t>
            </w:r>
            <w:r w:rsidR="00BE394A">
              <w:rPr>
                <w:rFonts w:ascii="Calibri" w:hAnsi="Calibri" w:cs="Calibri"/>
                <w:color w:val="000000"/>
                <w:sz w:val="20"/>
                <w:szCs w:val="20"/>
              </w:rPr>
              <w:t>I</w:t>
            </w:r>
            <w:r w:rsidRPr="005D2490">
              <w:rPr>
                <w:rFonts w:ascii="Calibri" w:hAnsi="Calibri" w:cs="Calibri"/>
                <w:color w:val="000000"/>
                <w:sz w:val="20"/>
                <w:szCs w:val="20"/>
              </w:rPr>
              <w:t>n combination with other antiretroviral agents for the treatment of HIV-1 infection in adults and paediatric patients weighing at least 25kg. The patients must not have a history of treatment failure or known mutations associated with resistance to the individual components of DESCOVY</w:t>
            </w:r>
          </w:p>
          <w:p w14:paraId="2F5212D9" w14:textId="25F753C1"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HIV-1 Pre-Exposure Prophylaxis: pre-exposure prophylaxis (</w:t>
            </w:r>
            <w:proofErr w:type="spellStart"/>
            <w:r w:rsidRPr="005D2490">
              <w:rPr>
                <w:rFonts w:ascii="Calibri" w:hAnsi="Calibri" w:cs="Calibri"/>
                <w:color w:val="000000"/>
                <w:sz w:val="20"/>
                <w:szCs w:val="20"/>
              </w:rPr>
              <w:t>PrEP</w:t>
            </w:r>
            <w:proofErr w:type="spellEnd"/>
            <w:r w:rsidRPr="005D2490">
              <w:rPr>
                <w:rFonts w:ascii="Calibri" w:hAnsi="Calibri" w:cs="Calibri"/>
                <w:color w:val="000000"/>
                <w:sz w:val="20"/>
                <w:szCs w:val="20"/>
              </w:rPr>
              <w:t>) to reduce the risk of sexually acquired HIV-1 in at-risk adults and adolescents weighing at least 35 kg, excluding individuals at risk from receptive vaginal sex.</w:t>
            </w:r>
          </w:p>
        </w:tc>
      </w:tr>
      <w:tr w:rsidR="00BC6CEE" w14:paraId="7E3EEFA3" w14:textId="77777777" w:rsidTr="00A311E1">
        <w:trPr>
          <w:trHeight w:val="24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2F3E44B"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89FB92"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lamivudine</w:t>
            </w:r>
          </w:p>
        </w:tc>
        <w:tc>
          <w:tcPr>
            <w:tcW w:w="2212" w:type="dxa"/>
            <w:tcBorders>
              <w:top w:val="nil"/>
              <w:left w:val="nil"/>
              <w:bottom w:val="single" w:sz="4" w:space="0" w:color="auto"/>
              <w:right w:val="single" w:sz="4" w:space="0" w:color="auto"/>
            </w:tcBorders>
            <w:shd w:val="clear" w:color="auto" w:fill="auto"/>
            <w:vAlign w:val="bottom"/>
            <w:hideMark/>
          </w:tcPr>
          <w:p w14:paraId="6584E036"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Zeffix</w:t>
            </w:r>
            <w:proofErr w:type="spellEnd"/>
            <w:r w:rsidRPr="005D2490">
              <w:rPr>
                <w:rFonts w:ascii="Calibri" w:hAnsi="Calibri" w:cs="Calibri"/>
                <w:color w:val="000000"/>
                <w:sz w:val="20"/>
                <w:szCs w:val="20"/>
              </w:rPr>
              <w:t xml:space="preserve">, </w:t>
            </w:r>
            <w:proofErr w:type="spellStart"/>
            <w:r w:rsidRPr="005D2490">
              <w:rPr>
                <w:rFonts w:ascii="Calibri" w:hAnsi="Calibri" w:cs="Calibri"/>
                <w:color w:val="000000"/>
                <w:sz w:val="20"/>
                <w:szCs w:val="20"/>
              </w:rPr>
              <w:t>Zetlam</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359A5F18"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Zeffix</w:t>
            </w:r>
            <w:proofErr w:type="spellEnd"/>
            <w:r w:rsidRPr="005D2490">
              <w:rPr>
                <w:rFonts w:ascii="Calibri" w:hAnsi="Calibri" w:cs="Calibri"/>
                <w:color w:val="000000"/>
                <w:sz w:val="20"/>
                <w:szCs w:val="20"/>
              </w:rPr>
              <w:t xml:space="preserve"> (lamivudine) is indicated for the treatment of children (2 years and above), adolescent and adult patients with chronic hepatitis B and evidence of hepatitis B virus (HBV) replication. Children and adolescent also require evidence of active hepatic inflammation. The safety and efficacy of </w:t>
            </w:r>
            <w:proofErr w:type="spellStart"/>
            <w:r w:rsidRPr="005D2490">
              <w:rPr>
                <w:rFonts w:ascii="Calibri" w:hAnsi="Calibri" w:cs="Calibri"/>
                <w:color w:val="000000"/>
                <w:sz w:val="20"/>
                <w:szCs w:val="20"/>
              </w:rPr>
              <w:t>Zeffix</w:t>
            </w:r>
            <w:proofErr w:type="spellEnd"/>
            <w:r w:rsidRPr="005D2490">
              <w:rPr>
                <w:rFonts w:ascii="Calibri" w:hAnsi="Calibri" w:cs="Calibri"/>
                <w:color w:val="000000"/>
                <w:sz w:val="20"/>
                <w:szCs w:val="20"/>
              </w:rPr>
              <w:t xml:space="preserve"> (lamivudine) have not been established in patients with decompensated liver disease in placebo controlled studies. However, </w:t>
            </w:r>
            <w:proofErr w:type="spellStart"/>
            <w:r w:rsidRPr="005D2490">
              <w:rPr>
                <w:rFonts w:ascii="Calibri" w:hAnsi="Calibri" w:cs="Calibri"/>
                <w:color w:val="000000"/>
                <w:sz w:val="20"/>
                <w:szCs w:val="20"/>
              </w:rPr>
              <w:t>Zeffix</w:t>
            </w:r>
            <w:proofErr w:type="spellEnd"/>
            <w:r w:rsidRPr="005D2490">
              <w:rPr>
                <w:rFonts w:ascii="Calibri" w:hAnsi="Calibri" w:cs="Calibri"/>
                <w:color w:val="000000"/>
                <w:sz w:val="20"/>
                <w:szCs w:val="20"/>
              </w:rPr>
              <w:t xml:space="preserve"> (lamivudine) has been shown to reduce HBV DNA levels prior to and post liver transplantation</w:t>
            </w:r>
          </w:p>
        </w:tc>
      </w:tr>
      <w:tr w:rsidR="00BC6CEE" w14:paraId="5BE9F8FC" w14:textId="77777777" w:rsidTr="00A311E1">
        <w:trPr>
          <w:trHeight w:val="6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F7C2AD6"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843FDD"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lamivudine + zidovudine</w:t>
            </w:r>
          </w:p>
        </w:tc>
        <w:tc>
          <w:tcPr>
            <w:tcW w:w="2212" w:type="dxa"/>
            <w:tcBorders>
              <w:top w:val="nil"/>
              <w:left w:val="nil"/>
              <w:bottom w:val="single" w:sz="4" w:space="0" w:color="auto"/>
              <w:right w:val="single" w:sz="4" w:space="0" w:color="auto"/>
            </w:tcBorders>
            <w:shd w:val="clear" w:color="auto" w:fill="auto"/>
            <w:vAlign w:val="bottom"/>
            <w:hideMark/>
          </w:tcPr>
          <w:p w14:paraId="1192DF40"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Combivir</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4A8B452F"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For use alone or in combination with other antiretroviral therapies in the treatment of HIV infection.</w:t>
            </w:r>
          </w:p>
        </w:tc>
      </w:tr>
      <w:tr w:rsidR="00BC6CEE" w14:paraId="6CFC0DAB" w14:textId="77777777" w:rsidTr="00A311E1">
        <w:trPr>
          <w:trHeight w:val="1683"/>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A01BE61"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1591D"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tenofovir disoproxil</w:t>
            </w:r>
          </w:p>
        </w:tc>
        <w:tc>
          <w:tcPr>
            <w:tcW w:w="2212" w:type="dxa"/>
            <w:tcBorders>
              <w:top w:val="nil"/>
              <w:left w:val="nil"/>
              <w:bottom w:val="single" w:sz="4" w:space="0" w:color="auto"/>
              <w:right w:val="single" w:sz="4" w:space="0" w:color="auto"/>
            </w:tcBorders>
            <w:shd w:val="clear" w:color="auto" w:fill="auto"/>
            <w:vAlign w:val="bottom"/>
            <w:hideMark/>
          </w:tcPr>
          <w:p w14:paraId="18F4B17D" w14:textId="4099CDD4" w:rsidR="00BC6CEE" w:rsidRPr="005D2490" w:rsidRDefault="00BC6CEE" w:rsidP="00AC5E1B">
            <w:pPr>
              <w:spacing w:before="100" w:beforeAutospacing="1" w:after="100" w:afterAutospacing="1"/>
              <w:rPr>
                <w:rFonts w:ascii="Calibri" w:hAnsi="Calibri" w:cs="Calibri"/>
                <w:color w:val="000000"/>
                <w:sz w:val="20"/>
                <w:szCs w:val="20"/>
                <w:lang w:val="es-ES"/>
              </w:rPr>
            </w:pPr>
            <w:proofErr w:type="spellStart"/>
            <w:r w:rsidRPr="005D2490">
              <w:rPr>
                <w:rFonts w:ascii="Calibri" w:hAnsi="Calibri" w:cs="Calibri"/>
                <w:color w:val="000000"/>
                <w:sz w:val="20"/>
                <w:szCs w:val="20"/>
                <w:lang w:val="es-ES"/>
              </w:rPr>
              <w:t>Viread</w:t>
            </w:r>
            <w:proofErr w:type="spellEnd"/>
            <w:r w:rsidRPr="005D2490">
              <w:rPr>
                <w:rFonts w:ascii="Calibri" w:hAnsi="Calibri" w:cs="Calibri"/>
                <w:color w:val="000000"/>
                <w:sz w:val="20"/>
                <w:szCs w:val="20"/>
                <w:lang w:val="es-ES"/>
              </w:rPr>
              <w:t xml:space="preserve">, </w:t>
            </w:r>
            <w:proofErr w:type="spellStart"/>
            <w:r w:rsidRPr="005D2490">
              <w:rPr>
                <w:rFonts w:ascii="Calibri" w:hAnsi="Calibri" w:cs="Calibri"/>
                <w:color w:val="000000"/>
                <w:sz w:val="20"/>
                <w:szCs w:val="20"/>
                <w:lang w:val="es-ES"/>
              </w:rPr>
              <w:t>Tenofovir</w:t>
            </w:r>
            <w:proofErr w:type="spellEnd"/>
            <w:r w:rsidRPr="005D2490">
              <w:rPr>
                <w:rFonts w:ascii="Calibri" w:hAnsi="Calibri" w:cs="Calibri"/>
                <w:color w:val="000000"/>
                <w:sz w:val="20"/>
                <w:szCs w:val="20"/>
                <w:lang w:val="es-ES"/>
              </w:rPr>
              <w:t xml:space="preserve"> </w:t>
            </w:r>
            <w:proofErr w:type="spellStart"/>
            <w:r w:rsidRPr="005D2490">
              <w:rPr>
                <w:rFonts w:ascii="Calibri" w:hAnsi="Calibri" w:cs="Calibri"/>
                <w:color w:val="000000"/>
                <w:sz w:val="20"/>
                <w:szCs w:val="20"/>
                <w:lang w:val="es-ES"/>
              </w:rPr>
              <w:t>Disoproxil</w:t>
            </w:r>
            <w:proofErr w:type="spellEnd"/>
            <w:r w:rsidRPr="005D2490">
              <w:rPr>
                <w:rFonts w:ascii="Calibri" w:hAnsi="Calibri" w:cs="Calibri"/>
                <w:color w:val="000000"/>
                <w:sz w:val="20"/>
                <w:szCs w:val="20"/>
                <w:lang w:val="es-ES"/>
              </w:rPr>
              <w:t xml:space="preserve"> </w:t>
            </w:r>
            <w:proofErr w:type="spellStart"/>
            <w:r w:rsidRPr="005D2490">
              <w:rPr>
                <w:rFonts w:ascii="Calibri" w:hAnsi="Calibri" w:cs="Calibri"/>
                <w:color w:val="000000"/>
                <w:sz w:val="20"/>
                <w:szCs w:val="20"/>
                <w:lang w:val="es-ES"/>
              </w:rPr>
              <w:t>Mylan</w:t>
            </w:r>
            <w:proofErr w:type="spellEnd"/>
            <w:r w:rsidRPr="005D2490">
              <w:rPr>
                <w:rFonts w:ascii="Calibri" w:hAnsi="Calibri" w:cs="Calibri"/>
                <w:color w:val="000000"/>
                <w:sz w:val="20"/>
                <w:szCs w:val="20"/>
                <w:lang w:val="es-ES"/>
              </w:rPr>
              <w:t xml:space="preserve">, </w:t>
            </w:r>
            <w:proofErr w:type="spellStart"/>
            <w:r w:rsidRPr="005D2490">
              <w:rPr>
                <w:rFonts w:ascii="Calibri" w:hAnsi="Calibri" w:cs="Calibri"/>
                <w:color w:val="000000"/>
                <w:sz w:val="20"/>
                <w:szCs w:val="20"/>
                <w:lang w:val="es-ES"/>
              </w:rPr>
              <w:t>Tenofovir</w:t>
            </w:r>
            <w:proofErr w:type="spellEnd"/>
            <w:r w:rsidRPr="005D2490">
              <w:rPr>
                <w:rFonts w:ascii="Calibri" w:hAnsi="Calibri" w:cs="Calibri"/>
                <w:color w:val="000000"/>
                <w:sz w:val="20"/>
                <w:szCs w:val="20"/>
                <w:lang w:val="es-ES"/>
              </w:rPr>
              <w:t xml:space="preserve"> GH</w:t>
            </w:r>
          </w:p>
        </w:tc>
        <w:tc>
          <w:tcPr>
            <w:tcW w:w="3794" w:type="dxa"/>
            <w:tcBorders>
              <w:top w:val="nil"/>
              <w:left w:val="nil"/>
              <w:bottom w:val="single" w:sz="4" w:space="0" w:color="auto"/>
              <w:right w:val="single" w:sz="4" w:space="0" w:color="auto"/>
            </w:tcBorders>
            <w:shd w:val="clear" w:color="auto" w:fill="auto"/>
            <w:vAlign w:val="bottom"/>
            <w:hideMark/>
          </w:tcPr>
          <w:p w14:paraId="7E49B6F0" w14:textId="7F159439" w:rsidR="00BC6CEE" w:rsidRPr="005D2490" w:rsidRDefault="006D610F"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w:t>
            </w:r>
            <w:r w:rsidR="00BC6CEE" w:rsidRPr="005D2490">
              <w:rPr>
                <w:rFonts w:ascii="Calibri" w:hAnsi="Calibri" w:cs="Calibri"/>
                <w:color w:val="000000"/>
                <w:sz w:val="20"/>
                <w:szCs w:val="20"/>
              </w:rPr>
              <w:t xml:space="preserve"> in combination with other antiretroviral agents  of HIV-infected adults and paediatric patients 12 years of age and older. Treatment of chronic hepatitis B in adults and treatment of chronic hepatitis B in paediatric patients 12 years of age and older with compensated liver disease and with evidence of immune active disease, i.e. active viral replication, persistently elevated serum ALT levels or evidence of active inflammation.</w:t>
            </w:r>
          </w:p>
        </w:tc>
      </w:tr>
      <w:tr w:rsidR="00BC6CEE" w14:paraId="3290976C" w14:textId="77777777" w:rsidTr="00A311E1">
        <w:trPr>
          <w:trHeight w:val="199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CA55C53"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D391BB" w14:textId="77777777" w:rsidR="00BC6CEE" w:rsidRPr="005D2490" w:rsidRDefault="00BC6CEE" w:rsidP="00AC5E1B">
            <w:pPr>
              <w:spacing w:before="100" w:beforeAutospacing="1" w:after="100" w:afterAutospacing="1"/>
              <w:rPr>
                <w:rFonts w:ascii="Calibri" w:hAnsi="Calibri" w:cs="Calibri"/>
                <w:color w:val="000000"/>
                <w:sz w:val="20"/>
                <w:szCs w:val="20"/>
                <w:lang w:val="es-ES"/>
              </w:rPr>
            </w:pPr>
            <w:proofErr w:type="spellStart"/>
            <w:r w:rsidRPr="005D2490">
              <w:rPr>
                <w:rFonts w:ascii="Calibri" w:hAnsi="Calibri" w:cs="Calibri"/>
                <w:color w:val="000000"/>
                <w:sz w:val="20"/>
                <w:szCs w:val="20"/>
                <w:lang w:val="es-ES"/>
              </w:rPr>
              <w:t>tenofovir</w:t>
            </w:r>
            <w:proofErr w:type="spellEnd"/>
            <w:r w:rsidRPr="005D2490">
              <w:rPr>
                <w:rFonts w:ascii="Calibri" w:hAnsi="Calibri" w:cs="Calibri"/>
                <w:color w:val="000000"/>
                <w:sz w:val="20"/>
                <w:szCs w:val="20"/>
                <w:lang w:val="es-ES"/>
              </w:rPr>
              <w:t xml:space="preserve"> </w:t>
            </w:r>
            <w:proofErr w:type="spellStart"/>
            <w:r w:rsidRPr="005D2490">
              <w:rPr>
                <w:rFonts w:ascii="Calibri" w:hAnsi="Calibri" w:cs="Calibri"/>
                <w:color w:val="000000"/>
                <w:sz w:val="20"/>
                <w:szCs w:val="20"/>
                <w:lang w:val="es-ES"/>
              </w:rPr>
              <w:t>alafenamide</w:t>
            </w:r>
            <w:proofErr w:type="spellEnd"/>
            <w:r w:rsidRPr="005D2490">
              <w:rPr>
                <w:rFonts w:ascii="Calibri" w:hAnsi="Calibri" w:cs="Calibri"/>
                <w:color w:val="000000"/>
                <w:sz w:val="20"/>
                <w:szCs w:val="20"/>
                <w:lang w:val="es-ES"/>
              </w:rPr>
              <w:t xml:space="preserve"> + </w:t>
            </w:r>
            <w:proofErr w:type="spellStart"/>
            <w:r w:rsidRPr="005D2490">
              <w:rPr>
                <w:rFonts w:ascii="Calibri" w:hAnsi="Calibri" w:cs="Calibri"/>
                <w:color w:val="000000"/>
                <w:sz w:val="20"/>
                <w:szCs w:val="20"/>
                <w:lang w:val="es-ES"/>
              </w:rPr>
              <w:t>emtricitabine</w:t>
            </w:r>
            <w:proofErr w:type="spellEnd"/>
            <w:r w:rsidRPr="005D2490">
              <w:rPr>
                <w:rFonts w:ascii="Calibri" w:hAnsi="Calibri" w:cs="Calibri"/>
                <w:color w:val="000000"/>
                <w:sz w:val="20"/>
                <w:szCs w:val="20"/>
                <w:lang w:val="es-ES"/>
              </w:rPr>
              <w:t xml:space="preserve"> + </w:t>
            </w:r>
            <w:proofErr w:type="spellStart"/>
            <w:r w:rsidRPr="005D2490">
              <w:rPr>
                <w:rFonts w:ascii="Calibri" w:hAnsi="Calibri" w:cs="Calibri"/>
                <w:color w:val="000000"/>
                <w:sz w:val="20"/>
                <w:szCs w:val="20"/>
                <w:lang w:val="es-ES"/>
              </w:rPr>
              <w:t>elvitegravir</w:t>
            </w:r>
            <w:proofErr w:type="spellEnd"/>
            <w:r w:rsidRPr="005D2490">
              <w:rPr>
                <w:rFonts w:ascii="Calibri" w:hAnsi="Calibri" w:cs="Calibri"/>
                <w:color w:val="000000"/>
                <w:sz w:val="20"/>
                <w:szCs w:val="20"/>
                <w:lang w:val="es-ES"/>
              </w:rPr>
              <w:t xml:space="preserve"> + </w:t>
            </w:r>
            <w:proofErr w:type="spellStart"/>
            <w:r w:rsidRPr="005D2490">
              <w:rPr>
                <w:rFonts w:ascii="Calibri" w:hAnsi="Calibri" w:cs="Calibri"/>
                <w:color w:val="000000"/>
                <w:sz w:val="20"/>
                <w:szCs w:val="20"/>
                <w:lang w:val="es-ES"/>
              </w:rPr>
              <w:t>cobicistat</w:t>
            </w:r>
            <w:proofErr w:type="spellEnd"/>
          </w:p>
        </w:tc>
        <w:tc>
          <w:tcPr>
            <w:tcW w:w="2212" w:type="dxa"/>
            <w:tcBorders>
              <w:top w:val="nil"/>
              <w:left w:val="nil"/>
              <w:bottom w:val="single" w:sz="4" w:space="0" w:color="auto"/>
              <w:right w:val="single" w:sz="4" w:space="0" w:color="auto"/>
            </w:tcBorders>
            <w:shd w:val="clear" w:color="auto" w:fill="auto"/>
            <w:vAlign w:val="bottom"/>
            <w:hideMark/>
          </w:tcPr>
          <w:p w14:paraId="658A6189"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Genvoya</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08CCC43A" w14:textId="77777777" w:rsidR="00BC6CEE" w:rsidRPr="005D2490" w:rsidRDefault="00BC6CEE" w:rsidP="005E5FE3">
            <w:pPr>
              <w:spacing w:after="100" w:afterAutospacing="1"/>
              <w:rPr>
                <w:rFonts w:ascii="Calibri" w:hAnsi="Calibri" w:cs="Calibri"/>
                <w:color w:val="000000"/>
                <w:sz w:val="20"/>
                <w:szCs w:val="20"/>
              </w:rPr>
            </w:pPr>
            <w:r w:rsidRPr="005D2490">
              <w:rPr>
                <w:rFonts w:ascii="Calibri" w:hAnsi="Calibri" w:cs="Calibri"/>
                <w:color w:val="000000"/>
                <w:sz w:val="20"/>
                <w:szCs w:val="20"/>
              </w:rPr>
              <w:t>Single tablet regimen for the treatment of HIV-1 infection in adults and paediatric patients weighing at least 25 kg who are either treatment-naïve; or virologically suppressed (HIV-1 RNA &lt;50 copies/mL) on a stable antiretroviral regimen at start of therapy in order to replace their current antiretroviral treatment regimen. Patients must not have a history of treatment failure or known mutations associated with resistance to the antiretroviral components of GENVOYA.</w:t>
            </w:r>
          </w:p>
        </w:tc>
      </w:tr>
      <w:tr w:rsidR="00BC6CEE" w14:paraId="36F6E6CD" w14:textId="77777777" w:rsidTr="00A311E1">
        <w:trPr>
          <w:trHeight w:val="21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00DE678"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4F7A6F"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tenofovir disoproxil with emtricitabine</w:t>
            </w:r>
          </w:p>
        </w:tc>
        <w:tc>
          <w:tcPr>
            <w:tcW w:w="2212" w:type="dxa"/>
            <w:tcBorders>
              <w:top w:val="nil"/>
              <w:left w:val="nil"/>
              <w:bottom w:val="single" w:sz="4" w:space="0" w:color="auto"/>
              <w:right w:val="single" w:sz="4" w:space="0" w:color="auto"/>
            </w:tcBorders>
            <w:shd w:val="clear" w:color="auto" w:fill="auto"/>
            <w:vAlign w:val="bottom"/>
            <w:hideMark/>
          </w:tcPr>
          <w:p w14:paraId="6418E371"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Tenofovir/Emtricitabine, Truvada </w:t>
            </w:r>
          </w:p>
        </w:tc>
        <w:tc>
          <w:tcPr>
            <w:tcW w:w="3794" w:type="dxa"/>
            <w:tcBorders>
              <w:top w:val="nil"/>
              <w:left w:val="nil"/>
              <w:bottom w:val="single" w:sz="4" w:space="0" w:color="auto"/>
              <w:right w:val="single" w:sz="4" w:space="0" w:color="auto"/>
            </w:tcBorders>
            <w:shd w:val="clear" w:color="auto" w:fill="auto"/>
            <w:vAlign w:val="bottom"/>
            <w:hideMark/>
          </w:tcPr>
          <w:p w14:paraId="473E0C2F" w14:textId="77777777" w:rsidR="006D610F"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of HIV-1 infection for infected adults over the age of 18 years, in combination with other antiretroviral agents. </w:t>
            </w:r>
          </w:p>
          <w:p w14:paraId="29DA4E34" w14:textId="79E45281"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Pre-Exposure Prophylaxis TRUVADA is indicated in combination with safer sex practices for pre-exposure prophylaxis (</w:t>
            </w:r>
            <w:proofErr w:type="spellStart"/>
            <w:r w:rsidRPr="005D2490">
              <w:rPr>
                <w:rFonts w:ascii="Calibri" w:hAnsi="Calibri" w:cs="Calibri"/>
                <w:color w:val="000000"/>
                <w:sz w:val="20"/>
                <w:szCs w:val="20"/>
              </w:rPr>
              <w:t>PrEP</w:t>
            </w:r>
            <w:proofErr w:type="spellEnd"/>
            <w:r w:rsidRPr="005D2490">
              <w:rPr>
                <w:rFonts w:ascii="Calibri" w:hAnsi="Calibri" w:cs="Calibri"/>
                <w:color w:val="000000"/>
                <w:sz w:val="20"/>
                <w:szCs w:val="20"/>
              </w:rPr>
              <w:t xml:space="preserve">) to reduce the risk of sexually acquired HIV-1 in adults at high risk. This indication is based on clinical trials in men who have sex with men (MSM) at high risk for HIV-1 infection and in heterosexual </w:t>
            </w:r>
            <w:proofErr w:type="spellStart"/>
            <w:r w:rsidRPr="005D2490">
              <w:rPr>
                <w:rFonts w:ascii="Calibri" w:hAnsi="Calibri" w:cs="Calibri"/>
                <w:color w:val="000000"/>
                <w:sz w:val="20"/>
                <w:szCs w:val="20"/>
              </w:rPr>
              <w:t>serodiscordant</w:t>
            </w:r>
            <w:proofErr w:type="spellEnd"/>
            <w:r w:rsidRPr="005D2490">
              <w:rPr>
                <w:rFonts w:ascii="Calibri" w:hAnsi="Calibri" w:cs="Calibri"/>
                <w:color w:val="000000"/>
                <w:sz w:val="20"/>
                <w:szCs w:val="20"/>
              </w:rPr>
              <w:t xml:space="preserve"> couples.</w:t>
            </w:r>
          </w:p>
        </w:tc>
      </w:tr>
      <w:tr w:rsidR="00BC6CEE" w14:paraId="4C01A2C1" w14:textId="77777777" w:rsidTr="00A311E1">
        <w:trPr>
          <w:trHeight w:val="6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9010C02"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3671C7"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tenofovir disoproxil + emtricitabine + efavirenz</w:t>
            </w:r>
          </w:p>
        </w:tc>
        <w:tc>
          <w:tcPr>
            <w:tcW w:w="2212" w:type="dxa"/>
            <w:tcBorders>
              <w:top w:val="nil"/>
              <w:left w:val="nil"/>
              <w:bottom w:val="single" w:sz="4" w:space="0" w:color="auto"/>
              <w:right w:val="single" w:sz="4" w:space="0" w:color="auto"/>
            </w:tcBorders>
            <w:shd w:val="clear" w:color="auto" w:fill="auto"/>
            <w:vAlign w:val="bottom"/>
            <w:hideMark/>
          </w:tcPr>
          <w:p w14:paraId="5BB7E351"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Atripla</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3898765D"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of HIV infected adults over the age of 18 years. </w:t>
            </w:r>
          </w:p>
        </w:tc>
      </w:tr>
      <w:tr w:rsidR="00BC6CEE" w14:paraId="1EC98729" w14:textId="77777777" w:rsidTr="00A311E1">
        <w:trPr>
          <w:trHeight w:val="2484"/>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5CD9F33"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61669A"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zidovudine</w:t>
            </w:r>
          </w:p>
        </w:tc>
        <w:tc>
          <w:tcPr>
            <w:tcW w:w="2212" w:type="dxa"/>
            <w:tcBorders>
              <w:top w:val="nil"/>
              <w:left w:val="nil"/>
              <w:bottom w:val="single" w:sz="4" w:space="0" w:color="auto"/>
              <w:right w:val="single" w:sz="4" w:space="0" w:color="auto"/>
            </w:tcBorders>
            <w:shd w:val="clear" w:color="auto" w:fill="auto"/>
            <w:vAlign w:val="bottom"/>
            <w:hideMark/>
          </w:tcPr>
          <w:p w14:paraId="6FAA248B"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Retrovir</w:t>
            </w:r>
          </w:p>
        </w:tc>
        <w:tc>
          <w:tcPr>
            <w:tcW w:w="3794" w:type="dxa"/>
            <w:tcBorders>
              <w:top w:val="nil"/>
              <w:left w:val="nil"/>
              <w:bottom w:val="single" w:sz="4" w:space="0" w:color="auto"/>
              <w:right w:val="single" w:sz="4" w:space="0" w:color="auto"/>
            </w:tcBorders>
            <w:shd w:val="clear" w:color="auto" w:fill="auto"/>
            <w:vAlign w:val="bottom"/>
            <w:hideMark/>
          </w:tcPr>
          <w:p w14:paraId="6D48D969" w14:textId="11D6A299"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of adult patients with severe symptomatic human immunodeficiency virus infection (AIDS or advanced AIDS related complex). Treatment of other HIV-positive adult patients with less than 500 CD4 cells/mm3. Combination therapy in advanced HIV infection: The addition of HIVID (zalcitabine) may be considered for the management of adult patients with advanced HIV infection and CD4 + cell counts less than or equal to 200/mm3, who have received Retrovir monotherapy for less than 12 months. Retrovir (zidovudine) is indicated for the treatment of HIV infection, alone and in combination with other antiretroviral therapies. </w:t>
            </w:r>
          </w:p>
        </w:tc>
      </w:tr>
      <w:tr w:rsidR="00BC6CEE" w14:paraId="58830C5D" w14:textId="77777777" w:rsidTr="00A311E1">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452E6AB"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NNRTIs</w:t>
            </w:r>
          </w:p>
        </w:tc>
        <w:tc>
          <w:tcPr>
            <w:tcW w:w="2668" w:type="dxa"/>
            <w:tcBorders>
              <w:top w:val="single" w:sz="4" w:space="0" w:color="auto"/>
              <w:left w:val="nil"/>
              <w:bottom w:val="single" w:sz="4" w:space="0" w:color="auto"/>
              <w:right w:val="single" w:sz="4" w:space="0" w:color="auto"/>
            </w:tcBorders>
            <w:shd w:val="clear" w:color="auto" w:fill="auto"/>
            <w:vAlign w:val="bottom"/>
            <w:hideMark/>
          </w:tcPr>
          <w:p w14:paraId="6B67FF7E"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efavirenz</w:t>
            </w:r>
          </w:p>
        </w:tc>
        <w:tc>
          <w:tcPr>
            <w:tcW w:w="2212" w:type="dxa"/>
            <w:tcBorders>
              <w:top w:val="nil"/>
              <w:left w:val="nil"/>
              <w:bottom w:val="single" w:sz="4" w:space="0" w:color="auto"/>
              <w:right w:val="single" w:sz="4" w:space="0" w:color="auto"/>
            </w:tcBorders>
            <w:shd w:val="clear" w:color="auto" w:fill="auto"/>
            <w:vAlign w:val="bottom"/>
            <w:hideMark/>
          </w:tcPr>
          <w:p w14:paraId="0FC168A8"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Stocrin</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09D8AD75"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For use in combination with other antiviral agents for the treatment of HIV-1 infection in adults and children.</w:t>
            </w:r>
          </w:p>
        </w:tc>
      </w:tr>
      <w:tr w:rsidR="00BC6CEE" w14:paraId="09C8A724" w14:textId="77777777" w:rsidTr="00A311E1">
        <w:trPr>
          <w:trHeight w:val="18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67E21BB"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E0C386"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etravirine</w:t>
            </w:r>
          </w:p>
        </w:tc>
        <w:tc>
          <w:tcPr>
            <w:tcW w:w="2212" w:type="dxa"/>
            <w:tcBorders>
              <w:top w:val="nil"/>
              <w:left w:val="nil"/>
              <w:bottom w:val="single" w:sz="4" w:space="0" w:color="auto"/>
              <w:right w:val="single" w:sz="4" w:space="0" w:color="auto"/>
            </w:tcBorders>
            <w:shd w:val="clear" w:color="auto" w:fill="auto"/>
            <w:vAlign w:val="bottom"/>
            <w:hideMark/>
          </w:tcPr>
          <w:p w14:paraId="0CB9B530"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Intelence</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4B68AD2E"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in combination with other antiretroviral agents of HIV-1 infection in antiretroviral treatment-experienced adults who have evidence of viral replication and resistance to Non-nucleoside Transcriptase Inhibitors and other antiretroviral agents.  Treatment history of patients and genotypic testing should be performed to guide the use of etravirine.</w:t>
            </w:r>
          </w:p>
        </w:tc>
      </w:tr>
      <w:tr w:rsidR="00BC6CEE" w14:paraId="4B8E94F8" w14:textId="77777777" w:rsidTr="00A311E1">
        <w:trPr>
          <w:trHeight w:val="39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1C0B2FE"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9FACD8"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nevirapine</w:t>
            </w:r>
          </w:p>
        </w:tc>
        <w:tc>
          <w:tcPr>
            <w:tcW w:w="2212" w:type="dxa"/>
            <w:tcBorders>
              <w:top w:val="nil"/>
              <w:left w:val="nil"/>
              <w:bottom w:val="single" w:sz="4" w:space="0" w:color="auto"/>
              <w:right w:val="single" w:sz="4" w:space="0" w:color="auto"/>
            </w:tcBorders>
            <w:shd w:val="clear" w:color="auto" w:fill="auto"/>
            <w:vAlign w:val="bottom"/>
            <w:hideMark/>
          </w:tcPr>
          <w:p w14:paraId="70B6839A"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Nevirapine, </w:t>
            </w:r>
            <w:proofErr w:type="spellStart"/>
            <w:r w:rsidRPr="005D2490">
              <w:rPr>
                <w:rFonts w:ascii="Calibri" w:hAnsi="Calibri" w:cs="Calibri"/>
                <w:color w:val="000000"/>
                <w:sz w:val="20"/>
                <w:szCs w:val="20"/>
              </w:rPr>
              <w:t>Viramune</w:t>
            </w:r>
            <w:proofErr w:type="spellEnd"/>
            <w:r w:rsidRPr="005D2490">
              <w:rPr>
                <w:rFonts w:ascii="Calibri" w:hAnsi="Calibri" w:cs="Calibri"/>
                <w:color w:val="000000"/>
                <w:sz w:val="20"/>
                <w:szCs w:val="20"/>
              </w:rPr>
              <w:t xml:space="preserve">, </w:t>
            </w:r>
            <w:proofErr w:type="spellStart"/>
            <w:r w:rsidRPr="005D2490">
              <w:rPr>
                <w:rFonts w:ascii="Calibri" w:hAnsi="Calibri" w:cs="Calibri"/>
                <w:color w:val="000000"/>
                <w:sz w:val="20"/>
                <w:szCs w:val="20"/>
              </w:rPr>
              <w:t>Viramune</w:t>
            </w:r>
            <w:proofErr w:type="spellEnd"/>
            <w:r w:rsidRPr="005D2490">
              <w:rPr>
                <w:rFonts w:ascii="Calibri" w:hAnsi="Calibri" w:cs="Calibri"/>
                <w:color w:val="000000"/>
                <w:sz w:val="20"/>
                <w:szCs w:val="20"/>
              </w:rPr>
              <w:t xml:space="preserve"> XR</w:t>
            </w:r>
          </w:p>
        </w:tc>
        <w:tc>
          <w:tcPr>
            <w:tcW w:w="3794" w:type="dxa"/>
            <w:tcBorders>
              <w:top w:val="nil"/>
              <w:left w:val="nil"/>
              <w:bottom w:val="single" w:sz="4" w:space="0" w:color="auto"/>
              <w:right w:val="single" w:sz="4" w:space="0" w:color="auto"/>
            </w:tcBorders>
            <w:shd w:val="clear" w:color="auto" w:fill="auto"/>
            <w:vAlign w:val="bottom"/>
            <w:hideMark/>
          </w:tcPr>
          <w:p w14:paraId="24E3A06F" w14:textId="51546514"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Immediate-release tablets and oral suspension in combination with antiretroviral agents is indicated for the treatment of HIV-1 infection in adults and children over the age of 2 months. Extended-release tablets in combination with antiretroviral agents is indicated for the treatment of HIV-1 infection in adults and children over the age of three years. Extended-release tablets are not suitable for the 14 day lead-in period for patients starting nevirapine. Other nevirapine formulations, such as immediate-release tablets or oral suspension should be used. Resistant virus emerges rapidly when administered as monotherapy or in dual combination therapy with an antiretroviral agent. Therefore, </w:t>
            </w:r>
            <w:r w:rsidR="009F3356">
              <w:rPr>
                <w:rFonts w:ascii="Calibri" w:hAnsi="Calibri" w:cs="Calibri"/>
                <w:color w:val="000000"/>
                <w:sz w:val="20"/>
                <w:szCs w:val="20"/>
              </w:rPr>
              <w:t xml:space="preserve">it </w:t>
            </w:r>
            <w:r w:rsidRPr="005D2490">
              <w:rPr>
                <w:rFonts w:ascii="Calibri" w:hAnsi="Calibri" w:cs="Calibri"/>
                <w:color w:val="000000"/>
                <w:sz w:val="20"/>
                <w:szCs w:val="20"/>
              </w:rPr>
              <w:t>should always be administered in combination with at least two additional antiretroviral agent</w:t>
            </w:r>
          </w:p>
        </w:tc>
      </w:tr>
      <w:tr w:rsidR="00BC6CEE" w14:paraId="334448DF" w14:textId="77777777" w:rsidTr="00A311E1">
        <w:trPr>
          <w:trHeight w:val="12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7F5D559"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67658"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rilpivirine</w:t>
            </w:r>
          </w:p>
        </w:tc>
        <w:tc>
          <w:tcPr>
            <w:tcW w:w="2212" w:type="dxa"/>
            <w:tcBorders>
              <w:top w:val="nil"/>
              <w:left w:val="nil"/>
              <w:bottom w:val="single" w:sz="4" w:space="0" w:color="auto"/>
              <w:right w:val="single" w:sz="4" w:space="0" w:color="auto"/>
            </w:tcBorders>
            <w:shd w:val="clear" w:color="auto" w:fill="auto"/>
            <w:vAlign w:val="bottom"/>
            <w:hideMark/>
          </w:tcPr>
          <w:p w14:paraId="2BF704F5"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Edurant</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3E85EF90"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in combination with other antiretroviral medicinal products of human immunodeficiency virus type 1 (HIV-1) infection in antiretroviral treatment-naive adult patients with viral load less than or equal to 100,000 copies/mL at baseline. </w:t>
            </w:r>
          </w:p>
        </w:tc>
      </w:tr>
      <w:tr w:rsidR="00BC6CEE" w14:paraId="440BD579" w14:textId="77777777" w:rsidTr="00A311E1">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DAC5985"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HIV-PIs</w:t>
            </w:r>
          </w:p>
        </w:tc>
        <w:tc>
          <w:tcPr>
            <w:tcW w:w="2668" w:type="dxa"/>
            <w:tcBorders>
              <w:top w:val="single" w:sz="4" w:space="0" w:color="auto"/>
              <w:left w:val="nil"/>
              <w:bottom w:val="single" w:sz="4" w:space="0" w:color="auto"/>
              <w:right w:val="single" w:sz="4" w:space="0" w:color="auto"/>
            </w:tcBorders>
            <w:shd w:val="clear" w:color="auto" w:fill="auto"/>
            <w:vAlign w:val="bottom"/>
            <w:hideMark/>
          </w:tcPr>
          <w:p w14:paraId="37F31A3C"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atazanavir</w:t>
            </w:r>
          </w:p>
        </w:tc>
        <w:tc>
          <w:tcPr>
            <w:tcW w:w="2212" w:type="dxa"/>
            <w:tcBorders>
              <w:top w:val="nil"/>
              <w:left w:val="nil"/>
              <w:bottom w:val="single" w:sz="4" w:space="0" w:color="auto"/>
              <w:right w:val="single" w:sz="4" w:space="0" w:color="auto"/>
            </w:tcBorders>
            <w:shd w:val="clear" w:color="auto" w:fill="auto"/>
            <w:vAlign w:val="bottom"/>
            <w:hideMark/>
          </w:tcPr>
          <w:p w14:paraId="04423E40"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Reyataz</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7C5AD78A"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HIV 1 infection, in combination with other antiretroviral agents</w:t>
            </w:r>
          </w:p>
        </w:tc>
      </w:tr>
      <w:tr w:rsidR="00BC6CEE" w14:paraId="09EBAFD6" w14:textId="77777777" w:rsidTr="00A311E1">
        <w:trPr>
          <w:trHeight w:val="6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509650B"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76018F"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atazanavir + cobicistat</w:t>
            </w:r>
          </w:p>
        </w:tc>
        <w:tc>
          <w:tcPr>
            <w:tcW w:w="2212" w:type="dxa"/>
            <w:tcBorders>
              <w:top w:val="nil"/>
              <w:left w:val="nil"/>
              <w:bottom w:val="single" w:sz="4" w:space="0" w:color="auto"/>
              <w:right w:val="single" w:sz="4" w:space="0" w:color="auto"/>
            </w:tcBorders>
            <w:shd w:val="clear" w:color="auto" w:fill="auto"/>
            <w:vAlign w:val="bottom"/>
            <w:hideMark/>
          </w:tcPr>
          <w:p w14:paraId="5E268504"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Evotaz</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06C9E1E5"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Use in combination with other antiretroviral agents for the treatment of HIV-1 infection in adults</w:t>
            </w:r>
          </w:p>
        </w:tc>
      </w:tr>
      <w:tr w:rsidR="00BC6CEE" w14:paraId="6D056052" w14:textId="77777777" w:rsidTr="00A311E1">
        <w:trPr>
          <w:trHeight w:val="21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1C56D93"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096927"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darunavir</w:t>
            </w:r>
          </w:p>
        </w:tc>
        <w:tc>
          <w:tcPr>
            <w:tcW w:w="2212" w:type="dxa"/>
            <w:tcBorders>
              <w:top w:val="nil"/>
              <w:left w:val="nil"/>
              <w:bottom w:val="single" w:sz="4" w:space="0" w:color="auto"/>
              <w:right w:val="single" w:sz="4" w:space="0" w:color="auto"/>
            </w:tcBorders>
            <w:shd w:val="clear" w:color="auto" w:fill="auto"/>
            <w:vAlign w:val="bottom"/>
            <w:hideMark/>
          </w:tcPr>
          <w:p w14:paraId="4A140BAE"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Prezista</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7E10FEA1"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(with low dose ritonavir as a pharmacokinetic enhancer)  in combination with other antiretroviral agents of human immunodeficiency virus-1 (HIV-1) infection in adult patients. Treatment (with low dose ritonavir as a pharmacokinetic enhancer) in combination with other antiretroviral agents of human immunodeficiency virus (HIV) infection in treatment-experienced paediatric patients aged 6 years and older, weighing at least 20 kg.</w:t>
            </w:r>
          </w:p>
        </w:tc>
      </w:tr>
      <w:tr w:rsidR="00BC6CEE" w14:paraId="0A204310" w14:textId="77777777" w:rsidTr="00A311E1">
        <w:trPr>
          <w:trHeight w:val="21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24D111F"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9671F4"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darunavir + cobicistat</w:t>
            </w:r>
          </w:p>
        </w:tc>
        <w:tc>
          <w:tcPr>
            <w:tcW w:w="2212" w:type="dxa"/>
            <w:tcBorders>
              <w:top w:val="nil"/>
              <w:left w:val="nil"/>
              <w:bottom w:val="single" w:sz="4" w:space="0" w:color="auto"/>
              <w:right w:val="single" w:sz="4" w:space="0" w:color="auto"/>
            </w:tcBorders>
            <w:shd w:val="clear" w:color="auto" w:fill="auto"/>
            <w:vAlign w:val="bottom"/>
            <w:hideMark/>
          </w:tcPr>
          <w:p w14:paraId="639E9779"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Prezcobix</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5625FB23"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in combination with other antiretroviral agents of adult patients with human immunodeficiency virus-1 (HIV-1) infection in: antiretroviral treatment-naive patients, antiretroviral treatment-experienced patients with no darunavir resistance associated mutations and who have plasma HIV-1 RNA &lt;100,000 copies/ml, or antiretroviral treatment-experienced but HIV protease inhibitor-naive patients for whom HIV-1 genotype testing is unavailable</w:t>
            </w:r>
          </w:p>
        </w:tc>
      </w:tr>
      <w:tr w:rsidR="00BC6CEE" w14:paraId="2A56CD15" w14:textId="77777777" w:rsidTr="00A311E1">
        <w:trPr>
          <w:trHeight w:val="9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2B96C05"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71BFEC" w14:textId="77777777" w:rsidR="00BC6CEE" w:rsidRPr="005D2490" w:rsidRDefault="00BC6CEE" w:rsidP="00AC5E1B">
            <w:pPr>
              <w:spacing w:before="100" w:beforeAutospacing="1" w:after="100" w:afterAutospacing="1"/>
              <w:rPr>
                <w:rFonts w:ascii="Calibri" w:hAnsi="Calibri" w:cs="Calibri"/>
                <w:color w:val="000000"/>
                <w:sz w:val="20"/>
                <w:szCs w:val="20"/>
                <w:lang w:val="es-ES"/>
              </w:rPr>
            </w:pPr>
            <w:proofErr w:type="spellStart"/>
            <w:r w:rsidRPr="005D2490">
              <w:rPr>
                <w:rFonts w:ascii="Calibri" w:hAnsi="Calibri" w:cs="Calibri"/>
                <w:color w:val="000000"/>
                <w:sz w:val="20"/>
                <w:szCs w:val="20"/>
                <w:lang w:val="es-ES"/>
              </w:rPr>
              <w:t>darunavir</w:t>
            </w:r>
            <w:proofErr w:type="spellEnd"/>
            <w:r w:rsidRPr="005D2490">
              <w:rPr>
                <w:rFonts w:ascii="Calibri" w:hAnsi="Calibri" w:cs="Calibri"/>
                <w:color w:val="000000"/>
                <w:sz w:val="20"/>
                <w:szCs w:val="20"/>
                <w:lang w:val="es-ES"/>
              </w:rPr>
              <w:t xml:space="preserve"> + </w:t>
            </w:r>
            <w:proofErr w:type="spellStart"/>
            <w:r w:rsidRPr="005D2490">
              <w:rPr>
                <w:rFonts w:ascii="Calibri" w:hAnsi="Calibri" w:cs="Calibri"/>
                <w:color w:val="000000"/>
                <w:sz w:val="20"/>
                <w:szCs w:val="20"/>
                <w:lang w:val="es-ES"/>
              </w:rPr>
              <w:t>cobicistat</w:t>
            </w:r>
            <w:proofErr w:type="spellEnd"/>
            <w:r w:rsidRPr="005D2490">
              <w:rPr>
                <w:rFonts w:ascii="Calibri" w:hAnsi="Calibri" w:cs="Calibri"/>
                <w:color w:val="000000"/>
                <w:sz w:val="20"/>
                <w:szCs w:val="20"/>
                <w:lang w:val="es-ES"/>
              </w:rPr>
              <w:t xml:space="preserve"> + </w:t>
            </w:r>
            <w:proofErr w:type="spellStart"/>
            <w:r w:rsidRPr="005D2490">
              <w:rPr>
                <w:rFonts w:ascii="Calibri" w:hAnsi="Calibri" w:cs="Calibri"/>
                <w:color w:val="000000"/>
                <w:sz w:val="20"/>
                <w:szCs w:val="20"/>
                <w:lang w:val="es-ES"/>
              </w:rPr>
              <w:t>emtricitabine</w:t>
            </w:r>
            <w:proofErr w:type="spellEnd"/>
            <w:r w:rsidRPr="005D2490">
              <w:rPr>
                <w:rFonts w:ascii="Calibri" w:hAnsi="Calibri" w:cs="Calibri"/>
                <w:color w:val="000000"/>
                <w:sz w:val="20"/>
                <w:szCs w:val="20"/>
                <w:lang w:val="es-ES"/>
              </w:rPr>
              <w:t xml:space="preserve"> + </w:t>
            </w:r>
            <w:proofErr w:type="spellStart"/>
            <w:r w:rsidRPr="005D2490">
              <w:rPr>
                <w:rFonts w:ascii="Calibri" w:hAnsi="Calibri" w:cs="Calibri"/>
                <w:color w:val="000000"/>
                <w:sz w:val="20"/>
                <w:szCs w:val="20"/>
                <w:lang w:val="es-ES"/>
              </w:rPr>
              <w:t>tenofovir</w:t>
            </w:r>
            <w:proofErr w:type="spellEnd"/>
            <w:r w:rsidRPr="005D2490">
              <w:rPr>
                <w:rFonts w:ascii="Calibri" w:hAnsi="Calibri" w:cs="Calibri"/>
                <w:color w:val="000000"/>
                <w:sz w:val="20"/>
                <w:szCs w:val="20"/>
                <w:lang w:val="es-ES"/>
              </w:rPr>
              <w:t xml:space="preserve"> </w:t>
            </w:r>
            <w:proofErr w:type="spellStart"/>
            <w:r w:rsidRPr="005D2490">
              <w:rPr>
                <w:rFonts w:ascii="Calibri" w:hAnsi="Calibri" w:cs="Calibri"/>
                <w:color w:val="000000"/>
                <w:sz w:val="20"/>
                <w:szCs w:val="20"/>
                <w:lang w:val="es-ES"/>
              </w:rPr>
              <w:t>alafenamide</w:t>
            </w:r>
            <w:proofErr w:type="spellEnd"/>
          </w:p>
        </w:tc>
        <w:tc>
          <w:tcPr>
            <w:tcW w:w="2212" w:type="dxa"/>
            <w:tcBorders>
              <w:top w:val="nil"/>
              <w:left w:val="nil"/>
              <w:bottom w:val="single" w:sz="4" w:space="0" w:color="auto"/>
              <w:right w:val="single" w:sz="4" w:space="0" w:color="auto"/>
            </w:tcBorders>
            <w:shd w:val="clear" w:color="auto" w:fill="auto"/>
            <w:vAlign w:val="bottom"/>
            <w:hideMark/>
          </w:tcPr>
          <w:p w14:paraId="1CDCC536"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Symtuza</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5C86617D"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human immunodeficiency virus type 1 (HIV-1) infection in adults and adolescents (aged 12 years and older with body weight at least 40 kg). Genotypic testing should guide the use of SYMTUZA</w:t>
            </w:r>
          </w:p>
        </w:tc>
      </w:tr>
      <w:tr w:rsidR="00BC6CEE" w14:paraId="761391B5" w14:textId="77777777" w:rsidTr="00A311E1">
        <w:trPr>
          <w:trHeight w:val="12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F065BD8"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E56AC"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fosamprenavir</w:t>
            </w:r>
            <w:proofErr w:type="spellEnd"/>
          </w:p>
        </w:tc>
        <w:tc>
          <w:tcPr>
            <w:tcW w:w="2212" w:type="dxa"/>
            <w:tcBorders>
              <w:top w:val="nil"/>
              <w:left w:val="nil"/>
              <w:bottom w:val="single" w:sz="4" w:space="0" w:color="auto"/>
              <w:right w:val="single" w:sz="4" w:space="0" w:color="auto"/>
            </w:tcBorders>
            <w:shd w:val="clear" w:color="auto" w:fill="auto"/>
            <w:vAlign w:val="bottom"/>
            <w:hideMark/>
          </w:tcPr>
          <w:p w14:paraId="654FB8DB"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Telzir</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3E73A87D"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in combination with low dose ritonavir, of Human Immunodeficiency Virus Type 1 (HIV-1) infected adults, adolescents and children of 6 years and above in combination with other antiretroviral medicinal products. </w:t>
            </w:r>
          </w:p>
        </w:tc>
      </w:tr>
      <w:tr w:rsidR="00BC6CEE" w14:paraId="28FB49AA" w14:textId="77777777" w:rsidTr="00A311E1">
        <w:trPr>
          <w:trHeight w:val="6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7C9C5D6"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B790F6"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lopinavir + ritonavir</w:t>
            </w:r>
          </w:p>
        </w:tc>
        <w:tc>
          <w:tcPr>
            <w:tcW w:w="2212" w:type="dxa"/>
            <w:tcBorders>
              <w:top w:val="nil"/>
              <w:left w:val="nil"/>
              <w:bottom w:val="single" w:sz="4" w:space="0" w:color="auto"/>
              <w:right w:val="single" w:sz="4" w:space="0" w:color="auto"/>
            </w:tcBorders>
            <w:shd w:val="clear" w:color="auto" w:fill="auto"/>
            <w:vAlign w:val="bottom"/>
            <w:hideMark/>
          </w:tcPr>
          <w:p w14:paraId="17410EA0"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Kaletra</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35DAE120" w14:textId="52B9D2FE"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HIV-1 infection, in combination with other antiretroviral agents in adults and children aged 2 years and older.</w:t>
            </w:r>
          </w:p>
        </w:tc>
      </w:tr>
      <w:tr w:rsidR="00BC6CEE" w14:paraId="720EFF24" w14:textId="77777777" w:rsidTr="00A311E1">
        <w:trPr>
          <w:trHeight w:val="12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B45CBB5"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A4CD7F"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ritonavir</w:t>
            </w:r>
          </w:p>
        </w:tc>
        <w:tc>
          <w:tcPr>
            <w:tcW w:w="2212" w:type="dxa"/>
            <w:tcBorders>
              <w:top w:val="nil"/>
              <w:left w:val="nil"/>
              <w:bottom w:val="single" w:sz="4" w:space="0" w:color="auto"/>
              <w:right w:val="single" w:sz="4" w:space="0" w:color="auto"/>
            </w:tcBorders>
            <w:shd w:val="clear" w:color="auto" w:fill="auto"/>
            <w:vAlign w:val="bottom"/>
            <w:hideMark/>
          </w:tcPr>
          <w:p w14:paraId="006C6CD0"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Norvir</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5A971BB6"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Use in combination with appropriate </w:t>
            </w:r>
            <w:proofErr w:type="spellStart"/>
            <w:r w:rsidRPr="005D2490">
              <w:rPr>
                <w:rFonts w:ascii="Calibri" w:hAnsi="Calibri" w:cs="Calibri"/>
                <w:color w:val="000000"/>
                <w:sz w:val="20"/>
                <w:szCs w:val="20"/>
              </w:rPr>
              <w:t>antiretriviral</w:t>
            </w:r>
            <w:proofErr w:type="spellEnd"/>
            <w:r w:rsidRPr="005D2490">
              <w:rPr>
                <w:rFonts w:ascii="Calibri" w:hAnsi="Calibri" w:cs="Calibri"/>
                <w:color w:val="000000"/>
                <w:sz w:val="20"/>
                <w:szCs w:val="20"/>
              </w:rPr>
              <w:t xml:space="preserve"> agents or as monotherapy if combination therapy is inappropriate, for the treatment of HIV-1 infection in adults and children aged 12 years and older. </w:t>
            </w:r>
          </w:p>
        </w:tc>
      </w:tr>
      <w:tr w:rsidR="00BC6CEE" w14:paraId="1BE69546" w14:textId="77777777" w:rsidTr="00A311E1">
        <w:trPr>
          <w:trHeight w:val="9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45EEE35"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E530E9"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saquinavir</w:t>
            </w:r>
          </w:p>
        </w:tc>
        <w:tc>
          <w:tcPr>
            <w:tcW w:w="2212" w:type="dxa"/>
            <w:tcBorders>
              <w:top w:val="nil"/>
              <w:left w:val="nil"/>
              <w:bottom w:val="single" w:sz="4" w:space="0" w:color="auto"/>
              <w:right w:val="single" w:sz="4" w:space="0" w:color="auto"/>
            </w:tcBorders>
            <w:shd w:val="clear" w:color="auto" w:fill="auto"/>
            <w:vAlign w:val="bottom"/>
            <w:hideMark/>
          </w:tcPr>
          <w:p w14:paraId="5B922353"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Invirase</w:t>
            </w:r>
          </w:p>
        </w:tc>
        <w:tc>
          <w:tcPr>
            <w:tcW w:w="3794" w:type="dxa"/>
            <w:tcBorders>
              <w:top w:val="nil"/>
              <w:left w:val="nil"/>
              <w:bottom w:val="single" w:sz="4" w:space="0" w:color="auto"/>
              <w:right w:val="single" w:sz="4" w:space="0" w:color="auto"/>
            </w:tcBorders>
            <w:shd w:val="clear" w:color="auto" w:fill="auto"/>
            <w:vAlign w:val="bottom"/>
            <w:hideMark/>
          </w:tcPr>
          <w:p w14:paraId="10620856"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HIV/AIDS in adults and children 12 years of age or older. Clinical studies indicate that saquinavir should only be used in combination with ritonavir and other anti-retroviral therapies</w:t>
            </w:r>
          </w:p>
        </w:tc>
      </w:tr>
      <w:tr w:rsidR="00BC6CEE" w14:paraId="4CA7E3F8" w14:textId="77777777" w:rsidTr="00A311E1">
        <w:trPr>
          <w:trHeight w:val="27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7F96396"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6E646F"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tipranavir</w:t>
            </w:r>
          </w:p>
        </w:tc>
        <w:tc>
          <w:tcPr>
            <w:tcW w:w="2212" w:type="dxa"/>
            <w:tcBorders>
              <w:top w:val="nil"/>
              <w:left w:val="nil"/>
              <w:bottom w:val="single" w:sz="4" w:space="0" w:color="auto"/>
              <w:right w:val="single" w:sz="4" w:space="0" w:color="auto"/>
            </w:tcBorders>
            <w:shd w:val="clear" w:color="auto" w:fill="auto"/>
            <w:vAlign w:val="bottom"/>
            <w:hideMark/>
          </w:tcPr>
          <w:p w14:paraId="670FC260"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Aptivus</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62A0C4B9"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For combination treatment, co-administered with low dose ritonavir, of HIV infection in antiretroviral treatment experienced adults and adolescents aged 12 years and older, with evidence of viral replication, who have HIV-1 strains resistant to more than one protease inhibitor. ,In deciding to initiate therapy with APTIVUS/ritonavir, careful consideration should be given to treatment history of the individual patient and the patterns of mutations associated with different agents. Genotypic testing should be performed to guide the use of APTIVUS.</w:t>
            </w:r>
          </w:p>
        </w:tc>
      </w:tr>
      <w:tr w:rsidR="00BC6CEE" w14:paraId="0B34ED01" w14:textId="77777777" w:rsidTr="00A311E1">
        <w:trPr>
          <w:trHeight w:val="21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FE1771C"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INSTIs</w:t>
            </w:r>
          </w:p>
        </w:tc>
        <w:tc>
          <w:tcPr>
            <w:tcW w:w="2668" w:type="dxa"/>
            <w:tcBorders>
              <w:top w:val="single" w:sz="4" w:space="0" w:color="auto"/>
              <w:left w:val="nil"/>
              <w:bottom w:val="single" w:sz="4" w:space="0" w:color="auto"/>
              <w:right w:val="single" w:sz="4" w:space="0" w:color="auto"/>
            </w:tcBorders>
            <w:shd w:val="clear" w:color="auto" w:fill="auto"/>
            <w:vAlign w:val="bottom"/>
            <w:hideMark/>
          </w:tcPr>
          <w:p w14:paraId="67A35B17"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bictegravir + emtricitabine + tenofovir alafenamide</w:t>
            </w:r>
          </w:p>
        </w:tc>
        <w:tc>
          <w:tcPr>
            <w:tcW w:w="2212" w:type="dxa"/>
            <w:tcBorders>
              <w:top w:val="nil"/>
              <w:left w:val="nil"/>
              <w:bottom w:val="single" w:sz="4" w:space="0" w:color="auto"/>
              <w:right w:val="single" w:sz="4" w:space="0" w:color="auto"/>
            </w:tcBorders>
            <w:shd w:val="clear" w:color="auto" w:fill="auto"/>
            <w:vAlign w:val="bottom"/>
            <w:hideMark/>
          </w:tcPr>
          <w:p w14:paraId="00EA6D1B"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Biktarvy</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3C685FED"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BIKTARVY is indicated for the treatment of HIV-1 infection in adults and paediatric patients weighing at least 25 kg who are antiretroviral therapy (ART)-naïve or to replace the current antiretroviral regimen in those who are virologically-suppressed (HIV-1 RNA &lt; 50 copies/mL) on a stable antiretroviral regimen at the start of therapy with no history of treatment failure, and no known substitutions associated with resistance to the individual components of BIKTARVY</w:t>
            </w:r>
          </w:p>
        </w:tc>
      </w:tr>
      <w:tr w:rsidR="00BC6CEE" w14:paraId="64113EA9" w14:textId="77777777" w:rsidTr="00A311E1">
        <w:trPr>
          <w:trHeight w:val="9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874FF81"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ABDED"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dolutegravir</w:t>
            </w:r>
          </w:p>
        </w:tc>
        <w:tc>
          <w:tcPr>
            <w:tcW w:w="2212" w:type="dxa"/>
            <w:tcBorders>
              <w:top w:val="nil"/>
              <w:left w:val="nil"/>
              <w:bottom w:val="single" w:sz="4" w:space="0" w:color="auto"/>
              <w:right w:val="single" w:sz="4" w:space="0" w:color="auto"/>
            </w:tcBorders>
            <w:shd w:val="clear" w:color="auto" w:fill="auto"/>
            <w:vAlign w:val="bottom"/>
            <w:hideMark/>
          </w:tcPr>
          <w:p w14:paraId="7ED4DA33"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Tivicay</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46C3E411"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human immunodeficiency virus (HIV) infection in combination with other antiretroviral agents in adults and children</w:t>
            </w:r>
            <w:r w:rsidRPr="005D2490">
              <w:rPr>
                <w:rFonts w:ascii="Calibri" w:hAnsi="Calibri" w:cs="Calibri"/>
                <w:color w:val="000000"/>
                <w:sz w:val="20"/>
                <w:szCs w:val="20"/>
              </w:rPr>
              <w:br/>
              <w:t>over 6 years of age</w:t>
            </w:r>
          </w:p>
        </w:tc>
      </w:tr>
      <w:tr w:rsidR="00BC6CEE" w14:paraId="2365CEE9" w14:textId="77777777" w:rsidTr="00A311E1">
        <w:trPr>
          <w:trHeight w:val="15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49DB51C"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39B33D"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dolutegravir + abacavir + lamivudine</w:t>
            </w:r>
          </w:p>
        </w:tc>
        <w:tc>
          <w:tcPr>
            <w:tcW w:w="2212" w:type="dxa"/>
            <w:tcBorders>
              <w:top w:val="nil"/>
              <w:left w:val="nil"/>
              <w:bottom w:val="single" w:sz="4" w:space="0" w:color="auto"/>
              <w:right w:val="single" w:sz="4" w:space="0" w:color="auto"/>
            </w:tcBorders>
            <w:shd w:val="clear" w:color="auto" w:fill="auto"/>
            <w:vAlign w:val="bottom"/>
            <w:hideMark/>
          </w:tcPr>
          <w:p w14:paraId="0D9DEA41"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Triumeq</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7E3070D6"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Human Immunodeficiency Virus (HIV) infection in adults and adolescents from 12 years of age who are antiretroviral treatment-naïve or are infected with HIV without documented or clinically suspected resistance to any of the three antiretroviral agents (dolutegravir, abacavir or lamivudine) in TRIUMEQ</w:t>
            </w:r>
          </w:p>
        </w:tc>
      </w:tr>
      <w:tr w:rsidR="00BC6CEE" w14:paraId="0E9570DC" w14:textId="77777777" w:rsidTr="00A311E1">
        <w:trPr>
          <w:trHeight w:val="27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3BF7C37"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0D0CF8"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dolutegravir + lamivudine</w:t>
            </w:r>
          </w:p>
        </w:tc>
        <w:tc>
          <w:tcPr>
            <w:tcW w:w="2212" w:type="dxa"/>
            <w:tcBorders>
              <w:top w:val="nil"/>
              <w:left w:val="nil"/>
              <w:bottom w:val="single" w:sz="4" w:space="0" w:color="auto"/>
              <w:right w:val="single" w:sz="4" w:space="0" w:color="auto"/>
            </w:tcBorders>
            <w:shd w:val="clear" w:color="auto" w:fill="auto"/>
            <w:vAlign w:val="bottom"/>
            <w:hideMark/>
          </w:tcPr>
          <w:p w14:paraId="73B74867"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Dovato</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59618E1A"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of Human Immunodeficiency Virus-1 (HIV-1) infection in adults and adolescents (from 12 years of age weighing at least 40kg): in antiretroviral treatment-naïve patients with no antiretroviral treatment history who have no known or suspected resistance to either antiretroviral component; or to replace the current antiretroviral regimen in those who are virologically suppressed (HIV-1 RNA less than 50 copies per mL) on a stable </w:t>
            </w:r>
            <w:r w:rsidRPr="005D2490">
              <w:rPr>
                <w:rFonts w:ascii="Calibri" w:hAnsi="Calibri" w:cs="Calibri"/>
                <w:color w:val="000000"/>
                <w:sz w:val="20"/>
                <w:szCs w:val="20"/>
              </w:rPr>
              <w:lastRenderedPageBreak/>
              <w:t xml:space="preserve">antiretroviral regimen with no history of treatment failure and with no known or suspected resistance to the integrase inhibitor class or lamivudine </w:t>
            </w:r>
          </w:p>
        </w:tc>
      </w:tr>
      <w:tr w:rsidR="00BC6CEE" w14:paraId="1BDBB329" w14:textId="77777777" w:rsidTr="00A311E1">
        <w:trPr>
          <w:trHeight w:val="18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617739A"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BA9FF5"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dolutegravir with rilpivirine</w:t>
            </w:r>
          </w:p>
        </w:tc>
        <w:tc>
          <w:tcPr>
            <w:tcW w:w="2212" w:type="dxa"/>
            <w:tcBorders>
              <w:top w:val="nil"/>
              <w:left w:val="nil"/>
              <w:bottom w:val="single" w:sz="4" w:space="0" w:color="auto"/>
              <w:right w:val="single" w:sz="4" w:space="0" w:color="auto"/>
            </w:tcBorders>
            <w:shd w:val="clear" w:color="auto" w:fill="auto"/>
            <w:vAlign w:val="bottom"/>
            <w:hideMark/>
          </w:tcPr>
          <w:p w14:paraId="3E9738A5"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Juluca</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4A64E616"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human immunodeficiency virus-1 (HIV-1) infection in adults who are virologically-suppressed (HIV-1 RNA less than 50 copies per mL) on a stable antiretroviral regimen for at least 6 months with no history of virological failure and no known or suspected resistance to any non-nucleoside reverse transcriptase inhibitor or integrase inhibitor</w:t>
            </w:r>
          </w:p>
        </w:tc>
      </w:tr>
      <w:tr w:rsidR="00BC6CEE" w14:paraId="43FF830A" w14:textId="77777777" w:rsidTr="00A311E1">
        <w:trPr>
          <w:trHeight w:val="9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674E537" w14:textId="77777777" w:rsidR="00BC6CEE" w:rsidRPr="005D2490" w:rsidRDefault="00BC6CEE" w:rsidP="00AC5E1B">
            <w:pPr>
              <w:spacing w:before="100" w:beforeAutospacing="1" w:after="100" w:afterAutospacing="1"/>
              <w:rPr>
                <w:rFonts w:ascii="Calibri" w:hAnsi="Calibri" w:cs="Calibri"/>
                <w:color w:val="000000"/>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8A4718"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raltegravir</w:t>
            </w:r>
          </w:p>
        </w:tc>
        <w:tc>
          <w:tcPr>
            <w:tcW w:w="2212" w:type="dxa"/>
            <w:tcBorders>
              <w:top w:val="nil"/>
              <w:left w:val="nil"/>
              <w:bottom w:val="single" w:sz="4" w:space="0" w:color="auto"/>
              <w:right w:val="single" w:sz="4" w:space="0" w:color="auto"/>
            </w:tcBorders>
            <w:shd w:val="clear" w:color="auto" w:fill="auto"/>
            <w:vAlign w:val="bottom"/>
            <w:hideMark/>
          </w:tcPr>
          <w:p w14:paraId="1CD654F0"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Isentress</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65854045"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in combination with other antiretroviral agents of human immunodeficiency virus (HIV-1) infection in adults, adolescents and children from the age of 2 years.  </w:t>
            </w:r>
          </w:p>
        </w:tc>
      </w:tr>
      <w:tr w:rsidR="00BC6CEE" w14:paraId="7E1D1B24" w14:textId="77777777" w:rsidTr="00A311E1">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2E6A8"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w:t>
            </w:r>
          </w:p>
        </w:tc>
        <w:tc>
          <w:tcPr>
            <w:tcW w:w="2668" w:type="dxa"/>
            <w:tcBorders>
              <w:top w:val="single" w:sz="4" w:space="0" w:color="auto"/>
              <w:left w:val="nil"/>
              <w:bottom w:val="single" w:sz="4" w:space="0" w:color="auto"/>
              <w:right w:val="single" w:sz="4" w:space="0" w:color="auto"/>
            </w:tcBorders>
            <w:shd w:val="clear" w:color="auto" w:fill="auto"/>
            <w:vAlign w:val="bottom"/>
            <w:hideMark/>
          </w:tcPr>
          <w:p w14:paraId="53679492"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enfuvirtide</w:t>
            </w:r>
          </w:p>
        </w:tc>
        <w:tc>
          <w:tcPr>
            <w:tcW w:w="2212" w:type="dxa"/>
            <w:tcBorders>
              <w:top w:val="nil"/>
              <w:left w:val="nil"/>
              <w:bottom w:val="single" w:sz="4" w:space="0" w:color="auto"/>
              <w:right w:val="single" w:sz="4" w:space="0" w:color="auto"/>
            </w:tcBorders>
            <w:shd w:val="clear" w:color="auto" w:fill="auto"/>
            <w:vAlign w:val="bottom"/>
            <w:hideMark/>
          </w:tcPr>
          <w:p w14:paraId="47BB8133"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Fuzeon</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7F586B66"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in combination with other antiretroviral agents for the treatment of HIV-1 infection in antiretroviral experienced patients with treatment failure due to intolerance to previous antiretroviral agents or with evidence of HIV-1 replication despite ongoing therapy. </w:t>
            </w:r>
          </w:p>
        </w:tc>
      </w:tr>
      <w:tr w:rsidR="00BC6CEE" w14:paraId="2C2B45AF" w14:textId="77777777" w:rsidTr="00A311E1">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73448"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w:t>
            </w:r>
          </w:p>
        </w:tc>
        <w:tc>
          <w:tcPr>
            <w:tcW w:w="2668" w:type="dxa"/>
            <w:tcBorders>
              <w:top w:val="single" w:sz="4" w:space="0" w:color="auto"/>
              <w:left w:val="nil"/>
              <w:bottom w:val="single" w:sz="4" w:space="0" w:color="auto"/>
              <w:right w:val="single" w:sz="4" w:space="0" w:color="auto"/>
            </w:tcBorders>
            <w:shd w:val="clear" w:color="auto" w:fill="auto"/>
            <w:vAlign w:val="bottom"/>
            <w:hideMark/>
          </w:tcPr>
          <w:p w14:paraId="528D7FE7"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maraviroc</w:t>
            </w:r>
          </w:p>
        </w:tc>
        <w:tc>
          <w:tcPr>
            <w:tcW w:w="2212" w:type="dxa"/>
            <w:tcBorders>
              <w:top w:val="nil"/>
              <w:left w:val="nil"/>
              <w:bottom w:val="single" w:sz="4" w:space="0" w:color="auto"/>
              <w:right w:val="single" w:sz="4" w:space="0" w:color="auto"/>
            </w:tcBorders>
            <w:shd w:val="clear" w:color="auto" w:fill="auto"/>
            <w:vAlign w:val="bottom"/>
            <w:hideMark/>
          </w:tcPr>
          <w:p w14:paraId="1970A147" w14:textId="77777777" w:rsidR="00BC6CEE" w:rsidRPr="005D2490" w:rsidRDefault="00BC6CEE" w:rsidP="00AC5E1B">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Celsentri</w:t>
            </w:r>
            <w:proofErr w:type="spellEnd"/>
          </w:p>
        </w:tc>
        <w:tc>
          <w:tcPr>
            <w:tcW w:w="3794" w:type="dxa"/>
            <w:tcBorders>
              <w:top w:val="nil"/>
              <w:left w:val="nil"/>
              <w:bottom w:val="single" w:sz="4" w:space="0" w:color="auto"/>
              <w:right w:val="single" w:sz="4" w:space="0" w:color="auto"/>
            </w:tcBorders>
            <w:shd w:val="clear" w:color="auto" w:fill="auto"/>
            <w:vAlign w:val="bottom"/>
            <w:hideMark/>
          </w:tcPr>
          <w:p w14:paraId="10E7EAE6" w14:textId="77777777" w:rsidR="00BC6CEE" w:rsidRPr="005D2490" w:rsidRDefault="00BC6CEE" w:rsidP="00AC5E1B">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in combination with other antiretroviral medicinal products of adult patients infected with only CCR5-tropic HIV-1. The use of other active agents with CELSENTRI is associated with a greater likelihood of treatment response</w:t>
            </w:r>
          </w:p>
        </w:tc>
      </w:tr>
    </w:tbl>
    <w:p w14:paraId="7CD10654" w14:textId="7060727A" w:rsidR="537A0DE2" w:rsidRDefault="537A0DE2"/>
    <w:p w14:paraId="45E5C4F2" w14:textId="2AC9332D" w:rsidR="00AC5E1B" w:rsidRDefault="00AC5E1B" w:rsidP="00AE7DBE"/>
    <w:p w14:paraId="03BD1CCB" w14:textId="77777777" w:rsidR="00AC5E1B" w:rsidRDefault="00AC5E1B">
      <w:pPr>
        <w:spacing w:line="276" w:lineRule="auto"/>
      </w:pPr>
      <w:r>
        <w:br w:type="page"/>
      </w:r>
    </w:p>
    <w:p w14:paraId="4CFF25E2" w14:textId="7D9A87F6" w:rsidR="00B94672" w:rsidRPr="005D2490" w:rsidRDefault="00B94672" w:rsidP="00B94672">
      <w:pPr>
        <w:pStyle w:val="Heading1"/>
      </w:pPr>
      <w:r>
        <w:lastRenderedPageBreak/>
        <w:t xml:space="preserve">Appendix B: </w:t>
      </w:r>
      <w:r w:rsidRPr="005D2490">
        <w:t>Dosage and frequency of administration for antiretroviral HIV medicines</w:t>
      </w:r>
      <w:r w:rsidR="00FC11B4">
        <w:fldChar w:fldCharType="begin"/>
      </w:r>
      <w:r w:rsidR="00FC11B4">
        <w:instrText xml:space="preserve"> ADDIN EN.CITE &lt;EndNote&gt;&lt;Cite&gt;&lt;Author&gt;Australian Medicines Handbook Pty Ltd&lt;/Author&gt;&lt;Year&gt;2021&lt;/Year&gt;&lt;RecNum&gt;8&lt;/RecNum&gt;&lt;DisplayText&gt;&lt;style face="superscript"&gt;9&lt;/style&gt;&lt;/DisplayText&gt;&lt;record&gt;&lt;rec-number&gt;8&lt;/rec-number&gt;&lt;foreign-keys&gt;&lt;key app="EN" db-id="vwfdxvwwn0rrs6ea9sex9v2hafxp5zf2dexd" timestamp="1628643194"&gt;8&lt;/key&gt;&lt;/foreign-keys&gt;&lt;ref-type name="Electronic Book"&gt;44&lt;/ref-type&gt;&lt;contributors&gt;&lt;authors&gt;&lt;author&gt;Australian Medicines Handbook Pty Ltd,&lt;/author&gt;&lt;/authors&gt;&lt;/contributors&gt;&lt;titles&gt;&lt;title&gt;Australian Medicines Handbook&lt;/title&gt;&lt;/titles&gt;&lt;dates&gt;&lt;year&gt;2021&lt;/year&gt;&lt;pub-dates&gt;&lt;date&gt;11 August 2021&lt;/date&gt;&lt;/pub-dates&gt;&lt;/dates&gt;&lt;pub-location&gt;Adelaide&lt;/pub-location&gt;&lt;publisher&gt;AMH&lt;/publisher&gt;&lt;urls&gt;&lt;related-urls&gt;&lt;url&gt;https://amhonline.amh.net.au/&lt;/url&gt;&lt;/related-urls&gt;&lt;/urls&gt;&lt;custom2&gt;11 August 2021&lt;/custom2&gt;&lt;custom5&gt;July 2021&lt;/custom5&gt;&lt;/record&gt;&lt;/Cite&gt;&lt;/EndNote&gt;</w:instrText>
      </w:r>
      <w:r w:rsidR="00FC11B4">
        <w:fldChar w:fldCharType="separate"/>
      </w:r>
      <w:r w:rsidR="00FC11B4" w:rsidRPr="00FC11B4">
        <w:rPr>
          <w:noProof/>
          <w:vertAlign w:val="superscript"/>
        </w:rPr>
        <w:t>9</w:t>
      </w:r>
      <w:r w:rsidR="00FC11B4">
        <w:fldChar w:fldCharType="end"/>
      </w:r>
    </w:p>
    <w:tbl>
      <w:tblPr>
        <w:tblW w:w="10036" w:type="dxa"/>
        <w:tblInd w:w="-572" w:type="dxa"/>
        <w:tblLook w:val="04A0" w:firstRow="1" w:lastRow="0" w:firstColumn="1" w:lastColumn="0" w:noHBand="0" w:noVBand="1"/>
      </w:tblPr>
      <w:tblGrid>
        <w:gridCol w:w="829"/>
        <w:gridCol w:w="3081"/>
        <w:gridCol w:w="2212"/>
        <w:gridCol w:w="3914"/>
      </w:tblGrid>
      <w:tr w:rsidR="00B94672" w:rsidRPr="00713F75" w14:paraId="0B4E34B9" w14:textId="77777777" w:rsidTr="007845E0">
        <w:trPr>
          <w:trHeight w:val="254"/>
        </w:trPr>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35D2A96" w14:textId="77777777" w:rsidR="00B94672" w:rsidRPr="00713F75" w:rsidRDefault="00B94672" w:rsidP="001F3116">
            <w:pPr>
              <w:pStyle w:val="Tableheading"/>
              <w:rPr>
                <w:rFonts w:ascii="Calibri" w:eastAsia="Times New Roman" w:hAnsi="Calibri"/>
                <w:bCs/>
                <w:color w:val="000000"/>
                <w:sz w:val="20"/>
                <w:szCs w:val="20"/>
              </w:rPr>
            </w:pPr>
          </w:p>
        </w:tc>
        <w:tc>
          <w:tcPr>
            <w:tcW w:w="3085"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837B460" w14:textId="77777777" w:rsidR="00B94672" w:rsidRPr="00713F75" w:rsidRDefault="00B94672" w:rsidP="001F3116">
            <w:pPr>
              <w:pStyle w:val="Tableheading"/>
              <w:rPr>
                <w:rFonts w:ascii="Calibri" w:eastAsia="Times New Roman" w:hAnsi="Calibri"/>
                <w:bCs/>
                <w:color w:val="000000"/>
                <w:sz w:val="20"/>
                <w:szCs w:val="20"/>
              </w:rPr>
            </w:pPr>
            <w:r w:rsidRPr="00713F75">
              <w:rPr>
                <w:rFonts w:ascii="Calibri" w:eastAsia="Times New Roman" w:hAnsi="Calibri"/>
                <w:bCs/>
                <w:color w:val="000000"/>
                <w:sz w:val="20"/>
                <w:szCs w:val="20"/>
              </w:rPr>
              <w:t>Active ingredient(s)</w:t>
            </w:r>
          </w:p>
        </w:tc>
        <w:tc>
          <w:tcPr>
            <w:tcW w:w="220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C0FB8B0" w14:textId="77777777" w:rsidR="00B94672" w:rsidRPr="00713F75" w:rsidRDefault="00B94672" w:rsidP="001F3116">
            <w:pPr>
              <w:pStyle w:val="Tableheading"/>
              <w:rPr>
                <w:rFonts w:ascii="Calibri" w:eastAsia="Times New Roman" w:hAnsi="Calibri"/>
                <w:bCs/>
                <w:color w:val="000000"/>
                <w:sz w:val="20"/>
                <w:szCs w:val="20"/>
              </w:rPr>
            </w:pPr>
            <w:r w:rsidRPr="00713F75">
              <w:rPr>
                <w:rFonts w:ascii="Calibri" w:eastAsia="Times New Roman" w:hAnsi="Calibri"/>
                <w:bCs/>
                <w:color w:val="000000"/>
                <w:sz w:val="20"/>
                <w:szCs w:val="20"/>
              </w:rPr>
              <w:t>Brand name</w:t>
            </w:r>
          </w:p>
        </w:tc>
        <w:tc>
          <w:tcPr>
            <w:tcW w:w="391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22D34C5" w14:textId="77777777" w:rsidR="00B94672" w:rsidRPr="00713F75" w:rsidRDefault="00B94672" w:rsidP="001F3116">
            <w:pPr>
              <w:pStyle w:val="Tableheading"/>
              <w:rPr>
                <w:rFonts w:ascii="Calibri" w:eastAsia="Times New Roman" w:hAnsi="Calibri"/>
                <w:bCs/>
                <w:color w:val="000000"/>
                <w:sz w:val="20"/>
                <w:szCs w:val="20"/>
              </w:rPr>
            </w:pPr>
            <w:r w:rsidRPr="00713F75">
              <w:rPr>
                <w:rFonts w:ascii="Calibri" w:eastAsia="Times New Roman" w:hAnsi="Calibri"/>
                <w:bCs/>
                <w:color w:val="000000"/>
                <w:sz w:val="20"/>
                <w:szCs w:val="20"/>
              </w:rPr>
              <w:t>Adult dose for patients without comorbidities</w:t>
            </w:r>
          </w:p>
        </w:tc>
      </w:tr>
      <w:tr w:rsidR="00B94672" w:rsidRPr="00713F75" w14:paraId="18B582A0" w14:textId="77777777" w:rsidTr="007845E0">
        <w:trPr>
          <w:trHeight w:val="254"/>
        </w:trPr>
        <w:tc>
          <w:tcPr>
            <w:tcW w:w="8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24957CD"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NRTIs</w:t>
            </w:r>
          </w:p>
        </w:tc>
        <w:tc>
          <w:tcPr>
            <w:tcW w:w="3085" w:type="dxa"/>
            <w:tcBorders>
              <w:top w:val="single" w:sz="4" w:space="0" w:color="auto"/>
              <w:left w:val="nil"/>
              <w:bottom w:val="single" w:sz="4" w:space="0" w:color="auto"/>
              <w:right w:val="single" w:sz="4" w:space="0" w:color="auto"/>
            </w:tcBorders>
            <w:shd w:val="clear" w:color="auto" w:fill="auto"/>
            <w:vAlign w:val="bottom"/>
            <w:hideMark/>
          </w:tcPr>
          <w:p w14:paraId="62BA2EF5"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abacavir</w:t>
            </w:r>
          </w:p>
        </w:tc>
        <w:tc>
          <w:tcPr>
            <w:tcW w:w="2204" w:type="dxa"/>
            <w:tcBorders>
              <w:top w:val="nil"/>
              <w:left w:val="nil"/>
              <w:bottom w:val="single" w:sz="4" w:space="0" w:color="auto"/>
              <w:right w:val="single" w:sz="4" w:space="0" w:color="auto"/>
            </w:tcBorders>
            <w:shd w:val="clear" w:color="auto" w:fill="auto"/>
            <w:vAlign w:val="bottom"/>
            <w:hideMark/>
          </w:tcPr>
          <w:p w14:paraId="1BA864E4"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Ziagen</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26334A48"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300 mg twice daily or 600 mg once daily</w:t>
            </w:r>
          </w:p>
        </w:tc>
      </w:tr>
      <w:tr w:rsidR="00B94672" w:rsidRPr="00713F75" w14:paraId="24288371"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0660FF22"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286802"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abacavir + lamivudine</w:t>
            </w:r>
          </w:p>
        </w:tc>
        <w:tc>
          <w:tcPr>
            <w:tcW w:w="2204" w:type="dxa"/>
            <w:tcBorders>
              <w:top w:val="nil"/>
              <w:left w:val="nil"/>
              <w:bottom w:val="single" w:sz="4" w:space="0" w:color="auto"/>
              <w:right w:val="single" w:sz="4" w:space="0" w:color="auto"/>
            </w:tcBorders>
            <w:shd w:val="clear" w:color="auto" w:fill="auto"/>
            <w:vAlign w:val="bottom"/>
            <w:hideMark/>
          </w:tcPr>
          <w:p w14:paraId="732AF874"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Kivexa</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528A7147"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(abacavir 600 mg, lamivudine 300 mg) daily</w:t>
            </w:r>
          </w:p>
        </w:tc>
      </w:tr>
      <w:tr w:rsidR="00B94672" w:rsidRPr="00713F75" w14:paraId="52762DF6"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14746F0"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794A90"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abacavir + lamivudine + zidovudine</w:t>
            </w:r>
          </w:p>
        </w:tc>
        <w:tc>
          <w:tcPr>
            <w:tcW w:w="2204" w:type="dxa"/>
            <w:tcBorders>
              <w:top w:val="nil"/>
              <w:left w:val="nil"/>
              <w:bottom w:val="single" w:sz="4" w:space="0" w:color="auto"/>
              <w:right w:val="single" w:sz="4" w:space="0" w:color="auto"/>
            </w:tcBorders>
            <w:shd w:val="clear" w:color="auto" w:fill="auto"/>
            <w:vAlign w:val="bottom"/>
            <w:hideMark/>
          </w:tcPr>
          <w:p w14:paraId="562E6D4C"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Trizivir</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4E23E788"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(abacavir 300 mg, lamivudine 150 mg, zidovudine 300 mg) daily</w:t>
            </w:r>
          </w:p>
        </w:tc>
      </w:tr>
      <w:tr w:rsidR="00B94672" w:rsidRPr="00713F75" w14:paraId="17CD6C91"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1ACE233E"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AB213"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emtricitabine</w:t>
            </w:r>
          </w:p>
        </w:tc>
        <w:tc>
          <w:tcPr>
            <w:tcW w:w="2204" w:type="dxa"/>
            <w:tcBorders>
              <w:top w:val="nil"/>
              <w:left w:val="nil"/>
              <w:bottom w:val="single" w:sz="4" w:space="0" w:color="auto"/>
              <w:right w:val="single" w:sz="4" w:space="0" w:color="auto"/>
            </w:tcBorders>
            <w:shd w:val="clear" w:color="auto" w:fill="auto"/>
            <w:vAlign w:val="bottom"/>
            <w:hideMark/>
          </w:tcPr>
          <w:p w14:paraId="0DFE77B8"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Emtriva</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76438836"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200 mg once daily</w:t>
            </w:r>
          </w:p>
        </w:tc>
      </w:tr>
      <w:tr w:rsidR="00B94672" w:rsidRPr="00713F75" w14:paraId="61CE11B4" w14:textId="77777777" w:rsidTr="007845E0">
        <w:trPr>
          <w:trHeight w:val="509"/>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ECAAE59"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8F649A"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emtricitabine + rilpivirine + tenofovir alafenamide</w:t>
            </w:r>
          </w:p>
        </w:tc>
        <w:tc>
          <w:tcPr>
            <w:tcW w:w="2204" w:type="dxa"/>
            <w:tcBorders>
              <w:top w:val="nil"/>
              <w:left w:val="nil"/>
              <w:bottom w:val="single" w:sz="4" w:space="0" w:color="auto"/>
              <w:right w:val="single" w:sz="4" w:space="0" w:color="auto"/>
            </w:tcBorders>
            <w:shd w:val="clear" w:color="auto" w:fill="auto"/>
            <w:vAlign w:val="bottom"/>
            <w:hideMark/>
          </w:tcPr>
          <w:p w14:paraId="18131A60"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Odefsey</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2FE791B8"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once (emtricitabine 200 mg, rilpivirine 25 mg, tenofovir alafenamide 25 mg) daily with food</w:t>
            </w:r>
          </w:p>
        </w:tc>
      </w:tr>
      <w:tr w:rsidR="00B94672" w:rsidRPr="00713F75" w14:paraId="47CA2240" w14:textId="77777777" w:rsidTr="007845E0">
        <w:trPr>
          <w:trHeight w:val="1019"/>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989FE05"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2DCE1"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emtricitabine + tenofovir alafenamide</w:t>
            </w:r>
          </w:p>
        </w:tc>
        <w:tc>
          <w:tcPr>
            <w:tcW w:w="2204" w:type="dxa"/>
            <w:tcBorders>
              <w:top w:val="nil"/>
              <w:left w:val="nil"/>
              <w:bottom w:val="single" w:sz="4" w:space="0" w:color="auto"/>
              <w:right w:val="single" w:sz="4" w:space="0" w:color="auto"/>
            </w:tcBorders>
            <w:shd w:val="clear" w:color="auto" w:fill="auto"/>
            <w:vAlign w:val="bottom"/>
            <w:hideMark/>
          </w:tcPr>
          <w:p w14:paraId="0340A67E"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Descovy</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623FE1E6"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once (emtricitabine 200 mg, tenofovir alafenamide 25 mg) daily with food OR with combinations of atazanavir or darunavir (boosted with either ritonavir or cobicistat) or lopinavir/ritonavir, 1 tablet (emtricitabine 200 mg, tenofovir alafenamide 10 mg) once daily</w:t>
            </w:r>
          </w:p>
        </w:tc>
      </w:tr>
      <w:tr w:rsidR="00B94672" w:rsidRPr="00713F75" w14:paraId="0860FD00"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090DF19"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B807F"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lamivudine</w:t>
            </w:r>
          </w:p>
        </w:tc>
        <w:tc>
          <w:tcPr>
            <w:tcW w:w="2204" w:type="dxa"/>
            <w:tcBorders>
              <w:top w:val="nil"/>
              <w:left w:val="nil"/>
              <w:bottom w:val="single" w:sz="4" w:space="0" w:color="auto"/>
              <w:right w:val="single" w:sz="4" w:space="0" w:color="auto"/>
            </w:tcBorders>
            <w:shd w:val="clear" w:color="auto" w:fill="auto"/>
            <w:vAlign w:val="bottom"/>
            <w:hideMark/>
          </w:tcPr>
          <w:p w14:paraId="5A0D6DBD"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Zeffix</w:t>
            </w:r>
            <w:proofErr w:type="spellEnd"/>
            <w:r w:rsidRPr="00713F75">
              <w:rPr>
                <w:rFonts w:ascii="Calibri" w:eastAsia="Times New Roman" w:hAnsi="Calibri" w:cs="Calibri"/>
                <w:color w:val="000000"/>
                <w:sz w:val="20"/>
                <w:szCs w:val="20"/>
              </w:rPr>
              <w:t xml:space="preserve">, </w:t>
            </w:r>
            <w:proofErr w:type="spellStart"/>
            <w:r w:rsidRPr="00713F75">
              <w:rPr>
                <w:rFonts w:ascii="Calibri" w:eastAsia="Times New Roman" w:hAnsi="Calibri" w:cs="Calibri"/>
                <w:color w:val="000000"/>
                <w:sz w:val="20"/>
                <w:szCs w:val="20"/>
              </w:rPr>
              <w:t>Zetlam</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5037D130"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100 mg once daily</w:t>
            </w:r>
          </w:p>
        </w:tc>
      </w:tr>
      <w:tr w:rsidR="00B94672" w:rsidRPr="00713F75" w14:paraId="6DE269D7"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0BD6A552"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90F6BB"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lamivudine + zidovudine</w:t>
            </w:r>
          </w:p>
        </w:tc>
        <w:tc>
          <w:tcPr>
            <w:tcW w:w="2204" w:type="dxa"/>
            <w:tcBorders>
              <w:top w:val="nil"/>
              <w:left w:val="nil"/>
              <w:bottom w:val="single" w:sz="4" w:space="0" w:color="auto"/>
              <w:right w:val="single" w:sz="4" w:space="0" w:color="auto"/>
            </w:tcBorders>
            <w:shd w:val="clear" w:color="auto" w:fill="auto"/>
            <w:vAlign w:val="bottom"/>
            <w:hideMark/>
          </w:tcPr>
          <w:p w14:paraId="085649C4"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Combivir</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715891E8"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(lamivudine 150 mg, zidovudine 300 mg) twice daily</w:t>
            </w:r>
          </w:p>
        </w:tc>
      </w:tr>
      <w:tr w:rsidR="00B94672" w:rsidRPr="00713F75" w14:paraId="32CC93EB" w14:textId="77777777" w:rsidTr="007845E0">
        <w:trPr>
          <w:trHeight w:val="76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20340FD"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0E254"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tenofovir disoproxil</w:t>
            </w:r>
          </w:p>
        </w:tc>
        <w:tc>
          <w:tcPr>
            <w:tcW w:w="2204" w:type="dxa"/>
            <w:tcBorders>
              <w:top w:val="nil"/>
              <w:left w:val="nil"/>
              <w:bottom w:val="single" w:sz="4" w:space="0" w:color="auto"/>
              <w:right w:val="single" w:sz="4" w:space="0" w:color="auto"/>
            </w:tcBorders>
            <w:shd w:val="clear" w:color="auto" w:fill="auto"/>
            <w:vAlign w:val="bottom"/>
            <w:hideMark/>
          </w:tcPr>
          <w:p w14:paraId="5B57A81A" w14:textId="77777777" w:rsidR="00B94672" w:rsidRPr="00713F75" w:rsidRDefault="00B94672" w:rsidP="001F3116">
            <w:pPr>
              <w:spacing w:after="0"/>
              <w:rPr>
                <w:rFonts w:ascii="Calibri" w:eastAsia="Times New Roman" w:hAnsi="Calibri" w:cs="Calibri"/>
                <w:color w:val="000000"/>
                <w:sz w:val="20"/>
                <w:szCs w:val="20"/>
                <w:lang w:val="es-ES"/>
              </w:rPr>
            </w:pPr>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Viread</w:t>
            </w:r>
            <w:proofErr w:type="spellEnd"/>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Tenofovir</w:t>
            </w:r>
            <w:proofErr w:type="spellEnd"/>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Disoproxil</w:t>
            </w:r>
            <w:proofErr w:type="spellEnd"/>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Mylan</w:t>
            </w:r>
            <w:proofErr w:type="spellEnd"/>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Tenofovir</w:t>
            </w:r>
            <w:proofErr w:type="spellEnd"/>
            <w:r w:rsidRPr="00713F75">
              <w:rPr>
                <w:rFonts w:ascii="Calibri" w:eastAsia="Times New Roman" w:hAnsi="Calibri" w:cs="Calibri"/>
                <w:color w:val="000000"/>
                <w:sz w:val="20"/>
                <w:szCs w:val="20"/>
                <w:lang w:val="es-ES"/>
              </w:rPr>
              <w:t xml:space="preserve"> GH</w:t>
            </w:r>
          </w:p>
        </w:tc>
        <w:tc>
          <w:tcPr>
            <w:tcW w:w="3918" w:type="dxa"/>
            <w:tcBorders>
              <w:top w:val="nil"/>
              <w:left w:val="nil"/>
              <w:bottom w:val="single" w:sz="4" w:space="0" w:color="auto"/>
              <w:right w:val="single" w:sz="4" w:space="0" w:color="auto"/>
            </w:tcBorders>
            <w:shd w:val="clear" w:color="auto" w:fill="auto"/>
            <w:vAlign w:val="bottom"/>
            <w:hideMark/>
          </w:tcPr>
          <w:p w14:paraId="4CD8C363"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once daily with food</w:t>
            </w:r>
          </w:p>
        </w:tc>
      </w:tr>
      <w:tr w:rsidR="00B94672" w:rsidRPr="00713F75" w14:paraId="039FC659" w14:textId="77777777" w:rsidTr="007845E0">
        <w:trPr>
          <w:trHeight w:val="509"/>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D5367E0"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C4DD7C" w14:textId="77777777" w:rsidR="00B94672" w:rsidRPr="00713F75" w:rsidRDefault="00B94672" w:rsidP="001F3116">
            <w:pPr>
              <w:spacing w:after="0"/>
              <w:rPr>
                <w:rFonts w:ascii="Calibri" w:eastAsia="Times New Roman" w:hAnsi="Calibri" w:cs="Calibri"/>
                <w:color w:val="000000"/>
                <w:sz w:val="20"/>
                <w:szCs w:val="20"/>
                <w:lang w:val="es-ES"/>
              </w:rPr>
            </w:pPr>
            <w:proofErr w:type="spellStart"/>
            <w:r w:rsidRPr="00713F75">
              <w:rPr>
                <w:rFonts w:ascii="Calibri" w:eastAsia="Times New Roman" w:hAnsi="Calibri" w:cs="Calibri"/>
                <w:color w:val="000000"/>
                <w:sz w:val="20"/>
                <w:szCs w:val="20"/>
                <w:lang w:val="es-ES"/>
              </w:rPr>
              <w:t>tenofovir</w:t>
            </w:r>
            <w:proofErr w:type="spellEnd"/>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alafenamide</w:t>
            </w:r>
            <w:proofErr w:type="spellEnd"/>
            <w:r w:rsidRPr="00713F75">
              <w:rPr>
                <w:rFonts w:ascii="Calibri" w:eastAsia="Times New Roman" w:hAnsi="Calibri" w:cs="Calibri"/>
                <w:color w:val="000000"/>
                <w:sz w:val="20"/>
                <w:szCs w:val="20"/>
                <w:lang w:val="es-ES"/>
              </w:rPr>
              <w:t xml:space="preserve"> + </w:t>
            </w:r>
            <w:proofErr w:type="spellStart"/>
            <w:r w:rsidRPr="00713F75">
              <w:rPr>
                <w:rFonts w:ascii="Calibri" w:eastAsia="Times New Roman" w:hAnsi="Calibri" w:cs="Calibri"/>
                <w:color w:val="000000"/>
                <w:sz w:val="20"/>
                <w:szCs w:val="20"/>
                <w:lang w:val="es-ES"/>
              </w:rPr>
              <w:t>emtricitabine</w:t>
            </w:r>
            <w:proofErr w:type="spellEnd"/>
            <w:r w:rsidRPr="00713F75">
              <w:rPr>
                <w:rFonts w:ascii="Calibri" w:eastAsia="Times New Roman" w:hAnsi="Calibri" w:cs="Calibri"/>
                <w:color w:val="000000"/>
                <w:sz w:val="20"/>
                <w:szCs w:val="20"/>
                <w:lang w:val="es-ES"/>
              </w:rPr>
              <w:t xml:space="preserve"> + </w:t>
            </w:r>
            <w:proofErr w:type="spellStart"/>
            <w:r w:rsidRPr="00713F75">
              <w:rPr>
                <w:rFonts w:ascii="Calibri" w:eastAsia="Times New Roman" w:hAnsi="Calibri" w:cs="Calibri"/>
                <w:color w:val="000000"/>
                <w:sz w:val="20"/>
                <w:szCs w:val="20"/>
                <w:lang w:val="es-ES"/>
              </w:rPr>
              <w:t>elvitegravir</w:t>
            </w:r>
            <w:proofErr w:type="spellEnd"/>
            <w:r w:rsidRPr="00713F75">
              <w:rPr>
                <w:rFonts w:ascii="Calibri" w:eastAsia="Times New Roman" w:hAnsi="Calibri" w:cs="Calibri"/>
                <w:color w:val="000000"/>
                <w:sz w:val="20"/>
                <w:szCs w:val="20"/>
                <w:lang w:val="es-ES"/>
              </w:rPr>
              <w:t xml:space="preserve"> + </w:t>
            </w:r>
            <w:proofErr w:type="spellStart"/>
            <w:r w:rsidRPr="00713F75">
              <w:rPr>
                <w:rFonts w:ascii="Calibri" w:eastAsia="Times New Roman" w:hAnsi="Calibri" w:cs="Calibri"/>
                <w:color w:val="000000"/>
                <w:sz w:val="20"/>
                <w:szCs w:val="20"/>
                <w:lang w:val="es-ES"/>
              </w:rPr>
              <w:t>cobicistat</w:t>
            </w:r>
            <w:proofErr w:type="spellEnd"/>
          </w:p>
        </w:tc>
        <w:tc>
          <w:tcPr>
            <w:tcW w:w="2204" w:type="dxa"/>
            <w:tcBorders>
              <w:top w:val="nil"/>
              <w:left w:val="nil"/>
              <w:bottom w:val="single" w:sz="4" w:space="0" w:color="auto"/>
              <w:right w:val="single" w:sz="4" w:space="0" w:color="auto"/>
            </w:tcBorders>
            <w:shd w:val="clear" w:color="auto" w:fill="auto"/>
            <w:vAlign w:val="bottom"/>
            <w:hideMark/>
          </w:tcPr>
          <w:p w14:paraId="2271A11C"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Genvoya</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7C3E7873"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(tenofovir alafenamide fumarate 10 mg, emtricitabine 200 mg, elvitegravir 150 mg, cobicistat 150 mg) once daily with food</w:t>
            </w:r>
          </w:p>
        </w:tc>
      </w:tr>
      <w:tr w:rsidR="00B94672" w:rsidRPr="00713F75" w14:paraId="7586CEC5" w14:textId="77777777" w:rsidTr="007845E0">
        <w:trPr>
          <w:trHeight w:val="509"/>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388ED78"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0AE3B8"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tenofovir disoproxil with emtricitabine</w:t>
            </w:r>
          </w:p>
        </w:tc>
        <w:tc>
          <w:tcPr>
            <w:tcW w:w="2204" w:type="dxa"/>
            <w:tcBorders>
              <w:top w:val="nil"/>
              <w:left w:val="nil"/>
              <w:bottom w:val="single" w:sz="4" w:space="0" w:color="auto"/>
              <w:right w:val="single" w:sz="4" w:space="0" w:color="auto"/>
            </w:tcBorders>
            <w:shd w:val="clear" w:color="auto" w:fill="auto"/>
            <w:vAlign w:val="bottom"/>
            <w:hideMark/>
          </w:tcPr>
          <w:p w14:paraId="57CEDC7D"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 xml:space="preserve">Tenofovir/Emtricitabine, Truvada </w:t>
            </w:r>
          </w:p>
        </w:tc>
        <w:tc>
          <w:tcPr>
            <w:tcW w:w="3918" w:type="dxa"/>
            <w:tcBorders>
              <w:top w:val="nil"/>
              <w:left w:val="nil"/>
              <w:bottom w:val="single" w:sz="4" w:space="0" w:color="auto"/>
              <w:right w:val="single" w:sz="4" w:space="0" w:color="auto"/>
            </w:tcBorders>
            <w:shd w:val="clear" w:color="auto" w:fill="auto"/>
            <w:vAlign w:val="bottom"/>
            <w:hideMark/>
          </w:tcPr>
          <w:p w14:paraId="35ED8EAA"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(tenofovir disoproxil 300 mg, emtricitabine 200 mg) once daily with food</w:t>
            </w:r>
          </w:p>
        </w:tc>
      </w:tr>
      <w:tr w:rsidR="00B94672" w:rsidRPr="00713F75" w14:paraId="1ECB0325" w14:textId="77777777" w:rsidTr="007845E0">
        <w:trPr>
          <w:trHeight w:val="509"/>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FB7528D"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E6D625"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tenofovir disoproxil + emtricitabine + efavirenz</w:t>
            </w:r>
          </w:p>
        </w:tc>
        <w:tc>
          <w:tcPr>
            <w:tcW w:w="2204" w:type="dxa"/>
            <w:tcBorders>
              <w:top w:val="nil"/>
              <w:left w:val="nil"/>
              <w:bottom w:val="single" w:sz="4" w:space="0" w:color="auto"/>
              <w:right w:val="single" w:sz="4" w:space="0" w:color="auto"/>
            </w:tcBorders>
            <w:shd w:val="clear" w:color="auto" w:fill="auto"/>
            <w:vAlign w:val="bottom"/>
            <w:hideMark/>
          </w:tcPr>
          <w:p w14:paraId="20B22B00"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Atripla</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6E286581"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(tenofovir disoproxil 300 mg, emtricitabine 200 mg, efavirenz 600 mg) once daily</w:t>
            </w:r>
          </w:p>
        </w:tc>
      </w:tr>
      <w:tr w:rsidR="00B94672" w:rsidRPr="00713F75" w14:paraId="3D4E910B"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D4470E4"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BBB7C"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zidovudine</w:t>
            </w:r>
          </w:p>
        </w:tc>
        <w:tc>
          <w:tcPr>
            <w:tcW w:w="2204" w:type="dxa"/>
            <w:tcBorders>
              <w:top w:val="nil"/>
              <w:left w:val="nil"/>
              <w:bottom w:val="single" w:sz="4" w:space="0" w:color="auto"/>
              <w:right w:val="single" w:sz="4" w:space="0" w:color="auto"/>
            </w:tcBorders>
            <w:shd w:val="clear" w:color="auto" w:fill="auto"/>
            <w:vAlign w:val="bottom"/>
            <w:hideMark/>
          </w:tcPr>
          <w:p w14:paraId="58446A2C"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Retrovir</w:t>
            </w:r>
          </w:p>
        </w:tc>
        <w:tc>
          <w:tcPr>
            <w:tcW w:w="3918" w:type="dxa"/>
            <w:tcBorders>
              <w:top w:val="nil"/>
              <w:left w:val="nil"/>
              <w:bottom w:val="single" w:sz="4" w:space="0" w:color="auto"/>
              <w:right w:val="single" w:sz="4" w:space="0" w:color="auto"/>
            </w:tcBorders>
            <w:shd w:val="clear" w:color="auto" w:fill="auto"/>
            <w:vAlign w:val="bottom"/>
            <w:hideMark/>
          </w:tcPr>
          <w:p w14:paraId="53AA0A00"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250–300 mg twice daily</w:t>
            </w:r>
          </w:p>
        </w:tc>
      </w:tr>
      <w:tr w:rsidR="00B94672" w:rsidRPr="00713F75" w14:paraId="0E247593" w14:textId="77777777" w:rsidTr="007845E0">
        <w:trPr>
          <w:trHeight w:val="254"/>
        </w:trPr>
        <w:tc>
          <w:tcPr>
            <w:tcW w:w="8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A1F342F"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NNRTIs</w:t>
            </w:r>
          </w:p>
        </w:tc>
        <w:tc>
          <w:tcPr>
            <w:tcW w:w="3085" w:type="dxa"/>
            <w:tcBorders>
              <w:top w:val="single" w:sz="4" w:space="0" w:color="auto"/>
              <w:left w:val="nil"/>
              <w:bottom w:val="single" w:sz="4" w:space="0" w:color="auto"/>
              <w:right w:val="single" w:sz="4" w:space="0" w:color="auto"/>
            </w:tcBorders>
            <w:shd w:val="clear" w:color="auto" w:fill="auto"/>
            <w:vAlign w:val="bottom"/>
            <w:hideMark/>
          </w:tcPr>
          <w:p w14:paraId="6A2192BD"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efavirenz</w:t>
            </w:r>
          </w:p>
        </w:tc>
        <w:tc>
          <w:tcPr>
            <w:tcW w:w="2204" w:type="dxa"/>
            <w:tcBorders>
              <w:top w:val="nil"/>
              <w:left w:val="nil"/>
              <w:bottom w:val="single" w:sz="4" w:space="0" w:color="auto"/>
              <w:right w:val="single" w:sz="4" w:space="0" w:color="auto"/>
            </w:tcBorders>
            <w:shd w:val="clear" w:color="auto" w:fill="auto"/>
            <w:vAlign w:val="bottom"/>
            <w:hideMark/>
          </w:tcPr>
          <w:p w14:paraId="2507482F"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Stocrin</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2368FFA7"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600 mg once daily. With voriconazole, 300 mg once daily</w:t>
            </w:r>
          </w:p>
        </w:tc>
      </w:tr>
      <w:tr w:rsidR="00B94672" w:rsidRPr="00713F75" w14:paraId="0FD24F81"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7BF3BF4"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6BD847"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etravirine</w:t>
            </w:r>
          </w:p>
        </w:tc>
        <w:tc>
          <w:tcPr>
            <w:tcW w:w="2204" w:type="dxa"/>
            <w:tcBorders>
              <w:top w:val="nil"/>
              <w:left w:val="nil"/>
              <w:bottom w:val="single" w:sz="4" w:space="0" w:color="auto"/>
              <w:right w:val="single" w:sz="4" w:space="0" w:color="auto"/>
            </w:tcBorders>
            <w:shd w:val="clear" w:color="auto" w:fill="auto"/>
            <w:vAlign w:val="bottom"/>
            <w:hideMark/>
          </w:tcPr>
          <w:p w14:paraId="3A55176D"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Intelence</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6D707F58"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200 mg twice daily after food</w:t>
            </w:r>
          </w:p>
        </w:tc>
      </w:tr>
      <w:tr w:rsidR="00B94672" w:rsidRPr="00713F75" w14:paraId="5DBE250F" w14:textId="77777777" w:rsidTr="007845E0">
        <w:trPr>
          <w:trHeight w:val="76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1240B725"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BED185"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nevirapine</w:t>
            </w:r>
          </w:p>
        </w:tc>
        <w:tc>
          <w:tcPr>
            <w:tcW w:w="2204" w:type="dxa"/>
            <w:tcBorders>
              <w:top w:val="nil"/>
              <w:left w:val="nil"/>
              <w:bottom w:val="single" w:sz="4" w:space="0" w:color="auto"/>
              <w:right w:val="single" w:sz="4" w:space="0" w:color="auto"/>
            </w:tcBorders>
            <w:shd w:val="clear" w:color="auto" w:fill="auto"/>
            <w:vAlign w:val="bottom"/>
            <w:hideMark/>
          </w:tcPr>
          <w:p w14:paraId="4E78B54E"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 xml:space="preserve">Nevirapine, </w:t>
            </w:r>
            <w:proofErr w:type="spellStart"/>
            <w:r w:rsidRPr="00713F75">
              <w:rPr>
                <w:rFonts w:ascii="Calibri" w:eastAsia="Times New Roman" w:hAnsi="Calibri" w:cs="Calibri"/>
                <w:color w:val="000000"/>
                <w:sz w:val="20"/>
                <w:szCs w:val="20"/>
              </w:rPr>
              <w:t>Viramune</w:t>
            </w:r>
            <w:proofErr w:type="spellEnd"/>
            <w:r w:rsidRPr="00713F75">
              <w:rPr>
                <w:rFonts w:ascii="Calibri" w:eastAsia="Times New Roman" w:hAnsi="Calibri" w:cs="Calibri"/>
                <w:color w:val="000000"/>
                <w:sz w:val="20"/>
                <w:szCs w:val="20"/>
              </w:rPr>
              <w:t xml:space="preserve">, </w:t>
            </w:r>
            <w:proofErr w:type="spellStart"/>
            <w:r w:rsidRPr="00713F75">
              <w:rPr>
                <w:rFonts w:ascii="Calibri" w:eastAsia="Times New Roman" w:hAnsi="Calibri" w:cs="Calibri"/>
                <w:color w:val="000000"/>
                <w:sz w:val="20"/>
                <w:szCs w:val="20"/>
              </w:rPr>
              <w:t>Viramune</w:t>
            </w:r>
            <w:proofErr w:type="spellEnd"/>
            <w:r w:rsidRPr="00713F75">
              <w:rPr>
                <w:rFonts w:ascii="Calibri" w:eastAsia="Times New Roman" w:hAnsi="Calibri" w:cs="Calibri"/>
                <w:color w:val="000000"/>
                <w:sz w:val="20"/>
                <w:szCs w:val="20"/>
              </w:rPr>
              <w:t xml:space="preserve"> XR</w:t>
            </w:r>
          </w:p>
        </w:tc>
        <w:tc>
          <w:tcPr>
            <w:tcW w:w="3918" w:type="dxa"/>
            <w:tcBorders>
              <w:top w:val="nil"/>
              <w:left w:val="nil"/>
              <w:bottom w:val="single" w:sz="4" w:space="0" w:color="auto"/>
              <w:right w:val="single" w:sz="4" w:space="0" w:color="auto"/>
            </w:tcBorders>
            <w:shd w:val="clear" w:color="auto" w:fill="auto"/>
            <w:vAlign w:val="bottom"/>
            <w:hideMark/>
          </w:tcPr>
          <w:p w14:paraId="07D050F3"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Initial dose: Conventional tablet, oral liquid, 200 mg once daily for 14 days. Maintenance dose: Conventional tablet, oral liquid, 200 mg twice daily. Controlled release tablet, 400 mg once daily.</w:t>
            </w:r>
          </w:p>
        </w:tc>
      </w:tr>
      <w:tr w:rsidR="00B94672" w:rsidRPr="00713F75" w14:paraId="1BDDBB8A"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2A0A5C9"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04FB18"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rilpivirine</w:t>
            </w:r>
          </w:p>
        </w:tc>
        <w:tc>
          <w:tcPr>
            <w:tcW w:w="2204" w:type="dxa"/>
            <w:tcBorders>
              <w:top w:val="nil"/>
              <w:left w:val="nil"/>
              <w:bottom w:val="single" w:sz="4" w:space="0" w:color="auto"/>
              <w:right w:val="single" w:sz="4" w:space="0" w:color="auto"/>
            </w:tcBorders>
            <w:shd w:val="clear" w:color="auto" w:fill="auto"/>
            <w:vAlign w:val="bottom"/>
            <w:hideMark/>
          </w:tcPr>
          <w:p w14:paraId="022190DA"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Edurant</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5CBEB976"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25 mg once daily. With rifabutin, oral 50 mg once daily</w:t>
            </w:r>
          </w:p>
        </w:tc>
      </w:tr>
      <w:tr w:rsidR="00B94672" w:rsidRPr="00713F75" w14:paraId="26483391" w14:textId="77777777" w:rsidTr="007845E0">
        <w:trPr>
          <w:trHeight w:val="1529"/>
        </w:trPr>
        <w:tc>
          <w:tcPr>
            <w:tcW w:w="8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470552E"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HIV-PIs</w:t>
            </w:r>
          </w:p>
        </w:tc>
        <w:tc>
          <w:tcPr>
            <w:tcW w:w="3085" w:type="dxa"/>
            <w:tcBorders>
              <w:top w:val="single" w:sz="4" w:space="0" w:color="auto"/>
              <w:left w:val="nil"/>
              <w:bottom w:val="single" w:sz="4" w:space="0" w:color="auto"/>
              <w:right w:val="single" w:sz="4" w:space="0" w:color="auto"/>
            </w:tcBorders>
            <w:shd w:val="clear" w:color="auto" w:fill="auto"/>
            <w:vAlign w:val="bottom"/>
            <w:hideMark/>
          </w:tcPr>
          <w:p w14:paraId="04809A75"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atazanavir</w:t>
            </w:r>
          </w:p>
        </w:tc>
        <w:tc>
          <w:tcPr>
            <w:tcW w:w="2204" w:type="dxa"/>
            <w:tcBorders>
              <w:top w:val="nil"/>
              <w:left w:val="nil"/>
              <w:bottom w:val="single" w:sz="4" w:space="0" w:color="auto"/>
              <w:right w:val="single" w:sz="4" w:space="0" w:color="auto"/>
            </w:tcBorders>
            <w:shd w:val="clear" w:color="auto" w:fill="auto"/>
            <w:vAlign w:val="bottom"/>
            <w:hideMark/>
          </w:tcPr>
          <w:p w14:paraId="54B23EB0"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Reyataz</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551BCB04"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Treatment-naive: Oral, 300 mg atazanavir (with 100 mg ritonavir) once daily or 400 mg atazanavir once daily. With efavirenz, 400 mg atazanavir (with 100 mg ritonavir) once daily. With tenofovir disoproxil, 300 mg atazanavir (with 100 mg ritonavir) once daily.</w:t>
            </w:r>
            <w:r w:rsidRPr="00713F75">
              <w:rPr>
                <w:rFonts w:ascii="Calibri" w:eastAsia="Times New Roman" w:hAnsi="Calibri" w:cs="Calibri"/>
                <w:color w:val="000000"/>
                <w:sz w:val="20"/>
                <w:szCs w:val="20"/>
              </w:rPr>
              <w:br/>
            </w:r>
            <w:r w:rsidRPr="00713F75">
              <w:rPr>
                <w:rFonts w:ascii="Calibri" w:eastAsia="Times New Roman" w:hAnsi="Calibri" w:cs="Calibri"/>
                <w:color w:val="000000"/>
                <w:sz w:val="20"/>
                <w:szCs w:val="20"/>
              </w:rPr>
              <w:lastRenderedPageBreak/>
              <w:t>Treatment-experienced: 300 mg atazanavir (with 100 mg ritonavir) once daily</w:t>
            </w:r>
          </w:p>
        </w:tc>
      </w:tr>
      <w:tr w:rsidR="00B94672" w:rsidRPr="00713F75" w14:paraId="5BE61559"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AEF16B8"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4770E8"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atazanavir + cobicistat</w:t>
            </w:r>
          </w:p>
        </w:tc>
        <w:tc>
          <w:tcPr>
            <w:tcW w:w="2204" w:type="dxa"/>
            <w:tcBorders>
              <w:top w:val="nil"/>
              <w:left w:val="nil"/>
              <w:bottom w:val="single" w:sz="4" w:space="0" w:color="auto"/>
              <w:right w:val="single" w:sz="4" w:space="0" w:color="auto"/>
            </w:tcBorders>
            <w:shd w:val="clear" w:color="auto" w:fill="auto"/>
            <w:vAlign w:val="bottom"/>
            <w:hideMark/>
          </w:tcPr>
          <w:p w14:paraId="2CC32283"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Evotaz</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550FD834"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(atazanavir 300 mg, cobicistat 150 mg) once daily</w:t>
            </w:r>
          </w:p>
        </w:tc>
      </w:tr>
      <w:tr w:rsidR="00B94672" w:rsidRPr="00713F75" w14:paraId="188F8F87" w14:textId="77777777" w:rsidTr="007845E0">
        <w:trPr>
          <w:trHeight w:val="1529"/>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4CDE062"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25DC68"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darunavir</w:t>
            </w:r>
          </w:p>
        </w:tc>
        <w:tc>
          <w:tcPr>
            <w:tcW w:w="2204" w:type="dxa"/>
            <w:tcBorders>
              <w:top w:val="nil"/>
              <w:left w:val="nil"/>
              <w:bottom w:val="single" w:sz="4" w:space="0" w:color="auto"/>
              <w:right w:val="single" w:sz="4" w:space="0" w:color="auto"/>
            </w:tcBorders>
            <w:shd w:val="clear" w:color="auto" w:fill="auto"/>
            <w:vAlign w:val="bottom"/>
            <w:hideMark/>
          </w:tcPr>
          <w:p w14:paraId="0C853C3B"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Prezista</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6E644A9E"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No darunavir resistance substitutions and viral load &lt;100 000 copies/mL; or HIV-PI naive when genotype testing is not available, oral 800 mg (with 100 mg ritonavir) once daily. Darunavir resistance substitutions or viral load &gt;100 000 copies/mL; or HIV-PI experienced when genotype testing is not available, oral 600 mg (with 100 mg ritonavir) twice daily</w:t>
            </w:r>
          </w:p>
        </w:tc>
      </w:tr>
      <w:tr w:rsidR="00B94672" w:rsidRPr="00713F75" w14:paraId="01406A69"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5681F8E5"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3654A3"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darunavir + cobicistat</w:t>
            </w:r>
          </w:p>
        </w:tc>
        <w:tc>
          <w:tcPr>
            <w:tcW w:w="2204" w:type="dxa"/>
            <w:tcBorders>
              <w:top w:val="nil"/>
              <w:left w:val="nil"/>
              <w:bottom w:val="single" w:sz="4" w:space="0" w:color="auto"/>
              <w:right w:val="single" w:sz="4" w:space="0" w:color="auto"/>
            </w:tcBorders>
            <w:shd w:val="clear" w:color="auto" w:fill="auto"/>
            <w:vAlign w:val="bottom"/>
            <w:hideMark/>
          </w:tcPr>
          <w:p w14:paraId="6659DD2F"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Prezcobix</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20874A77"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(darunavir 800 mg, cobicistat 150 mg) once daily with food</w:t>
            </w:r>
          </w:p>
        </w:tc>
      </w:tr>
      <w:tr w:rsidR="00B94672" w:rsidRPr="00713F75" w14:paraId="4DFFAD3A" w14:textId="77777777" w:rsidTr="007845E0">
        <w:trPr>
          <w:trHeight w:val="509"/>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1F3EF3F2"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214E6D" w14:textId="77777777" w:rsidR="00B94672" w:rsidRPr="00713F75" w:rsidRDefault="00B94672" w:rsidP="001F3116">
            <w:pPr>
              <w:spacing w:after="0"/>
              <w:rPr>
                <w:rFonts w:ascii="Calibri" w:eastAsia="Times New Roman" w:hAnsi="Calibri" w:cs="Calibri"/>
                <w:color w:val="000000"/>
                <w:sz w:val="20"/>
                <w:szCs w:val="20"/>
                <w:lang w:val="es-ES"/>
              </w:rPr>
            </w:pPr>
            <w:proofErr w:type="spellStart"/>
            <w:r w:rsidRPr="00713F75">
              <w:rPr>
                <w:rFonts w:ascii="Calibri" w:eastAsia="Times New Roman" w:hAnsi="Calibri" w:cs="Calibri"/>
                <w:color w:val="000000"/>
                <w:sz w:val="20"/>
                <w:szCs w:val="20"/>
                <w:lang w:val="es-ES"/>
              </w:rPr>
              <w:t>darunavir</w:t>
            </w:r>
            <w:proofErr w:type="spellEnd"/>
            <w:r w:rsidRPr="00713F75">
              <w:rPr>
                <w:rFonts w:ascii="Calibri" w:eastAsia="Times New Roman" w:hAnsi="Calibri" w:cs="Calibri"/>
                <w:color w:val="000000"/>
                <w:sz w:val="20"/>
                <w:szCs w:val="20"/>
                <w:lang w:val="es-ES"/>
              </w:rPr>
              <w:t xml:space="preserve"> + </w:t>
            </w:r>
            <w:proofErr w:type="spellStart"/>
            <w:r w:rsidRPr="00713F75">
              <w:rPr>
                <w:rFonts w:ascii="Calibri" w:eastAsia="Times New Roman" w:hAnsi="Calibri" w:cs="Calibri"/>
                <w:color w:val="000000"/>
                <w:sz w:val="20"/>
                <w:szCs w:val="20"/>
                <w:lang w:val="es-ES"/>
              </w:rPr>
              <w:t>cobicistat</w:t>
            </w:r>
            <w:proofErr w:type="spellEnd"/>
            <w:r w:rsidRPr="00713F75">
              <w:rPr>
                <w:rFonts w:ascii="Calibri" w:eastAsia="Times New Roman" w:hAnsi="Calibri" w:cs="Calibri"/>
                <w:color w:val="000000"/>
                <w:sz w:val="20"/>
                <w:szCs w:val="20"/>
                <w:lang w:val="es-ES"/>
              </w:rPr>
              <w:t xml:space="preserve"> + </w:t>
            </w:r>
            <w:proofErr w:type="spellStart"/>
            <w:r w:rsidRPr="00713F75">
              <w:rPr>
                <w:rFonts w:ascii="Calibri" w:eastAsia="Times New Roman" w:hAnsi="Calibri" w:cs="Calibri"/>
                <w:color w:val="000000"/>
                <w:sz w:val="20"/>
                <w:szCs w:val="20"/>
                <w:lang w:val="es-ES"/>
              </w:rPr>
              <w:t>emtricitabine</w:t>
            </w:r>
            <w:proofErr w:type="spellEnd"/>
            <w:r w:rsidRPr="00713F75">
              <w:rPr>
                <w:rFonts w:ascii="Calibri" w:eastAsia="Times New Roman" w:hAnsi="Calibri" w:cs="Calibri"/>
                <w:color w:val="000000"/>
                <w:sz w:val="20"/>
                <w:szCs w:val="20"/>
                <w:lang w:val="es-ES"/>
              </w:rPr>
              <w:t xml:space="preserve"> + </w:t>
            </w:r>
            <w:proofErr w:type="spellStart"/>
            <w:r w:rsidRPr="00713F75">
              <w:rPr>
                <w:rFonts w:ascii="Calibri" w:eastAsia="Times New Roman" w:hAnsi="Calibri" w:cs="Calibri"/>
                <w:color w:val="000000"/>
                <w:sz w:val="20"/>
                <w:szCs w:val="20"/>
                <w:lang w:val="es-ES"/>
              </w:rPr>
              <w:t>tenofovir</w:t>
            </w:r>
            <w:proofErr w:type="spellEnd"/>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alafenamide</w:t>
            </w:r>
            <w:proofErr w:type="spellEnd"/>
          </w:p>
        </w:tc>
        <w:tc>
          <w:tcPr>
            <w:tcW w:w="2204" w:type="dxa"/>
            <w:tcBorders>
              <w:top w:val="nil"/>
              <w:left w:val="nil"/>
              <w:bottom w:val="single" w:sz="4" w:space="0" w:color="auto"/>
              <w:right w:val="single" w:sz="4" w:space="0" w:color="auto"/>
            </w:tcBorders>
            <w:shd w:val="clear" w:color="auto" w:fill="auto"/>
            <w:vAlign w:val="bottom"/>
            <w:hideMark/>
          </w:tcPr>
          <w:p w14:paraId="11CA83D4"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Symtuza</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21301E1B"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(darunavir 800 mg, cobicistat 150 mg, emtricitabine 200 mg, tenofovir alafenamide 10 mg) once daily with food</w:t>
            </w:r>
          </w:p>
        </w:tc>
      </w:tr>
      <w:tr w:rsidR="00B94672" w:rsidRPr="00713F75" w14:paraId="2B5F49AC" w14:textId="77777777" w:rsidTr="007845E0">
        <w:trPr>
          <w:trHeight w:val="1019"/>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4A5657B"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3109A"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fosamprenavir</w:t>
            </w:r>
            <w:proofErr w:type="spellEnd"/>
          </w:p>
        </w:tc>
        <w:tc>
          <w:tcPr>
            <w:tcW w:w="2204" w:type="dxa"/>
            <w:tcBorders>
              <w:top w:val="nil"/>
              <w:left w:val="nil"/>
              <w:bottom w:val="single" w:sz="4" w:space="0" w:color="auto"/>
              <w:right w:val="single" w:sz="4" w:space="0" w:color="auto"/>
            </w:tcBorders>
            <w:shd w:val="clear" w:color="auto" w:fill="auto"/>
            <w:vAlign w:val="bottom"/>
            <w:hideMark/>
          </w:tcPr>
          <w:p w14:paraId="1A10B386"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Telzir</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0DC3CB6A"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No previous antiretroviral treatment, oral 1400 mg (with 200 mg ritonavir) once daily or 700 mg (with 100 mg ritonavir) twice daily. Previous HIV-PI treatment, oral 700 mg (with 100 mg ritonavir) twice daily.</w:t>
            </w:r>
          </w:p>
        </w:tc>
      </w:tr>
      <w:tr w:rsidR="00B94672" w:rsidRPr="00713F75" w14:paraId="13B67795" w14:textId="77777777" w:rsidTr="007845E0">
        <w:trPr>
          <w:trHeight w:val="178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019A0CC0"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7DD3F"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lopinavir + ritonavir</w:t>
            </w:r>
          </w:p>
        </w:tc>
        <w:tc>
          <w:tcPr>
            <w:tcW w:w="2204" w:type="dxa"/>
            <w:tcBorders>
              <w:top w:val="nil"/>
              <w:left w:val="nil"/>
              <w:bottom w:val="single" w:sz="4" w:space="0" w:color="auto"/>
              <w:right w:val="single" w:sz="4" w:space="0" w:color="auto"/>
            </w:tcBorders>
            <w:shd w:val="clear" w:color="auto" w:fill="auto"/>
            <w:vAlign w:val="bottom"/>
            <w:hideMark/>
          </w:tcPr>
          <w:p w14:paraId="131F75E9"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Kaletra</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38FB1737"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Treatment-naive: Oral, 400/100 mg twice daily or 800/200 mg once daily (lopinavir 100 mg, ritonavir 25/50 mg) . With efavirenz, nevirapine, carbamazepine, phenytoin or phenobarbital, oral 400/100 mg twice daily.</w:t>
            </w:r>
            <w:r w:rsidRPr="00713F75">
              <w:rPr>
                <w:rFonts w:ascii="Calibri" w:eastAsia="Times New Roman" w:hAnsi="Calibri" w:cs="Calibri"/>
                <w:color w:val="000000"/>
                <w:sz w:val="20"/>
                <w:szCs w:val="20"/>
              </w:rPr>
              <w:br/>
              <w:t>Treatment-experienced: Oral, 400/100 mg twice daily. With efavirenz, nevirapine, oral 500/125 mg twice daily if decreased susceptibility to lopinavir is suspected.</w:t>
            </w:r>
          </w:p>
        </w:tc>
      </w:tr>
      <w:tr w:rsidR="00B94672" w:rsidRPr="00713F75" w14:paraId="6F007DA9" w14:textId="77777777" w:rsidTr="007845E0">
        <w:trPr>
          <w:trHeight w:val="1529"/>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5A163BC9"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0071C0"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ritonavir</w:t>
            </w:r>
          </w:p>
        </w:tc>
        <w:tc>
          <w:tcPr>
            <w:tcW w:w="2204" w:type="dxa"/>
            <w:tcBorders>
              <w:top w:val="nil"/>
              <w:left w:val="nil"/>
              <w:bottom w:val="single" w:sz="4" w:space="0" w:color="auto"/>
              <w:right w:val="single" w:sz="4" w:space="0" w:color="auto"/>
            </w:tcBorders>
            <w:shd w:val="clear" w:color="auto" w:fill="auto"/>
            <w:vAlign w:val="bottom"/>
            <w:hideMark/>
          </w:tcPr>
          <w:p w14:paraId="0618A387"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Norvir</w:t>
            </w:r>
          </w:p>
        </w:tc>
        <w:tc>
          <w:tcPr>
            <w:tcW w:w="3918" w:type="dxa"/>
            <w:tcBorders>
              <w:top w:val="nil"/>
              <w:left w:val="nil"/>
              <w:bottom w:val="single" w:sz="4" w:space="0" w:color="auto"/>
              <w:right w:val="single" w:sz="4" w:space="0" w:color="auto"/>
            </w:tcBorders>
            <w:shd w:val="clear" w:color="auto" w:fill="auto"/>
            <w:vAlign w:val="bottom"/>
            <w:hideMark/>
          </w:tcPr>
          <w:p w14:paraId="7A461E2C"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Low-dose ritonavir regimens: With atazanavir, darunavir (treatment-naive), oral 100 mg once daily. With darunavir (treatment-experienced) or saquinavir, oral 100 mg twice daily. With fosamprenavir twice daily regimen, oral 100 mg twice daily. With fosamprenavir once daily regimen, oral 200 mg once daily. With tipranavir, oral 200 mg twice daily</w:t>
            </w:r>
          </w:p>
        </w:tc>
      </w:tr>
      <w:tr w:rsidR="00B94672" w:rsidRPr="00713F75" w14:paraId="7C572F61" w14:textId="77777777" w:rsidTr="007845E0">
        <w:trPr>
          <w:trHeight w:val="127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00E1AA05"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442B66"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saquinavir</w:t>
            </w:r>
          </w:p>
        </w:tc>
        <w:tc>
          <w:tcPr>
            <w:tcW w:w="2204" w:type="dxa"/>
            <w:tcBorders>
              <w:top w:val="nil"/>
              <w:left w:val="nil"/>
              <w:bottom w:val="single" w:sz="4" w:space="0" w:color="auto"/>
              <w:right w:val="single" w:sz="4" w:space="0" w:color="auto"/>
            </w:tcBorders>
            <w:shd w:val="clear" w:color="auto" w:fill="auto"/>
            <w:vAlign w:val="bottom"/>
            <w:hideMark/>
          </w:tcPr>
          <w:p w14:paraId="0E41E0FE"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Invirase</w:t>
            </w:r>
          </w:p>
        </w:tc>
        <w:tc>
          <w:tcPr>
            <w:tcW w:w="3918" w:type="dxa"/>
            <w:tcBorders>
              <w:top w:val="nil"/>
              <w:left w:val="nil"/>
              <w:bottom w:val="single" w:sz="4" w:space="0" w:color="auto"/>
              <w:right w:val="single" w:sz="4" w:space="0" w:color="auto"/>
            </w:tcBorders>
            <w:shd w:val="clear" w:color="auto" w:fill="auto"/>
            <w:vAlign w:val="bottom"/>
            <w:hideMark/>
          </w:tcPr>
          <w:p w14:paraId="106135BC"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Treatment-naive: Oral, 500 mg (with 100 mg ritonavir) twice a day for 7 days, then increase to 1000 mg (with 100 mg ritonavir) twice a day.</w:t>
            </w:r>
            <w:r w:rsidRPr="00713F75">
              <w:rPr>
                <w:rFonts w:ascii="Calibri" w:eastAsia="Times New Roman" w:hAnsi="Calibri" w:cs="Calibri"/>
                <w:color w:val="000000"/>
                <w:sz w:val="20"/>
                <w:szCs w:val="20"/>
              </w:rPr>
              <w:br/>
              <w:t>Treatment-experienced: Use for patients switching from another HIV-PI with ritonavir or from a NNRTI (except rilpivirine). Oral, 1000 mg (with 100 mg ritonavir) twice a day</w:t>
            </w:r>
          </w:p>
        </w:tc>
      </w:tr>
      <w:tr w:rsidR="00B94672" w:rsidRPr="00713F75" w14:paraId="2BDBFB45"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7C1A462"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CC1F17"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tipranavir</w:t>
            </w:r>
          </w:p>
        </w:tc>
        <w:tc>
          <w:tcPr>
            <w:tcW w:w="2204" w:type="dxa"/>
            <w:tcBorders>
              <w:top w:val="nil"/>
              <w:left w:val="nil"/>
              <w:bottom w:val="single" w:sz="4" w:space="0" w:color="auto"/>
              <w:right w:val="single" w:sz="4" w:space="0" w:color="auto"/>
            </w:tcBorders>
            <w:shd w:val="clear" w:color="auto" w:fill="auto"/>
            <w:vAlign w:val="bottom"/>
            <w:hideMark/>
          </w:tcPr>
          <w:p w14:paraId="23D186E1"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Aptivus</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38303131"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500 mg (with 200 mg ritonavir) twice daily</w:t>
            </w:r>
          </w:p>
        </w:tc>
      </w:tr>
      <w:tr w:rsidR="00B94672" w:rsidRPr="00713F75" w14:paraId="04883FEB" w14:textId="77777777" w:rsidTr="007845E0">
        <w:trPr>
          <w:trHeight w:val="509"/>
        </w:trPr>
        <w:tc>
          <w:tcPr>
            <w:tcW w:w="8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1435112"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INSTIs</w:t>
            </w:r>
          </w:p>
        </w:tc>
        <w:tc>
          <w:tcPr>
            <w:tcW w:w="3085" w:type="dxa"/>
            <w:tcBorders>
              <w:top w:val="single" w:sz="4" w:space="0" w:color="auto"/>
              <w:left w:val="nil"/>
              <w:bottom w:val="single" w:sz="4" w:space="0" w:color="auto"/>
              <w:right w:val="single" w:sz="4" w:space="0" w:color="auto"/>
            </w:tcBorders>
            <w:shd w:val="clear" w:color="auto" w:fill="auto"/>
            <w:vAlign w:val="bottom"/>
            <w:hideMark/>
          </w:tcPr>
          <w:p w14:paraId="7E89F28E"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bictegravir + emtricitabine + tenofovir alafenamide</w:t>
            </w:r>
          </w:p>
        </w:tc>
        <w:tc>
          <w:tcPr>
            <w:tcW w:w="2204" w:type="dxa"/>
            <w:tcBorders>
              <w:top w:val="nil"/>
              <w:left w:val="nil"/>
              <w:bottom w:val="single" w:sz="4" w:space="0" w:color="auto"/>
              <w:right w:val="single" w:sz="4" w:space="0" w:color="auto"/>
            </w:tcBorders>
            <w:shd w:val="clear" w:color="auto" w:fill="auto"/>
            <w:vAlign w:val="bottom"/>
            <w:hideMark/>
          </w:tcPr>
          <w:p w14:paraId="0D2B3BAF"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Biktarvy</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4E9D530F"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(bictegravir 50 mg, emtricitabine 200 mg, tenofovir alafenamide fumarate 25 mg) once daily</w:t>
            </w:r>
          </w:p>
        </w:tc>
      </w:tr>
      <w:tr w:rsidR="00B94672" w:rsidRPr="00713F75" w14:paraId="310282FB"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A08C933"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1B9786"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dolutegravir</w:t>
            </w:r>
          </w:p>
        </w:tc>
        <w:tc>
          <w:tcPr>
            <w:tcW w:w="2204" w:type="dxa"/>
            <w:tcBorders>
              <w:top w:val="nil"/>
              <w:left w:val="nil"/>
              <w:bottom w:val="single" w:sz="4" w:space="0" w:color="auto"/>
              <w:right w:val="single" w:sz="4" w:space="0" w:color="auto"/>
            </w:tcBorders>
            <w:shd w:val="clear" w:color="auto" w:fill="auto"/>
            <w:vAlign w:val="bottom"/>
            <w:hideMark/>
          </w:tcPr>
          <w:p w14:paraId="4390BC08"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Tivicay</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228A5C45"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50 mg once daily</w:t>
            </w:r>
          </w:p>
        </w:tc>
      </w:tr>
      <w:tr w:rsidR="00B94672" w:rsidRPr="00713F75" w14:paraId="5B7B2A28" w14:textId="77777777" w:rsidTr="007845E0">
        <w:trPr>
          <w:trHeight w:val="509"/>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867AEB3"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5E8DC"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dolutegravir + abacavir + lamivudine</w:t>
            </w:r>
          </w:p>
        </w:tc>
        <w:tc>
          <w:tcPr>
            <w:tcW w:w="2204" w:type="dxa"/>
            <w:tcBorders>
              <w:top w:val="nil"/>
              <w:left w:val="nil"/>
              <w:bottom w:val="single" w:sz="4" w:space="0" w:color="auto"/>
              <w:right w:val="single" w:sz="4" w:space="0" w:color="auto"/>
            </w:tcBorders>
            <w:shd w:val="clear" w:color="auto" w:fill="auto"/>
            <w:vAlign w:val="bottom"/>
            <w:hideMark/>
          </w:tcPr>
          <w:p w14:paraId="13E325FA"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Triumeq</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0C34AA6F"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(dolutegravir 50 mg, abacavir 600 mg, lamivudine 300 mg) once daily</w:t>
            </w:r>
          </w:p>
        </w:tc>
      </w:tr>
      <w:tr w:rsidR="00B94672" w:rsidRPr="00713F75" w14:paraId="77FF91DD"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1F0D2576"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62ED0B"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dolutegravir + lamivudine</w:t>
            </w:r>
          </w:p>
        </w:tc>
        <w:tc>
          <w:tcPr>
            <w:tcW w:w="2204" w:type="dxa"/>
            <w:tcBorders>
              <w:top w:val="nil"/>
              <w:left w:val="nil"/>
              <w:bottom w:val="single" w:sz="4" w:space="0" w:color="auto"/>
              <w:right w:val="single" w:sz="4" w:space="0" w:color="auto"/>
            </w:tcBorders>
            <w:shd w:val="clear" w:color="auto" w:fill="auto"/>
            <w:vAlign w:val="bottom"/>
            <w:hideMark/>
          </w:tcPr>
          <w:p w14:paraId="2C2C9C49"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Dovato</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46745577"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(dolutegravir 50 mg, lamivudine 300 mg) once daily</w:t>
            </w:r>
          </w:p>
        </w:tc>
      </w:tr>
      <w:tr w:rsidR="00B94672" w:rsidRPr="00713F75" w14:paraId="712C73D3" w14:textId="77777777" w:rsidTr="007845E0">
        <w:trPr>
          <w:trHeight w:val="25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28BD11C"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E1E288"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dolutegravir with rilpivirine</w:t>
            </w:r>
          </w:p>
        </w:tc>
        <w:tc>
          <w:tcPr>
            <w:tcW w:w="2204" w:type="dxa"/>
            <w:tcBorders>
              <w:top w:val="nil"/>
              <w:left w:val="nil"/>
              <w:bottom w:val="single" w:sz="4" w:space="0" w:color="auto"/>
              <w:right w:val="single" w:sz="4" w:space="0" w:color="auto"/>
            </w:tcBorders>
            <w:shd w:val="clear" w:color="auto" w:fill="auto"/>
            <w:vAlign w:val="bottom"/>
            <w:hideMark/>
          </w:tcPr>
          <w:p w14:paraId="3CBC608F"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Juluca</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21D13008"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(dolutegravir 50 mg, rilpivirine 25 mg) once daily with a meal</w:t>
            </w:r>
          </w:p>
        </w:tc>
      </w:tr>
      <w:tr w:rsidR="00B94672" w:rsidRPr="00713F75" w14:paraId="73BCEC2A" w14:textId="77777777" w:rsidTr="007845E0">
        <w:trPr>
          <w:trHeight w:val="1019"/>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51646C73" w14:textId="77777777" w:rsidR="00B94672" w:rsidRPr="00713F75" w:rsidRDefault="00B94672" w:rsidP="001F3116">
            <w:pPr>
              <w:spacing w:after="0"/>
              <w:rPr>
                <w:rFonts w:ascii="Calibri" w:eastAsia="Times New Roman" w:hAnsi="Calibri" w:cs="Calibri"/>
                <w:color w:val="000000"/>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A148ED"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raltegravir</w:t>
            </w:r>
          </w:p>
        </w:tc>
        <w:tc>
          <w:tcPr>
            <w:tcW w:w="2204" w:type="dxa"/>
            <w:tcBorders>
              <w:top w:val="nil"/>
              <w:left w:val="nil"/>
              <w:bottom w:val="single" w:sz="4" w:space="0" w:color="auto"/>
              <w:right w:val="single" w:sz="4" w:space="0" w:color="auto"/>
            </w:tcBorders>
            <w:shd w:val="clear" w:color="auto" w:fill="auto"/>
            <w:vAlign w:val="bottom"/>
            <w:hideMark/>
          </w:tcPr>
          <w:p w14:paraId="0A777B13"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Isentress</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24B94C9D"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400 mg tablet: oral 400 mg twice daily.</w:t>
            </w:r>
            <w:r w:rsidRPr="00713F75">
              <w:rPr>
                <w:rFonts w:ascii="Calibri" w:eastAsia="Times New Roman" w:hAnsi="Calibri" w:cs="Calibri"/>
                <w:color w:val="000000"/>
                <w:sz w:val="20"/>
                <w:szCs w:val="20"/>
              </w:rPr>
              <w:br/>
              <w:t>600 mg tablet: Do not use for treatment-experienced patients unless virologically suppressed on initial regimen of raltegravir 400 mg twice daily. Oral, 1200 mg once daily.</w:t>
            </w:r>
          </w:p>
        </w:tc>
      </w:tr>
      <w:tr w:rsidR="00B94672" w:rsidRPr="00713F75" w14:paraId="7F7E9871" w14:textId="77777777" w:rsidTr="007845E0">
        <w:trPr>
          <w:trHeight w:val="254"/>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CEBE3"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 </w:t>
            </w:r>
          </w:p>
        </w:tc>
        <w:tc>
          <w:tcPr>
            <w:tcW w:w="3085" w:type="dxa"/>
            <w:tcBorders>
              <w:top w:val="single" w:sz="4" w:space="0" w:color="auto"/>
              <w:left w:val="nil"/>
              <w:bottom w:val="single" w:sz="4" w:space="0" w:color="auto"/>
              <w:right w:val="single" w:sz="4" w:space="0" w:color="auto"/>
            </w:tcBorders>
            <w:shd w:val="clear" w:color="auto" w:fill="auto"/>
            <w:vAlign w:val="bottom"/>
            <w:hideMark/>
          </w:tcPr>
          <w:p w14:paraId="37B23B35"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enfuvirtide</w:t>
            </w:r>
          </w:p>
        </w:tc>
        <w:tc>
          <w:tcPr>
            <w:tcW w:w="2204" w:type="dxa"/>
            <w:tcBorders>
              <w:top w:val="nil"/>
              <w:left w:val="nil"/>
              <w:bottom w:val="single" w:sz="4" w:space="0" w:color="auto"/>
              <w:right w:val="single" w:sz="4" w:space="0" w:color="auto"/>
            </w:tcBorders>
            <w:shd w:val="clear" w:color="auto" w:fill="auto"/>
            <w:vAlign w:val="bottom"/>
            <w:hideMark/>
          </w:tcPr>
          <w:p w14:paraId="4B962EA1"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Fuzeon</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5B87B02D"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subcutaneous, 90 mg twice daily</w:t>
            </w:r>
          </w:p>
        </w:tc>
      </w:tr>
      <w:tr w:rsidR="00B94672" w:rsidRPr="00713F75" w14:paraId="741E506A" w14:textId="77777777" w:rsidTr="007845E0">
        <w:trPr>
          <w:trHeight w:val="1784"/>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B2F0C"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 </w:t>
            </w:r>
          </w:p>
        </w:tc>
        <w:tc>
          <w:tcPr>
            <w:tcW w:w="3085" w:type="dxa"/>
            <w:tcBorders>
              <w:top w:val="single" w:sz="4" w:space="0" w:color="auto"/>
              <w:left w:val="nil"/>
              <w:bottom w:val="single" w:sz="4" w:space="0" w:color="auto"/>
              <w:right w:val="single" w:sz="4" w:space="0" w:color="auto"/>
            </w:tcBorders>
            <w:shd w:val="clear" w:color="auto" w:fill="auto"/>
            <w:vAlign w:val="bottom"/>
            <w:hideMark/>
          </w:tcPr>
          <w:p w14:paraId="6038ACE9"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maraviroc</w:t>
            </w:r>
          </w:p>
        </w:tc>
        <w:tc>
          <w:tcPr>
            <w:tcW w:w="2204" w:type="dxa"/>
            <w:tcBorders>
              <w:top w:val="nil"/>
              <w:left w:val="nil"/>
              <w:bottom w:val="single" w:sz="4" w:space="0" w:color="auto"/>
              <w:right w:val="single" w:sz="4" w:space="0" w:color="auto"/>
            </w:tcBorders>
            <w:shd w:val="clear" w:color="auto" w:fill="auto"/>
            <w:vAlign w:val="bottom"/>
            <w:hideMark/>
          </w:tcPr>
          <w:p w14:paraId="794E4068" w14:textId="77777777" w:rsidR="00B94672" w:rsidRPr="00713F75" w:rsidRDefault="00B94672" w:rsidP="001F3116">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Celsentri</w:t>
            </w:r>
            <w:proofErr w:type="spellEnd"/>
          </w:p>
        </w:tc>
        <w:tc>
          <w:tcPr>
            <w:tcW w:w="3918" w:type="dxa"/>
            <w:tcBorders>
              <w:top w:val="nil"/>
              <w:left w:val="nil"/>
              <w:bottom w:val="single" w:sz="4" w:space="0" w:color="auto"/>
              <w:right w:val="single" w:sz="4" w:space="0" w:color="auto"/>
            </w:tcBorders>
            <w:shd w:val="clear" w:color="auto" w:fill="auto"/>
            <w:vAlign w:val="bottom"/>
            <w:hideMark/>
          </w:tcPr>
          <w:p w14:paraId="4A09C6D9" w14:textId="77777777" w:rsidR="00B94672" w:rsidRPr="00713F75" w:rsidRDefault="00B94672" w:rsidP="001F3116">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 xml:space="preserve">Oral, 300 mg twice daily. With nevirapine or tipranavir/ritonavir, oral 300 mg twice daily. With strong CYP3A4 inhibitors (with or without a CYP3A4 inducer), </w:t>
            </w:r>
            <w:proofErr w:type="spellStart"/>
            <w:r w:rsidRPr="00713F75">
              <w:rPr>
                <w:rFonts w:ascii="Calibri" w:eastAsia="Times New Roman" w:hAnsi="Calibri" w:cs="Calibri"/>
                <w:color w:val="000000"/>
                <w:sz w:val="20"/>
                <w:szCs w:val="20"/>
              </w:rPr>
              <w:t>eg</w:t>
            </w:r>
            <w:proofErr w:type="spellEnd"/>
            <w:r w:rsidRPr="00713F75">
              <w:rPr>
                <w:rFonts w:ascii="Calibri" w:eastAsia="Times New Roman" w:hAnsi="Calibri" w:cs="Calibri"/>
                <w:color w:val="000000"/>
                <w:sz w:val="20"/>
                <w:szCs w:val="20"/>
              </w:rPr>
              <w:t xml:space="preserve"> clarithromycin, HIV-PIs (except tipranavir/ritonavir), elvitegravir with cobicistat, itraconazole, oral 150 mg twice daily. With CYP3A4 inducers (without a strong CYP3A4 inhibitor), </w:t>
            </w:r>
            <w:proofErr w:type="spellStart"/>
            <w:r w:rsidRPr="00713F75">
              <w:rPr>
                <w:rFonts w:ascii="Calibri" w:eastAsia="Times New Roman" w:hAnsi="Calibri" w:cs="Calibri"/>
                <w:color w:val="000000"/>
                <w:sz w:val="20"/>
                <w:szCs w:val="20"/>
              </w:rPr>
              <w:t>eg</w:t>
            </w:r>
            <w:proofErr w:type="spellEnd"/>
            <w:r w:rsidRPr="00713F75">
              <w:rPr>
                <w:rFonts w:ascii="Calibri" w:eastAsia="Times New Roman" w:hAnsi="Calibri" w:cs="Calibri"/>
                <w:color w:val="000000"/>
                <w:sz w:val="20"/>
                <w:szCs w:val="20"/>
              </w:rPr>
              <w:t xml:space="preserve"> efavirenz, etravirine, rifampicin, carbamazepine, phenytoin, oral 600 mg twice daily</w:t>
            </w:r>
          </w:p>
        </w:tc>
      </w:tr>
    </w:tbl>
    <w:p w14:paraId="146C715D" w14:textId="35BC81E8" w:rsidR="537A0DE2" w:rsidRDefault="537A0DE2"/>
    <w:p w14:paraId="49FFEDB1" w14:textId="6F1F9CA6" w:rsidR="00AC5E1B" w:rsidRDefault="00AC5E1B" w:rsidP="00B94672">
      <w:pPr>
        <w:spacing w:line="276" w:lineRule="auto"/>
      </w:pPr>
    </w:p>
    <w:p w14:paraId="2AC987A3" w14:textId="77777777" w:rsidR="00AC5E1B" w:rsidRDefault="00AC5E1B">
      <w:pPr>
        <w:spacing w:line="276" w:lineRule="auto"/>
      </w:pPr>
      <w:r>
        <w:br w:type="page"/>
      </w:r>
    </w:p>
    <w:p w14:paraId="5050A8F6" w14:textId="00659E25" w:rsidR="00BD0CBE" w:rsidRDefault="008712A8" w:rsidP="008712A8">
      <w:pPr>
        <w:pStyle w:val="Heading1"/>
      </w:pPr>
      <w:r>
        <w:lastRenderedPageBreak/>
        <w:t>Appendix C</w:t>
      </w:r>
      <w:r w:rsidR="00BD0CBE">
        <w:t xml:space="preserve">: Terms used to identify </w:t>
      </w:r>
      <w:r w:rsidR="00D14D39">
        <w:t>HIV</w:t>
      </w:r>
      <w:r>
        <w:t xml:space="preserve"> infection o</w:t>
      </w:r>
      <w:r w:rsidR="00D14D39">
        <w:t>r conditions to consider when prescribing antiretroviral medicines</w:t>
      </w:r>
    </w:p>
    <w:tbl>
      <w:tblPr>
        <w:tblStyle w:val="TableGrid"/>
        <w:tblW w:w="5000" w:type="pct"/>
        <w:tblLook w:val="04A0" w:firstRow="1" w:lastRow="0" w:firstColumn="1" w:lastColumn="0" w:noHBand="0" w:noVBand="1"/>
      </w:tblPr>
      <w:tblGrid>
        <w:gridCol w:w="2104"/>
        <w:gridCol w:w="6843"/>
      </w:tblGrid>
      <w:tr w:rsidR="00BD0CBE" w:rsidRPr="001D0858" w14:paraId="04882CAD" w14:textId="77777777" w:rsidTr="005A0816">
        <w:trPr>
          <w:trHeight w:val="20"/>
          <w:tblHeader/>
        </w:trPr>
        <w:tc>
          <w:tcPr>
            <w:tcW w:w="1176" w:type="pct"/>
            <w:shd w:val="clear" w:color="auto" w:fill="BFBFBF" w:themeFill="background1" w:themeFillShade="BF"/>
            <w:vAlign w:val="center"/>
          </w:tcPr>
          <w:p w14:paraId="416ED503" w14:textId="77777777" w:rsidR="00BD0CBE" w:rsidRPr="001D0858" w:rsidRDefault="00BD0CBE" w:rsidP="005A0816">
            <w:pPr>
              <w:pStyle w:val="Tableheading"/>
              <w:jc w:val="left"/>
              <w:rPr>
                <w:sz w:val="20"/>
                <w:szCs w:val="20"/>
              </w:rPr>
            </w:pPr>
            <w:r>
              <w:rPr>
                <w:sz w:val="20"/>
                <w:szCs w:val="20"/>
              </w:rPr>
              <w:t>Condition</w:t>
            </w:r>
          </w:p>
        </w:tc>
        <w:tc>
          <w:tcPr>
            <w:tcW w:w="3824" w:type="pct"/>
            <w:shd w:val="clear" w:color="auto" w:fill="BFBFBF" w:themeFill="background1" w:themeFillShade="BF"/>
            <w:vAlign w:val="center"/>
          </w:tcPr>
          <w:p w14:paraId="53EEA04B" w14:textId="77777777" w:rsidR="00BD0CBE" w:rsidRDefault="00BD0CBE" w:rsidP="005A0816">
            <w:pPr>
              <w:pStyle w:val="Tableheading"/>
              <w:jc w:val="left"/>
              <w:rPr>
                <w:sz w:val="20"/>
                <w:szCs w:val="20"/>
              </w:rPr>
            </w:pPr>
            <w:r>
              <w:rPr>
                <w:sz w:val="20"/>
                <w:szCs w:val="20"/>
              </w:rPr>
              <w:t>Included terms</w:t>
            </w:r>
          </w:p>
        </w:tc>
      </w:tr>
      <w:tr w:rsidR="00BD0CBE" w:rsidRPr="001D0858" w14:paraId="7C91F2FE" w14:textId="77777777" w:rsidTr="005A0816">
        <w:trPr>
          <w:trHeight w:val="20"/>
        </w:trPr>
        <w:tc>
          <w:tcPr>
            <w:tcW w:w="1176" w:type="pct"/>
            <w:vAlign w:val="center"/>
          </w:tcPr>
          <w:p w14:paraId="77268AA3" w14:textId="77853F6C" w:rsidR="00BD0CBE" w:rsidRPr="000F2789" w:rsidRDefault="00D26F96" w:rsidP="005A0816">
            <w:pPr>
              <w:pStyle w:val="Tableheading"/>
              <w:jc w:val="left"/>
              <w:rPr>
                <w:rFonts w:cstheme="minorHAnsi"/>
                <w:b w:val="0"/>
                <w:sz w:val="20"/>
                <w:szCs w:val="20"/>
              </w:rPr>
            </w:pPr>
            <w:r>
              <w:rPr>
                <w:rFonts w:cstheme="minorHAnsi"/>
                <w:b w:val="0"/>
                <w:sz w:val="20"/>
                <w:szCs w:val="20"/>
              </w:rPr>
              <w:t>HIV infection</w:t>
            </w:r>
          </w:p>
        </w:tc>
        <w:tc>
          <w:tcPr>
            <w:tcW w:w="3824" w:type="pct"/>
            <w:vAlign w:val="center"/>
          </w:tcPr>
          <w:p w14:paraId="1CA18C59" w14:textId="5D398706" w:rsidR="00BD0CBE" w:rsidRPr="004B4004" w:rsidRDefault="00C52C2A" w:rsidP="005A0816">
            <w:pPr>
              <w:pStyle w:val="Tableheading"/>
              <w:jc w:val="left"/>
              <w:rPr>
                <w:rFonts w:cstheme="minorHAnsi"/>
                <w:b w:val="0"/>
                <w:sz w:val="20"/>
                <w:szCs w:val="20"/>
              </w:rPr>
            </w:pPr>
            <w:r w:rsidRPr="00C52C2A">
              <w:rPr>
                <w:rFonts w:cstheme="minorHAnsi"/>
                <w:b w:val="0"/>
                <w:sz w:val="20"/>
                <w:szCs w:val="20"/>
              </w:rPr>
              <w:t>HIV, HIV carrier, AIDS, but excludes HIV embryopathy</w:t>
            </w:r>
          </w:p>
        </w:tc>
      </w:tr>
      <w:tr w:rsidR="00BD0CBE" w:rsidRPr="001D0858" w14:paraId="22AA5413" w14:textId="77777777" w:rsidTr="005A0816">
        <w:trPr>
          <w:trHeight w:val="20"/>
        </w:trPr>
        <w:tc>
          <w:tcPr>
            <w:tcW w:w="1176" w:type="pct"/>
            <w:vAlign w:val="center"/>
          </w:tcPr>
          <w:p w14:paraId="0623F11D" w14:textId="3EAC12D6" w:rsidR="00BD0CBE" w:rsidRPr="000F2789" w:rsidRDefault="00FF4AB7" w:rsidP="005A0816">
            <w:pPr>
              <w:pStyle w:val="Tableheading"/>
              <w:jc w:val="left"/>
              <w:rPr>
                <w:rFonts w:cstheme="minorHAnsi"/>
                <w:b w:val="0"/>
                <w:sz w:val="20"/>
                <w:szCs w:val="20"/>
              </w:rPr>
            </w:pPr>
            <w:r>
              <w:rPr>
                <w:rFonts w:cstheme="minorHAnsi"/>
                <w:b w:val="0"/>
                <w:sz w:val="20"/>
                <w:szCs w:val="20"/>
              </w:rPr>
              <w:t>Alcohol use disorder</w:t>
            </w:r>
          </w:p>
        </w:tc>
        <w:tc>
          <w:tcPr>
            <w:tcW w:w="3824" w:type="pct"/>
            <w:vAlign w:val="center"/>
          </w:tcPr>
          <w:p w14:paraId="2BE59C4F" w14:textId="5D48A147" w:rsidR="00BD0CBE" w:rsidRPr="004B4004" w:rsidRDefault="009E516C" w:rsidP="005A0816">
            <w:pPr>
              <w:pStyle w:val="Tableheading"/>
              <w:jc w:val="left"/>
              <w:rPr>
                <w:rFonts w:cstheme="minorBidi"/>
                <w:b w:val="0"/>
                <w:sz w:val="20"/>
                <w:szCs w:val="20"/>
              </w:rPr>
            </w:pPr>
            <w:r w:rsidRPr="009E516C">
              <w:rPr>
                <w:rFonts w:cstheme="minorBidi"/>
                <w:b w:val="0"/>
                <w:sz w:val="20"/>
                <w:szCs w:val="20"/>
              </w:rPr>
              <w:t xml:space="preserve">(abuse or dependence or addiction) of alcohol, alcohol addiction, alcohol dependence, alcohol related brain injury, alcohol use disorder, alcoholic, alcohol withdrawal, alcoholism, </w:t>
            </w:r>
            <w:proofErr w:type="spellStart"/>
            <w:r w:rsidRPr="009E516C">
              <w:rPr>
                <w:rFonts w:cstheme="minorBidi"/>
                <w:b w:val="0"/>
                <w:sz w:val="20"/>
                <w:szCs w:val="20"/>
              </w:rPr>
              <w:t>antabuse</w:t>
            </w:r>
            <w:proofErr w:type="spellEnd"/>
            <w:r w:rsidRPr="009E516C">
              <w:rPr>
                <w:rFonts w:cstheme="minorBidi"/>
                <w:b w:val="0"/>
                <w:sz w:val="20"/>
                <w:szCs w:val="20"/>
              </w:rPr>
              <w:t xml:space="preserve"> type reaction, delirium tremens, Korsakoff's dementia </w:t>
            </w:r>
          </w:p>
        </w:tc>
      </w:tr>
      <w:tr w:rsidR="00BD0CBE" w:rsidRPr="001D0858" w14:paraId="64DB7362" w14:textId="77777777" w:rsidTr="005A0816">
        <w:trPr>
          <w:trHeight w:val="20"/>
        </w:trPr>
        <w:tc>
          <w:tcPr>
            <w:tcW w:w="1176" w:type="pct"/>
            <w:vAlign w:val="center"/>
          </w:tcPr>
          <w:p w14:paraId="7B681A6A" w14:textId="26D262AC" w:rsidR="00BD0CBE" w:rsidRPr="00F8671E" w:rsidRDefault="00E45DB8" w:rsidP="005A0816">
            <w:pPr>
              <w:pStyle w:val="Tableheading"/>
              <w:jc w:val="left"/>
              <w:rPr>
                <w:rFonts w:cstheme="minorHAnsi"/>
                <w:b w:val="0"/>
                <w:sz w:val="20"/>
                <w:szCs w:val="20"/>
              </w:rPr>
            </w:pPr>
            <w:r w:rsidRPr="00E45DB8">
              <w:rPr>
                <w:rFonts w:cstheme="minorHAnsi"/>
                <w:b w:val="0"/>
                <w:sz w:val="20"/>
                <w:szCs w:val="20"/>
              </w:rPr>
              <w:t>Anxiety</w:t>
            </w:r>
          </w:p>
        </w:tc>
        <w:tc>
          <w:tcPr>
            <w:tcW w:w="3824" w:type="pct"/>
            <w:vAlign w:val="center"/>
          </w:tcPr>
          <w:p w14:paraId="63CA5994" w14:textId="2D66BAED" w:rsidR="00BD0CBE" w:rsidRPr="0038645B" w:rsidRDefault="00421411" w:rsidP="005A0816">
            <w:pPr>
              <w:pStyle w:val="Tableheading"/>
              <w:jc w:val="left"/>
              <w:rPr>
                <w:rFonts w:cstheme="minorBidi"/>
                <w:b w:val="0"/>
                <w:sz w:val="20"/>
                <w:szCs w:val="20"/>
              </w:rPr>
            </w:pPr>
            <w:r w:rsidRPr="00421411">
              <w:rPr>
                <w:rFonts w:cstheme="minorBidi"/>
                <w:b w:val="0"/>
                <w:sz w:val="20"/>
                <w:szCs w:val="20"/>
              </w:rPr>
              <w:t>anxiety, generali</w:t>
            </w:r>
            <w:r>
              <w:rPr>
                <w:rFonts w:cstheme="minorBidi"/>
                <w:b w:val="0"/>
                <w:sz w:val="20"/>
                <w:szCs w:val="20"/>
              </w:rPr>
              <w:t>s</w:t>
            </w:r>
            <w:r w:rsidRPr="00421411">
              <w:rPr>
                <w:rFonts w:cstheme="minorBidi"/>
                <w:b w:val="0"/>
                <w:sz w:val="20"/>
                <w:szCs w:val="20"/>
              </w:rPr>
              <w:t>ed anxiety disorder, mixed anxiety/depression, obsessive compulsive disorder (OCD), post-traumatic stress disorder (PTSD)</w:t>
            </w:r>
          </w:p>
        </w:tc>
      </w:tr>
      <w:tr w:rsidR="00BD0CBE" w:rsidRPr="001D0858" w14:paraId="312F6045" w14:textId="77777777" w:rsidTr="005A0816">
        <w:trPr>
          <w:trHeight w:val="20"/>
        </w:trPr>
        <w:tc>
          <w:tcPr>
            <w:tcW w:w="1176" w:type="pct"/>
            <w:vAlign w:val="center"/>
          </w:tcPr>
          <w:p w14:paraId="51E650AA" w14:textId="5E4D6AE4" w:rsidR="00BD0CBE" w:rsidRPr="00F8671E" w:rsidRDefault="00EA075B" w:rsidP="005A0816">
            <w:pPr>
              <w:pStyle w:val="Tableheading"/>
              <w:jc w:val="left"/>
              <w:rPr>
                <w:rFonts w:cstheme="minorBidi"/>
                <w:b w:val="0"/>
                <w:sz w:val="20"/>
                <w:szCs w:val="20"/>
              </w:rPr>
            </w:pPr>
            <w:r w:rsidRPr="00EA075B">
              <w:rPr>
                <w:rFonts w:cstheme="minorBidi"/>
                <w:b w:val="0"/>
                <w:sz w:val="20"/>
                <w:szCs w:val="20"/>
              </w:rPr>
              <w:t>Bipolar disorder</w:t>
            </w:r>
          </w:p>
        </w:tc>
        <w:tc>
          <w:tcPr>
            <w:tcW w:w="3824" w:type="pct"/>
            <w:vAlign w:val="center"/>
          </w:tcPr>
          <w:p w14:paraId="0BB17057" w14:textId="616C712B" w:rsidR="00BD0CBE" w:rsidRPr="0038645B" w:rsidRDefault="00407861" w:rsidP="005A0816">
            <w:pPr>
              <w:pStyle w:val="Tableheading"/>
              <w:tabs>
                <w:tab w:val="left" w:pos="2070"/>
              </w:tabs>
              <w:jc w:val="left"/>
              <w:rPr>
                <w:rFonts w:cstheme="minorHAnsi"/>
                <w:b w:val="0"/>
                <w:sz w:val="20"/>
                <w:szCs w:val="20"/>
              </w:rPr>
            </w:pPr>
            <w:r w:rsidRPr="00407861">
              <w:rPr>
                <w:rFonts w:cstheme="minorHAnsi"/>
                <w:b w:val="0"/>
                <w:sz w:val="20"/>
                <w:szCs w:val="20"/>
              </w:rPr>
              <w:t>bipolar affective disorder, bipolar 1 disorder, bipolar 2 disorder, bipolar spectrum disorder, manic depressive illness, manic depressive psychosis</w:t>
            </w:r>
          </w:p>
        </w:tc>
      </w:tr>
      <w:tr w:rsidR="00BD0CBE" w:rsidRPr="001D0858" w14:paraId="09A83258" w14:textId="77777777" w:rsidTr="005A0816">
        <w:trPr>
          <w:trHeight w:val="20"/>
        </w:trPr>
        <w:tc>
          <w:tcPr>
            <w:tcW w:w="1176" w:type="pct"/>
            <w:vAlign w:val="center"/>
          </w:tcPr>
          <w:p w14:paraId="018D066B" w14:textId="4A0FDB90" w:rsidR="00BD0CBE" w:rsidRPr="00F8671E" w:rsidRDefault="00197878" w:rsidP="005A0816">
            <w:pPr>
              <w:pStyle w:val="Tableheading"/>
              <w:jc w:val="left"/>
              <w:rPr>
                <w:rFonts w:cstheme="minorHAnsi"/>
                <w:b w:val="0"/>
                <w:sz w:val="20"/>
                <w:szCs w:val="20"/>
              </w:rPr>
            </w:pPr>
            <w:r w:rsidRPr="00197878">
              <w:rPr>
                <w:rFonts w:cstheme="minorHAnsi"/>
                <w:b w:val="0"/>
                <w:sz w:val="20"/>
                <w:szCs w:val="20"/>
              </w:rPr>
              <w:t>Cardiovascular disease (CVD)</w:t>
            </w:r>
          </w:p>
        </w:tc>
        <w:tc>
          <w:tcPr>
            <w:tcW w:w="3824" w:type="pct"/>
            <w:vAlign w:val="center"/>
          </w:tcPr>
          <w:p w14:paraId="1A3BF810" w14:textId="43C19BA8" w:rsidR="00BD0CBE" w:rsidRPr="0038645B" w:rsidRDefault="00150A71" w:rsidP="005A0816">
            <w:pPr>
              <w:pStyle w:val="Tableheading"/>
              <w:jc w:val="left"/>
              <w:rPr>
                <w:rFonts w:cstheme="minorHAnsi"/>
                <w:b w:val="0"/>
                <w:sz w:val="20"/>
                <w:szCs w:val="20"/>
              </w:rPr>
            </w:pPr>
            <w:r w:rsidRPr="00150A71">
              <w:rPr>
                <w:rFonts w:cstheme="minorHAnsi"/>
                <w:b w:val="0"/>
                <w:sz w:val="20"/>
                <w:szCs w:val="20"/>
              </w:rPr>
              <w:t>atherosclerosis, coronary heart disease (including myocardial infarction and angina), peripheral vascular disease, stroke and transient ischaemic attack.</w:t>
            </w:r>
          </w:p>
        </w:tc>
      </w:tr>
      <w:tr w:rsidR="00BD0CBE" w:rsidRPr="001D0858" w14:paraId="525AE31A" w14:textId="77777777" w:rsidTr="005A0816">
        <w:trPr>
          <w:trHeight w:val="20"/>
        </w:trPr>
        <w:tc>
          <w:tcPr>
            <w:tcW w:w="1176" w:type="pct"/>
            <w:vAlign w:val="center"/>
          </w:tcPr>
          <w:p w14:paraId="149FFF40" w14:textId="69301DD2" w:rsidR="00BD0CBE" w:rsidRPr="00F8671E" w:rsidRDefault="001B51F3" w:rsidP="005A0816">
            <w:pPr>
              <w:pStyle w:val="Tableheading"/>
              <w:jc w:val="left"/>
              <w:rPr>
                <w:rFonts w:cstheme="minorHAnsi"/>
                <w:b w:val="0"/>
                <w:sz w:val="20"/>
                <w:szCs w:val="20"/>
              </w:rPr>
            </w:pPr>
            <w:r w:rsidRPr="001B51F3">
              <w:rPr>
                <w:rFonts w:cstheme="minorHAnsi"/>
                <w:b w:val="0"/>
                <w:sz w:val="20"/>
                <w:szCs w:val="20"/>
              </w:rPr>
              <w:t>Chronic Kidney Disease (CKD)</w:t>
            </w:r>
          </w:p>
        </w:tc>
        <w:tc>
          <w:tcPr>
            <w:tcW w:w="3824" w:type="pct"/>
            <w:vAlign w:val="center"/>
          </w:tcPr>
          <w:p w14:paraId="590FE898" w14:textId="172AA200" w:rsidR="00BD0CBE" w:rsidRPr="0038645B" w:rsidRDefault="00976645" w:rsidP="005A0816">
            <w:pPr>
              <w:pStyle w:val="Tableheading"/>
              <w:jc w:val="left"/>
              <w:rPr>
                <w:rFonts w:cstheme="minorHAnsi"/>
                <w:b w:val="0"/>
                <w:sz w:val="20"/>
                <w:szCs w:val="20"/>
              </w:rPr>
            </w:pPr>
            <w:r w:rsidRPr="00976645">
              <w:rPr>
                <w:rFonts w:cstheme="minorHAnsi"/>
                <w:b w:val="0"/>
                <w:sz w:val="20"/>
                <w:szCs w:val="20"/>
              </w:rPr>
              <w:t xml:space="preserve">anaemia - chronic renal failure, </w:t>
            </w:r>
            <w:proofErr w:type="spellStart"/>
            <w:r w:rsidRPr="00976645">
              <w:rPr>
                <w:rFonts w:cstheme="minorHAnsi"/>
                <w:b w:val="0"/>
                <w:sz w:val="20"/>
                <w:szCs w:val="20"/>
              </w:rPr>
              <w:t>capd</w:t>
            </w:r>
            <w:proofErr w:type="spellEnd"/>
            <w:r w:rsidRPr="00976645">
              <w:rPr>
                <w:rFonts w:cstheme="minorHAnsi"/>
                <w:b w:val="0"/>
                <w:sz w:val="20"/>
                <w:szCs w:val="20"/>
              </w:rPr>
              <w:t xml:space="preserve">, catheterisation of peritoneum, chronic kidney disease or CKD (all stages), chronic renal disease (all stages), chronic renal failure, chronic renal failure – hyperparathyroidism, chronic renal insufficiency, continuous ambulatory peritoneal dialysis, CRF, dialysis, haemodialysis, </w:t>
            </w:r>
            <w:proofErr w:type="spellStart"/>
            <w:r w:rsidRPr="00976645">
              <w:rPr>
                <w:rFonts w:cstheme="minorHAnsi"/>
                <w:b w:val="0"/>
                <w:sz w:val="20"/>
                <w:szCs w:val="20"/>
              </w:rPr>
              <w:t>hemodialysis</w:t>
            </w:r>
            <w:proofErr w:type="spellEnd"/>
            <w:r w:rsidRPr="00976645">
              <w:rPr>
                <w:rFonts w:cstheme="minorHAnsi"/>
                <w:b w:val="0"/>
                <w:sz w:val="20"/>
                <w:szCs w:val="20"/>
              </w:rPr>
              <w:t xml:space="preserve">, peritoneal </w:t>
            </w:r>
            <w:proofErr w:type="spellStart"/>
            <w:r w:rsidRPr="00976645">
              <w:rPr>
                <w:rFonts w:cstheme="minorHAnsi"/>
                <w:b w:val="0"/>
                <w:sz w:val="20"/>
                <w:szCs w:val="20"/>
              </w:rPr>
              <w:t>catherisation</w:t>
            </w:r>
            <w:proofErr w:type="spellEnd"/>
            <w:r w:rsidRPr="00976645">
              <w:rPr>
                <w:rFonts w:cstheme="minorHAnsi"/>
                <w:b w:val="0"/>
                <w:sz w:val="20"/>
                <w:szCs w:val="20"/>
              </w:rPr>
              <w:t xml:space="preserve"> for dialysis, peritoneal dialysis renal dialysis or surgery - abdomen - dialysis - catheterisation</w:t>
            </w:r>
          </w:p>
        </w:tc>
      </w:tr>
      <w:tr w:rsidR="00BD0CBE" w:rsidRPr="001D0858" w14:paraId="460E63D4" w14:textId="77777777" w:rsidTr="005A0816">
        <w:trPr>
          <w:trHeight w:val="20"/>
        </w:trPr>
        <w:tc>
          <w:tcPr>
            <w:tcW w:w="1176" w:type="pct"/>
            <w:vAlign w:val="center"/>
          </w:tcPr>
          <w:p w14:paraId="03C7305E" w14:textId="1A5A27A4" w:rsidR="00BD0CBE" w:rsidRPr="00F8671E" w:rsidRDefault="00FE3F15" w:rsidP="005A0816">
            <w:pPr>
              <w:pStyle w:val="Tableheading"/>
              <w:jc w:val="left"/>
              <w:rPr>
                <w:rFonts w:cstheme="minorHAnsi"/>
                <w:b w:val="0"/>
                <w:sz w:val="20"/>
                <w:szCs w:val="20"/>
              </w:rPr>
            </w:pPr>
            <w:r w:rsidRPr="00FE3F15">
              <w:rPr>
                <w:rFonts w:cstheme="minorHAnsi"/>
                <w:b w:val="0"/>
                <w:sz w:val="20"/>
                <w:szCs w:val="20"/>
              </w:rPr>
              <w:t>Depression</w:t>
            </w:r>
          </w:p>
        </w:tc>
        <w:tc>
          <w:tcPr>
            <w:tcW w:w="3824" w:type="pct"/>
            <w:vAlign w:val="center"/>
          </w:tcPr>
          <w:p w14:paraId="0B974A69" w14:textId="02454785" w:rsidR="00BD0CBE" w:rsidRPr="0038645B" w:rsidRDefault="00DA2C25" w:rsidP="005A0816">
            <w:pPr>
              <w:pStyle w:val="Tableheading"/>
              <w:jc w:val="left"/>
              <w:rPr>
                <w:rFonts w:cstheme="minorBidi"/>
                <w:b w:val="0"/>
                <w:sz w:val="20"/>
                <w:szCs w:val="20"/>
              </w:rPr>
            </w:pPr>
            <w:r w:rsidRPr="00DA2C25">
              <w:rPr>
                <w:rFonts w:cstheme="minorBidi"/>
                <w:b w:val="0"/>
                <w:sz w:val="20"/>
                <w:szCs w:val="20"/>
              </w:rPr>
              <w:t>depression, post-natal depression, adjustment disorder with depression, mixed anxiety/depression</w:t>
            </w:r>
          </w:p>
        </w:tc>
      </w:tr>
      <w:tr w:rsidR="00BD0CBE" w:rsidRPr="001D0858" w14:paraId="3FB62CFA" w14:textId="77777777" w:rsidTr="005A0816">
        <w:trPr>
          <w:trHeight w:val="20"/>
        </w:trPr>
        <w:tc>
          <w:tcPr>
            <w:tcW w:w="1176" w:type="pct"/>
            <w:vAlign w:val="center"/>
          </w:tcPr>
          <w:p w14:paraId="31189302" w14:textId="6047DA76" w:rsidR="00BD0CBE" w:rsidRPr="00F8671E" w:rsidRDefault="00C643A4" w:rsidP="005A0816">
            <w:pPr>
              <w:pStyle w:val="Tableheading"/>
              <w:jc w:val="left"/>
              <w:rPr>
                <w:rFonts w:cstheme="minorHAnsi"/>
                <w:b w:val="0"/>
                <w:sz w:val="20"/>
                <w:szCs w:val="20"/>
              </w:rPr>
            </w:pPr>
            <w:r w:rsidRPr="00C643A4">
              <w:rPr>
                <w:rFonts w:cstheme="minorHAnsi"/>
                <w:b w:val="0"/>
                <w:sz w:val="20"/>
                <w:szCs w:val="20"/>
              </w:rPr>
              <w:t>Diabetes (Type I, II and unspecified)</w:t>
            </w:r>
          </w:p>
        </w:tc>
        <w:tc>
          <w:tcPr>
            <w:tcW w:w="3824" w:type="pct"/>
            <w:vAlign w:val="center"/>
          </w:tcPr>
          <w:p w14:paraId="16CC8926" w14:textId="2ADE8DB4" w:rsidR="00BD0CBE" w:rsidRPr="0038645B" w:rsidRDefault="00612B7E" w:rsidP="005A0816">
            <w:pPr>
              <w:pStyle w:val="Tableheading"/>
              <w:jc w:val="left"/>
              <w:rPr>
                <w:rFonts w:cstheme="minorHAnsi"/>
                <w:b w:val="0"/>
                <w:sz w:val="20"/>
                <w:szCs w:val="20"/>
              </w:rPr>
            </w:pPr>
            <w:r w:rsidRPr="00612B7E">
              <w:rPr>
                <w:rFonts w:cstheme="minorHAnsi"/>
                <w:b w:val="0"/>
                <w:sz w:val="20"/>
                <w:szCs w:val="20"/>
              </w:rPr>
              <w:t>diabetes mellitus (</w:t>
            </w:r>
            <w:proofErr w:type="spellStart"/>
            <w:r w:rsidRPr="00612B7E">
              <w:rPr>
                <w:rFonts w:cstheme="minorHAnsi"/>
                <w:b w:val="0"/>
                <w:sz w:val="20"/>
                <w:szCs w:val="20"/>
              </w:rPr>
              <w:t>iddm</w:t>
            </w:r>
            <w:proofErr w:type="spellEnd"/>
            <w:r w:rsidRPr="00612B7E">
              <w:rPr>
                <w:rFonts w:cstheme="minorHAnsi"/>
                <w:b w:val="0"/>
                <w:sz w:val="20"/>
                <w:szCs w:val="20"/>
              </w:rPr>
              <w:t xml:space="preserve"> or type I or type 1), </w:t>
            </w:r>
            <w:proofErr w:type="spellStart"/>
            <w:r w:rsidRPr="00612B7E">
              <w:rPr>
                <w:rFonts w:cstheme="minorHAnsi"/>
                <w:b w:val="0"/>
                <w:sz w:val="20"/>
                <w:szCs w:val="20"/>
              </w:rPr>
              <w:t>iddm</w:t>
            </w:r>
            <w:proofErr w:type="spellEnd"/>
            <w:r w:rsidRPr="00612B7E">
              <w:rPr>
                <w:rFonts w:cstheme="minorHAnsi"/>
                <w:b w:val="0"/>
                <w:sz w:val="20"/>
                <w:szCs w:val="20"/>
              </w:rPr>
              <w:t>, insulin dependent diabetes mellitus, juvenile onset diabetes, diabetes, diabetes (controlled or cortisone induced or unstable), diabetes mellitus, diabetes mellitus (</w:t>
            </w:r>
            <w:proofErr w:type="spellStart"/>
            <w:r w:rsidRPr="00612B7E">
              <w:rPr>
                <w:rFonts w:cstheme="minorHAnsi"/>
                <w:b w:val="0"/>
                <w:sz w:val="20"/>
                <w:szCs w:val="20"/>
              </w:rPr>
              <w:t>niddm</w:t>
            </w:r>
            <w:proofErr w:type="spellEnd"/>
            <w:r w:rsidRPr="00612B7E">
              <w:rPr>
                <w:rFonts w:cstheme="minorHAnsi"/>
                <w:b w:val="0"/>
                <w:sz w:val="20"/>
                <w:szCs w:val="20"/>
              </w:rPr>
              <w:t xml:space="preserve">, or type ii or type 2 or type 3c), latent autoimmune diabetes of adults, </w:t>
            </w:r>
            <w:proofErr w:type="spellStart"/>
            <w:r w:rsidRPr="00612B7E">
              <w:rPr>
                <w:rFonts w:cstheme="minorHAnsi"/>
                <w:b w:val="0"/>
                <w:sz w:val="20"/>
                <w:szCs w:val="20"/>
              </w:rPr>
              <w:t>niddm</w:t>
            </w:r>
            <w:proofErr w:type="spellEnd"/>
            <w:r w:rsidRPr="00612B7E">
              <w:rPr>
                <w:rFonts w:cstheme="minorHAnsi"/>
                <w:b w:val="0"/>
                <w:sz w:val="20"/>
                <w:szCs w:val="20"/>
              </w:rPr>
              <w:t xml:space="preserve">, </w:t>
            </w:r>
            <w:proofErr w:type="spellStart"/>
            <w:r w:rsidRPr="00612B7E">
              <w:rPr>
                <w:rFonts w:cstheme="minorHAnsi"/>
                <w:b w:val="0"/>
                <w:sz w:val="20"/>
                <w:szCs w:val="20"/>
              </w:rPr>
              <w:t>non insulin</w:t>
            </w:r>
            <w:proofErr w:type="spellEnd"/>
            <w:r w:rsidRPr="00612B7E">
              <w:rPr>
                <w:rFonts w:cstheme="minorHAnsi"/>
                <w:b w:val="0"/>
                <w:sz w:val="20"/>
                <w:szCs w:val="20"/>
              </w:rPr>
              <w:t xml:space="preserve"> dependent diabetes mellitus, </w:t>
            </w:r>
            <w:proofErr w:type="spellStart"/>
            <w:r w:rsidRPr="00612B7E">
              <w:rPr>
                <w:rFonts w:cstheme="minorHAnsi"/>
                <w:b w:val="0"/>
                <w:sz w:val="20"/>
                <w:szCs w:val="20"/>
              </w:rPr>
              <w:t>pancreatogenic</w:t>
            </w:r>
            <w:proofErr w:type="spellEnd"/>
            <w:r w:rsidRPr="00612B7E">
              <w:rPr>
                <w:rFonts w:cstheme="minorHAnsi"/>
                <w:b w:val="0"/>
                <w:sz w:val="20"/>
                <w:szCs w:val="20"/>
              </w:rPr>
              <w:t xml:space="preserve"> diabetes, t2dm, t11, </w:t>
            </w:r>
            <w:proofErr w:type="spellStart"/>
            <w:r w:rsidRPr="00612B7E">
              <w:rPr>
                <w:rFonts w:cstheme="minorHAnsi"/>
                <w:b w:val="0"/>
                <w:sz w:val="20"/>
                <w:szCs w:val="20"/>
              </w:rPr>
              <w:t>tii</w:t>
            </w:r>
            <w:proofErr w:type="spellEnd"/>
          </w:p>
        </w:tc>
      </w:tr>
      <w:tr w:rsidR="00BD0CBE" w:rsidRPr="001D0858" w14:paraId="15D7964F" w14:textId="77777777" w:rsidTr="005A0816">
        <w:trPr>
          <w:trHeight w:val="20"/>
        </w:trPr>
        <w:tc>
          <w:tcPr>
            <w:tcW w:w="1176" w:type="pct"/>
            <w:vAlign w:val="center"/>
          </w:tcPr>
          <w:p w14:paraId="4AE8592C" w14:textId="5869BFF4" w:rsidR="00BD0CBE" w:rsidRPr="00F8671E" w:rsidRDefault="00D04C9E" w:rsidP="005A0816">
            <w:pPr>
              <w:pStyle w:val="Tableheading"/>
              <w:jc w:val="left"/>
              <w:rPr>
                <w:rFonts w:cstheme="minorHAnsi"/>
                <w:b w:val="0"/>
                <w:sz w:val="20"/>
                <w:szCs w:val="20"/>
              </w:rPr>
            </w:pPr>
            <w:r w:rsidRPr="00D04C9E">
              <w:rPr>
                <w:rFonts w:cstheme="minorHAnsi"/>
                <w:b w:val="0"/>
                <w:sz w:val="20"/>
                <w:szCs w:val="20"/>
              </w:rPr>
              <w:t>Dyslipidaemia</w:t>
            </w:r>
          </w:p>
        </w:tc>
        <w:tc>
          <w:tcPr>
            <w:tcW w:w="3824" w:type="pct"/>
            <w:vAlign w:val="center"/>
          </w:tcPr>
          <w:p w14:paraId="4EB1CB78" w14:textId="3204A106" w:rsidR="00BD0CBE" w:rsidRPr="0038645B" w:rsidRDefault="00D21E14" w:rsidP="005A0816">
            <w:pPr>
              <w:pStyle w:val="Tableheading"/>
              <w:jc w:val="left"/>
              <w:rPr>
                <w:rFonts w:cstheme="minorHAnsi"/>
                <w:b w:val="0"/>
                <w:sz w:val="20"/>
                <w:szCs w:val="20"/>
              </w:rPr>
            </w:pPr>
            <w:r w:rsidRPr="00D21E14">
              <w:rPr>
                <w:rFonts w:cstheme="minorHAnsi"/>
                <w:b w:val="0"/>
                <w:sz w:val="20"/>
                <w:szCs w:val="20"/>
              </w:rPr>
              <w:t xml:space="preserve">dyslipidaemia, </w:t>
            </w:r>
            <w:proofErr w:type="spellStart"/>
            <w:r w:rsidRPr="00D21E14">
              <w:rPr>
                <w:rFonts w:cstheme="minorHAnsi"/>
                <w:b w:val="0"/>
                <w:sz w:val="20"/>
                <w:szCs w:val="20"/>
              </w:rPr>
              <w:t>dyslip</w:t>
            </w:r>
            <w:proofErr w:type="spellEnd"/>
            <w:r w:rsidRPr="00D21E14">
              <w:rPr>
                <w:rFonts w:cstheme="minorHAnsi"/>
                <w:b w:val="0"/>
                <w:sz w:val="20"/>
                <w:szCs w:val="20"/>
              </w:rPr>
              <w:t xml:space="preserve">, familial (hypercholesterolaemia or hypercholesterolemia), </w:t>
            </w:r>
            <w:proofErr w:type="spellStart"/>
            <w:r w:rsidRPr="00D21E14">
              <w:rPr>
                <w:rFonts w:cstheme="minorHAnsi"/>
                <w:b w:val="0"/>
                <w:sz w:val="20"/>
                <w:szCs w:val="20"/>
              </w:rPr>
              <w:t>hdl</w:t>
            </w:r>
            <w:proofErr w:type="spellEnd"/>
            <w:r w:rsidRPr="00D21E14">
              <w:rPr>
                <w:rFonts w:cstheme="minorHAnsi"/>
                <w:b w:val="0"/>
                <w:sz w:val="20"/>
                <w:szCs w:val="20"/>
              </w:rPr>
              <w:t xml:space="preserve">, high cholesterol, high </w:t>
            </w:r>
            <w:proofErr w:type="spellStart"/>
            <w:r w:rsidRPr="00D21E14">
              <w:rPr>
                <w:rFonts w:cstheme="minorHAnsi"/>
                <w:b w:val="0"/>
                <w:sz w:val="20"/>
                <w:szCs w:val="20"/>
              </w:rPr>
              <w:t>cholest</w:t>
            </w:r>
            <w:proofErr w:type="spellEnd"/>
            <w:r w:rsidRPr="00D21E14">
              <w:rPr>
                <w:rFonts w:cstheme="minorHAnsi"/>
                <w:b w:val="0"/>
                <w:sz w:val="20"/>
                <w:szCs w:val="20"/>
              </w:rPr>
              <w:t xml:space="preserve">, high lipids, hypercholesterolaemia, hyperlipidaemia, </w:t>
            </w:r>
            <w:proofErr w:type="spellStart"/>
            <w:r w:rsidRPr="00D21E14">
              <w:rPr>
                <w:rFonts w:cstheme="minorHAnsi"/>
                <w:b w:val="0"/>
                <w:sz w:val="20"/>
                <w:szCs w:val="20"/>
              </w:rPr>
              <w:t>hyperlipoproteinaemia</w:t>
            </w:r>
            <w:proofErr w:type="spellEnd"/>
            <w:r w:rsidRPr="00D21E14">
              <w:rPr>
                <w:rFonts w:cstheme="minorHAnsi"/>
                <w:b w:val="0"/>
                <w:sz w:val="20"/>
                <w:szCs w:val="20"/>
              </w:rPr>
              <w:t xml:space="preserve"> (type 2 or type iv or type </w:t>
            </w:r>
            <w:proofErr w:type="spellStart"/>
            <w:r w:rsidRPr="00D21E14">
              <w:rPr>
                <w:rFonts w:cstheme="minorHAnsi"/>
                <w:b w:val="0"/>
                <w:sz w:val="20"/>
                <w:szCs w:val="20"/>
              </w:rPr>
              <w:t>iia</w:t>
            </w:r>
            <w:proofErr w:type="spellEnd"/>
            <w:r w:rsidRPr="00D21E14">
              <w:rPr>
                <w:rFonts w:cstheme="minorHAnsi"/>
                <w:b w:val="0"/>
                <w:sz w:val="20"/>
                <w:szCs w:val="20"/>
              </w:rPr>
              <w:t xml:space="preserve">), </w:t>
            </w:r>
            <w:proofErr w:type="spellStart"/>
            <w:r w:rsidRPr="00D21E14">
              <w:rPr>
                <w:rFonts w:cstheme="minorHAnsi"/>
                <w:b w:val="0"/>
                <w:sz w:val="20"/>
                <w:szCs w:val="20"/>
              </w:rPr>
              <w:t>hypertriglyceridaemia</w:t>
            </w:r>
            <w:proofErr w:type="spellEnd"/>
            <w:r w:rsidRPr="00D21E14">
              <w:rPr>
                <w:rFonts w:cstheme="minorHAnsi"/>
                <w:b w:val="0"/>
                <w:sz w:val="20"/>
                <w:szCs w:val="20"/>
              </w:rPr>
              <w:t xml:space="preserve">, </w:t>
            </w:r>
            <w:proofErr w:type="spellStart"/>
            <w:r w:rsidRPr="00D21E14">
              <w:rPr>
                <w:rFonts w:cstheme="minorHAnsi"/>
                <w:b w:val="0"/>
                <w:sz w:val="20"/>
                <w:szCs w:val="20"/>
              </w:rPr>
              <w:t>hypercho</w:t>
            </w:r>
            <w:proofErr w:type="spellEnd"/>
            <w:r w:rsidRPr="00D21E14">
              <w:rPr>
                <w:rFonts w:cstheme="minorHAnsi"/>
                <w:b w:val="0"/>
                <w:sz w:val="20"/>
                <w:szCs w:val="20"/>
              </w:rPr>
              <w:t xml:space="preserve">, </w:t>
            </w:r>
            <w:proofErr w:type="spellStart"/>
            <w:r w:rsidRPr="00D21E14">
              <w:rPr>
                <w:rFonts w:cstheme="minorHAnsi"/>
                <w:b w:val="0"/>
                <w:sz w:val="20"/>
                <w:szCs w:val="20"/>
              </w:rPr>
              <w:t>hyperlip</w:t>
            </w:r>
            <w:proofErr w:type="spellEnd"/>
            <w:r w:rsidRPr="00D21E14">
              <w:rPr>
                <w:rFonts w:cstheme="minorHAnsi"/>
                <w:b w:val="0"/>
                <w:sz w:val="20"/>
                <w:szCs w:val="20"/>
              </w:rPr>
              <w:t xml:space="preserve">, </w:t>
            </w:r>
            <w:proofErr w:type="spellStart"/>
            <w:r w:rsidRPr="00D21E14">
              <w:rPr>
                <w:rFonts w:cstheme="minorHAnsi"/>
                <w:b w:val="0"/>
                <w:sz w:val="20"/>
                <w:szCs w:val="20"/>
              </w:rPr>
              <w:t>hypertr</w:t>
            </w:r>
            <w:proofErr w:type="spellEnd"/>
          </w:p>
        </w:tc>
      </w:tr>
      <w:tr w:rsidR="00D21E14" w:rsidRPr="001D0858" w14:paraId="6EE331DB" w14:textId="77777777" w:rsidTr="005A0816">
        <w:trPr>
          <w:trHeight w:val="20"/>
        </w:trPr>
        <w:tc>
          <w:tcPr>
            <w:tcW w:w="1176" w:type="pct"/>
            <w:vAlign w:val="center"/>
          </w:tcPr>
          <w:p w14:paraId="6054BBD9" w14:textId="6DDF09FD" w:rsidR="00D21E14" w:rsidRPr="00D04C9E" w:rsidRDefault="007525E5" w:rsidP="005A0816">
            <w:pPr>
              <w:pStyle w:val="Tableheading"/>
              <w:jc w:val="left"/>
              <w:rPr>
                <w:rFonts w:cstheme="minorHAnsi"/>
                <w:b w:val="0"/>
                <w:sz w:val="20"/>
                <w:szCs w:val="20"/>
              </w:rPr>
            </w:pPr>
            <w:r w:rsidRPr="007525E5">
              <w:rPr>
                <w:rFonts w:cstheme="minorHAnsi"/>
                <w:b w:val="0"/>
                <w:sz w:val="20"/>
                <w:szCs w:val="20"/>
              </w:rPr>
              <w:t>Hypertension</w:t>
            </w:r>
          </w:p>
        </w:tc>
        <w:tc>
          <w:tcPr>
            <w:tcW w:w="3824" w:type="pct"/>
            <w:vAlign w:val="center"/>
          </w:tcPr>
          <w:p w14:paraId="2DB75FCE" w14:textId="1E8F33AE" w:rsidR="00D21E14" w:rsidRPr="00D21E14" w:rsidRDefault="0096471D" w:rsidP="005A0816">
            <w:pPr>
              <w:pStyle w:val="Tableheading"/>
              <w:jc w:val="left"/>
              <w:rPr>
                <w:rFonts w:cstheme="minorHAnsi"/>
                <w:b w:val="0"/>
                <w:sz w:val="20"/>
                <w:szCs w:val="20"/>
              </w:rPr>
            </w:pPr>
            <w:r w:rsidRPr="0096471D">
              <w:rPr>
                <w:rFonts w:cstheme="minorHAnsi"/>
                <w:b w:val="0"/>
                <w:sz w:val="20"/>
                <w:szCs w:val="20"/>
              </w:rPr>
              <w:t xml:space="preserve">antihypertensive agent prescription, (blood pressure or bp) and (labile or review or unstable), </w:t>
            </w:r>
            <w:proofErr w:type="spellStart"/>
            <w:r w:rsidRPr="0096471D">
              <w:rPr>
                <w:rFonts w:cstheme="minorHAnsi"/>
                <w:b w:val="0"/>
                <w:sz w:val="20"/>
                <w:szCs w:val="20"/>
              </w:rPr>
              <w:t>hbp</w:t>
            </w:r>
            <w:proofErr w:type="spellEnd"/>
            <w:r w:rsidRPr="0096471D">
              <w:rPr>
                <w:rFonts w:cstheme="minorHAnsi"/>
                <w:b w:val="0"/>
                <w:sz w:val="20"/>
                <w:szCs w:val="20"/>
              </w:rPr>
              <w:t xml:space="preserve">, high blood pressure, </w:t>
            </w:r>
            <w:proofErr w:type="spellStart"/>
            <w:r w:rsidRPr="0096471D">
              <w:rPr>
                <w:rFonts w:cstheme="minorHAnsi"/>
                <w:b w:val="0"/>
                <w:sz w:val="20"/>
                <w:szCs w:val="20"/>
              </w:rPr>
              <w:t>ht</w:t>
            </w:r>
            <w:proofErr w:type="spellEnd"/>
            <w:r w:rsidRPr="0096471D">
              <w:rPr>
                <w:rFonts w:cstheme="minorHAnsi"/>
                <w:b w:val="0"/>
                <w:sz w:val="20"/>
                <w:szCs w:val="20"/>
              </w:rPr>
              <w:t xml:space="preserve">, hypertension, hypertension (controlled or diastolic or essential or isolated systolic or labile or life style management or malignant or pregnancy or primary or renal or renovascular or review or unstable), </w:t>
            </w:r>
            <w:proofErr w:type="spellStart"/>
            <w:r w:rsidRPr="0096471D">
              <w:rPr>
                <w:rFonts w:cstheme="minorHAnsi"/>
                <w:b w:val="0"/>
                <w:sz w:val="20"/>
                <w:szCs w:val="20"/>
              </w:rPr>
              <w:t>pih</w:t>
            </w:r>
            <w:proofErr w:type="spellEnd"/>
            <w:r w:rsidRPr="0096471D">
              <w:rPr>
                <w:rFonts w:cstheme="minorHAnsi"/>
                <w:b w:val="0"/>
                <w:sz w:val="20"/>
                <w:szCs w:val="20"/>
              </w:rPr>
              <w:t>, pregnancy induced hypertension or severe refractory hypertension</w:t>
            </w:r>
          </w:p>
        </w:tc>
      </w:tr>
      <w:tr w:rsidR="0096471D" w:rsidRPr="001D0858" w14:paraId="72EB6D28" w14:textId="77777777" w:rsidTr="005A0816">
        <w:trPr>
          <w:trHeight w:val="20"/>
        </w:trPr>
        <w:tc>
          <w:tcPr>
            <w:tcW w:w="1176" w:type="pct"/>
            <w:vAlign w:val="center"/>
          </w:tcPr>
          <w:p w14:paraId="7C9A93DD" w14:textId="55F12BAF" w:rsidR="0096471D" w:rsidRPr="007525E5" w:rsidRDefault="006F2B90" w:rsidP="005A0816">
            <w:pPr>
              <w:pStyle w:val="Tableheading"/>
              <w:jc w:val="left"/>
              <w:rPr>
                <w:rFonts w:cstheme="minorHAnsi"/>
                <w:b w:val="0"/>
                <w:sz w:val="20"/>
                <w:szCs w:val="20"/>
              </w:rPr>
            </w:pPr>
            <w:r w:rsidRPr="006F2B90">
              <w:rPr>
                <w:rFonts w:cstheme="minorHAnsi"/>
                <w:b w:val="0"/>
                <w:sz w:val="20"/>
                <w:szCs w:val="20"/>
              </w:rPr>
              <w:t>Opioid use disorder</w:t>
            </w:r>
          </w:p>
        </w:tc>
        <w:tc>
          <w:tcPr>
            <w:tcW w:w="3824" w:type="pct"/>
            <w:vAlign w:val="center"/>
          </w:tcPr>
          <w:p w14:paraId="51277CCC" w14:textId="466005CC" w:rsidR="0096471D" w:rsidRPr="0096471D" w:rsidRDefault="00200033" w:rsidP="005A0816">
            <w:pPr>
              <w:pStyle w:val="Tableheading"/>
              <w:tabs>
                <w:tab w:val="left" w:pos="2385"/>
              </w:tabs>
              <w:jc w:val="left"/>
              <w:rPr>
                <w:rFonts w:cstheme="minorHAnsi"/>
                <w:b w:val="0"/>
                <w:sz w:val="20"/>
                <w:szCs w:val="20"/>
              </w:rPr>
            </w:pPr>
            <w:r w:rsidRPr="00200033">
              <w:rPr>
                <w:rFonts w:cstheme="minorHAnsi"/>
                <w:b w:val="0"/>
                <w:sz w:val="20"/>
                <w:szCs w:val="20"/>
              </w:rPr>
              <w:t>(abuse or dependence or addiction) of an opiate, drug addict, IDU, injecting drug user, intravenous drug use, IV drug use, long term opiate use</w:t>
            </w:r>
            <w:r>
              <w:rPr>
                <w:rFonts w:cstheme="minorHAnsi"/>
                <w:b w:val="0"/>
                <w:sz w:val="20"/>
                <w:szCs w:val="20"/>
              </w:rPr>
              <w:t xml:space="preserve"> </w:t>
            </w:r>
          </w:p>
        </w:tc>
      </w:tr>
      <w:tr w:rsidR="00B4639A" w:rsidRPr="001D0858" w14:paraId="7F32D79B" w14:textId="77777777" w:rsidTr="005A0816">
        <w:trPr>
          <w:trHeight w:val="20"/>
        </w:trPr>
        <w:tc>
          <w:tcPr>
            <w:tcW w:w="1176" w:type="pct"/>
            <w:vAlign w:val="center"/>
          </w:tcPr>
          <w:p w14:paraId="3D1C4FD7" w14:textId="755234DE" w:rsidR="00B4639A" w:rsidRPr="006F2B90" w:rsidRDefault="001D5B7A" w:rsidP="005A0816">
            <w:pPr>
              <w:pStyle w:val="Tableheading"/>
              <w:jc w:val="left"/>
              <w:rPr>
                <w:rFonts w:cstheme="minorHAnsi"/>
                <w:b w:val="0"/>
                <w:sz w:val="20"/>
                <w:szCs w:val="20"/>
              </w:rPr>
            </w:pPr>
            <w:r w:rsidRPr="001D5B7A">
              <w:rPr>
                <w:rFonts w:cstheme="minorHAnsi"/>
                <w:b w:val="0"/>
                <w:sz w:val="20"/>
                <w:szCs w:val="20"/>
              </w:rPr>
              <w:t>Osteoporosis</w:t>
            </w:r>
          </w:p>
        </w:tc>
        <w:tc>
          <w:tcPr>
            <w:tcW w:w="3824" w:type="pct"/>
            <w:vAlign w:val="center"/>
          </w:tcPr>
          <w:p w14:paraId="022FCF5D" w14:textId="2EEDC56E" w:rsidR="00B4639A" w:rsidRPr="00200033" w:rsidRDefault="00B65356" w:rsidP="005A0816">
            <w:pPr>
              <w:pStyle w:val="Tableheading"/>
              <w:tabs>
                <w:tab w:val="left" w:pos="2385"/>
              </w:tabs>
              <w:jc w:val="left"/>
              <w:rPr>
                <w:rFonts w:cstheme="minorHAnsi"/>
                <w:b w:val="0"/>
                <w:sz w:val="20"/>
                <w:szCs w:val="20"/>
              </w:rPr>
            </w:pPr>
            <w:r w:rsidRPr="00B65356">
              <w:rPr>
                <w:rFonts w:cstheme="minorHAnsi"/>
                <w:b w:val="0"/>
                <w:sz w:val="20"/>
                <w:szCs w:val="20"/>
              </w:rPr>
              <w:t xml:space="preserve">osteoporosis, osteoporosis (corticosteroid induced or no fracture or with fracture or disuse or steroid induced), pathological fracture due to osteoporosis, </w:t>
            </w:r>
            <w:proofErr w:type="spellStart"/>
            <w:r w:rsidRPr="00B65356">
              <w:rPr>
                <w:rFonts w:cstheme="minorHAnsi"/>
                <w:b w:val="0"/>
                <w:sz w:val="20"/>
                <w:szCs w:val="20"/>
              </w:rPr>
              <w:t>post menopausal</w:t>
            </w:r>
            <w:proofErr w:type="spellEnd"/>
            <w:r w:rsidRPr="00B65356">
              <w:rPr>
                <w:rFonts w:cstheme="minorHAnsi"/>
                <w:b w:val="0"/>
                <w:sz w:val="20"/>
                <w:szCs w:val="20"/>
              </w:rPr>
              <w:t xml:space="preserve"> osteoporosis, steroid osteopathy</w:t>
            </w:r>
          </w:p>
        </w:tc>
      </w:tr>
      <w:tr w:rsidR="00B65356" w:rsidRPr="001D0858" w14:paraId="0E5FF6A7" w14:textId="77777777" w:rsidTr="005A0816">
        <w:trPr>
          <w:trHeight w:val="20"/>
        </w:trPr>
        <w:tc>
          <w:tcPr>
            <w:tcW w:w="1176" w:type="pct"/>
            <w:vAlign w:val="center"/>
          </w:tcPr>
          <w:p w14:paraId="2182597C" w14:textId="7160C817" w:rsidR="00B65356" w:rsidRPr="001D5B7A" w:rsidRDefault="009A0833" w:rsidP="005A0816">
            <w:pPr>
              <w:pStyle w:val="Tableheading"/>
              <w:jc w:val="left"/>
              <w:rPr>
                <w:rFonts w:cstheme="minorHAnsi"/>
                <w:b w:val="0"/>
                <w:sz w:val="20"/>
                <w:szCs w:val="20"/>
              </w:rPr>
            </w:pPr>
            <w:r w:rsidRPr="009A0833">
              <w:rPr>
                <w:rFonts w:cstheme="minorHAnsi"/>
                <w:b w:val="0"/>
                <w:sz w:val="20"/>
                <w:szCs w:val="20"/>
              </w:rPr>
              <w:t>Schizophrenia or schizoaffective disorder</w:t>
            </w:r>
          </w:p>
        </w:tc>
        <w:tc>
          <w:tcPr>
            <w:tcW w:w="3824" w:type="pct"/>
            <w:vAlign w:val="center"/>
          </w:tcPr>
          <w:p w14:paraId="20AFABD6" w14:textId="2C0F58AA" w:rsidR="00B65356" w:rsidRPr="00B65356" w:rsidRDefault="00D77369" w:rsidP="005A0816">
            <w:pPr>
              <w:pStyle w:val="Tableheading"/>
              <w:tabs>
                <w:tab w:val="left" w:pos="2385"/>
              </w:tabs>
              <w:jc w:val="left"/>
              <w:rPr>
                <w:rFonts w:cstheme="minorHAnsi"/>
                <w:b w:val="0"/>
                <w:sz w:val="20"/>
                <w:szCs w:val="20"/>
              </w:rPr>
            </w:pPr>
            <w:r w:rsidRPr="00D77369">
              <w:rPr>
                <w:rFonts w:cstheme="minorHAnsi"/>
                <w:b w:val="0"/>
                <w:sz w:val="20"/>
                <w:szCs w:val="20"/>
              </w:rPr>
              <w:t>borderline or brief or brief reactive or catatonic or chronic or disorganised or</w:t>
            </w:r>
            <w:r>
              <w:rPr>
                <w:rFonts w:cstheme="minorHAnsi"/>
                <w:b w:val="0"/>
                <w:sz w:val="20"/>
                <w:szCs w:val="20"/>
              </w:rPr>
              <w:t xml:space="preserve"> </w:t>
            </w:r>
            <w:r w:rsidRPr="00D77369">
              <w:rPr>
                <w:rFonts w:cstheme="minorHAnsi"/>
                <w:b w:val="0"/>
                <w:sz w:val="20"/>
                <w:szCs w:val="20"/>
              </w:rPr>
              <w:t>hebephrenic or para or paranoid) schizophrenia, personality disorder (schizoid or</w:t>
            </w:r>
            <w:r>
              <w:rPr>
                <w:rFonts w:cstheme="minorHAnsi"/>
                <w:b w:val="0"/>
                <w:sz w:val="20"/>
                <w:szCs w:val="20"/>
              </w:rPr>
              <w:t xml:space="preserve"> </w:t>
            </w:r>
            <w:r w:rsidRPr="00D77369">
              <w:rPr>
                <w:rFonts w:cstheme="minorHAnsi"/>
                <w:b w:val="0"/>
                <w:sz w:val="20"/>
                <w:szCs w:val="20"/>
              </w:rPr>
              <w:lastRenderedPageBreak/>
              <w:t>schizotypal), residual schizophrenia, schizoaffective disorder, schizophrenia,</w:t>
            </w:r>
            <w:r>
              <w:rPr>
                <w:rFonts w:cstheme="minorHAnsi"/>
                <w:b w:val="0"/>
                <w:sz w:val="20"/>
                <w:szCs w:val="20"/>
              </w:rPr>
              <w:t xml:space="preserve"> </w:t>
            </w:r>
            <w:r w:rsidRPr="00D77369">
              <w:rPr>
                <w:rFonts w:cstheme="minorHAnsi"/>
                <w:b w:val="0"/>
                <w:sz w:val="20"/>
                <w:szCs w:val="20"/>
              </w:rPr>
              <w:t>schizophreniform disorder, undifferentiated schizophrenia</w:t>
            </w:r>
          </w:p>
        </w:tc>
      </w:tr>
    </w:tbl>
    <w:p w14:paraId="17A658A7" w14:textId="77777777" w:rsidR="001F3116" w:rsidRDefault="001F3116" w:rsidP="00AE7DBE"/>
    <w:p w14:paraId="5DA98FD1" w14:textId="31DD91C4" w:rsidR="00B94672" w:rsidRDefault="00B94672" w:rsidP="00AE7DBE"/>
    <w:sectPr w:rsidR="00B94672" w:rsidSect="003E18FD">
      <w:footnotePr>
        <w:numFmt w:val="lowerLetter"/>
      </w:footnotePr>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6DCB9" w14:textId="77777777" w:rsidR="00E7211B" w:rsidRDefault="00E7211B" w:rsidP="00A35800">
      <w:r>
        <w:separator/>
      </w:r>
    </w:p>
  </w:endnote>
  <w:endnote w:type="continuationSeparator" w:id="0">
    <w:p w14:paraId="57424ADC" w14:textId="77777777" w:rsidR="00E7211B" w:rsidRDefault="00E7211B" w:rsidP="00A35800">
      <w:r>
        <w:continuationSeparator/>
      </w:r>
    </w:p>
  </w:endnote>
  <w:endnote w:type="continuationNotice" w:id="1">
    <w:p w14:paraId="7263476C" w14:textId="77777777" w:rsidR="00E7211B" w:rsidRDefault="00E721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A8DA3" w14:textId="77777777" w:rsidR="000179A6" w:rsidRDefault="000179A6"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6B84D66" w14:textId="77777777" w:rsidR="000179A6" w:rsidRDefault="000179A6"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2917308"/>
      <w:docPartObj>
        <w:docPartGallery w:val="Page Numbers (Bottom of Page)"/>
        <w:docPartUnique/>
      </w:docPartObj>
    </w:sdtPr>
    <w:sdtEndPr/>
    <w:sdtContent>
      <w:sdt>
        <w:sdtPr>
          <w:id w:val="1849063933"/>
          <w:docPartObj>
            <w:docPartGallery w:val="Page Numbers (Top of Page)"/>
            <w:docPartUnique/>
          </w:docPartObj>
        </w:sdtPr>
        <w:sdtEndPr/>
        <w:sdtContent>
          <w:p w14:paraId="45B7BFF1" w14:textId="77777777" w:rsidR="000179A6" w:rsidRPr="000E72C6" w:rsidRDefault="000179A6" w:rsidP="000179A6">
            <w:pPr>
              <w:pStyle w:val="Footer"/>
              <w:jc w:val="center"/>
              <w:rPr>
                <w:i/>
                <w:sz w:val="20"/>
              </w:rPr>
            </w:pPr>
            <w:r>
              <w:rPr>
                <w:i/>
                <w:sz w:val="20"/>
              </w:rPr>
              <w:t xml:space="preserve">Public release document, October 2021 DUSC meeting </w:t>
            </w:r>
          </w:p>
          <w:p w14:paraId="79D8E2CD" w14:textId="354B4E54" w:rsidR="000179A6" w:rsidRDefault="000179A6"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51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54</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8CA6E" w14:textId="77777777" w:rsidR="000179A6" w:rsidRDefault="000179A6" w:rsidP="007A5733">
    <w:pPr>
      <w:pStyle w:val="Footer"/>
      <w:jc w:val="center"/>
      <w:rPr>
        <w:rStyle w:val="PageNumber"/>
      </w:rPr>
    </w:pPr>
    <w:r>
      <w:rPr>
        <w:rStyle w:val="PageNumber"/>
      </w:rPr>
      <w:t>Committee-in-Confidence</w:t>
    </w:r>
  </w:p>
  <w:p w14:paraId="18FA9E1A" w14:textId="77777777" w:rsidR="000179A6" w:rsidRDefault="000179A6" w:rsidP="007A5733">
    <w:pPr>
      <w:pStyle w:val="Footer"/>
      <w:jc w:val="cen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D5E5" w14:textId="77777777" w:rsidR="000179A6" w:rsidRDefault="000179A6"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0179A6" w:rsidRDefault="000179A6" w:rsidP="00A358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70A3AFBF" w14:textId="77777777" w:rsidR="006E510E" w:rsidRPr="000E72C6" w:rsidRDefault="006E510E" w:rsidP="006E510E">
            <w:pPr>
              <w:pStyle w:val="Footer"/>
              <w:jc w:val="center"/>
              <w:rPr>
                <w:i/>
                <w:sz w:val="20"/>
              </w:rPr>
            </w:pPr>
            <w:r>
              <w:rPr>
                <w:i/>
                <w:sz w:val="20"/>
              </w:rPr>
              <w:t xml:space="preserve">Public release document, October 2021 DUSC meeting </w:t>
            </w:r>
          </w:p>
          <w:p w14:paraId="10292A9A" w14:textId="529A161E" w:rsidR="000179A6" w:rsidRDefault="000179A6"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51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54</w:t>
            </w:r>
            <w:r w:rsidRPr="00DD188C">
              <w:rPr>
                <w:bCs/>
                <w:i/>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22E1F" w14:textId="77777777" w:rsidR="000179A6" w:rsidRDefault="000179A6" w:rsidP="007A5733">
    <w:pPr>
      <w:pStyle w:val="Footer"/>
      <w:jc w:val="center"/>
      <w:rPr>
        <w:rStyle w:val="PageNumber"/>
      </w:rPr>
    </w:pPr>
    <w:r>
      <w:rPr>
        <w:rStyle w:val="PageNumber"/>
      </w:rPr>
      <w:t>Committee-in-Confidence</w:t>
    </w:r>
  </w:p>
  <w:p w14:paraId="3CE6880B" w14:textId="77777777" w:rsidR="000179A6" w:rsidRDefault="000179A6"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9442B" w14:textId="77777777" w:rsidR="00E7211B" w:rsidRDefault="00E7211B" w:rsidP="00A35800">
      <w:r>
        <w:separator/>
      </w:r>
    </w:p>
  </w:footnote>
  <w:footnote w:type="continuationSeparator" w:id="0">
    <w:p w14:paraId="061649F0" w14:textId="77777777" w:rsidR="00E7211B" w:rsidRDefault="00E7211B" w:rsidP="00A35800">
      <w:r>
        <w:continuationSeparator/>
      </w:r>
    </w:p>
  </w:footnote>
  <w:footnote w:type="continuationNotice" w:id="1">
    <w:p w14:paraId="65D6710D" w14:textId="77777777" w:rsidR="00E7211B" w:rsidRDefault="00E7211B">
      <w:pPr>
        <w:spacing w:after="0"/>
      </w:pPr>
    </w:p>
  </w:footnote>
  <w:footnote w:id="2">
    <w:p w14:paraId="7020304F" w14:textId="77777777" w:rsidR="000179A6" w:rsidRPr="003B69FA" w:rsidRDefault="000179A6" w:rsidP="00120475">
      <w:pPr>
        <w:pStyle w:val="FootnoteText"/>
      </w:pPr>
      <w:r>
        <w:rPr>
          <w:rStyle w:val="FootnoteReference"/>
        </w:rPr>
        <w:footnoteRef/>
      </w:r>
      <w:r>
        <w:t xml:space="preserve"> </w:t>
      </w:r>
      <w:r w:rsidRPr="003B69FA">
        <w:t>The number of CD4</w:t>
      </w:r>
      <w:r>
        <w:t>+</w:t>
      </w:r>
      <w:r w:rsidRPr="003B69FA">
        <w:t xml:space="preserve"> white blood cells </w:t>
      </w:r>
      <w:r>
        <w:t xml:space="preserve">per cubic millimetre of </w:t>
      </w:r>
      <w:r w:rsidRPr="003B69FA">
        <w:t>blood. CD4 cells alert other immune cells to the presence of viral or bacterial threats. A low C</w:t>
      </w:r>
      <w:r>
        <w:t>D4+</w:t>
      </w:r>
      <w:r w:rsidRPr="003B69FA">
        <w:t xml:space="preserve"> count is an indicator of a weakened immune system.</w:t>
      </w:r>
    </w:p>
  </w:footnote>
  <w:footnote w:id="3">
    <w:p w14:paraId="2B1D6A56" w14:textId="77777777" w:rsidR="000179A6" w:rsidRPr="008A188F" w:rsidRDefault="000179A6" w:rsidP="008559D8">
      <w:pPr>
        <w:pStyle w:val="FootnoteText"/>
      </w:pPr>
      <w:r>
        <w:rPr>
          <w:rStyle w:val="FootnoteReference"/>
        </w:rPr>
        <w:footnoteRef/>
      </w:r>
      <w:r>
        <w:t xml:space="preserve"> Viral load refers to the number of HIV particles per unit of blood. A high viral load is an indication of untreated or poorly controlled HIV infection</w:t>
      </w:r>
    </w:p>
  </w:footnote>
  <w:footnote w:id="4">
    <w:p w14:paraId="4D1B0F52" w14:textId="01128B02" w:rsidR="000179A6" w:rsidRPr="0034100B" w:rsidRDefault="000179A6">
      <w:pPr>
        <w:pStyle w:val="FootnoteText"/>
      </w:pPr>
      <w:r>
        <w:rPr>
          <w:rStyle w:val="FootnoteReference"/>
        </w:rPr>
        <w:footnoteRef/>
      </w:r>
      <w:r>
        <w:t xml:space="preserve"> O</w:t>
      </w:r>
      <w:r w:rsidRPr="0034100B">
        <w:t>nly for individuals who are HLA-B*5701 negative and without chronic hepatitis B virus (HBV) coinfection</w:t>
      </w:r>
    </w:p>
  </w:footnote>
  <w:footnote w:id="5">
    <w:p w14:paraId="2712F36A" w14:textId="6F2E51E6" w:rsidR="000179A6" w:rsidRPr="00E11811" w:rsidRDefault="000179A6">
      <w:pPr>
        <w:pStyle w:val="FootnoteText"/>
      </w:pPr>
      <w:r>
        <w:rPr>
          <w:rStyle w:val="FootnoteReference"/>
        </w:rPr>
        <w:footnoteRef/>
      </w:r>
      <w:r>
        <w:t xml:space="preserve"> Not recommended for </w:t>
      </w:r>
      <w:r w:rsidRPr="00E11811">
        <w:t>individuals with HIV RNA &gt;500,000 copies/mL, HBV co-infection, or in whom ART is to be started before the results of HIV genotypic resistance testing for reverse transcriptase or HBV testing are available</w:t>
      </w:r>
    </w:p>
  </w:footnote>
  <w:footnote w:id="6">
    <w:p w14:paraId="0FC9CCFD" w14:textId="535ABCE7" w:rsidR="000179A6" w:rsidRPr="00991C15" w:rsidRDefault="000179A6" w:rsidP="00637E52">
      <w:pPr>
        <w:pStyle w:val="FootnoteText"/>
        <w:rPr>
          <w:lang w:val="en-US"/>
        </w:rPr>
      </w:pPr>
      <w:r>
        <w:rPr>
          <w:rStyle w:val="FootnoteReference"/>
        </w:rPr>
        <w:footnoteRef/>
      </w:r>
      <w:r>
        <w:t xml:space="preserve"> Eligible criteria were that the site had been established for at least 2 years as of May 2021; and had no significant interruptions (of longer than 2 months in the 2 years prior) to their practice data and met the minimum threshold of clinical activity (i.e., at least 50 patients in the last 2 years).</w:t>
      </w:r>
    </w:p>
  </w:footnote>
  <w:footnote w:id="7">
    <w:p w14:paraId="0E7CC86F" w14:textId="02F93817" w:rsidR="000179A6" w:rsidRPr="00F92989" w:rsidRDefault="000179A6">
      <w:pPr>
        <w:pStyle w:val="FootnoteText"/>
      </w:pPr>
      <w:r>
        <w:rPr>
          <w:rStyle w:val="FootnoteReference"/>
        </w:rPr>
        <w:footnoteRef/>
      </w:r>
      <w:r>
        <w:t xml:space="preserve"> </w:t>
      </w:r>
      <w:r w:rsidRPr="00FB63B6">
        <w:t>A clinical encounter, or any professional exchange between a patient and a healthcare professional (GP or nurse), w</w:t>
      </w:r>
      <w:r>
        <w:t>as</w:t>
      </w:r>
      <w:r w:rsidRPr="00FB63B6">
        <w:t xml:space="preserve"> defined as all those encounters at the practice site that</w:t>
      </w:r>
      <w:r>
        <w:t xml:space="preserve"> were</w:t>
      </w:r>
      <w:r w:rsidRPr="00FB63B6">
        <w:t xml:space="preserve">: a) not identified as administrator entries nor encounters that have been transferred/imported from another practice and b) </w:t>
      </w:r>
      <w:r>
        <w:t>we</w:t>
      </w:r>
      <w:r w:rsidRPr="00FB63B6">
        <w:t>re not identified by pre-defined ‘administration-type’ terms found in the ‘reason for encounter’ field such as “administrative reasons”, “forms”, and “recall”.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AD773" w14:textId="77777777" w:rsidR="000179A6" w:rsidRDefault="00017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F15D" w14:textId="77777777" w:rsidR="000179A6" w:rsidRDefault="00017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2D72A" w14:textId="77777777" w:rsidR="000179A6" w:rsidRDefault="00017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31FF"/>
    <w:multiLevelType w:val="hybridMultilevel"/>
    <w:tmpl w:val="6A4E9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A1CC3"/>
    <w:multiLevelType w:val="hybridMultilevel"/>
    <w:tmpl w:val="421446A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C566AB3"/>
    <w:multiLevelType w:val="hybridMultilevel"/>
    <w:tmpl w:val="367A7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5190D"/>
    <w:multiLevelType w:val="hybridMultilevel"/>
    <w:tmpl w:val="99BAE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256156"/>
    <w:multiLevelType w:val="hybridMultilevel"/>
    <w:tmpl w:val="F7B44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AC54B62"/>
    <w:multiLevelType w:val="hybridMultilevel"/>
    <w:tmpl w:val="5E4AD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DC4874"/>
    <w:multiLevelType w:val="hybridMultilevel"/>
    <w:tmpl w:val="76168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FF23C6"/>
    <w:multiLevelType w:val="hybridMultilevel"/>
    <w:tmpl w:val="A5F8834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D10182"/>
    <w:multiLevelType w:val="hybridMultilevel"/>
    <w:tmpl w:val="FD8A5EDA"/>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9" w15:restartNumberingAfterBreak="0">
    <w:nsid w:val="555E3FFB"/>
    <w:multiLevelType w:val="hybridMultilevel"/>
    <w:tmpl w:val="6958A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CF4514"/>
    <w:multiLevelType w:val="hybridMultilevel"/>
    <w:tmpl w:val="912499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710C2ED9"/>
    <w:multiLevelType w:val="hybridMultilevel"/>
    <w:tmpl w:val="D5608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880EB7"/>
    <w:multiLevelType w:val="hybridMultilevel"/>
    <w:tmpl w:val="B4DCF3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811053B"/>
    <w:multiLevelType w:val="hybridMultilevel"/>
    <w:tmpl w:val="9D484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1553CA"/>
    <w:multiLevelType w:val="hybridMultilevel"/>
    <w:tmpl w:val="87C284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7F332550"/>
    <w:multiLevelType w:val="hybridMultilevel"/>
    <w:tmpl w:val="62F0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
  </w:num>
  <w:num w:numId="4">
    <w:abstractNumId w:val="2"/>
  </w:num>
  <w:num w:numId="5">
    <w:abstractNumId w:val="8"/>
  </w:num>
  <w:num w:numId="6">
    <w:abstractNumId w:val="11"/>
  </w:num>
  <w:num w:numId="7">
    <w:abstractNumId w:val="6"/>
  </w:num>
  <w:num w:numId="8">
    <w:abstractNumId w:val="1"/>
  </w:num>
  <w:num w:numId="9">
    <w:abstractNumId w:val="14"/>
  </w:num>
  <w:num w:numId="10">
    <w:abstractNumId w:val="15"/>
  </w:num>
  <w:num w:numId="11">
    <w:abstractNumId w:val="5"/>
  </w:num>
  <w:num w:numId="12">
    <w:abstractNumId w:val="7"/>
  </w:num>
  <w:num w:numId="13">
    <w:abstractNumId w:val="0"/>
  </w:num>
  <w:num w:numId="14">
    <w:abstractNumId w:val="10"/>
  </w:num>
  <w:num w:numId="15">
    <w:abstractNumId w:val="9"/>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49"/>
  </w:hdrShapeDefaults>
  <w:footnotePr>
    <w:numFmt w:val="lowerLette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PS full style PubMed superscript citn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fdxvwwn0rrs6ea9sex9v2hafxp5zf2dexd&quot;&gt;DUSC HIV&lt;record-ids&gt;&lt;item&gt;1&lt;/item&gt;&lt;item&gt;2&lt;/item&gt;&lt;item&gt;3&lt;/item&gt;&lt;item&gt;4&lt;/item&gt;&lt;item&gt;5&lt;/item&gt;&lt;item&gt;7&lt;/item&gt;&lt;item&gt;8&lt;/item&gt;&lt;item&gt;9&lt;/item&gt;&lt;item&gt;10&lt;/item&gt;&lt;item&gt;11&lt;/item&gt;&lt;item&gt;12&lt;/item&gt;&lt;item&gt;13&lt;/item&gt;&lt;/record-ids&gt;&lt;/item&gt;&lt;/Libraries&gt;"/>
  </w:docVars>
  <w:rsids>
    <w:rsidRoot w:val="00736041"/>
    <w:rsid w:val="0000107D"/>
    <w:rsid w:val="00001311"/>
    <w:rsid w:val="000016FC"/>
    <w:rsid w:val="00001B22"/>
    <w:rsid w:val="00001B9D"/>
    <w:rsid w:val="00001CE7"/>
    <w:rsid w:val="000021E6"/>
    <w:rsid w:val="000022BA"/>
    <w:rsid w:val="00002A04"/>
    <w:rsid w:val="0000305F"/>
    <w:rsid w:val="000030AD"/>
    <w:rsid w:val="0000321B"/>
    <w:rsid w:val="00004209"/>
    <w:rsid w:val="0000479E"/>
    <w:rsid w:val="00004854"/>
    <w:rsid w:val="00004DFF"/>
    <w:rsid w:val="000051F6"/>
    <w:rsid w:val="000053DB"/>
    <w:rsid w:val="0000582E"/>
    <w:rsid w:val="000061AD"/>
    <w:rsid w:val="00006215"/>
    <w:rsid w:val="000067F6"/>
    <w:rsid w:val="00006CDF"/>
    <w:rsid w:val="00007C59"/>
    <w:rsid w:val="00007CF5"/>
    <w:rsid w:val="00007E85"/>
    <w:rsid w:val="00007FEF"/>
    <w:rsid w:val="00010173"/>
    <w:rsid w:val="000102A0"/>
    <w:rsid w:val="000108F8"/>
    <w:rsid w:val="00010CF4"/>
    <w:rsid w:val="00011104"/>
    <w:rsid w:val="00011448"/>
    <w:rsid w:val="00011867"/>
    <w:rsid w:val="00011964"/>
    <w:rsid w:val="00011E0B"/>
    <w:rsid w:val="00011E37"/>
    <w:rsid w:val="00011E50"/>
    <w:rsid w:val="00011E77"/>
    <w:rsid w:val="00012C22"/>
    <w:rsid w:val="00012F79"/>
    <w:rsid w:val="0001304B"/>
    <w:rsid w:val="00013450"/>
    <w:rsid w:val="00013465"/>
    <w:rsid w:val="000134C3"/>
    <w:rsid w:val="000135C0"/>
    <w:rsid w:val="00013E00"/>
    <w:rsid w:val="000146C6"/>
    <w:rsid w:val="00014959"/>
    <w:rsid w:val="00014D20"/>
    <w:rsid w:val="00015444"/>
    <w:rsid w:val="00015EC9"/>
    <w:rsid w:val="00016142"/>
    <w:rsid w:val="00016257"/>
    <w:rsid w:val="00016D34"/>
    <w:rsid w:val="000170DF"/>
    <w:rsid w:val="000175ED"/>
    <w:rsid w:val="00017645"/>
    <w:rsid w:val="000178BF"/>
    <w:rsid w:val="000179A6"/>
    <w:rsid w:val="00017B05"/>
    <w:rsid w:val="00017B32"/>
    <w:rsid w:val="00020598"/>
    <w:rsid w:val="000205E8"/>
    <w:rsid w:val="000208A8"/>
    <w:rsid w:val="00020E47"/>
    <w:rsid w:val="00020F8F"/>
    <w:rsid w:val="000214AC"/>
    <w:rsid w:val="0002246E"/>
    <w:rsid w:val="000226B3"/>
    <w:rsid w:val="00023486"/>
    <w:rsid w:val="00023A83"/>
    <w:rsid w:val="00024549"/>
    <w:rsid w:val="00024890"/>
    <w:rsid w:val="000253C0"/>
    <w:rsid w:val="00025849"/>
    <w:rsid w:val="00025883"/>
    <w:rsid w:val="00025C15"/>
    <w:rsid w:val="0002615E"/>
    <w:rsid w:val="0002652B"/>
    <w:rsid w:val="0002704B"/>
    <w:rsid w:val="00027ED8"/>
    <w:rsid w:val="00030444"/>
    <w:rsid w:val="0003077B"/>
    <w:rsid w:val="00030F1A"/>
    <w:rsid w:val="000314BB"/>
    <w:rsid w:val="00031ECA"/>
    <w:rsid w:val="000322AF"/>
    <w:rsid w:val="00033690"/>
    <w:rsid w:val="00033CA5"/>
    <w:rsid w:val="0003411D"/>
    <w:rsid w:val="0003451C"/>
    <w:rsid w:val="00034709"/>
    <w:rsid w:val="00034BC0"/>
    <w:rsid w:val="000351A2"/>
    <w:rsid w:val="000354C2"/>
    <w:rsid w:val="00035513"/>
    <w:rsid w:val="00035907"/>
    <w:rsid w:val="00035D1F"/>
    <w:rsid w:val="00036080"/>
    <w:rsid w:val="0003668D"/>
    <w:rsid w:val="000366B0"/>
    <w:rsid w:val="00036AD8"/>
    <w:rsid w:val="00036C53"/>
    <w:rsid w:val="0003718B"/>
    <w:rsid w:val="00037D11"/>
    <w:rsid w:val="00040902"/>
    <w:rsid w:val="000415E1"/>
    <w:rsid w:val="00041803"/>
    <w:rsid w:val="0004271F"/>
    <w:rsid w:val="00042A3E"/>
    <w:rsid w:val="000433CA"/>
    <w:rsid w:val="00043B8D"/>
    <w:rsid w:val="00043BC4"/>
    <w:rsid w:val="0004404E"/>
    <w:rsid w:val="000444D6"/>
    <w:rsid w:val="00044B67"/>
    <w:rsid w:val="0004586C"/>
    <w:rsid w:val="00046475"/>
    <w:rsid w:val="00046642"/>
    <w:rsid w:val="00046F65"/>
    <w:rsid w:val="00046F85"/>
    <w:rsid w:val="0005052E"/>
    <w:rsid w:val="00051AC0"/>
    <w:rsid w:val="00051C19"/>
    <w:rsid w:val="00051D09"/>
    <w:rsid w:val="00051F8F"/>
    <w:rsid w:val="0005256D"/>
    <w:rsid w:val="00052A54"/>
    <w:rsid w:val="000531A7"/>
    <w:rsid w:val="000538A0"/>
    <w:rsid w:val="00053C8F"/>
    <w:rsid w:val="00053EC1"/>
    <w:rsid w:val="0005435D"/>
    <w:rsid w:val="000544B6"/>
    <w:rsid w:val="0005452A"/>
    <w:rsid w:val="00054A22"/>
    <w:rsid w:val="00055285"/>
    <w:rsid w:val="00055A87"/>
    <w:rsid w:val="00056FBE"/>
    <w:rsid w:val="00057196"/>
    <w:rsid w:val="0006043C"/>
    <w:rsid w:val="000604AF"/>
    <w:rsid w:val="00060590"/>
    <w:rsid w:val="00060643"/>
    <w:rsid w:val="00060F03"/>
    <w:rsid w:val="00060FBD"/>
    <w:rsid w:val="00061AF9"/>
    <w:rsid w:val="00061C11"/>
    <w:rsid w:val="00061CAF"/>
    <w:rsid w:val="0006204E"/>
    <w:rsid w:val="00062CFF"/>
    <w:rsid w:val="00063669"/>
    <w:rsid w:val="00063ADF"/>
    <w:rsid w:val="00063B1A"/>
    <w:rsid w:val="00064A97"/>
    <w:rsid w:val="00064AD9"/>
    <w:rsid w:val="00065D29"/>
    <w:rsid w:val="000662B1"/>
    <w:rsid w:val="00066EDF"/>
    <w:rsid w:val="00066F8F"/>
    <w:rsid w:val="000677BE"/>
    <w:rsid w:val="0006794C"/>
    <w:rsid w:val="000705AB"/>
    <w:rsid w:val="00070E7A"/>
    <w:rsid w:val="00071B2B"/>
    <w:rsid w:val="0007206F"/>
    <w:rsid w:val="00072DCB"/>
    <w:rsid w:val="00073FF7"/>
    <w:rsid w:val="000740E2"/>
    <w:rsid w:val="000747FB"/>
    <w:rsid w:val="00074C13"/>
    <w:rsid w:val="000751ED"/>
    <w:rsid w:val="00075DBD"/>
    <w:rsid w:val="0007617C"/>
    <w:rsid w:val="00076F2B"/>
    <w:rsid w:val="0007759F"/>
    <w:rsid w:val="00077621"/>
    <w:rsid w:val="000776EB"/>
    <w:rsid w:val="00077B3B"/>
    <w:rsid w:val="00077D0B"/>
    <w:rsid w:val="00080C91"/>
    <w:rsid w:val="00081081"/>
    <w:rsid w:val="00081A77"/>
    <w:rsid w:val="00083702"/>
    <w:rsid w:val="00083B3B"/>
    <w:rsid w:val="000841F5"/>
    <w:rsid w:val="00084329"/>
    <w:rsid w:val="00084ACB"/>
    <w:rsid w:val="000854FB"/>
    <w:rsid w:val="000857B9"/>
    <w:rsid w:val="000858B3"/>
    <w:rsid w:val="0008656E"/>
    <w:rsid w:val="000865E2"/>
    <w:rsid w:val="00086658"/>
    <w:rsid w:val="00086690"/>
    <w:rsid w:val="0008679C"/>
    <w:rsid w:val="00086C11"/>
    <w:rsid w:val="00086CF1"/>
    <w:rsid w:val="000872C2"/>
    <w:rsid w:val="000879DB"/>
    <w:rsid w:val="00087A1A"/>
    <w:rsid w:val="00087C4D"/>
    <w:rsid w:val="00090257"/>
    <w:rsid w:val="00090321"/>
    <w:rsid w:val="00090613"/>
    <w:rsid w:val="000909CC"/>
    <w:rsid w:val="0009122B"/>
    <w:rsid w:val="000912B1"/>
    <w:rsid w:val="00091330"/>
    <w:rsid w:val="00091415"/>
    <w:rsid w:val="0009181D"/>
    <w:rsid w:val="00091AE5"/>
    <w:rsid w:val="00091ED2"/>
    <w:rsid w:val="00092623"/>
    <w:rsid w:val="00093049"/>
    <w:rsid w:val="00093AA6"/>
    <w:rsid w:val="00094422"/>
    <w:rsid w:val="00094999"/>
    <w:rsid w:val="00094D7A"/>
    <w:rsid w:val="00094DCF"/>
    <w:rsid w:val="00095113"/>
    <w:rsid w:val="00095211"/>
    <w:rsid w:val="000959D9"/>
    <w:rsid w:val="000960AD"/>
    <w:rsid w:val="00096534"/>
    <w:rsid w:val="00096B9F"/>
    <w:rsid w:val="00096C5B"/>
    <w:rsid w:val="00097829"/>
    <w:rsid w:val="00097832"/>
    <w:rsid w:val="00097950"/>
    <w:rsid w:val="000A0375"/>
    <w:rsid w:val="000A06E8"/>
    <w:rsid w:val="000A07C8"/>
    <w:rsid w:val="000A0EB3"/>
    <w:rsid w:val="000A0FF6"/>
    <w:rsid w:val="000A1091"/>
    <w:rsid w:val="000A125F"/>
    <w:rsid w:val="000A239A"/>
    <w:rsid w:val="000A24CE"/>
    <w:rsid w:val="000A2781"/>
    <w:rsid w:val="000A2E40"/>
    <w:rsid w:val="000A2FEE"/>
    <w:rsid w:val="000A374E"/>
    <w:rsid w:val="000A3CC5"/>
    <w:rsid w:val="000A3D02"/>
    <w:rsid w:val="000A41E7"/>
    <w:rsid w:val="000A4955"/>
    <w:rsid w:val="000A531E"/>
    <w:rsid w:val="000A5E38"/>
    <w:rsid w:val="000A5FB1"/>
    <w:rsid w:val="000A6CFD"/>
    <w:rsid w:val="000A791F"/>
    <w:rsid w:val="000A7B1B"/>
    <w:rsid w:val="000A7E3B"/>
    <w:rsid w:val="000B05BB"/>
    <w:rsid w:val="000B0982"/>
    <w:rsid w:val="000B0AEA"/>
    <w:rsid w:val="000B0D32"/>
    <w:rsid w:val="000B0EBA"/>
    <w:rsid w:val="000B121F"/>
    <w:rsid w:val="000B160B"/>
    <w:rsid w:val="000B1B63"/>
    <w:rsid w:val="000B1C74"/>
    <w:rsid w:val="000B1D1F"/>
    <w:rsid w:val="000B1E2B"/>
    <w:rsid w:val="000B216C"/>
    <w:rsid w:val="000B2FAB"/>
    <w:rsid w:val="000B3DD7"/>
    <w:rsid w:val="000B3F15"/>
    <w:rsid w:val="000B41F6"/>
    <w:rsid w:val="000B4648"/>
    <w:rsid w:val="000B4DC6"/>
    <w:rsid w:val="000B4EEC"/>
    <w:rsid w:val="000B538E"/>
    <w:rsid w:val="000B5641"/>
    <w:rsid w:val="000B581C"/>
    <w:rsid w:val="000B5E8E"/>
    <w:rsid w:val="000B6585"/>
    <w:rsid w:val="000B6BF5"/>
    <w:rsid w:val="000B6C3B"/>
    <w:rsid w:val="000B721F"/>
    <w:rsid w:val="000B7693"/>
    <w:rsid w:val="000B796C"/>
    <w:rsid w:val="000B7E23"/>
    <w:rsid w:val="000C03C7"/>
    <w:rsid w:val="000C0576"/>
    <w:rsid w:val="000C06D4"/>
    <w:rsid w:val="000C0B2C"/>
    <w:rsid w:val="000C0BA9"/>
    <w:rsid w:val="000C0D5F"/>
    <w:rsid w:val="000C107A"/>
    <w:rsid w:val="000C19DC"/>
    <w:rsid w:val="000C1ECB"/>
    <w:rsid w:val="000C21B3"/>
    <w:rsid w:val="000C2A42"/>
    <w:rsid w:val="000C2D82"/>
    <w:rsid w:val="000C3298"/>
    <w:rsid w:val="000C38B3"/>
    <w:rsid w:val="000C3A98"/>
    <w:rsid w:val="000C4276"/>
    <w:rsid w:val="000C46BB"/>
    <w:rsid w:val="000C4D9D"/>
    <w:rsid w:val="000C52DB"/>
    <w:rsid w:val="000C58D0"/>
    <w:rsid w:val="000C69ED"/>
    <w:rsid w:val="000C6C27"/>
    <w:rsid w:val="000C75EB"/>
    <w:rsid w:val="000C7AB7"/>
    <w:rsid w:val="000C7ADF"/>
    <w:rsid w:val="000C7C4B"/>
    <w:rsid w:val="000C7D8B"/>
    <w:rsid w:val="000D07FE"/>
    <w:rsid w:val="000D0922"/>
    <w:rsid w:val="000D094C"/>
    <w:rsid w:val="000D0BE7"/>
    <w:rsid w:val="000D0E4D"/>
    <w:rsid w:val="000D19DF"/>
    <w:rsid w:val="000D1B42"/>
    <w:rsid w:val="000D2504"/>
    <w:rsid w:val="000D2690"/>
    <w:rsid w:val="000D2A49"/>
    <w:rsid w:val="000D2CB4"/>
    <w:rsid w:val="000D30EA"/>
    <w:rsid w:val="000D31EA"/>
    <w:rsid w:val="000D35EF"/>
    <w:rsid w:val="000D431B"/>
    <w:rsid w:val="000D4583"/>
    <w:rsid w:val="000D47EC"/>
    <w:rsid w:val="000D499F"/>
    <w:rsid w:val="000D4B90"/>
    <w:rsid w:val="000D4C39"/>
    <w:rsid w:val="000D4C4A"/>
    <w:rsid w:val="000D4EF9"/>
    <w:rsid w:val="000D4F48"/>
    <w:rsid w:val="000D5146"/>
    <w:rsid w:val="000D5F7C"/>
    <w:rsid w:val="000D6C36"/>
    <w:rsid w:val="000D6C68"/>
    <w:rsid w:val="000D6CDF"/>
    <w:rsid w:val="000D6EBB"/>
    <w:rsid w:val="000D7FF3"/>
    <w:rsid w:val="000E0403"/>
    <w:rsid w:val="000E0503"/>
    <w:rsid w:val="000E0C7A"/>
    <w:rsid w:val="000E0D33"/>
    <w:rsid w:val="000E1707"/>
    <w:rsid w:val="000E177A"/>
    <w:rsid w:val="000E192C"/>
    <w:rsid w:val="000E2286"/>
    <w:rsid w:val="000E24EB"/>
    <w:rsid w:val="000E277B"/>
    <w:rsid w:val="000E2CFD"/>
    <w:rsid w:val="000E2FE6"/>
    <w:rsid w:val="000E3379"/>
    <w:rsid w:val="000E3FD2"/>
    <w:rsid w:val="000E4136"/>
    <w:rsid w:val="000E4618"/>
    <w:rsid w:val="000E4646"/>
    <w:rsid w:val="000E485D"/>
    <w:rsid w:val="000E4D9C"/>
    <w:rsid w:val="000E54F8"/>
    <w:rsid w:val="000E565E"/>
    <w:rsid w:val="000E6073"/>
    <w:rsid w:val="000E70C8"/>
    <w:rsid w:val="000E724A"/>
    <w:rsid w:val="000E72C6"/>
    <w:rsid w:val="000E7ADF"/>
    <w:rsid w:val="000E7FF8"/>
    <w:rsid w:val="000E7FFD"/>
    <w:rsid w:val="000F0007"/>
    <w:rsid w:val="000F0B2A"/>
    <w:rsid w:val="000F1853"/>
    <w:rsid w:val="000F1893"/>
    <w:rsid w:val="000F25AC"/>
    <w:rsid w:val="000F2627"/>
    <w:rsid w:val="000F2F51"/>
    <w:rsid w:val="000F2FA6"/>
    <w:rsid w:val="000F3064"/>
    <w:rsid w:val="000F3262"/>
    <w:rsid w:val="000F3848"/>
    <w:rsid w:val="000F3A9B"/>
    <w:rsid w:val="000F40B9"/>
    <w:rsid w:val="000F40BB"/>
    <w:rsid w:val="000F483E"/>
    <w:rsid w:val="000F4C2A"/>
    <w:rsid w:val="000F519C"/>
    <w:rsid w:val="000F55A4"/>
    <w:rsid w:val="000F5A80"/>
    <w:rsid w:val="000F5ADB"/>
    <w:rsid w:val="000F5F01"/>
    <w:rsid w:val="000F6079"/>
    <w:rsid w:val="000F67CC"/>
    <w:rsid w:val="000F6C0F"/>
    <w:rsid w:val="000F72D0"/>
    <w:rsid w:val="001001F8"/>
    <w:rsid w:val="001006D0"/>
    <w:rsid w:val="00100D1E"/>
    <w:rsid w:val="001015C8"/>
    <w:rsid w:val="00101D13"/>
    <w:rsid w:val="00101E87"/>
    <w:rsid w:val="001020CF"/>
    <w:rsid w:val="0010222F"/>
    <w:rsid w:val="0010246D"/>
    <w:rsid w:val="001027EB"/>
    <w:rsid w:val="0010285E"/>
    <w:rsid w:val="0010290E"/>
    <w:rsid w:val="00102943"/>
    <w:rsid w:val="00102944"/>
    <w:rsid w:val="00102B5D"/>
    <w:rsid w:val="001031E4"/>
    <w:rsid w:val="00103850"/>
    <w:rsid w:val="00103DC7"/>
    <w:rsid w:val="00103FBD"/>
    <w:rsid w:val="0010420A"/>
    <w:rsid w:val="00104A53"/>
    <w:rsid w:val="001052F4"/>
    <w:rsid w:val="00105544"/>
    <w:rsid w:val="0010558D"/>
    <w:rsid w:val="00105850"/>
    <w:rsid w:val="00105AB7"/>
    <w:rsid w:val="0010651B"/>
    <w:rsid w:val="001068FA"/>
    <w:rsid w:val="001079A9"/>
    <w:rsid w:val="00107FCD"/>
    <w:rsid w:val="001105DF"/>
    <w:rsid w:val="00110939"/>
    <w:rsid w:val="001116CD"/>
    <w:rsid w:val="00112857"/>
    <w:rsid w:val="00112A30"/>
    <w:rsid w:val="00113CF8"/>
    <w:rsid w:val="00113D74"/>
    <w:rsid w:val="00114315"/>
    <w:rsid w:val="00114B9B"/>
    <w:rsid w:val="001150D7"/>
    <w:rsid w:val="00115292"/>
    <w:rsid w:val="00115843"/>
    <w:rsid w:val="001166E5"/>
    <w:rsid w:val="001167E8"/>
    <w:rsid w:val="00116D29"/>
    <w:rsid w:val="00116DAB"/>
    <w:rsid w:val="00116F25"/>
    <w:rsid w:val="00116FA1"/>
    <w:rsid w:val="00117C5C"/>
    <w:rsid w:val="00120129"/>
    <w:rsid w:val="00120475"/>
    <w:rsid w:val="00120A10"/>
    <w:rsid w:val="00120EF5"/>
    <w:rsid w:val="001212C6"/>
    <w:rsid w:val="001213CF"/>
    <w:rsid w:val="0012149E"/>
    <w:rsid w:val="001214D8"/>
    <w:rsid w:val="00121873"/>
    <w:rsid w:val="00121F7A"/>
    <w:rsid w:val="001221FF"/>
    <w:rsid w:val="001222B4"/>
    <w:rsid w:val="00122A28"/>
    <w:rsid w:val="00123786"/>
    <w:rsid w:val="00123B70"/>
    <w:rsid w:val="001244A3"/>
    <w:rsid w:val="00124761"/>
    <w:rsid w:val="00124896"/>
    <w:rsid w:val="00124B1B"/>
    <w:rsid w:val="00124CB5"/>
    <w:rsid w:val="00125324"/>
    <w:rsid w:val="00125599"/>
    <w:rsid w:val="00125CC5"/>
    <w:rsid w:val="00126A12"/>
    <w:rsid w:val="00126F4B"/>
    <w:rsid w:val="001272E9"/>
    <w:rsid w:val="001276E9"/>
    <w:rsid w:val="00127B74"/>
    <w:rsid w:val="00127DF5"/>
    <w:rsid w:val="001308C8"/>
    <w:rsid w:val="00130D4A"/>
    <w:rsid w:val="00130E32"/>
    <w:rsid w:val="001310AE"/>
    <w:rsid w:val="00131931"/>
    <w:rsid w:val="00131BD7"/>
    <w:rsid w:val="0013206F"/>
    <w:rsid w:val="001320F2"/>
    <w:rsid w:val="001326F9"/>
    <w:rsid w:val="00132BB5"/>
    <w:rsid w:val="00133378"/>
    <w:rsid w:val="00133B6D"/>
    <w:rsid w:val="001342A2"/>
    <w:rsid w:val="00134587"/>
    <w:rsid w:val="00134AEF"/>
    <w:rsid w:val="00135204"/>
    <w:rsid w:val="001352C9"/>
    <w:rsid w:val="001355FF"/>
    <w:rsid w:val="00135B07"/>
    <w:rsid w:val="00135D6D"/>
    <w:rsid w:val="00135F39"/>
    <w:rsid w:val="00136416"/>
    <w:rsid w:val="00136423"/>
    <w:rsid w:val="0013643D"/>
    <w:rsid w:val="001364B1"/>
    <w:rsid w:val="00136570"/>
    <w:rsid w:val="001366C1"/>
    <w:rsid w:val="0013679A"/>
    <w:rsid w:val="001378C7"/>
    <w:rsid w:val="001406A2"/>
    <w:rsid w:val="00140BFF"/>
    <w:rsid w:val="00140D94"/>
    <w:rsid w:val="00140DF7"/>
    <w:rsid w:val="0014130D"/>
    <w:rsid w:val="00141433"/>
    <w:rsid w:val="00141577"/>
    <w:rsid w:val="00141812"/>
    <w:rsid w:val="001420B3"/>
    <w:rsid w:val="0014222F"/>
    <w:rsid w:val="001426F3"/>
    <w:rsid w:val="00143E4C"/>
    <w:rsid w:val="00143E6D"/>
    <w:rsid w:val="001440CB"/>
    <w:rsid w:val="001440D4"/>
    <w:rsid w:val="00144445"/>
    <w:rsid w:val="00144BA9"/>
    <w:rsid w:val="00145344"/>
    <w:rsid w:val="001458A7"/>
    <w:rsid w:val="00145999"/>
    <w:rsid w:val="001460C4"/>
    <w:rsid w:val="00146758"/>
    <w:rsid w:val="00146922"/>
    <w:rsid w:val="00146AB0"/>
    <w:rsid w:val="00146F1B"/>
    <w:rsid w:val="0014726B"/>
    <w:rsid w:val="0014745D"/>
    <w:rsid w:val="00150150"/>
    <w:rsid w:val="001502EB"/>
    <w:rsid w:val="00150384"/>
    <w:rsid w:val="001509E6"/>
    <w:rsid w:val="00150A71"/>
    <w:rsid w:val="00150EAB"/>
    <w:rsid w:val="00150EC1"/>
    <w:rsid w:val="001510D9"/>
    <w:rsid w:val="001516FA"/>
    <w:rsid w:val="001516FE"/>
    <w:rsid w:val="00151AA3"/>
    <w:rsid w:val="0015217B"/>
    <w:rsid w:val="0015237D"/>
    <w:rsid w:val="001525E5"/>
    <w:rsid w:val="00153800"/>
    <w:rsid w:val="00153915"/>
    <w:rsid w:val="00153E5A"/>
    <w:rsid w:val="0015408C"/>
    <w:rsid w:val="00155571"/>
    <w:rsid w:val="0015691C"/>
    <w:rsid w:val="00156C58"/>
    <w:rsid w:val="00156CE1"/>
    <w:rsid w:val="00156FD6"/>
    <w:rsid w:val="0015797F"/>
    <w:rsid w:val="001603A5"/>
    <w:rsid w:val="00160586"/>
    <w:rsid w:val="0016070D"/>
    <w:rsid w:val="00160764"/>
    <w:rsid w:val="00160B82"/>
    <w:rsid w:val="00160D85"/>
    <w:rsid w:val="0016163E"/>
    <w:rsid w:val="001621F6"/>
    <w:rsid w:val="001621F7"/>
    <w:rsid w:val="001624D7"/>
    <w:rsid w:val="00162532"/>
    <w:rsid w:val="001626C4"/>
    <w:rsid w:val="001628AF"/>
    <w:rsid w:val="00162D1A"/>
    <w:rsid w:val="00162EE7"/>
    <w:rsid w:val="0016369C"/>
    <w:rsid w:val="0016414F"/>
    <w:rsid w:val="00164D8A"/>
    <w:rsid w:val="00165094"/>
    <w:rsid w:val="001651CB"/>
    <w:rsid w:val="00165277"/>
    <w:rsid w:val="00165332"/>
    <w:rsid w:val="001653E1"/>
    <w:rsid w:val="001661AA"/>
    <w:rsid w:val="00166664"/>
    <w:rsid w:val="00166BB5"/>
    <w:rsid w:val="001673AC"/>
    <w:rsid w:val="001678DE"/>
    <w:rsid w:val="00167921"/>
    <w:rsid w:val="00170A32"/>
    <w:rsid w:val="00170DD4"/>
    <w:rsid w:val="00171819"/>
    <w:rsid w:val="0017197F"/>
    <w:rsid w:val="001719A9"/>
    <w:rsid w:val="00171DFE"/>
    <w:rsid w:val="0017217E"/>
    <w:rsid w:val="00172C70"/>
    <w:rsid w:val="00173281"/>
    <w:rsid w:val="0017375C"/>
    <w:rsid w:val="00173B49"/>
    <w:rsid w:val="00173F56"/>
    <w:rsid w:val="00174384"/>
    <w:rsid w:val="0017496B"/>
    <w:rsid w:val="00174AC6"/>
    <w:rsid w:val="00175245"/>
    <w:rsid w:val="00175276"/>
    <w:rsid w:val="00176176"/>
    <w:rsid w:val="00176332"/>
    <w:rsid w:val="00176750"/>
    <w:rsid w:val="0017690F"/>
    <w:rsid w:val="00177524"/>
    <w:rsid w:val="00177A2E"/>
    <w:rsid w:val="00177B86"/>
    <w:rsid w:val="00177C75"/>
    <w:rsid w:val="001804AB"/>
    <w:rsid w:val="0018086B"/>
    <w:rsid w:val="00180D12"/>
    <w:rsid w:val="00180E1A"/>
    <w:rsid w:val="0018153E"/>
    <w:rsid w:val="00181AC9"/>
    <w:rsid w:val="00182585"/>
    <w:rsid w:val="00182DA4"/>
    <w:rsid w:val="001831DD"/>
    <w:rsid w:val="00183554"/>
    <w:rsid w:val="001842DC"/>
    <w:rsid w:val="001854C5"/>
    <w:rsid w:val="001859DE"/>
    <w:rsid w:val="00185A31"/>
    <w:rsid w:val="00185F6E"/>
    <w:rsid w:val="001860C4"/>
    <w:rsid w:val="001864B2"/>
    <w:rsid w:val="00186A2E"/>
    <w:rsid w:val="00187B41"/>
    <w:rsid w:val="00187EF8"/>
    <w:rsid w:val="00187F16"/>
    <w:rsid w:val="001903AC"/>
    <w:rsid w:val="00190CDF"/>
    <w:rsid w:val="00191182"/>
    <w:rsid w:val="001911D9"/>
    <w:rsid w:val="00191D1F"/>
    <w:rsid w:val="00191DD3"/>
    <w:rsid w:val="001926EE"/>
    <w:rsid w:val="00192851"/>
    <w:rsid w:val="00192C88"/>
    <w:rsid w:val="00193200"/>
    <w:rsid w:val="001933F7"/>
    <w:rsid w:val="001944DE"/>
    <w:rsid w:val="001945E1"/>
    <w:rsid w:val="00194A7A"/>
    <w:rsid w:val="00194E9A"/>
    <w:rsid w:val="00195110"/>
    <w:rsid w:val="001952A4"/>
    <w:rsid w:val="00195E8F"/>
    <w:rsid w:val="0019664D"/>
    <w:rsid w:val="00197061"/>
    <w:rsid w:val="00197878"/>
    <w:rsid w:val="00197A05"/>
    <w:rsid w:val="00197AC7"/>
    <w:rsid w:val="00197B0E"/>
    <w:rsid w:val="00197ECC"/>
    <w:rsid w:val="001A0A44"/>
    <w:rsid w:val="001A14CB"/>
    <w:rsid w:val="001A1A46"/>
    <w:rsid w:val="001A2ABD"/>
    <w:rsid w:val="001A3317"/>
    <w:rsid w:val="001A34F9"/>
    <w:rsid w:val="001A3DDD"/>
    <w:rsid w:val="001A3ED9"/>
    <w:rsid w:val="001A53F7"/>
    <w:rsid w:val="001A55C1"/>
    <w:rsid w:val="001A5FDC"/>
    <w:rsid w:val="001A6103"/>
    <w:rsid w:val="001A6201"/>
    <w:rsid w:val="001A6215"/>
    <w:rsid w:val="001A6450"/>
    <w:rsid w:val="001A68F8"/>
    <w:rsid w:val="001A770A"/>
    <w:rsid w:val="001A7898"/>
    <w:rsid w:val="001B0DE2"/>
    <w:rsid w:val="001B13B2"/>
    <w:rsid w:val="001B239F"/>
    <w:rsid w:val="001B242A"/>
    <w:rsid w:val="001B2E9B"/>
    <w:rsid w:val="001B301E"/>
    <w:rsid w:val="001B306F"/>
    <w:rsid w:val="001B3263"/>
    <w:rsid w:val="001B3296"/>
    <w:rsid w:val="001B4229"/>
    <w:rsid w:val="001B4CC0"/>
    <w:rsid w:val="001B51F3"/>
    <w:rsid w:val="001B5507"/>
    <w:rsid w:val="001B5CCB"/>
    <w:rsid w:val="001B5D37"/>
    <w:rsid w:val="001B5E4D"/>
    <w:rsid w:val="001B6609"/>
    <w:rsid w:val="001B664A"/>
    <w:rsid w:val="001B66B7"/>
    <w:rsid w:val="001B6B16"/>
    <w:rsid w:val="001B6BFC"/>
    <w:rsid w:val="001B7D60"/>
    <w:rsid w:val="001C02FC"/>
    <w:rsid w:val="001C07C3"/>
    <w:rsid w:val="001C0A90"/>
    <w:rsid w:val="001C0F34"/>
    <w:rsid w:val="001C13FD"/>
    <w:rsid w:val="001C189E"/>
    <w:rsid w:val="001C279C"/>
    <w:rsid w:val="001C2940"/>
    <w:rsid w:val="001C2D52"/>
    <w:rsid w:val="001C2DE4"/>
    <w:rsid w:val="001C34D3"/>
    <w:rsid w:val="001C3591"/>
    <w:rsid w:val="001C3691"/>
    <w:rsid w:val="001C388E"/>
    <w:rsid w:val="001C4016"/>
    <w:rsid w:val="001C4140"/>
    <w:rsid w:val="001C431C"/>
    <w:rsid w:val="001C44B1"/>
    <w:rsid w:val="001C4B9F"/>
    <w:rsid w:val="001C4BBE"/>
    <w:rsid w:val="001C52E7"/>
    <w:rsid w:val="001C548D"/>
    <w:rsid w:val="001C54C8"/>
    <w:rsid w:val="001C69CA"/>
    <w:rsid w:val="001C6A5D"/>
    <w:rsid w:val="001C6AA6"/>
    <w:rsid w:val="001C6B2C"/>
    <w:rsid w:val="001C6CD7"/>
    <w:rsid w:val="001C6CDA"/>
    <w:rsid w:val="001C7254"/>
    <w:rsid w:val="001C74EC"/>
    <w:rsid w:val="001C7BD2"/>
    <w:rsid w:val="001C7ECF"/>
    <w:rsid w:val="001D0B39"/>
    <w:rsid w:val="001D13F7"/>
    <w:rsid w:val="001D1B37"/>
    <w:rsid w:val="001D20AC"/>
    <w:rsid w:val="001D2897"/>
    <w:rsid w:val="001D50EA"/>
    <w:rsid w:val="001D54B3"/>
    <w:rsid w:val="001D5B7A"/>
    <w:rsid w:val="001D6549"/>
    <w:rsid w:val="001D6712"/>
    <w:rsid w:val="001D6A28"/>
    <w:rsid w:val="001D6A72"/>
    <w:rsid w:val="001D7364"/>
    <w:rsid w:val="001E02B9"/>
    <w:rsid w:val="001E089B"/>
    <w:rsid w:val="001E16B3"/>
    <w:rsid w:val="001E1B6E"/>
    <w:rsid w:val="001E1CE9"/>
    <w:rsid w:val="001E2464"/>
    <w:rsid w:val="001E2878"/>
    <w:rsid w:val="001E302D"/>
    <w:rsid w:val="001E31A6"/>
    <w:rsid w:val="001E397C"/>
    <w:rsid w:val="001E419C"/>
    <w:rsid w:val="001E42C7"/>
    <w:rsid w:val="001E4CAB"/>
    <w:rsid w:val="001E4DAC"/>
    <w:rsid w:val="001E4F83"/>
    <w:rsid w:val="001E5339"/>
    <w:rsid w:val="001E59EA"/>
    <w:rsid w:val="001E5B01"/>
    <w:rsid w:val="001E605E"/>
    <w:rsid w:val="001E6134"/>
    <w:rsid w:val="001E628E"/>
    <w:rsid w:val="001E6999"/>
    <w:rsid w:val="001E759C"/>
    <w:rsid w:val="001E7AAF"/>
    <w:rsid w:val="001E7AF1"/>
    <w:rsid w:val="001F0348"/>
    <w:rsid w:val="001F09CE"/>
    <w:rsid w:val="001F0A4E"/>
    <w:rsid w:val="001F13F8"/>
    <w:rsid w:val="001F1948"/>
    <w:rsid w:val="001F224C"/>
    <w:rsid w:val="001F2D71"/>
    <w:rsid w:val="001F2F3E"/>
    <w:rsid w:val="001F3116"/>
    <w:rsid w:val="001F35AD"/>
    <w:rsid w:val="001F3ED0"/>
    <w:rsid w:val="001F45A6"/>
    <w:rsid w:val="001F4906"/>
    <w:rsid w:val="001F495A"/>
    <w:rsid w:val="001F5177"/>
    <w:rsid w:val="001F5EDC"/>
    <w:rsid w:val="001F64BF"/>
    <w:rsid w:val="001F7197"/>
    <w:rsid w:val="001F7365"/>
    <w:rsid w:val="001F7715"/>
    <w:rsid w:val="001F77D9"/>
    <w:rsid w:val="001F7BB5"/>
    <w:rsid w:val="001F7C4A"/>
    <w:rsid w:val="001F7D4A"/>
    <w:rsid w:val="00200033"/>
    <w:rsid w:val="00200512"/>
    <w:rsid w:val="002005E2"/>
    <w:rsid w:val="002007CD"/>
    <w:rsid w:val="002017A0"/>
    <w:rsid w:val="002021C9"/>
    <w:rsid w:val="00202457"/>
    <w:rsid w:val="002025EB"/>
    <w:rsid w:val="0020297C"/>
    <w:rsid w:val="00202AC7"/>
    <w:rsid w:val="00202DDE"/>
    <w:rsid w:val="002030CF"/>
    <w:rsid w:val="002034F5"/>
    <w:rsid w:val="00204329"/>
    <w:rsid w:val="002044E1"/>
    <w:rsid w:val="0020456E"/>
    <w:rsid w:val="00204975"/>
    <w:rsid w:val="0020578A"/>
    <w:rsid w:val="00205D0A"/>
    <w:rsid w:val="002061C7"/>
    <w:rsid w:val="0020640B"/>
    <w:rsid w:val="00206681"/>
    <w:rsid w:val="00206FEA"/>
    <w:rsid w:val="00207085"/>
    <w:rsid w:val="00207558"/>
    <w:rsid w:val="00207631"/>
    <w:rsid w:val="0021026F"/>
    <w:rsid w:val="002106B0"/>
    <w:rsid w:val="00210A01"/>
    <w:rsid w:val="002119AD"/>
    <w:rsid w:val="00211A5C"/>
    <w:rsid w:val="00211FFB"/>
    <w:rsid w:val="0021259C"/>
    <w:rsid w:val="002127F0"/>
    <w:rsid w:val="00212807"/>
    <w:rsid w:val="00212EB7"/>
    <w:rsid w:val="0021391B"/>
    <w:rsid w:val="00214013"/>
    <w:rsid w:val="00214050"/>
    <w:rsid w:val="00214A41"/>
    <w:rsid w:val="00215186"/>
    <w:rsid w:val="00215ABF"/>
    <w:rsid w:val="002160A5"/>
    <w:rsid w:val="00216899"/>
    <w:rsid w:val="00216C3E"/>
    <w:rsid w:val="00216EAC"/>
    <w:rsid w:val="002170CC"/>
    <w:rsid w:val="002172A5"/>
    <w:rsid w:val="00217D5C"/>
    <w:rsid w:val="00220954"/>
    <w:rsid w:val="00220B65"/>
    <w:rsid w:val="00220FC1"/>
    <w:rsid w:val="00221229"/>
    <w:rsid w:val="0022142B"/>
    <w:rsid w:val="002218F0"/>
    <w:rsid w:val="0022196A"/>
    <w:rsid w:val="002219BB"/>
    <w:rsid w:val="00221A90"/>
    <w:rsid w:val="00221B8D"/>
    <w:rsid w:val="002220D7"/>
    <w:rsid w:val="00222527"/>
    <w:rsid w:val="00222E9A"/>
    <w:rsid w:val="00222EE8"/>
    <w:rsid w:val="00222F7B"/>
    <w:rsid w:val="00222FCC"/>
    <w:rsid w:val="00223CC9"/>
    <w:rsid w:val="00223CE8"/>
    <w:rsid w:val="00223E42"/>
    <w:rsid w:val="00223E68"/>
    <w:rsid w:val="00224184"/>
    <w:rsid w:val="002249E3"/>
    <w:rsid w:val="00226663"/>
    <w:rsid w:val="00226764"/>
    <w:rsid w:val="00226E37"/>
    <w:rsid w:val="0023035E"/>
    <w:rsid w:val="00230954"/>
    <w:rsid w:val="00230DE0"/>
    <w:rsid w:val="00230EE2"/>
    <w:rsid w:val="002314E2"/>
    <w:rsid w:val="00231706"/>
    <w:rsid w:val="0023179D"/>
    <w:rsid w:val="00231A43"/>
    <w:rsid w:val="00232509"/>
    <w:rsid w:val="002326E5"/>
    <w:rsid w:val="002327AF"/>
    <w:rsid w:val="0023284E"/>
    <w:rsid w:val="002329A9"/>
    <w:rsid w:val="00232DEA"/>
    <w:rsid w:val="00232EEE"/>
    <w:rsid w:val="0023372C"/>
    <w:rsid w:val="002339FF"/>
    <w:rsid w:val="002340EC"/>
    <w:rsid w:val="0023434F"/>
    <w:rsid w:val="00234FD0"/>
    <w:rsid w:val="00235260"/>
    <w:rsid w:val="00236269"/>
    <w:rsid w:val="002364B6"/>
    <w:rsid w:val="00236B3C"/>
    <w:rsid w:val="00236C21"/>
    <w:rsid w:val="002376BF"/>
    <w:rsid w:val="00237CFD"/>
    <w:rsid w:val="00240096"/>
    <w:rsid w:val="002400B2"/>
    <w:rsid w:val="002402A8"/>
    <w:rsid w:val="00241490"/>
    <w:rsid w:val="00241730"/>
    <w:rsid w:val="00241770"/>
    <w:rsid w:val="00241CB5"/>
    <w:rsid w:val="00241D9C"/>
    <w:rsid w:val="00241E41"/>
    <w:rsid w:val="00241EF1"/>
    <w:rsid w:val="00242069"/>
    <w:rsid w:val="0024211A"/>
    <w:rsid w:val="002426BA"/>
    <w:rsid w:val="00242FCD"/>
    <w:rsid w:val="002439A2"/>
    <w:rsid w:val="00243A13"/>
    <w:rsid w:val="00243E7D"/>
    <w:rsid w:val="00244515"/>
    <w:rsid w:val="002446B1"/>
    <w:rsid w:val="00245684"/>
    <w:rsid w:val="0024576C"/>
    <w:rsid w:val="00245BF0"/>
    <w:rsid w:val="002460D0"/>
    <w:rsid w:val="00246256"/>
    <w:rsid w:val="0024678E"/>
    <w:rsid w:val="0024690C"/>
    <w:rsid w:val="00246BC2"/>
    <w:rsid w:val="00246CA1"/>
    <w:rsid w:val="002503DB"/>
    <w:rsid w:val="00250451"/>
    <w:rsid w:val="00251117"/>
    <w:rsid w:val="00251394"/>
    <w:rsid w:val="00251616"/>
    <w:rsid w:val="002516B3"/>
    <w:rsid w:val="0025173D"/>
    <w:rsid w:val="00252521"/>
    <w:rsid w:val="00252624"/>
    <w:rsid w:val="0025296E"/>
    <w:rsid w:val="00252E8D"/>
    <w:rsid w:val="00253228"/>
    <w:rsid w:val="002532AE"/>
    <w:rsid w:val="0025389D"/>
    <w:rsid w:val="00253AAE"/>
    <w:rsid w:val="00254214"/>
    <w:rsid w:val="002544A3"/>
    <w:rsid w:val="002545F5"/>
    <w:rsid w:val="00254C89"/>
    <w:rsid w:val="00254E02"/>
    <w:rsid w:val="00254F97"/>
    <w:rsid w:val="0025567F"/>
    <w:rsid w:val="00255E8B"/>
    <w:rsid w:val="002572E1"/>
    <w:rsid w:val="002575A0"/>
    <w:rsid w:val="002602DD"/>
    <w:rsid w:val="0026039D"/>
    <w:rsid w:val="00260FAB"/>
    <w:rsid w:val="002614A2"/>
    <w:rsid w:val="0026186B"/>
    <w:rsid w:val="0026265F"/>
    <w:rsid w:val="00262830"/>
    <w:rsid w:val="00263665"/>
    <w:rsid w:val="00263F4C"/>
    <w:rsid w:val="00263FDE"/>
    <w:rsid w:val="0026405F"/>
    <w:rsid w:val="00265A3E"/>
    <w:rsid w:val="00265C71"/>
    <w:rsid w:val="00265E32"/>
    <w:rsid w:val="00265EC5"/>
    <w:rsid w:val="0026702F"/>
    <w:rsid w:val="002673C0"/>
    <w:rsid w:val="002707B9"/>
    <w:rsid w:val="00270A1F"/>
    <w:rsid w:val="0027147E"/>
    <w:rsid w:val="00271C1D"/>
    <w:rsid w:val="0027228B"/>
    <w:rsid w:val="00272636"/>
    <w:rsid w:val="00272DEE"/>
    <w:rsid w:val="0027351C"/>
    <w:rsid w:val="00273696"/>
    <w:rsid w:val="00273775"/>
    <w:rsid w:val="002738E4"/>
    <w:rsid w:val="00273EC7"/>
    <w:rsid w:val="002741A7"/>
    <w:rsid w:val="0027422E"/>
    <w:rsid w:val="0027439B"/>
    <w:rsid w:val="0027487C"/>
    <w:rsid w:val="00274BC2"/>
    <w:rsid w:val="00276AA5"/>
    <w:rsid w:val="00277103"/>
    <w:rsid w:val="00277184"/>
    <w:rsid w:val="00277498"/>
    <w:rsid w:val="002776F9"/>
    <w:rsid w:val="002777AD"/>
    <w:rsid w:val="00280371"/>
    <w:rsid w:val="00280399"/>
    <w:rsid w:val="002803CC"/>
    <w:rsid w:val="0028078E"/>
    <w:rsid w:val="00280B8C"/>
    <w:rsid w:val="00280BB2"/>
    <w:rsid w:val="00281293"/>
    <w:rsid w:val="002816E5"/>
    <w:rsid w:val="00281CE9"/>
    <w:rsid w:val="00281E15"/>
    <w:rsid w:val="002822FF"/>
    <w:rsid w:val="0028286E"/>
    <w:rsid w:val="00282E78"/>
    <w:rsid w:val="002831CE"/>
    <w:rsid w:val="00283305"/>
    <w:rsid w:val="002833A2"/>
    <w:rsid w:val="002837FC"/>
    <w:rsid w:val="00284449"/>
    <w:rsid w:val="0028452C"/>
    <w:rsid w:val="00284697"/>
    <w:rsid w:val="002848BB"/>
    <w:rsid w:val="00284A7F"/>
    <w:rsid w:val="00285E72"/>
    <w:rsid w:val="0028615C"/>
    <w:rsid w:val="002862B6"/>
    <w:rsid w:val="002864CE"/>
    <w:rsid w:val="00286C3A"/>
    <w:rsid w:val="00287D24"/>
    <w:rsid w:val="00290005"/>
    <w:rsid w:val="002903D2"/>
    <w:rsid w:val="00290FA2"/>
    <w:rsid w:val="002916D3"/>
    <w:rsid w:val="00291A4A"/>
    <w:rsid w:val="00291AD1"/>
    <w:rsid w:val="00291DC9"/>
    <w:rsid w:val="00291E6C"/>
    <w:rsid w:val="00291FA9"/>
    <w:rsid w:val="00293005"/>
    <w:rsid w:val="002930F5"/>
    <w:rsid w:val="00293146"/>
    <w:rsid w:val="00293182"/>
    <w:rsid w:val="002933B1"/>
    <w:rsid w:val="002934BE"/>
    <w:rsid w:val="00293A8B"/>
    <w:rsid w:val="00293ACA"/>
    <w:rsid w:val="002942CC"/>
    <w:rsid w:val="0029512A"/>
    <w:rsid w:val="00295506"/>
    <w:rsid w:val="00295A62"/>
    <w:rsid w:val="00295A7B"/>
    <w:rsid w:val="00295CF0"/>
    <w:rsid w:val="00295F34"/>
    <w:rsid w:val="00296429"/>
    <w:rsid w:val="0029687F"/>
    <w:rsid w:val="002970AF"/>
    <w:rsid w:val="00297170"/>
    <w:rsid w:val="00297393"/>
    <w:rsid w:val="002974FE"/>
    <w:rsid w:val="002976EB"/>
    <w:rsid w:val="002977F0"/>
    <w:rsid w:val="002A06B7"/>
    <w:rsid w:val="002A0AA3"/>
    <w:rsid w:val="002A0B71"/>
    <w:rsid w:val="002A1315"/>
    <w:rsid w:val="002A2314"/>
    <w:rsid w:val="002A2477"/>
    <w:rsid w:val="002A316D"/>
    <w:rsid w:val="002A3595"/>
    <w:rsid w:val="002A360A"/>
    <w:rsid w:val="002A3D9C"/>
    <w:rsid w:val="002A411F"/>
    <w:rsid w:val="002A4BE6"/>
    <w:rsid w:val="002A4F27"/>
    <w:rsid w:val="002A5414"/>
    <w:rsid w:val="002A545E"/>
    <w:rsid w:val="002A5990"/>
    <w:rsid w:val="002A5A86"/>
    <w:rsid w:val="002A5F41"/>
    <w:rsid w:val="002A6A64"/>
    <w:rsid w:val="002A6E55"/>
    <w:rsid w:val="002A6E62"/>
    <w:rsid w:val="002A7222"/>
    <w:rsid w:val="002A7E18"/>
    <w:rsid w:val="002B045A"/>
    <w:rsid w:val="002B0D4E"/>
    <w:rsid w:val="002B0D9D"/>
    <w:rsid w:val="002B0F33"/>
    <w:rsid w:val="002B1B47"/>
    <w:rsid w:val="002B1B53"/>
    <w:rsid w:val="002B2878"/>
    <w:rsid w:val="002B2C50"/>
    <w:rsid w:val="002B2E97"/>
    <w:rsid w:val="002B3AE9"/>
    <w:rsid w:val="002B3F27"/>
    <w:rsid w:val="002B4654"/>
    <w:rsid w:val="002B50E9"/>
    <w:rsid w:val="002B557D"/>
    <w:rsid w:val="002B5925"/>
    <w:rsid w:val="002B5976"/>
    <w:rsid w:val="002B6176"/>
    <w:rsid w:val="002B6200"/>
    <w:rsid w:val="002B62AB"/>
    <w:rsid w:val="002B6E06"/>
    <w:rsid w:val="002B7001"/>
    <w:rsid w:val="002B7120"/>
    <w:rsid w:val="002B7EC5"/>
    <w:rsid w:val="002C0B5D"/>
    <w:rsid w:val="002C1012"/>
    <w:rsid w:val="002C1713"/>
    <w:rsid w:val="002C2E02"/>
    <w:rsid w:val="002C2E58"/>
    <w:rsid w:val="002C3002"/>
    <w:rsid w:val="002C3284"/>
    <w:rsid w:val="002C3461"/>
    <w:rsid w:val="002C3479"/>
    <w:rsid w:val="002C35CA"/>
    <w:rsid w:val="002C365A"/>
    <w:rsid w:val="002C3FE7"/>
    <w:rsid w:val="002C4414"/>
    <w:rsid w:val="002C4906"/>
    <w:rsid w:val="002C58FE"/>
    <w:rsid w:val="002C6A6B"/>
    <w:rsid w:val="002C6E0C"/>
    <w:rsid w:val="002C72A6"/>
    <w:rsid w:val="002C7F79"/>
    <w:rsid w:val="002D144A"/>
    <w:rsid w:val="002D1F7D"/>
    <w:rsid w:val="002D216C"/>
    <w:rsid w:val="002D233A"/>
    <w:rsid w:val="002D24B6"/>
    <w:rsid w:val="002D250D"/>
    <w:rsid w:val="002D2964"/>
    <w:rsid w:val="002D2AFF"/>
    <w:rsid w:val="002D2F27"/>
    <w:rsid w:val="002D3C2F"/>
    <w:rsid w:val="002D463D"/>
    <w:rsid w:val="002D4BB8"/>
    <w:rsid w:val="002D51B8"/>
    <w:rsid w:val="002D59CF"/>
    <w:rsid w:val="002D6559"/>
    <w:rsid w:val="002D6842"/>
    <w:rsid w:val="002D6CDC"/>
    <w:rsid w:val="002D705D"/>
    <w:rsid w:val="002D7373"/>
    <w:rsid w:val="002D791C"/>
    <w:rsid w:val="002E0396"/>
    <w:rsid w:val="002E0CF9"/>
    <w:rsid w:val="002E102C"/>
    <w:rsid w:val="002E15FC"/>
    <w:rsid w:val="002E193B"/>
    <w:rsid w:val="002E19A3"/>
    <w:rsid w:val="002E2054"/>
    <w:rsid w:val="002E212B"/>
    <w:rsid w:val="002E25D8"/>
    <w:rsid w:val="002E28A2"/>
    <w:rsid w:val="002E2B06"/>
    <w:rsid w:val="002E30E8"/>
    <w:rsid w:val="002E3337"/>
    <w:rsid w:val="002E371F"/>
    <w:rsid w:val="002E373A"/>
    <w:rsid w:val="002E3E3D"/>
    <w:rsid w:val="002E431E"/>
    <w:rsid w:val="002E4527"/>
    <w:rsid w:val="002E4F3C"/>
    <w:rsid w:val="002E4F7A"/>
    <w:rsid w:val="002E508A"/>
    <w:rsid w:val="002E66A1"/>
    <w:rsid w:val="002E6D03"/>
    <w:rsid w:val="002E6D10"/>
    <w:rsid w:val="002E6F2D"/>
    <w:rsid w:val="002E74F4"/>
    <w:rsid w:val="002F0199"/>
    <w:rsid w:val="002F0256"/>
    <w:rsid w:val="002F0614"/>
    <w:rsid w:val="002F0CDA"/>
    <w:rsid w:val="002F1263"/>
    <w:rsid w:val="002F145C"/>
    <w:rsid w:val="002F151E"/>
    <w:rsid w:val="002F184E"/>
    <w:rsid w:val="002F2697"/>
    <w:rsid w:val="002F2702"/>
    <w:rsid w:val="002F2707"/>
    <w:rsid w:val="002F280B"/>
    <w:rsid w:val="002F2A9D"/>
    <w:rsid w:val="002F2F20"/>
    <w:rsid w:val="002F3876"/>
    <w:rsid w:val="002F3A81"/>
    <w:rsid w:val="002F3BC3"/>
    <w:rsid w:val="002F40E3"/>
    <w:rsid w:val="002F442F"/>
    <w:rsid w:val="002F45B2"/>
    <w:rsid w:val="002F46E1"/>
    <w:rsid w:val="002F49A8"/>
    <w:rsid w:val="002F4BB2"/>
    <w:rsid w:val="002F558E"/>
    <w:rsid w:val="002F5B74"/>
    <w:rsid w:val="002F5CCF"/>
    <w:rsid w:val="002F5E3F"/>
    <w:rsid w:val="002F5E66"/>
    <w:rsid w:val="002F61CA"/>
    <w:rsid w:val="002F61FB"/>
    <w:rsid w:val="002F62E8"/>
    <w:rsid w:val="002F71B2"/>
    <w:rsid w:val="002F7B89"/>
    <w:rsid w:val="00300077"/>
    <w:rsid w:val="0030010D"/>
    <w:rsid w:val="00300165"/>
    <w:rsid w:val="0030024A"/>
    <w:rsid w:val="00300371"/>
    <w:rsid w:val="00300693"/>
    <w:rsid w:val="00300AD0"/>
    <w:rsid w:val="0030100F"/>
    <w:rsid w:val="00301431"/>
    <w:rsid w:val="0030161C"/>
    <w:rsid w:val="00301B5C"/>
    <w:rsid w:val="003024A4"/>
    <w:rsid w:val="00302ED1"/>
    <w:rsid w:val="00302F2E"/>
    <w:rsid w:val="003041FC"/>
    <w:rsid w:val="0030424F"/>
    <w:rsid w:val="0030450D"/>
    <w:rsid w:val="00304C61"/>
    <w:rsid w:val="00304D91"/>
    <w:rsid w:val="00304F4E"/>
    <w:rsid w:val="003062CE"/>
    <w:rsid w:val="00306564"/>
    <w:rsid w:val="003106E7"/>
    <w:rsid w:val="00310A4D"/>
    <w:rsid w:val="00310C25"/>
    <w:rsid w:val="00311313"/>
    <w:rsid w:val="003113D8"/>
    <w:rsid w:val="00311C9D"/>
    <w:rsid w:val="003122FD"/>
    <w:rsid w:val="00312876"/>
    <w:rsid w:val="00312CF6"/>
    <w:rsid w:val="003135AF"/>
    <w:rsid w:val="00313BC2"/>
    <w:rsid w:val="00313BF9"/>
    <w:rsid w:val="00313E65"/>
    <w:rsid w:val="00314FD2"/>
    <w:rsid w:val="00314FDD"/>
    <w:rsid w:val="00315239"/>
    <w:rsid w:val="003152F1"/>
    <w:rsid w:val="00315CC1"/>
    <w:rsid w:val="003166E3"/>
    <w:rsid w:val="003167F7"/>
    <w:rsid w:val="00316A82"/>
    <w:rsid w:val="00316D0C"/>
    <w:rsid w:val="00317C98"/>
    <w:rsid w:val="00317CF4"/>
    <w:rsid w:val="00317D57"/>
    <w:rsid w:val="00317D67"/>
    <w:rsid w:val="00317DA3"/>
    <w:rsid w:val="003205C7"/>
    <w:rsid w:val="0032098C"/>
    <w:rsid w:val="00320C60"/>
    <w:rsid w:val="0032126C"/>
    <w:rsid w:val="003213BC"/>
    <w:rsid w:val="00321BB3"/>
    <w:rsid w:val="00321D27"/>
    <w:rsid w:val="00322070"/>
    <w:rsid w:val="00322C51"/>
    <w:rsid w:val="003234A5"/>
    <w:rsid w:val="00323F1A"/>
    <w:rsid w:val="0032453D"/>
    <w:rsid w:val="00324BA8"/>
    <w:rsid w:val="0032500C"/>
    <w:rsid w:val="00326490"/>
    <w:rsid w:val="00327812"/>
    <w:rsid w:val="00327A03"/>
    <w:rsid w:val="00330CE6"/>
    <w:rsid w:val="003310DB"/>
    <w:rsid w:val="00331ADD"/>
    <w:rsid w:val="00331E97"/>
    <w:rsid w:val="0033292D"/>
    <w:rsid w:val="00332BBC"/>
    <w:rsid w:val="00333644"/>
    <w:rsid w:val="00333967"/>
    <w:rsid w:val="00333AF8"/>
    <w:rsid w:val="003340A2"/>
    <w:rsid w:val="0033456C"/>
    <w:rsid w:val="00334744"/>
    <w:rsid w:val="00334B56"/>
    <w:rsid w:val="00334D57"/>
    <w:rsid w:val="0033504C"/>
    <w:rsid w:val="00335178"/>
    <w:rsid w:val="003351D1"/>
    <w:rsid w:val="00335355"/>
    <w:rsid w:val="003353D3"/>
    <w:rsid w:val="00336816"/>
    <w:rsid w:val="00336D32"/>
    <w:rsid w:val="003370D0"/>
    <w:rsid w:val="00337355"/>
    <w:rsid w:val="003374CC"/>
    <w:rsid w:val="003374DA"/>
    <w:rsid w:val="0033778D"/>
    <w:rsid w:val="00337F47"/>
    <w:rsid w:val="003402E4"/>
    <w:rsid w:val="00340DA7"/>
    <w:rsid w:val="00340F95"/>
    <w:rsid w:val="0034100B"/>
    <w:rsid w:val="0034147D"/>
    <w:rsid w:val="00342264"/>
    <w:rsid w:val="003423B1"/>
    <w:rsid w:val="0034264A"/>
    <w:rsid w:val="00342ABC"/>
    <w:rsid w:val="00342DAA"/>
    <w:rsid w:val="003435F9"/>
    <w:rsid w:val="003436B5"/>
    <w:rsid w:val="00343BDD"/>
    <w:rsid w:val="003442D4"/>
    <w:rsid w:val="00345B1D"/>
    <w:rsid w:val="00345B92"/>
    <w:rsid w:val="00346338"/>
    <w:rsid w:val="0034697A"/>
    <w:rsid w:val="00346FC2"/>
    <w:rsid w:val="003475BF"/>
    <w:rsid w:val="0035074F"/>
    <w:rsid w:val="00350CAB"/>
    <w:rsid w:val="00350E2A"/>
    <w:rsid w:val="0035117D"/>
    <w:rsid w:val="003511F8"/>
    <w:rsid w:val="00351882"/>
    <w:rsid w:val="00351D13"/>
    <w:rsid w:val="00352802"/>
    <w:rsid w:val="00352D25"/>
    <w:rsid w:val="00352D28"/>
    <w:rsid w:val="003531ED"/>
    <w:rsid w:val="00353D36"/>
    <w:rsid w:val="00354582"/>
    <w:rsid w:val="003546E3"/>
    <w:rsid w:val="00354C33"/>
    <w:rsid w:val="00354F6C"/>
    <w:rsid w:val="0035556D"/>
    <w:rsid w:val="00355A06"/>
    <w:rsid w:val="003564E3"/>
    <w:rsid w:val="00356904"/>
    <w:rsid w:val="00356B64"/>
    <w:rsid w:val="00356DF3"/>
    <w:rsid w:val="00357506"/>
    <w:rsid w:val="0035774A"/>
    <w:rsid w:val="00357CF7"/>
    <w:rsid w:val="00357DAA"/>
    <w:rsid w:val="003604EB"/>
    <w:rsid w:val="00360578"/>
    <w:rsid w:val="003606AE"/>
    <w:rsid w:val="00360725"/>
    <w:rsid w:val="00360B9A"/>
    <w:rsid w:val="00360DD8"/>
    <w:rsid w:val="00360E1F"/>
    <w:rsid w:val="0036224A"/>
    <w:rsid w:val="003628D1"/>
    <w:rsid w:val="00363E43"/>
    <w:rsid w:val="00363F19"/>
    <w:rsid w:val="00363F98"/>
    <w:rsid w:val="003642EE"/>
    <w:rsid w:val="003643B6"/>
    <w:rsid w:val="003643EA"/>
    <w:rsid w:val="003648AF"/>
    <w:rsid w:val="003650B5"/>
    <w:rsid w:val="00365657"/>
    <w:rsid w:val="00365AC3"/>
    <w:rsid w:val="00365D9A"/>
    <w:rsid w:val="003663ED"/>
    <w:rsid w:val="00366BF1"/>
    <w:rsid w:val="00367081"/>
    <w:rsid w:val="0036760B"/>
    <w:rsid w:val="00367C5A"/>
    <w:rsid w:val="00367F82"/>
    <w:rsid w:val="00370020"/>
    <w:rsid w:val="003705B9"/>
    <w:rsid w:val="00371045"/>
    <w:rsid w:val="003710BB"/>
    <w:rsid w:val="0037177A"/>
    <w:rsid w:val="00371CDD"/>
    <w:rsid w:val="00372140"/>
    <w:rsid w:val="00372559"/>
    <w:rsid w:val="00372EE4"/>
    <w:rsid w:val="00372F76"/>
    <w:rsid w:val="003730B4"/>
    <w:rsid w:val="003730FC"/>
    <w:rsid w:val="00373696"/>
    <w:rsid w:val="0037379F"/>
    <w:rsid w:val="00373C4B"/>
    <w:rsid w:val="00373CF3"/>
    <w:rsid w:val="003741EB"/>
    <w:rsid w:val="00374586"/>
    <w:rsid w:val="003754B7"/>
    <w:rsid w:val="003754BA"/>
    <w:rsid w:val="003765AF"/>
    <w:rsid w:val="0037677C"/>
    <w:rsid w:val="003767D1"/>
    <w:rsid w:val="003768FF"/>
    <w:rsid w:val="00376DF2"/>
    <w:rsid w:val="00376E4D"/>
    <w:rsid w:val="003772BA"/>
    <w:rsid w:val="00377397"/>
    <w:rsid w:val="00377506"/>
    <w:rsid w:val="003775D2"/>
    <w:rsid w:val="00380E43"/>
    <w:rsid w:val="00380F68"/>
    <w:rsid w:val="00381097"/>
    <w:rsid w:val="00381A0D"/>
    <w:rsid w:val="00381B64"/>
    <w:rsid w:val="00381ED7"/>
    <w:rsid w:val="0038229D"/>
    <w:rsid w:val="003836A7"/>
    <w:rsid w:val="003836D5"/>
    <w:rsid w:val="00383A4E"/>
    <w:rsid w:val="00383C60"/>
    <w:rsid w:val="00383CEF"/>
    <w:rsid w:val="003842AA"/>
    <w:rsid w:val="00384B6F"/>
    <w:rsid w:val="00384C6C"/>
    <w:rsid w:val="0038579C"/>
    <w:rsid w:val="00385856"/>
    <w:rsid w:val="0038593C"/>
    <w:rsid w:val="00386392"/>
    <w:rsid w:val="00386616"/>
    <w:rsid w:val="0038671C"/>
    <w:rsid w:val="00386B49"/>
    <w:rsid w:val="00386F39"/>
    <w:rsid w:val="00387294"/>
    <w:rsid w:val="0038755F"/>
    <w:rsid w:val="00387735"/>
    <w:rsid w:val="0039006E"/>
    <w:rsid w:val="0039017F"/>
    <w:rsid w:val="00390A1C"/>
    <w:rsid w:val="00390B23"/>
    <w:rsid w:val="00390BBD"/>
    <w:rsid w:val="00391027"/>
    <w:rsid w:val="00391EA6"/>
    <w:rsid w:val="00391FD8"/>
    <w:rsid w:val="003922B3"/>
    <w:rsid w:val="003922BC"/>
    <w:rsid w:val="003925DC"/>
    <w:rsid w:val="00392628"/>
    <w:rsid w:val="00392711"/>
    <w:rsid w:val="003929C2"/>
    <w:rsid w:val="00392C17"/>
    <w:rsid w:val="00393482"/>
    <w:rsid w:val="00393E65"/>
    <w:rsid w:val="00394AEE"/>
    <w:rsid w:val="003953B2"/>
    <w:rsid w:val="0039572C"/>
    <w:rsid w:val="00395BF1"/>
    <w:rsid w:val="00395D79"/>
    <w:rsid w:val="00396215"/>
    <w:rsid w:val="003963ED"/>
    <w:rsid w:val="003966D7"/>
    <w:rsid w:val="003A06F9"/>
    <w:rsid w:val="003A1084"/>
    <w:rsid w:val="003A16FB"/>
    <w:rsid w:val="003A1A6E"/>
    <w:rsid w:val="003A1F22"/>
    <w:rsid w:val="003A22E1"/>
    <w:rsid w:val="003A2434"/>
    <w:rsid w:val="003A308A"/>
    <w:rsid w:val="003A3352"/>
    <w:rsid w:val="003A3D7E"/>
    <w:rsid w:val="003A3ED6"/>
    <w:rsid w:val="003A43A3"/>
    <w:rsid w:val="003A44E8"/>
    <w:rsid w:val="003A4F34"/>
    <w:rsid w:val="003A5596"/>
    <w:rsid w:val="003A5791"/>
    <w:rsid w:val="003A58F1"/>
    <w:rsid w:val="003A5F1E"/>
    <w:rsid w:val="003A6B73"/>
    <w:rsid w:val="003A7008"/>
    <w:rsid w:val="003A758A"/>
    <w:rsid w:val="003A7EDC"/>
    <w:rsid w:val="003B05CD"/>
    <w:rsid w:val="003B092B"/>
    <w:rsid w:val="003B1127"/>
    <w:rsid w:val="003B148D"/>
    <w:rsid w:val="003B1986"/>
    <w:rsid w:val="003B1B57"/>
    <w:rsid w:val="003B1F48"/>
    <w:rsid w:val="003B1F49"/>
    <w:rsid w:val="003B2139"/>
    <w:rsid w:val="003B246B"/>
    <w:rsid w:val="003B28F7"/>
    <w:rsid w:val="003B2BC1"/>
    <w:rsid w:val="003B3499"/>
    <w:rsid w:val="003B4494"/>
    <w:rsid w:val="003B44D4"/>
    <w:rsid w:val="003B4BE1"/>
    <w:rsid w:val="003B50BA"/>
    <w:rsid w:val="003B58C5"/>
    <w:rsid w:val="003B5CD3"/>
    <w:rsid w:val="003B6081"/>
    <w:rsid w:val="003B66F7"/>
    <w:rsid w:val="003B6C1C"/>
    <w:rsid w:val="003B6FC2"/>
    <w:rsid w:val="003B7309"/>
    <w:rsid w:val="003B798B"/>
    <w:rsid w:val="003C03E2"/>
    <w:rsid w:val="003C12D4"/>
    <w:rsid w:val="003C131F"/>
    <w:rsid w:val="003C1F87"/>
    <w:rsid w:val="003C22CB"/>
    <w:rsid w:val="003C2809"/>
    <w:rsid w:val="003C2BFF"/>
    <w:rsid w:val="003C2D98"/>
    <w:rsid w:val="003C2EB1"/>
    <w:rsid w:val="003C2EB7"/>
    <w:rsid w:val="003C3154"/>
    <w:rsid w:val="003C3663"/>
    <w:rsid w:val="003C3BBE"/>
    <w:rsid w:val="003C3E05"/>
    <w:rsid w:val="003C40DB"/>
    <w:rsid w:val="003C482E"/>
    <w:rsid w:val="003C507D"/>
    <w:rsid w:val="003C5222"/>
    <w:rsid w:val="003C52B4"/>
    <w:rsid w:val="003C56B4"/>
    <w:rsid w:val="003C585A"/>
    <w:rsid w:val="003C5CCC"/>
    <w:rsid w:val="003C5F9B"/>
    <w:rsid w:val="003C6BE6"/>
    <w:rsid w:val="003C70DE"/>
    <w:rsid w:val="003C728D"/>
    <w:rsid w:val="003C7332"/>
    <w:rsid w:val="003C73BA"/>
    <w:rsid w:val="003C7B85"/>
    <w:rsid w:val="003C7D1D"/>
    <w:rsid w:val="003C7D70"/>
    <w:rsid w:val="003C7FCE"/>
    <w:rsid w:val="003D0D07"/>
    <w:rsid w:val="003D152C"/>
    <w:rsid w:val="003D1A48"/>
    <w:rsid w:val="003D31FF"/>
    <w:rsid w:val="003D3A96"/>
    <w:rsid w:val="003D3B9C"/>
    <w:rsid w:val="003D422D"/>
    <w:rsid w:val="003D424A"/>
    <w:rsid w:val="003D431B"/>
    <w:rsid w:val="003D4769"/>
    <w:rsid w:val="003D4A9E"/>
    <w:rsid w:val="003D4E0E"/>
    <w:rsid w:val="003D4FA2"/>
    <w:rsid w:val="003D5956"/>
    <w:rsid w:val="003D61E4"/>
    <w:rsid w:val="003D6539"/>
    <w:rsid w:val="003D67E4"/>
    <w:rsid w:val="003D7546"/>
    <w:rsid w:val="003D76B0"/>
    <w:rsid w:val="003D7A5F"/>
    <w:rsid w:val="003D7B61"/>
    <w:rsid w:val="003D7D47"/>
    <w:rsid w:val="003D7D53"/>
    <w:rsid w:val="003D7D5C"/>
    <w:rsid w:val="003D7E2B"/>
    <w:rsid w:val="003D7EC8"/>
    <w:rsid w:val="003E091E"/>
    <w:rsid w:val="003E13AF"/>
    <w:rsid w:val="003E1446"/>
    <w:rsid w:val="003E18FD"/>
    <w:rsid w:val="003E1EC6"/>
    <w:rsid w:val="003E2BD5"/>
    <w:rsid w:val="003E3082"/>
    <w:rsid w:val="003E488E"/>
    <w:rsid w:val="003E5D05"/>
    <w:rsid w:val="003E5DC5"/>
    <w:rsid w:val="003E6024"/>
    <w:rsid w:val="003E6D36"/>
    <w:rsid w:val="003E755D"/>
    <w:rsid w:val="003E7DDC"/>
    <w:rsid w:val="003F0004"/>
    <w:rsid w:val="003F001C"/>
    <w:rsid w:val="003F0505"/>
    <w:rsid w:val="003F07C8"/>
    <w:rsid w:val="003F08E3"/>
    <w:rsid w:val="003F142C"/>
    <w:rsid w:val="003F17DF"/>
    <w:rsid w:val="003F1A14"/>
    <w:rsid w:val="003F1A25"/>
    <w:rsid w:val="003F1C96"/>
    <w:rsid w:val="003F29F0"/>
    <w:rsid w:val="003F2FFE"/>
    <w:rsid w:val="003F3823"/>
    <w:rsid w:val="003F3897"/>
    <w:rsid w:val="003F3906"/>
    <w:rsid w:val="003F4667"/>
    <w:rsid w:val="003F5017"/>
    <w:rsid w:val="003F55D3"/>
    <w:rsid w:val="003F565F"/>
    <w:rsid w:val="003F604D"/>
    <w:rsid w:val="003F6261"/>
    <w:rsid w:val="003F654D"/>
    <w:rsid w:val="003F6B3A"/>
    <w:rsid w:val="003F6BF0"/>
    <w:rsid w:val="003F77C7"/>
    <w:rsid w:val="003F7BA5"/>
    <w:rsid w:val="00400531"/>
    <w:rsid w:val="00400856"/>
    <w:rsid w:val="0040092C"/>
    <w:rsid w:val="00400A80"/>
    <w:rsid w:val="00400C3E"/>
    <w:rsid w:val="00400CC0"/>
    <w:rsid w:val="0040145E"/>
    <w:rsid w:val="0040183F"/>
    <w:rsid w:val="00401BAB"/>
    <w:rsid w:val="00401DB8"/>
    <w:rsid w:val="004022CD"/>
    <w:rsid w:val="004023D6"/>
    <w:rsid w:val="00402682"/>
    <w:rsid w:val="004033C7"/>
    <w:rsid w:val="004034E8"/>
    <w:rsid w:val="004034F4"/>
    <w:rsid w:val="00403C44"/>
    <w:rsid w:val="004040AB"/>
    <w:rsid w:val="00404846"/>
    <w:rsid w:val="00404896"/>
    <w:rsid w:val="00404D5D"/>
    <w:rsid w:val="00404F03"/>
    <w:rsid w:val="00404F30"/>
    <w:rsid w:val="00405281"/>
    <w:rsid w:val="0040552E"/>
    <w:rsid w:val="00405BB6"/>
    <w:rsid w:val="004075C8"/>
    <w:rsid w:val="004077C1"/>
    <w:rsid w:val="00407861"/>
    <w:rsid w:val="004079F2"/>
    <w:rsid w:val="00407DEB"/>
    <w:rsid w:val="00410080"/>
    <w:rsid w:val="00410BF9"/>
    <w:rsid w:val="00410D3D"/>
    <w:rsid w:val="00410E1B"/>
    <w:rsid w:val="004113AA"/>
    <w:rsid w:val="00411880"/>
    <w:rsid w:val="00411B6D"/>
    <w:rsid w:val="00412051"/>
    <w:rsid w:val="004120E1"/>
    <w:rsid w:val="00412419"/>
    <w:rsid w:val="004125A7"/>
    <w:rsid w:val="00412DD1"/>
    <w:rsid w:val="004137D0"/>
    <w:rsid w:val="00413C26"/>
    <w:rsid w:val="004140CA"/>
    <w:rsid w:val="00414342"/>
    <w:rsid w:val="00414A87"/>
    <w:rsid w:val="00414C24"/>
    <w:rsid w:val="00414C6C"/>
    <w:rsid w:val="00414F8A"/>
    <w:rsid w:val="004157EB"/>
    <w:rsid w:val="00415BC9"/>
    <w:rsid w:val="004165CA"/>
    <w:rsid w:val="00416FFB"/>
    <w:rsid w:val="004174F4"/>
    <w:rsid w:val="00417D4D"/>
    <w:rsid w:val="00420FBA"/>
    <w:rsid w:val="004211C3"/>
    <w:rsid w:val="00421411"/>
    <w:rsid w:val="00421456"/>
    <w:rsid w:val="00421497"/>
    <w:rsid w:val="00422010"/>
    <w:rsid w:val="00422364"/>
    <w:rsid w:val="004228BE"/>
    <w:rsid w:val="00422FBD"/>
    <w:rsid w:val="004231D3"/>
    <w:rsid w:val="00423997"/>
    <w:rsid w:val="00423AB2"/>
    <w:rsid w:val="00423B23"/>
    <w:rsid w:val="00423B94"/>
    <w:rsid w:val="00423C77"/>
    <w:rsid w:val="00423D88"/>
    <w:rsid w:val="00423E43"/>
    <w:rsid w:val="004244BA"/>
    <w:rsid w:val="00424E88"/>
    <w:rsid w:val="00425CCD"/>
    <w:rsid w:val="00425CE0"/>
    <w:rsid w:val="00425F38"/>
    <w:rsid w:val="00426125"/>
    <w:rsid w:val="0042693E"/>
    <w:rsid w:val="004275C2"/>
    <w:rsid w:val="00427730"/>
    <w:rsid w:val="004277B4"/>
    <w:rsid w:val="00427D21"/>
    <w:rsid w:val="004307BF"/>
    <w:rsid w:val="00430C94"/>
    <w:rsid w:val="00431A62"/>
    <w:rsid w:val="00431BAF"/>
    <w:rsid w:val="004320B5"/>
    <w:rsid w:val="0043222D"/>
    <w:rsid w:val="0043225E"/>
    <w:rsid w:val="0043233A"/>
    <w:rsid w:val="004325AC"/>
    <w:rsid w:val="004326E5"/>
    <w:rsid w:val="004336A6"/>
    <w:rsid w:val="00433726"/>
    <w:rsid w:val="00433EF3"/>
    <w:rsid w:val="00433F51"/>
    <w:rsid w:val="0043473E"/>
    <w:rsid w:val="00434F55"/>
    <w:rsid w:val="00436B5A"/>
    <w:rsid w:val="00437185"/>
    <w:rsid w:val="0043748B"/>
    <w:rsid w:val="00440AB9"/>
    <w:rsid w:val="00440E6F"/>
    <w:rsid w:val="00441314"/>
    <w:rsid w:val="00441CAD"/>
    <w:rsid w:val="00441E34"/>
    <w:rsid w:val="00442293"/>
    <w:rsid w:val="00442378"/>
    <w:rsid w:val="00442674"/>
    <w:rsid w:val="00442A17"/>
    <w:rsid w:val="00442B97"/>
    <w:rsid w:val="00443636"/>
    <w:rsid w:val="0044364C"/>
    <w:rsid w:val="00444193"/>
    <w:rsid w:val="00444207"/>
    <w:rsid w:val="0044487F"/>
    <w:rsid w:val="00444A14"/>
    <w:rsid w:val="00444C7A"/>
    <w:rsid w:val="00444EAC"/>
    <w:rsid w:val="00444EE6"/>
    <w:rsid w:val="00445160"/>
    <w:rsid w:val="00445480"/>
    <w:rsid w:val="004454C3"/>
    <w:rsid w:val="004462FE"/>
    <w:rsid w:val="00446316"/>
    <w:rsid w:val="0044638A"/>
    <w:rsid w:val="00446AC6"/>
    <w:rsid w:val="00446D50"/>
    <w:rsid w:val="00446F39"/>
    <w:rsid w:val="00446FD0"/>
    <w:rsid w:val="00447199"/>
    <w:rsid w:val="004474E4"/>
    <w:rsid w:val="004475D9"/>
    <w:rsid w:val="0044793D"/>
    <w:rsid w:val="00450294"/>
    <w:rsid w:val="00450A61"/>
    <w:rsid w:val="00450E15"/>
    <w:rsid w:val="004510F9"/>
    <w:rsid w:val="004514BC"/>
    <w:rsid w:val="004515E9"/>
    <w:rsid w:val="00452512"/>
    <w:rsid w:val="0045267E"/>
    <w:rsid w:val="004528D0"/>
    <w:rsid w:val="00453056"/>
    <w:rsid w:val="00453755"/>
    <w:rsid w:val="004538AC"/>
    <w:rsid w:val="004538E8"/>
    <w:rsid w:val="004542E6"/>
    <w:rsid w:val="00454B75"/>
    <w:rsid w:val="00454B8E"/>
    <w:rsid w:val="00455967"/>
    <w:rsid w:val="00455D8F"/>
    <w:rsid w:val="00455DBE"/>
    <w:rsid w:val="00455E00"/>
    <w:rsid w:val="00456103"/>
    <w:rsid w:val="004563B6"/>
    <w:rsid w:val="004566CB"/>
    <w:rsid w:val="0045680F"/>
    <w:rsid w:val="00456F7B"/>
    <w:rsid w:val="00457197"/>
    <w:rsid w:val="00457C74"/>
    <w:rsid w:val="004600DF"/>
    <w:rsid w:val="00461CC4"/>
    <w:rsid w:val="00461D28"/>
    <w:rsid w:val="0046257E"/>
    <w:rsid w:val="00462732"/>
    <w:rsid w:val="004627A0"/>
    <w:rsid w:val="0046306D"/>
    <w:rsid w:val="004635A4"/>
    <w:rsid w:val="004636AB"/>
    <w:rsid w:val="00463731"/>
    <w:rsid w:val="0046400A"/>
    <w:rsid w:val="00464100"/>
    <w:rsid w:val="00464756"/>
    <w:rsid w:val="004647A9"/>
    <w:rsid w:val="00464814"/>
    <w:rsid w:val="00464842"/>
    <w:rsid w:val="00464B10"/>
    <w:rsid w:val="00465539"/>
    <w:rsid w:val="00465597"/>
    <w:rsid w:val="00465B8E"/>
    <w:rsid w:val="00467084"/>
    <w:rsid w:val="004673F0"/>
    <w:rsid w:val="00467AAE"/>
    <w:rsid w:val="00467B25"/>
    <w:rsid w:val="004701B7"/>
    <w:rsid w:val="00470BF4"/>
    <w:rsid w:val="004718CC"/>
    <w:rsid w:val="0047263E"/>
    <w:rsid w:val="00472923"/>
    <w:rsid w:val="00473069"/>
    <w:rsid w:val="00473090"/>
    <w:rsid w:val="004735EB"/>
    <w:rsid w:val="00473DF0"/>
    <w:rsid w:val="00474552"/>
    <w:rsid w:val="004745D1"/>
    <w:rsid w:val="00474F48"/>
    <w:rsid w:val="00475E77"/>
    <w:rsid w:val="004767B5"/>
    <w:rsid w:val="0047781A"/>
    <w:rsid w:val="00477ADC"/>
    <w:rsid w:val="00477B27"/>
    <w:rsid w:val="00477D7F"/>
    <w:rsid w:val="00480146"/>
    <w:rsid w:val="0048053F"/>
    <w:rsid w:val="004806F6"/>
    <w:rsid w:val="00481108"/>
    <w:rsid w:val="00481A5B"/>
    <w:rsid w:val="0048210C"/>
    <w:rsid w:val="00482141"/>
    <w:rsid w:val="0048379F"/>
    <w:rsid w:val="004837AF"/>
    <w:rsid w:val="004839E6"/>
    <w:rsid w:val="00483E20"/>
    <w:rsid w:val="00483E75"/>
    <w:rsid w:val="004843F3"/>
    <w:rsid w:val="0048456E"/>
    <w:rsid w:val="00484BB1"/>
    <w:rsid w:val="004851C7"/>
    <w:rsid w:val="00486AF3"/>
    <w:rsid w:val="00486E6E"/>
    <w:rsid w:val="0048785E"/>
    <w:rsid w:val="00487A26"/>
    <w:rsid w:val="00487AF5"/>
    <w:rsid w:val="00487CF9"/>
    <w:rsid w:val="00487F46"/>
    <w:rsid w:val="004901E9"/>
    <w:rsid w:val="0049042B"/>
    <w:rsid w:val="00490782"/>
    <w:rsid w:val="00490E83"/>
    <w:rsid w:val="0049134E"/>
    <w:rsid w:val="0049169F"/>
    <w:rsid w:val="0049177F"/>
    <w:rsid w:val="004917C9"/>
    <w:rsid w:val="00491A48"/>
    <w:rsid w:val="00491A59"/>
    <w:rsid w:val="00491AF2"/>
    <w:rsid w:val="00492311"/>
    <w:rsid w:val="00493068"/>
    <w:rsid w:val="004938CB"/>
    <w:rsid w:val="00493E63"/>
    <w:rsid w:val="004942AC"/>
    <w:rsid w:val="0049457D"/>
    <w:rsid w:val="00494C65"/>
    <w:rsid w:val="00495473"/>
    <w:rsid w:val="00495698"/>
    <w:rsid w:val="0049594A"/>
    <w:rsid w:val="00495AF9"/>
    <w:rsid w:val="00495C30"/>
    <w:rsid w:val="00495C44"/>
    <w:rsid w:val="00495D3D"/>
    <w:rsid w:val="0049629E"/>
    <w:rsid w:val="00496892"/>
    <w:rsid w:val="00496B90"/>
    <w:rsid w:val="00496CF7"/>
    <w:rsid w:val="00497017"/>
    <w:rsid w:val="0049714C"/>
    <w:rsid w:val="0049728E"/>
    <w:rsid w:val="004973B9"/>
    <w:rsid w:val="00497C90"/>
    <w:rsid w:val="00497E43"/>
    <w:rsid w:val="004A01F6"/>
    <w:rsid w:val="004A09EA"/>
    <w:rsid w:val="004A0B61"/>
    <w:rsid w:val="004A0ED1"/>
    <w:rsid w:val="004A14B8"/>
    <w:rsid w:val="004A1813"/>
    <w:rsid w:val="004A206C"/>
    <w:rsid w:val="004A26EF"/>
    <w:rsid w:val="004A2CCB"/>
    <w:rsid w:val="004A3145"/>
    <w:rsid w:val="004A356E"/>
    <w:rsid w:val="004A35AB"/>
    <w:rsid w:val="004A36B9"/>
    <w:rsid w:val="004A3702"/>
    <w:rsid w:val="004A377E"/>
    <w:rsid w:val="004A3824"/>
    <w:rsid w:val="004A3941"/>
    <w:rsid w:val="004A3C0E"/>
    <w:rsid w:val="004A3E35"/>
    <w:rsid w:val="004A3EFA"/>
    <w:rsid w:val="004A458E"/>
    <w:rsid w:val="004A4AF9"/>
    <w:rsid w:val="004A4DF7"/>
    <w:rsid w:val="004A4F38"/>
    <w:rsid w:val="004A52FF"/>
    <w:rsid w:val="004A55DA"/>
    <w:rsid w:val="004A5607"/>
    <w:rsid w:val="004A560A"/>
    <w:rsid w:val="004A5F7C"/>
    <w:rsid w:val="004A6446"/>
    <w:rsid w:val="004A6F61"/>
    <w:rsid w:val="004A701E"/>
    <w:rsid w:val="004A7889"/>
    <w:rsid w:val="004B068E"/>
    <w:rsid w:val="004B0959"/>
    <w:rsid w:val="004B0C5A"/>
    <w:rsid w:val="004B0C82"/>
    <w:rsid w:val="004B0C91"/>
    <w:rsid w:val="004B101B"/>
    <w:rsid w:val="004B16D1"/>
    <w:rsid w:val="004B22DC"/>
    <w:rsid w:val="004B2368"/>
    <w:rsid w:val="004B23E7"/>
    <w:rsid w:val="004B296D"/>
    <w:rsid w:val="004B2B4C"/>
    <w:rsid w:val="004B306F"/>
    <w:rsid w:val="004B3450"/>
    <w:rsid w:val="004B3F68"/>
    <w:rsid w:val="004B4004"/>
    <w:rsid w:val="004B41EC"/>
    <w:rsid w:val="004B48C7"/>
    <w:rsid w:val="004B4A2C"/>
    <w:rsid w:val="004B4EB6"/>
    <w:rsid w:val="004B54BB"/>
    <w:rsid w:val="004B5A59"/>
    <w:rsid w:val="004B5E99"/>
    <w:rsid w:val="004B6A69"/>
    <w:rsid w:val="004B705A"/>
    <w:rsid w:val="004B7092"/>
    <w:rsid w:val="004B717D"/>
    <w:rsid w:val="004B7486"/>
    <w:rsid w:val="004B771B"/>
    <w:rsid w:val="004C0CEC"/>
    <w:rsid w:val="004C0D90"/>
    <w:rsid w:val="004C1A08"/>
    <w:rsid w:val="004C1E52"/>
    <w:rsid w:val="004C1E82"/>
    <w:rsid w:val="004C21AA"/>
    <w:rsid w:val="004C2C24"/>
    <w:rsid w:val="004C3186"/>
    <w:rsid w:val="004C3267"/>
    <w:rsid w:val="004C3401"/>
    <w:rsid w:val="004C3552"/>
    <w:rsid w:val="004C3A39"/>
    <w:rsid w:val="004C3A8B"/>
    <w:rsid w:val="004C3AF7"/>
    <w:rsid w:val="004C4455"/>
    <w:rsid w:val="004C4D2E"/>
    <w:rsid w:val="004C5042"/>
    <w:rsid w:val="004C5251"/>
    <w:rsid w:val="004C577D"/>
    <w:rsid w:val="004C5BD2"/>
    <w:rsid w:val="004C62AF"/>
    <w:rsid w:val="004C62C5"/>
    <w:rsid w:val="004C6FB8"/>
    <w:rsid w:val="004C79AB"/>
    <w:rsid w:val="004D02BF"/>
    <w:rsid w:val="004D0399"/>
    <w:rsid w:val="004D054F"/>
    <w:rsid w:val="004D07A6"/>
    <w:rsid w:val="004D0D5C"/>
    <w:rsid w:val="004D0DEA"/>
    <w:rsid w:val="004D1145"/>
    <w:rsid w:val="004D1423"/>
    <w:rsid w:val="004D1FAB"/>
    <w:rsid w:val="004D21C6"/>
    <w:rsid w:val="004D3296"/>
    <w:rsid w:val="004D344C"/>
    <w:rsid w:val="004D4384"/>
    <w:rsid w:val="004D52D5"/>
    <w:rsid w:val="004D5609"/>
    <w:rsid w:val="004D587E"/>
    <w:rsid w:val="004D59B6"/>
    <w:rsid w:val="004D5DB1"/>
    <w:rsid w:val="004D5E43"/>
    <w:rsid w:val="004D6711"/>
    <w:rsid w:val="004D6DE9"/>
    <w:rsid w:val="004D6F05"/>
    <w:rsid w:val="004D72F8"/>
    <w:rsid w:val="004D7594"/>
    <w:rsid w:val="004D79E2"/>
    <w:rsid w:val="004D7A3D"/>
    <w:rsid w:val="004D7D7A"/>
    <w:rsid w:val="004E020D"/>
    <w:rsid w:val="004E0315"/>
    <w:rsid w:val="004E0DF7"/>
    <w:rsid w:val="004E0F54"/>
    <w:rsid w:val="004E1351"/>
    <w:rsid w:val="004E1A84"/>
    <w:rsid w:val="004E1DD6"/>
    <w:rsid w:val="004E22D5"/>
    <w:rsid w:val="004E3DEA"/>
    <w:rsid w:val="004E3E47"/>
    <w:rsid w:val="004E4422"/>
    <w:rsid w:val="004E4B5E"/>
    <w:rsid w:val="004E5465"/>
    <w:rsid w:val="004E5711"/>
    <w:rsid w:val="004E5CD5"/>
    <w:rsid w:val="004E66D3"/>
    <w:rsid w:val="004E6772"/>
    <w:rsid w:val="004E6E1D"/>
    <w:rsid w:val="004E71CC"/>
    <w:rsid w:val="004E750D"/>
    <w:rsid w:val="004E76EE"/>
    <w:rsid w:val="004F009C"/>
    <w:rsid w:val="004F05DF"/>
    <w:rsid w:val="004F06A5"/>
    <w:rsid w:val="004F09AC"/>
    <w:rsid w:val="004F0C95"/>
    <w:rsid w:val="004F10C4"/>
    <w:rsid w:val="004F1562"/>
    <w:rsid w:val="004F15EC"/>
    <w:rsid w:val="004F1B02"/>
    <w:rsid w:val="004F1B29"/>
    <w:rsid w:val="004F1DC9"/>
    <w:rsid w:val="004F23B4"/>
    <w:rsid w:val="004F332A"/>
    <w:rsid w:val="004F3E7B"/>
    <w:rsid w:val="004F425D"/>
    <w:rsid w:val="004F446D"/>
    <w:rsid w:val="004F4A06"/>
    <w:rsid w:val="004F5BFB"/>
    <w:rsid w:val="004F65D6"/>
    <w:rsid w:val="004F6E55"/>
    <w:rsid w:val="004F6EE4"/>
    <w:rsid w:val="004F71FA"/>
    <w:rsid w:val="004F73A8"/>
    <w:rsid w:val="004F7514"/>
    <w:rsid w:val="004F7800"/>
    <w:rsid w:val="004F79B3"/>
    <w:rsid w:val="004F7F26"/>
    <w:rsid w:val="004FC25F"/>
    <w:rsid w:val="005000B4"/>
    <w:rsid w:val="00500103"/>
    <w:rsid w:val="005004D2"/>
    <w:rsid w:val="0050130B"/>
    <w:rsid w:val="00501CAE"/>
    <w:rsid w:val="00501EC7"/>
    <w:rsid w:val="00502331"/>
    <w:rsid w:val="0050263D"/>
    <w:rsid w:val="00502680"/>
    <w:rsid w:val="0050279B"/>
    <w:rsid w:val="00502BF3"/>
    <w:rsid w:val="00502D22"/>
    <w:rsid w:val="00502D31"/>
    <w:rsid w:val="00502DF7"/>
    <w:rsid w:val="00503066"/>
    <w:rsid w:val="00503998"/>
    <w:rsid w:val="00503B73"/>
    <w:rsid w:val="00503EA7"/>
    <w:rsid w:val="00504370"/>
    <w:rsid w:val="0050437C"/>
    <w:rsid w:val="00504665"/>
    <w:rsid w:val="005046D0"/>
    <w:rsid w:val="005046F2"/>
    <w:rsid w:val="00504996"/>
    <w:rsid w:val="00504B8A"/>
    <w:rsid w:val="00504FEA"/>
    <w:rsid w:val="005052F8"/>
    <w:rsid w:val="0050565C"/>
    <w:rsid w:val="00505B24"/>
    <w:rsid w:val="0050623B"/>
    <w:rsid w:val="00506556"/>
    <w:rsid w:val="00507137"/>
    <w:rsid w:val="005072A5"/>
    <w:rsid w:val="0050755C"/>
    <w:rsid w:val="005079CE"/>
    <w:rsid w:val="00507B01"/>
    <w:rsid w:val="00507F8E"/>
    <w:rsid w:val="00510BCE"/>
    <w:rsid w:val="005116FF"/>
    <w:rsid w:val="00511FD4"/>
    <w:rsid w:val="00512600"/>
    <w:rsid w:val="0051268B"/>
    <w:rsid w:val="00512937"/>
    <w:rsid w:val="00513268"/>
    <w:rsid w:val="00513726"/>
    <w:rsid w:val="0051401B"/>
    <w:rsid w:val="005140BF"/>
    <w:rsid w:val="00514D23"/>
    <w:rsid w:val="0051506C"/>
    <w:rsid w:val="00515375"/>
    <w:rsid w:val="00515567"/>
    <w:rsid w:val="005155DC"/>
    <w:rsid w:val="00515B5D"/>
    <w:rsid w:val="00515C64"/>
    <w:rsid w:val="00516970"/>
    <w:rsid w:val="0051709C"/>
    <w:rsid w:val="005170D4"/>
    <w:rsid w:val="005176F2"/>
    <w:rsid w:val="00520113"/>
    <w:rsid w:val="005201F0"/>
    <w:rsid w:val="00521302"/>
    <w:rsid w:val="005216C0"/>
    <w:rsid w:val="00522687"/>
    <w:rsid w:val="005228B0"/>
    <w:rsid w:val="00523059"/>
    <w:rsid w:val="00523181"/>
    <w:rsid w:val="00523A54"/>
    <w:rsid w:val="00523CE3"/>
    <w:rsid w:val="005244BB"/>
    <w:rsid w:val="00524965"/>
    <w:rsid w:val="00524D13"/>
    <w:rsid w:val="00525687"/>
    <w:rsid w:val="00525891"/>
    <w:rsid w:val="00525AC5"/>
    <w:rsid w:val="00525CB8"/>
    <w:rsid w:val="00526316"/>
    <w:rsid w:val="005263BE"/>
    <w:rsid w:val="00526506"/>
    <w:rsid w:val="005277EE"/>
    <w:rsid w:val="005301FA"/>
    <w:rsid w:val="0053046A"/>
    <w:rsid w:val="00530907"/>
    <w:rsid w:val="00530AB1"/>
    <w:rsid w:val="00530E0E"/>
    <w:rsid w:val="00530F20"/>
    <w:rsid w:val="00531121"/>
    <w:rsid w:val="00532424"/>
    <w:rsid w:val="0053277E"/>
    <w:rsid w:val="00532D1B"/>
    <w:rsid w:val="00533022"/>
    <w:rsid w:val="005339F6"/>
    <w:rsid w:val="00533A58"/>
    <w:rsid w:val="0053448B"/>
    <w:rsid w:val="0053456A"/>
    <w:rsid w:val="0053468D"/>
    <w:rsid w:val="00536A3A"/>
    <w:rsid w:val="00536CD0"/>
    <w:rsid w:val="005373B7"/>
    <w:rsid w:val="00537AAE"/>
    <w:rsid w:val="005400C6"/>
    <w:rsid w:val="005403D4"/>
    <w:rsid w:val="005414D6"/>
    <w:rsid w:val="00541ACF"/>
    <w:rsid w:val="00542279"/>
    <w:rsid w:val="005428C3"/>
    <w:rsid w:val="00544386"/>
    <w:rsid w:val="005445A9"/>
    <w:rsid w:val="005447D7"/>
    <w:rsid w:val="00544A73"/>
    <w:rsid w:val="00544ADC"/>
    <w:rsid w:val="00544CBA"/>
    <w:rsid w:val="00545295"/>
    <w:rsid w:val="005458E9"/>
    <w:rsid w:val="00545AFA"/>
    <w:rsid w:val="00545C37"/>
    <w:rsid w:val="00546246"/>
    <w:rsid w:val="00546445"/>
    <w:rsid w:val="005471C8"/>
    <w:rsid w:val="00547658"/>
    <w:rsid w:val="005477DD"/>
    <w:rsid w:val="00547918"/>
    <w:rsid w:val="00547B85"/>
    <w:rsid w:val="00547C38"/>
    <w:rsid w:val="00547D46"/>
    <w:rsid w:val="00547F15"/>
    <w:rsid w:val="0055023F"/>
    <w:rsid w:val="00550A1A"/>
    <w:rsid w:val="00550DCD"/>
    <w:rsid w:val="005511C5"/>
    <w:rsid w:val="005515E6"/>
    <w:rsid w:val="0055164B"/>
    <w:rsid w:val="005517C0"/>
    <w:rsid w:val="00551B3A"/>
    <w:rsid w:val="00552B60"/>
    <w:rsid w:val="0055303E"/>
    <w:rsid w:val="0055409D"/>
    <w:rsid w:val="0055455D"/>
    <w:rsid w:val="00554C5A"/>
    <w:rsid w:val="00555163"/>
    <w:rsid w:val="005558CD"/>
    <w:rsid w:val="00555B04"/>
    <w:rsid w:val="00555B37"/>
    <w:rsid w:val="00555BEC"/>
    <w:rsid w:val="00555C6B"/>
    <w:rsid w:val="005560A6"/>
    <w:rsid w:val="00556A6B"/>
    <w:rsid w:val="00557449"/>
    <w:rsid w:val="005574F1"/>
    <w:rsid w:val="00557684"/>
    <w:rsid w:val="00557707"/>
    <w:rsid w:val="00557872"/>
    <w:rsid w:val="00557F4E"/>
    <w:rsid w:val="0056027C"/>
    <w:rsid w:val="00560594"/>
    <w:rsid w:val="00560EE2"/>
    <w:rsid w:val="005611FB"/>
    <w:rsid w:val="005618BF"/>
    <w:rsid w:val="00561E03"/>
    <w:rsid w:val="005622EA"/>
    <w:rsid w:val="0056291E"/>
    <w:rsid w:val="00562B25"/>
    <w:rsid w:val="00562EC5"/>
    <w:rsid w:val="00563081"/>
    <w:rsid w:val="005634E2"/>
    <w:rsid w:val="0056397A"/>
    <w:rsid w:val="0056424E"/>
    <w:rsid w:val="0056462C"/>
    <w:rsid w:val="005648BB"/>
    <w:rsid w:val="005650E9"/>
    <w:rsid w:val="0056559E"/>
    <w:rsid w:val="00565909"/>
    <w:rsid w:val="0056689D"/>
    <w:rsid w:val="005670C1"/>
    <w:rsid w:val="00567D8D"/>
    <w:rsid w:val="00567E1A"/>
    <w:rsid w:val="00570097"/>
    <w:rsid w:val="00570431"/>
    <w:rsid w:val="00570711"/>
    <w:rsid w:val="005717FA"/>
    <w:rsid w:val="005726C4"/>
    <w:rsid w:val="00572751"/>
    <w:rsid w:val="00572B5C"/>
    <w:rsid w:val="00572C25"/>
    <w:rsid w:val="005730F7"/>
    <w:rsid w:val="00573759"/>
    <w:rsid w:val="00573C75"/>
    <w:rsid w:val="00573E1D"/>
    <w:rsid w:val="005740D1"/>
    <w:rsid w:val="005744BE"/>
    <w:rsid w:val="005752CA"/>
    <w:rsid w:val="005752EF"/>
    <w:rsid w:val="0057679C"/>
    <w:rsid w:val="00576B18"/>
    <w:rsid w:val="00576B2B"/>
    <w:rsid w:val="00576DA8"/>
    <w:rsid w:val="00577772"/>
    <w:rsid w:val="00577AB1"/>
    <w:rsid w:val="00577B80"/>
    <w:rsid w:val="005801A6"/>
    <w:rsid w:val="0058036D"/>
    <w:rsid w:val="00580D30"/>
    <w:rsid w:val="00581853"/>
    <w:rsid w:val="00581BFC"/>
    <w:rsid w:val="00582006"/>
    <w:rsid w:val="0058252F"/>
    <w:rsid w:val="00582804"/>
    <w:rsid w:val="005828DD"/>
    <w:rsid w:val="00582C0B"/>
    <w:rsid w:val="00583041"/>
    <w:rsid w:val="00583465"/>
    <w:rsid w:val="005834E6"/>
    <w:rsid w:val="00583CC0"/>
    <w:rsid w:val="00583EEA"/>
    <w:rsid w:val="00585550"/>
    <w:rsid w:val="005857C6"/>
    <w:rsid w:val="00585ABF"/>
    <w:rsid w:val="00586641"/>
    <w:rsid w:val="00586702"/>
    <w:rsid w:val="005868E1"/>
    <w:rsid w:val="00586960"/>
    <w:rsid w:val="00586C9F"/>
    <w:rsid w:val="00586E9A"/>
    <w:rsid w:val="005872CC"/>
    <w:rsid w:val="00587542"/>
    <w:rsid w:val="005876CC"/>
    <w:rsid w:val="00587724"/>
    <w:rsid w:val="00587C05"/>
    <w:rsid w:val="0059006B"/>
    <w:rsid w:val="005900CB"/>
    <w:rsid w:val="00590434"/>
    <w:rsid w:val="00590809"/>
    <w:rsid w:val="00590F2C"/>
    <w:rsid w:val="00591512"/>
    <w:rsid w:val="005915C6"/>
    <w:rsid w:val="00591F30"/>
    <w:rsid w:val="00592153"/>
    <w:rsid w:val="005939DE"/>
    <w:rsid w:val="00593D4F"/>
    <w:rsid w:val="005942D2"/>
    <w:rsid w:val="005943FF"/>
    <w:rsid w:val="00594A7A"/>
    <w:rsid w:val="00594DC7"/>
    <w:rsid w:val="00595B23"/>
    <w:rsid w:val="00595DBD"/>
    <w:rsid w:val="00596250"/>
    <w:rsid w:val="00596574"/>
    <w:rsid w:val="00596947"/>
    <w:rsid w:val="00596C58"/>
    <w:rsid w:val="005970D1"/>
    <w:rsid w:val="00597268"/>
    <w:rsid w:val="00597327"/>
    <w:rsid w:val="005A0744"/>
    <w:rsid w:val="005A0816"/>
    <w:rsid w:val="005A0864"/>
    <w:rsid w:val="005A0BC2"/>
    <w:rsid w:val="005A0BEA"/>
    <w:rsid w:val="005A278D"/>
    <w:rsid w:val="005A2880"/>
    <w:rsid w:val="005A2FB4"/>
    <w:rsid w:val="005A335E"/>
    <w:rsid w:val="005A35C4"/>
    <w:rsid w:val="005A3779"/>
    <w:rsid w:val="005A3A7E"/>
    <w:rsid w:val="005A4042"/>
    <w:rsid w:val="005A423F"/>
    <w:rsid w:val="005A46C1"/>
    <w:rsid w:val="005A5527"/>
    <w:rsid w:val="005A5833"/>
    <w:rsid w:val="005A5FD8"/>
    <w:rsid w:val="005A6C53"/>
    <w:rsid w:val="005A793F"/>
    <w:rsid w:val="005B011C"/>
    <w:rsid w:val="005B0499"/>
    <w:rsid w:val="005B1090"/>
    <w:rsid w:val="005B11E3"/>
    <w:rsid w:val="005B1303"/>
    <w:rsid w:val="005B18AA"/>
    <w:rsid w:val="005B1A31"/>
    <w:rsid w:val="005B1CE7"/>
    <w:rsid w:val="005B1CE9"/>
    <w:rsid w:val="005B26BC"/>
    <w:rsid w:val="005B2D91"/>
    <w:rsid w:val="005B3510"/>
    <w:rsid w:val="005B4741"/>
    <w:rsid w:val="005B48B4"/>
    <w:rsid w:val="005B49D7"/>
    <w:rsid w:val="005B5E15"/>
    <w:rsid w:val="005B5EBC"/>
    <w:rsid w:val="005B5F37"/>
    <w:rsid w:val="005B6249"/>
    <w:rsid w:val="005B6552"/>
    <w:rsid w:val="005B69D7"/>
    <w:rsid w:val="005B6E5A"/>
    <w:rsid w:val="005B7A4D"/>
    <w:rsid w:val="005B7C5F"/>
    <w:rsid w:val="005C0551"/>
    <w:rsid w:val="005C109F"/>
    <w:rsid w:val="005C1371"/>
    <w:rsid w:val="005C16FE"/>
    <w:rsid w:val="005C200C"/>
    <w:rsid w:val="005C25D9"/>
    <w:rsid w:val="005C2E60"/>
    <w:rsid w:val="005C41DB"/>
    <w:rsid w:val="005C44AC"/>
    <w:rsid w:val="005C4805"/>
    <w:rsid w:val="005C4DAB"/>
    <w:rsid w:val="005C5520"/>
    <w:rsid w:val="005C5D22"/>
    <w:rsid w:val="005C5EE1"/>
    <w:rsid w:val="005C6061"/>
    <w:rsid w:val="005C6661"/>
    <w:rsid w:val="005C6E3B"/>
    <w:rsid w:val="005C74DC"/>
    <w:rsid w:val="005C7975"/>
    <w:rsid w:val="005C7B38"/>
    <w:rsid w:val="005C7C7E"/>
    <w:rsid w:val="005D01E0"/>
    <w:rsid w:val="005D0337"/>
    <w:rsid w:val="005D12E3"/>
    <w:rsid w:val="005D15AB"/>
    <w:rsid w:val="005D16F6"/>
    <w:rsid w:val="005D19A5"/>
    <w:rsid w:val="005D1A28"/>
    <w:rsid w:val="005D1C95"/>
    <w:rsid w:val="005D1CE7"/>
    <w:rsid w:val="005D1D68"/>
    <w:rsid w:val="005D1DF4"/>
    <w:rsid w:val="005D1F7A"/>
    <w:rsid w:val="005D21B8"/>
    <w:rsid w:val="005D2487"/>
    <w:rsid w:val="005D2490"/>
    <w:rsid w:val="005D25DF"/>
    <w:rsid w:val="005D2900"/>
    <w:rsid w:val="005D2C8F"/>
    <w:rsid w:val="005D2F96"/>
    <w:rsid w:val="005D3046"/>
    <w:rsid w:val="005D37B9"/>
    <w:rsid w:val="005D37EE"/>
    <w:rsid w:val="005D3854"/>
    <w:rsid w:val="005D474B"/>
    <w:rsid w:val="005D5685"/>
    <w:rsid w:val="005D5C36"/>
    <w:rsid w:val="005D5FAF"/>
    <w:rsid w:val="005D6C35"/>
    <w:rsid w:val="005D6E19"/>
    <w:rsid w:val="005D792D"/>
    <w:rsid w:val="005D79D5"/>
    <w:rsid w:val="005D7D1C"/>
    <w:rsid w:val="005E05EC"/>
    <w:rsid w:val="005E082F"/>
    <w:rsid w:val="005E085C"/>
    <w:rsid w:val="005E0C57"/>
    <w:rsid w:val="005E0F09"/>
    <w:rsid w:val="005E13DF"/>
    <w:rsid w:val="005E1455"/>
    <w:rsid w:val="005E147D"/>
    <w:rsid w:val="005E172F"/>
    <w:rsid w:val="005E1937"/>
    <w:rsid w:val="005E22C2"/>
    <w:rsid w:val="005E24B2"/>
    <w:rsid w:val="005E2B31"/>
    <w:rsid w:val="005E32C3"/>
    <w:rsid w:val="005E35E4"/>
    <w:rsid w:val="005E57BB"/>
    <w:rsid w:val="005E58E3"/>
    <w:rsid w:val="005E595A"/>
    <w:rsid w:val="005E5FE3"/>
    <w:rsid w:val="005E6038"/>
    <w:rsid w:val="005E6632"/>
    <w:rsid w:val="005E6EDB"/>
    <w:rsid w:val="005E70EC"/>
    <w:rsid w:val="005E73E4"/>
    <w:rsid w:val="005E767B"/>
    <w:rsid w:val="005F0017"/>
    <w:rsid w:val="005F03AC"/>
    <w:rsid w:val="005F0B30"/>
    <w:rsid w:val="005F0E6F"/>
    <w:rsid w:val="005F18B7"/>
    <w:rsid w:val="005F238F"/>
    <w:rsid w:val="005F2A0B"/>
    <w:rsid w:val="005F3C78"/>
    <w:rsid w:val="005F4785"/>
    <w:rsid w:val="005F49F7"/>
    <w:rsid w:val="005F5F9E"/>
    <w:rsid w:val="005F688D"/>
    <w:rsid w:val="005F6F4C"/>
    <w:rsid w:val="005F70C2"/>
    <w:rsid w:val="005F7422"/>
    <w:rsid w:val="005F7D60"/>
    <w:rsid w:val="00600158"/>
    <w:rsid w:val="00600BE9"/>
    <w:rsid w:val="00600FCF"/>
    <w:rsid w:val="006011A4"/>
    <w:rsid w:val="00601223"/>
    <w:rsid w:val="006014F1"/>
    <w:rsid w:val="006014F8"/>
    <w:rsid w:val="00601514"/>
    <w:rsid w:val="00601842"/>
    <w:rsid w:val="006025C5"/>
    <w:rsid w:val="00602F4F"/>
    <w:rsid w:val="0060370D"/>
    <w:rsid w:val="00604046"/>
    <w:rsid w:val="00605052"/>
    <w:rsid w:val="0060505E"/>
    <w:rsid w:val="00605287"/>
    <w:rsid w:val="006062DC"/>
    <w:rsid w:val="006067C7"/>
    <w:rsid w:val="006069D0"/>
    <w:rsid w:val="00607097"/>
    <w:rsid w:val="0060733D"/>
    <w:rsid w:val="0060780C"/>
    <w:rsid w:val="006101ED"/>
    <w:rsid w:val="0061044E"/>
    <w:rsid w:val="006116D6"/>
    <w:rsid w:val="00611C56"/>
    <w:rsid w:val="00611CB6"/>
    <w:rsid w:val="00612521"/>
    <w:rsid w:val="0061262C"/>
    <w:rsid w:val="00612B7E"/>
    <w:rsid w:val="006134CA"/>
    <w:rsid w:val="0061357B"/>
    <w:rsid w:val="00613D65"/>
    <w:rsid w:val="00613EB2"/>
    <w:rsid w:val="00613FA6"/>
    <w:rsid w:val="00614111"/>
    <w:rsid w:val="006144FC"/>
    <w:rsid w:val="00614A7D"/>
    <w:rsid w:val="00614D42"/>
    <w:rsid w:val="00615A71"/>
    <w:rsid w:val="00615AF7"/>
    <w:rsid w:val="00615E42"/>
    <w:rsid w:val="00615EF8"/>
    <w:rsid w:val="00616360"/>
    <w:rsid w:val="006167F5"/>
    <w:rsid w:val="00616B39"/>
    <w:rsid w:val="00616C26"/>
    <w:rsid w:val="00616F75"/>
    <w:rsid w:val="006212B5"/>
    <w:rsid w:val="006218F4"/>
    <w:rsid w:val="00622631"/>
    <w:rsid w:val="00622645"/>
    <w:rsid w:val="0062292B"/>
    <w:rsid w:val="006229CD"/>
    <w:rsid w:val="00622D2E"/>
    <w:rsid w:val="00622E07"/>
    <w:rsid w:val="00623ABF"/>
    <w:rsid w:val="00623BBC"/>
    <w:rsid w:val="00623E85"/>
    <w:rsid w:val="00623F54"/>
    <w:rsid w:val="00624300"/>
    <w:rsid w:val="00624CD8"/>
    <w:rsid w:val="00624E73"/>
    <w:rsid w:val="006251EF"/>
    <w:rsid w:val="00625980"/>
    <w:rsid w:val="00626001"/>
    <w:rsid w:val="0062682A"/>
    <w:rsid w:val="00627EE9"/>
    <w:rsid w:val="0063007C"/>
    <w:rsid w:val="00630838"/>
    <w:rsid w:val="0063089E"/>
    <w:rsid w:val="006308B9"/>
    <w:rsid w:val="00630B47"/>
    <w:rsid w:val="00630DD1"/>
    <w:rsid w:val="00630F96"/>
    <w:rsid w:val="006313C4"/>
    <w:rsid w:val="0063166C"/>
    <w:rsid w:val="006326C4"/>
    <w:rsid w:val="00632B3F"/>
    <w:rsid w:val="00633346"/>
    <w:rsid w:val="00633500"/>
    <w:rsid w:val="006335E6"/>
    <w:rsid w:val="006336CA"/>
    <w:rsid w:val="00633707"/>
    <w:rsid w:val="006340AB"/>
    <w:rsid w:val="0063429A"/>
    <w:rsid w:val="00634C89"/>
    <w:rsid w:val="006362EB"/>
    <w:rsid w:val="0063631C"/>
    <w:rsid w:val="006364EE"/>
    <w:rsid w:val="006369F3"/>
    <w:rsid w:val="00636E91"/>
    <w:rsid w:val="00637338"/>
    <w:rsid w:val="00637565"/>
    <w:rsid w:val="0063757B"/>
    <w:rsid w:val="006377CE"/>
    <w:rsid w:val="00637E52"/>
    <w:rsid w:val="00637ECC"/>
    <w:rsid w:val="00637FC0"/>
    <w:rsid w:val="00640F71"/>
    <w:rsid w:val="00641AB1"/>
    <w:rsid w:val="00641C30"/>
    <w:rsid w:val="006426B6"/>
    <w:rsid w:val="00642A5D"/>
    <w:rsid w:val="00642B16"/>
    <w:rsid w:val="00642B2E"/>
    <w:rsid w:val="00642DED"/>
    <w:rsid w:val="006431E4"/>
    <w:rsid w:val="0064356B"/>
    <w:rsid w:val="006438A8"/>
    <w:rsid w:val="00643BB4"/>
    <w:rsid w:val="00643C6A"/>
    <w:rsid w:val="00643DA6"/>
    <w:rsid w:val="00643F71"/>
    <w:rsid w:val="00644570"/>
    <w:rsid w:val="0064468D"/>
    <w:rsid w:val="006461AC"/>
    <w:rsid w:val="006461CC"/>
    <w:rsid w:val="00646272"/>
    <w:rsid w:val="00646726"/>
    <w:rsid w:val="00646863"/>
    <w:rsid w:val="00647EF3"/>
    <w:rsid w:val="00650055"/>
    <w:rsid w:val="00650CC9"/>
    <w:rsid w:val="00650F90"/>
    <w:rsid w:val="00651174"/>
    <w:rsid w:val="00651245"/>
    <w:rsid w:val="00651580"/>
    <w:rsid w:val="00651B10"/>
    <w:rsid w:val="00651CEC"/>
    <w:rsid w:val="00651FAD"/>
    <w:rsid w:val="006526A7"/>
    <w:rsid w:val="0065288E"/>
    <w:rsid w:val="00652F72"/>
    <w:rsid w:val="0065310A"/>
    <w:rsid w:val="00653236"/>
    <w:rsid w:val="00653764"/>
    <w:rsid w:val="006537D9"/>
    <w:rsid w:val="006539C1"/>
    <w:rsid w:val="00654337"/>
    <w:rsid w:val="006543E2"/>
    <w:rsid w:val="00654DDC"/>
    <w:rsid w:val="006556F9"/>
    <w:rsid w:val="0065570A"/>
    <w:rsid w:val="0065587C"/>
    <w:rsid w:val="006558EB"/>
    <w:rsid w:val="00655F67"/>
    <w:rsid w:val="00656088"/>
    <w:rsid w:val="00656098"/>
    <w:rsid w:val="0065635F"/>
    <w:rsid w:val="00656361"/>
    <w:rsid w:val="006564CC"/>
    <w:rsid w:val="00656CF9"/>
    <w:rsid w:val="0065758A"/>
    <w:rsid w:val="006575F2"/>
    <w:rsid w:val="0065770C"/>
    <w:rsid w:val="006578CA"/>
    <w:rsid w:val="00657EDD"/>
    <w:rsid w:val="0066058F"/>
    <w:rsid w:val="00660DC8"/>
    <w:rsid w:val="00660E10"/>
    <w:rsid w:val="00660E22"/>
    <w:rsid w:val="00661999"/>
    <w:rsid w:val="00661C18"/>
    <w:rsid w:val="00661EF7"/>
    <w:rsid w:val="006628D6"/>
    <w:rsid w:val="00662922"/>
    <w:rsid w:val="00662A9F"/>
    <w:rsid w:val="00662B17"/>
    <w:rsid w:val="006631FE"/>
    <w:rsid w:val="00663B5C"/>
    <w:rsid w:val="00664A48"/>
    <w:rsid w:val="00664CAB"/>
    <w:rsid w:val="0066502A"/>
    <w:rsid w:val="00665DEF"/>
    <w:rsid w:val="0066610B"/>
    <w:rsid w:val="006665AD"/>
    <w:rsid w:val="00666BA7"/>
    <w:rsid w:val="00666DA2"/>
    <w:rsid w:val="00666F39"/>
    <w:rsid w:val="00667855"/>
    <w:rsid w:val="00667D5B"/>
    <w:rsid w:val="006704B1"/>
    <w:rsid w:val="0067138C"/>
    <w:rsid w:val="0067155B"/>
    <w:rsid w:val="00671DC4"/>
    <w:rsid w:val="00671E9E"/>
    <w:rsid w:val="00672D46"/>
    <w:rsid w:val="00673762"/>
    <w:rsid w:val="0067390B"/>
    <w:rsid w:val="00675726"/>
    <w:rsid w:val="0067579B"/>
    <w:rsid w:val="00675A50"/>
    <w:rsid w:val="00675BB1"/>
    <w:rsid w:val="00675F12"/>
    <w:rsid w:val="00676096"/>
    <w:rsid w:val="006766A7"/>
    <w:rsid w:val="006768A4"/>
    <w:rsid w:val="006768C3"/>
    <w:rsid w:val="006775F1"/>
    <w:rsid w:val="00677912"/>
    <w:rsid w:val="00677F3C"/>
    <w:rsid w:val="006800C0"/>
    <w:rsid w:val="00680532"/>
    <w:rsid w:val="0068079D"/>
    <w:rsid w:val="00680AB6"/>
    <w:rsid w:val="00680F66"/>
    <w:rsid w:val="00680F8D"/>
    <w:rsid w:val="006816D6"/>
    <w:rsid w:val="00682B8D"/>
    <w:rsid w:val="00682FA5"/>
    <w:rsid w:val="0068336C"/>
    <w:rsid w:val="00683A18"/>
    <w:rsid w:val="00683F3B"/>
    <w:rsid w:val="006847F5"/>
    <w:rsid w:val="0068490A"/>
    <w:rsid w:val="00684A84"/>
    <w:rsid w:val="00684EC2"/>
    <w:rsid w:val="00685010"/>
    <w:rsid w:val="0068643C"/>
    <w:rsid w:val="006877FC"/>
    <w:rsid w:val="00687ED2"/>
    <w:rsid w:val="006902EA"/>
    <w:rsid w:val="0069066F"/>
    <w:rsid w:val="0069072D"/>
    <w:rsid w:val="006907A9"/>
    <w:rsid w:val="006907DE"/>
    <w:rsid w:val="006908E5"/>
    <w:rsid w:val="00690AA5"/>
    <w:rsid w:val="00690E3F"/>
    <w:rsid w:val="00691436"/>
    <w:rsid w:val="006914B5"/>
    <w:rsid w:val="00691909"/>
    <w:rsid w:val="0069195F"/>
    <w:rsid w:val="00691BD3"/>
    <w:rsid w:val="006924B0"/>
    <w:rsid w:val="0069284A"/>
    <w:rsid w:val="00692AA7"/>
    <w:rsid w:val="00692EB5"/>
    <w:rsid w:val="00693DF0"/>
    <w:rsid w:val="00694214"/>
    <w:rsid w:val="006942F0"/>
    <w:rsid w:val="006944B4"/>
    <w:rsid w:val="006947B0"/>
    <w:rsid w:val="00694BC1"/>
    <w:rsid w:val="0069506D"/>
    <w:rsid w:val="006951CB"/>
    <w:rsid w:val="0069537B"/>
    <w:rsid w:val="00695898"/>
    <w:rsid w:val="00695E6C"/>
    <w:rsid w:val="006970C3"/>
    <w:rsid w:val="00697918"/>
    <w:rsid w:val="00697BAC"/>
    <w:rsid w:val="00697CD3"/>
    <w:rsid w:val="00697D58"/>
    <w:rsid w:val="00697E48"/>
    <w:rsid w:val="00697F3A"/>
    <w:rsid w:val="00697FB1"/>
    <w:rsid w:val="00697FEC"/>
    <w:rsid w:val="006A01D6"/>
    <w:rsid w:val="006A10DE"/>
    <w:rsid w:val="006A175F"/>
    <w:rsid w:val="006A17DD"/>
    <w:rsid w:val="006A194D"/>
    <w:rsid w:val="006A1E38"/>
    <w:rsid w:val="006A2059"/>
    <w:rsid w:val="006A2771"/>
    <w:rsid w:val="006A27C7"/>
    <w:rsid w:val="006A3236"/>
    <w:rsid w:val="006A37B6"/>
    <w:rsid w:val="006A4456"/>
    <w:rsid w:val="006A44F5"/>
    <w:rsid w:val="006A4B1F"/>
    <w:rsid w:val="006A523E"/>
    <w:rsid w:val="006A5541"/>
    <w:rsid w:val="006A5C35"/>
    <w:rsid w:val="006A5C87"/>
    <w:rsid w:val="006A5ED5"/>
    <w:rsid w:val="006A6576"/>
    <w:rsid w:val="006A6AFD"/>
    <w:rsid w:val="006A6C09"/>
    <w:rsid w:val="006A6FA8"/>
    <w:rsid w:val="006A78B6"/>
    <w:rsid w:val="006A79FD"/>
    <w:rsid w:val="006A7BBD"/>
    <w:rsid w:val="006B0350"/>
    <w:rsid w:val="006B16EC"/>
    <w:rsid w:val="006B1732"/>
    <w:rsid w:val="006B1D23"/>
    <w:rsid w:val="006B246E"/>
    <w:rsid w:val="006B24DB"/>
    <w:rsid w:val="006B271D"/>
    <w:rsid w:val="006B2FC4"/>
    <w:rsid w:val="006B30FB"/>
    <w:rsid w:val="006B3D21"/>
    <w:rsid w:val="006B3D44"/>
    <w:rsid w:val="006B4537"/>
    <w:rsid w:val="006B4553"/>
    <w:rsid w:val="006B541F"/>
    <w:rsid w:val="006B5F85"/>
    <w:rsid w:val="006B6907"/>
    <w:rsid w:val="006B6929"/>
    <w:rsid w:val="006B6B9E"/>
    <w:rsid w:val="006B6DFF"/>
    <w:rsid w:val="006B709B"/>
    <w:rsid w:val="006B77E1"/>
    <w:rsid w:val="006B7822"/>
    <w:rsid w:val="006C0185"/>
    <w:rsid w:val="006C0760"/>
    <w:rsid w:val="006C1154"/>
    <w:rsid w:val="006C13A2"/>
    <w:rsid w:val="006C1A83"/>
    <w:rsid w:val="006C1B12"/>
    <w:rsid w:val="006C1EFB"/>
    <w:rsid w:val="006C2D0E"/>
    <w:rsid w:val="006C2F29"/>
    <w:rsid w:val="006C358A"/>
    <w:rsid w:val="006C3830"/>
    <w:rsid w:val="006C43D9"/>
    <w:rsid w:val="006C5244"/>
    <w:rsid w:val="006C54AF"/>
    <w:rsid w:val="006C5C73"/>
    <w:rsid w:val="006C5D33"/>
    <w:rsid w:val="006C5D57"/>
    <w:rsid w:val="006C5D5E"/>
    <w:rsid w:val="006C6AE5"/>
    <w:rsid w:val="006C766D"/>
    <w:rsid w:val="006C7D09"/>
    <w:rsid w:val="006C7F6E"/>
    <w:rsid w:val="006D0193"/>
    <w:rsid w:val="006D0286"/>
    <w:rsid w:val="006D0392"/>
    <w:rsid w:val="006D0B21"/>
    <w:rsid w:val="006D16E1"/>
    <w:rsid w:val="006D1877"/>
    <w:rsid w:val="006D1E54"/>
    <w:rsid w:val="006D24D6"/>
    <w:rsid w:val="006D2779"/>
    <w:rsid w:val="006D35D3"/>
    <w:rsid w:val="006D372D"/>
    <w:rsid w:val="006D37CB"/>
    <w:rsid w:val="006D3810"/>
    <w:rsid w:val="006D3983"/>
    <w:rsid w:val="006D3BF3"/>
    <w:rsid w:val="006D3F9D"/>
    <w:rsid w:val="006D405D"/>
    <w:rsid w:val="006D40ED"/>
    <w:rsid w:val="006D45B5"/>
    <w:rsid w:val="006D4814"/>
    <w:rsid w:val="006D4821"/>
    <w:rsid w:val="006D4A86"/>
    <w:rsid w:val="006D4E29"/>
    <w:rsid w:val="006D4E54"/>
    <w:rsid w:val="006D50EE"/>
    <w:rsid w:val="006D563E"/>
    <w:rsid w:val="006D5A7C"/>
    <w:rsid w:val="006D5E2E"/>
    <w:rsid w:val="006D5E60"/>
    <w:rsid w:val="006D610F"/>
    <w:rsid w:val="006D6406"/>
    <w:rsid w:val="006D7A83"/>
    <w:rsid w:val="006D7E57"/>
    <w:rsid w:val="006E0181"/>
    <w:rsid w:val="006E0305"/>
    <w:rsid w:val="006E0978"/>
    <w:rsid w:val="006E12A0"/>
    <w:rsid w:val="006E233E"/>
    <w:rsid w:val="006E2442"/>
    <w:rsid w:val="006E30AE"/>
    <w:rsid w:val="006E3199"/>
    <w:rsid w:val="006E366B"/>
    <w:rsid w:val="006E3ABC"/>
    <w:rsid w:val="006E3B8E"/>
    <w:rsid w:val="006E3D40"/>
    <w:rsid w:val="006E47EB"/>
    <w:rsid w:val="006E510E"/>
    <w:rsid w:val="006E588B"/>
    <w:rsid w:val="006E66CD"/>
    <w:rsid w:val="006E6A97"/>
    <w:rsid w:val="006E6DA6"/>
    <w:rsid w:val="006E722C"/>
    <w:rsid w:val="006E7674"/>
    <w:rsid w:val="006E7A75"/>
    <w:rsid w:val="006E7AF5"/>
    <w:rsid w:val="006F04A3"/>
    <w:rsid w:val="006F0976"/>
    <w:rsid w:val="006F1307"/>
    <w:rsid w:val="006F15FC"/>
    <w:rsid w:val="006F1653"/>
    <w:rsid w:val="006F1773"/>
    <w:rsid w:val="006F2115"/>
    <w:rsid w:val="006F2777"/>
    <w:rsid w:val="006F2816"/>
    <w:rsid w:val="006F29C2"/>
    <w:rsid w:val="006F2B90"/>
    <w:rsid w:val="006F2F32"/>
    <w:rsid w:val="006F32E4"/>
    <w:rsid w:val="006F32FE"/>
    <w:rsid w:val="006F38F0"/>
    <w:rsid w:val="006F413B"/>
    <w:rsid w:val="006F4167"/>
    <w:rsid w:val="006F4228"/>
    <w:rsid w:val="006F4519"/>
    <w:rsid w:val="006F47EC"/>
    <w:rsid w:val="006F4D85"/>
    <w:rsid w:val="006F5363"/>
    <w:rsid w:val="006F5C72"/>
    <w:rsid w:val="006F6C63"/>
    <w:rsid w:val="006F7F85"/>
    <w:rsid w:val="006F7FA9"/>
    <w:rsid w:val="007006F2"/>
    <w:rsid w:val="007007DA"/>
    <w:rsid w:val="0070092B"/>
    <w:rsid w:val="00700C0E"/>
    <w:rsid w:val="0070156A"/>
    <w:rsid w:val="00702CC5"/>
    <w:rsid w:val="00703278"/>
    <w:rsid w:val="007032C4"/>
    <w:rsid w:val="007033FB"/>
    <w:rsid w:val="0070350B"/>
    <w:rsid w:val="00703646"/>
    <w:rsid w:val="00703BEA"/>
    <w:rsid w:val="00704846"/>
    <w:rsid w:val="00704D16"/>
    <w:rsid w:val="0070555D"/>
    <w:rsid w:val="00705A63"/>
    <w:rsid w:val="00705DAD"/>
    <w:rsid w:val="0070601E"/>
    <w:rsid w:val="007060C9"/>
    <w:rsid w:val="00706729"/>
    <w:rsid w:val="00706F30"/>
    <w:rsid w:val="007070BF"/>
    <w:rsid w:val="00707642"/>
    <w:rsid w:val="00707698"/>
    <w:rsid w:val="00707CAE"/>
    <w:rsid w:val="00710002"/>
    <w:rsid w:val="007101D1"/>
    <w:rsid w:val="007101F7"/>
    <w:rsid w:val="00710272"/>
    <w:rsid w:val="007107CE"/>
    <w:rsid w:val="00710AE0"/>
    <w:rsid w:val="00711F88"/>
    <w:rsid w:val="007121D8"/>
    <w:rsid w:val="0071257F"/>
    <w:rsid w:val="00713F75"/>
    <w:rsid w:val="0071525E"/>
    <w:rsid w:val="00715540"/>
    <w:rsid w:val="0071558F"/>
    <w:rsid w:val="00715B32"/>
    <w:rsid w:val="007167EC"/>
    <w:rsid w:val="0071686C"/>
    <w:rsid w:val="00716A2F"/>
    <w:rsid w:val="00716BED"/>
    <w:rsid w:val="00716C95"/>
    <w:rsid w:val="00716EAE"/>
    <w:rsid w:val="00716F05"/>
    <w:rsid w:val="0071724D"/>
    <w:rsid w:val="00717C06"/>
    <w:rsid w:val="0072030F"/>
    <w:rsid w:val="0072031B"/>
    <w:rsid w:val="007206F8"/>
    <w:rsid w:val="00722330"/>
    <w:rsid w:val="007223C5"/>
    <w:rsid w:val="0072244A"/>
    <w:rsid w:val="00722D06"/>
    <w:rsid w:val="007235F1"/>
    <w:rsid w:val="007235F8"/>
    <w:rsid w:val="00724611"/>
    <w:rsid w:val="007247B9"/>
    <w:rsid w:val="00725869"/>
    <w:rsid w:val="00725C55"/>
    <w:rsid w:val="00725CEA"/>
    <w:rsid w:val="0072616E"/>
    <w:rsid w:val="007261F7"/>
    <w:rsid w:val="00726449"/>
    <w:rsid w:val="00726957"/>
    <w:rsid w:val="0072729C"/>
    <w:rsid w:val="00727660"/>
    <w:rsid w:val="007278F2"/>
    <w:rsid w:val="00727CA6"/>
    <w:rsid w:val="00727D85"/>
    <w:rsid w:val="007305D6"/>
    <w:rsid w:val="00730723"/>
    <w:rsid w:val="00730944"/>
    <w:rsid w:val="00730997"/>
    <w:rsid w:val="0073137D"/>
    <w:rsid w:val="00731F6A"/>
    <w:rsid w:val="00732625"/>
    <w:rsid w:val="00732AA9"/>
    <w:rsid w:val="00732B64"/>
    <w:rsid w:val="00733136"/>
    <w:rsid w:val="00734196"/>
    <w:rsid w:val="00734390"/>
    <w:rsid w:val="007346C7"/>
    <w:rsid w:val="007348BD"/>
    <w:rsid w:val="00734A20"/>
    <w:rsid w:val="00735342"/>
    <w:rsid w:val="007353AE"/>
    <w:rsid w:val="00735752"/>
    <w:rsid w:val="00735886"/>
    <w:rsid w:val="00735A3E"/>
    <w:rsid w:val="00735F21"/>
    <w:rsid w:val="00735F91"/>
    <w:rsid w:val="00736041"/>
    <w:rsid w:val="007365A5"/>
    <w:rsid w:val="00736681"/>
    <w:rsid w:val="007373A1"/>
    <w:rsid w:val="0073744D"/>
    <w:rsid w:val="007375CC"/>
    <w:rsid w:val="007376E1"/>
    <w:rsid w:val="007408C7"/>
    <w:rsid w:val="00741159"/>
    <w:rsid w:val="0074168A"/>
    <w:rsid w:val="00741A66"/>
    <w:rsid w:val="007420C0"/>
    <w:rsid w:val="007425B9"/>
    <w:rsid w:val="007430E4"/>
    <w:rsid w:val="00743752"/>
    <w:rsid w:val="00744598"/>
    <w:rsid w:val="00744A64"/>
    <w:rsid w:val="00744CF8"/>
    <w:rsid w:val="0074597C"/>
    <w:rsid w:val="00745BF3"/>
    <w:rsid w:val="00745C5D"/>
    <w:rsid w:val="007461CE"/>
    <w:rsid w:val="007465DA"/>
    <w:rsid w:val="007500D5"/>
    <w:rsid w:val="00750706"/>
    <w:rsid w:val="00750CB0"/>
    <w:rsid w:val="00750D0C"/>
    <w:rsid w:val="007525E5"/>
    <w:rsid w:val="00752624"/>
    <w:rsid w:val="00752C7F"/>
    <w:rsid w:val="00753496"/>
    <w:rsid w:val="00753B3D"/>
    <w:rsid w:val="00753F56"/>
    <w:rsid w:val="007543DF"/>
    <w:rsid w:val="007551D3"/>
    <w:rsid w:val="0075567D"/>
    <w:rsid w:val="00755E43"/>
    <w:rsid w:val="00756064"/>
    <w:rsid w:val="0075659D"/>
    <w:rsid w:val="00756691"/>
    <w:rsid w:val="00756AE7"/>
    <w:rsid w:val="00756CA3"/>
    <w:rsid w:val="007570AB"/>
    <w:rsid w:val="00757183"/>
    <w:rsid w:val="00757253"/>
    <w:rsid w:val="007573D1"/>
    <w:rsid w:val="00757903"/>
    <w:rsid w:val="00760439"/>
    <w:rsid w:val="00760623"/>
    <w:rsid w:val="00761164"/>
    <w:rsid w:val="007612DE"/>
    <w:rsid w:val="0076171B"/>
    <w:rsid w:val="00761FDE"/>
    <w:rsid w:val="00762FC9"/>
    <w:rsid w:val="007630C0"/>
    <w:rsid w:val="00763156"/>
    <w:rsid w:val="00763F24"/>
    <w:rsid w:val="00765F4C"/>
    <w:rsid w:val="007660F9"/>
    <w:rsid w:val="007662B9"/>
    <w:rsid w:val="00766AC8"/>
    <w:rsid w:val="0076713E"/>
    <w:rsid w:val="00767626"/>
    <w:rsid w:val="007676CA"/>
    <w:rsid w:val="0076783F"/>
    <w:rsid w:val="007678D5"/>
    <w:rsid w:val="00767E22"/>
    <w:rsid w:val="00767EF2"/>
    <w:rsid w:val="00770DC5"/>
    <w:rsid w:val="00770FFB"/>
    <w:rsid w:val="007715D1"/>
    <w:rsid w:val="007718FA"/>
    <w:rsid w:val="00772735"/>
    <w:rsid w:val="00772932"/>
    <w:rsid w:val="00772E77"/>
    <w:rsid w:val="00772F90"/>
    <w:rsid w:val="0077341B"/>
    <w:rsid w:val="00773A23"/>
    <w:rsid w:val="00773C76"/>
    <w:rsid w:val="00773CE2"/>
    <w:rsid w:val="007741E3"/>
    <w:rsid w:val="0077455B"/>
    <w:rsid w:val="0077464D"/>
    <w:rsid w:val="0077468C"/>
    <w:rsid w:val="00775027"/>
    <w:rsid w:val="00775255"/>
    <w:rsid w:val="00775DFE"/>
    <w:rsid w:val="00775E44"/>
    <w:rsid w:val="00775F25"/>
    <w:rsid w:val="0077647B"/>
    <w:rsid w:val="00776598"/>
    <w:rsid w:val="007767A4"/>
    <w:rsid w:val="0077703C"/>
    <w:rsid w:val="007801A4"/>
    <w:rsid w:val="00781035"/>
    <w:rsid w:val="00782DBE"/>
    <w:rsid w:val="00782EAB"/>
    <w:rsid w:val="00783242"/>
    <w:rsid w:val="00783AD7"/>
    <w:rsid w:val="007845E0"/>
    <w:rsid w:val="00784B41"/>
    <w:rsid w:val="00784E13"/>
    <w:rsid w:val="007853D3"/>
    <w:rsid w:val="0078585A"/>
    <w:rsid w:val="007858ED"/>
    <w:rsid w:val="00785E7C"/>
    <w:rsid w:val="00785F5D"/>
    <w:rsid w:val="00785FDD"/>
    <w:rsid w:val="007867DE"/>
    <w:rsid w:val="007867E0"/>
    <w:rsid w:val="00786C57"/>
    <w:rsid w:val="00786E4B"/>
    <w:rsid w:val="00787034"/>
    <w:rsid w:val="007872F5"/>
    <w:rsid w:val="00787C87"/>
    <w:rsid w:val="00790283"/>
    <w:rsid w:val="0079047B"/>
    <w:rsid w:val="007911AF"/>
    <w:rsid w:val="00791E8A"/>
    <w:rsid w:val="007923A9"/>
    <w:rsid w:val="00792948"/>
    <w:rsid w:val="00793013"/>
    <w:rsid w:val="007936D0"/>
    <w:rsid w:val="007939FA"/>
    <w:rsid w:val="00793D53"/>
    <w:rsid w:val="0079480C"/>
    <w:rsid w:val="00794A83"/>
    <w:rsid w:val="007954C0"/>
    <w:rsid w:val="00795B5D"/>
    <w:rsid w:val="007960F3"/>
    <w:rsid w:val="00796114"/>
    <w:rsid w:val="00796E84"/>
    <w:rsid w:val="00796F12"/>
    <w:rsid w:val="00797217"/>
    <w:rsid w:val="00797BEE"/>
    <w:rsid w:val="007A0606"/>
    <w:rsid w:val="007A0A0E"/>
    <w:rsid w:val="007A0A37"/>
    <w:rsid w:val="007A0C4B"/>
    <w:rsid w:val="007A0ECD"/>
    <w:rsid w:val="007A10A0"/>
    <w:rsid w:val="007A1B7D"/>
    <w:rsid w:val="007A1BDD"/>
    <w:rsid w:val="007A1DFF"/>
    <w:rsid w:val="007A1FED"/>
    <w:rsid w:val="007A27AF"/>
    <w:rsid w:val="007A2E1E"/>
    <w:rsid w:val="007A320C"/>
    <w:rsid w:val="007A352D"/>
    <w:rsid w:val="007A3ADE"/>
    <w:rsid w:val="007A3C26"/>
    <w:rsid w:val="007A3D23"/>
    <w:rsid w:val="007A3DE3"/>
    <w:rsid w:val="007A42B7"/>
    <w:rsid w:val="007A43B8"/>
    <w:rsid w:val="007A5201"/>
    <w:rsid w:val="007A5733"/>
    <w:rsid w:val="007A5774"/>
    <w:rsid w:val="007A5A9D"/>
    <w:rsid w:val="007A639B"/>
    <w:rsid w:val="007A69AF"/>
    <w:rsid w:val="007A6AAB"/>
    <w:rsid w:val="007A6E53"/>
    <w:rsid w:val="007A73CF"/>
    <w:rsid w:val="007A7979"/>
    <w:rsid w:val="007A7B09"/>
    <w:rsid w:val="007B0203"/>
    <w:rsid w:val="007B020C"/>
    <w:rsid w:val="007B0340"/>
    <w:rsid w:val="007B06D8"/>
    <w:rsid w:val="007B1150"/>
    <w:rsid w:val="007B196E"/>
    <w:rsid w:val="007B19D7"/>
    <w:rsid w:val="007B1A27"/>
    <w:rsid w:val="007B1B06"/>
    <w:rsid w:val="007B1C21"/>
    <w:rsid w:val="007B1FC5"/>
    <w:rsid w:val="007B24B8"/>
    <w:rsid w:val="007B280E"/>
    <w:rsid w:val="007B284A"/>
    <w:rsid w:val="007B2865"/>
    <w:rsid w:val="007B2F29"/>
    <w:rsid w:val="007B2FCE"/>
    <w:rsid w:val="007B3019"/>
    <w:rsid w:val="007B3286"/>
    <w:rsid w:val="007B34E9"/>
    <w:rsid w:val="007B4A03"/>
    <w:rsid w:val="007B57E5"/>
    <w:rsid w:val="007B5DF2"/>
    <w:rsid w:val="007B7120"/>
    <w:rsid w:val="007B7390"/>
    <w:rsid w:val="007B73F0"/>
    <w:rsid w:val="007B7FC9"/>
    <w:rsid w:val="007C1355"/>
    <w:rsid w:val="007C18D4"/>
    <w:rsid w:val="007C1958"/>
    <w:rsid w:val="007C1C61"/>
    <w:rsid w:val="007C286A"/>
    <w:rsid w:val="007C2BA0"/>
    <w:rsid w:val="007C329E"/>
    <w:rsid w:val="007C34C0"/>
    <w:rsid w:val="007C34FD"/>
    <w:rsid w:val="007C3A99"/>
    <w:rsid w:val="007C3DF2"/>
    <w:rsid w:val="007C40EB"/>
    <w:rsid w:val="007C4894"/>
    <w:rsid w:val="007C4E4A"/>
    <w:rsid w:val="007C522C"/>
    <w:rsid w:val="007C522E"/>
    <w:rsid w:val="007C57B2"/>
    <w:rsid w:val="007C57B8"/>
    <w:rsid w:val="007C5C55"/>
    <w:rsid w:val="007C5E6A"/>
    <w:rsid w:val="007C62F9"/>
    <w:rsid w:val="007C6897"/>
    <w:rsid w:val="007C7C8C"/>
    <w:rsid w:val="007D15B8"/>
    <w:rsid w:val="007D17FF"/>
    <w:rsid w:val="007D1D04"/>
    <w:rsid w:val="007D29BA"/>
    <w:rsid w:val="007D2F81"/>
    <w:rsid w:val="007D31C4"/>
    <w:rsid w:val="007D3428"/>
    <w:rsid w:val="007D3B74"/>
    <w:rsid w:val="007D4604"/>
    <w:rsid w:val="007D64E4"/>
    <w:rsid w:val="007D708A"/>
    <w:rsid w:val="007D7278"/>
    <w:rsid w:val="007D793B"/>
    <w:rsid w:val="007D7B06"/>
    <w:rsid w:val="007E01E9"/>
    <w:rsid w:val="007E035B"/>
    <w:rsid w:val="007E04DF"/>
    <w:rsid w:val="007E0A62"/>
    <w:rsid w:val="007E1864"/>
    <w:rsid w:val="007E23F3"/>
    <w:rsid w:val="007E2431"/>
    <w:rsid w:val="007E2850"/>
    <w:rsid w:val="007E2B31"/>
    <w:rsid w:val="007E32A1"/>
    <w:rsid w:val="007E3706"/>
    <w:rsid w:val="007E40A6"/>
    <w:rsid w:val="007E4801"/>
    <w:rsid w:val="007E4927"/>
    <w:rsid w:val="007E4AA4"/>
    <w:rsid w:val="007E4C4E"/>
    <w:rsid w:val="007E520F"/>
    <w:rsid w:val="007E5471"/>
    <w:rsid w:val="007E5A35"/>
    <w:rsid w:val="007E6409"/>
    <w:rsid w:val="007E6884"/>
    <w:rsid w:val="007E6D65"/>
    <w:rsid w:val="007E7700"/>
    <w:rsid w:val="007E7704"/>
    <w:rsid w:val="007F03C9"/>
    <w:rsid w:val="007F0484"/>
    <w:rsid w:val="007F0878"/>
    <w:rsid w:val="007F19F6"/>
    <w:rsid w:val="007F2878"/>
    <w:rsid w:val="007F2D04"/>
    <w:rsid w:val="007F2E53"/>
    <w:rsid w:val="007F2FD9"/>
    <w:rsid w:val="007F32AE"/>
    <w:rsid w:val="007F3975"/>
    <w:rsid w:val="007F4125"/>
    <w:rsid w:val="007F41F0"/>
    <w:rsid w:val="007F42F4"/>
    <w:rsid w:val="007F4586"/>
    <w:rsid w:val="007F4730"/>
    <w:rsid w:val="007F48E5"/>
    <w:rsid w:val="007F4933"/>
    <w:rsid w:val="007F5304"/>
    <w:rsid w:val="007F5822"/>
    <w:rsid w:val="007F614D"/>
    <w:rsid w:val="007F6225"/>
    <w:rsid w:val="007F63AD"/>
    <w:rsid w:val="007F7094"/>
    <w:rsid w:val="007F7415"/>
    <w:rsid w:val="007F7947"/>
    <w:rsid w:val="0080028D"/>
    <w:rsid w:val="008002C8"/>
    <w:rsid w:val="00800BC9"/>
    <w:rsid w:val="00800CDB"/>
    <w:rsid w:val="0080148D"/>
    <w:rsid w:val="00801796"/>
    <w:rsid w:val="008019AF"/>
    <w:rsid w:val="00801E74"/>
    <w:rsid w:val="008025CA"/>
    <w:rsid w:val="00802971"/>
    <w:rsid w:val="00802D7A"/>
    <w:rsid w:val="008034DB"/>
    <w:rsid w:val="0080361A"/>
    <w:rsid w:val="008045A8"/>
    <w:rsid w:val="0080485E"/>
    <w:rsid w:val="00804CE1"/>
    <w:rsid w:val="0080501F"/>
    <w:rsid w:val="00805C77"/>
    <w:rsid w:val="0080609E"/>
    <w:rsid w:val="008060C9"/>
    <w:rsid w:val="00806A28"/>
    <w:rsid w:val="00806B83"/>
    <w:rsid w:val="00807952"/>
    <w:rsid w:val="00810312"/>
    <w:rsid w:val="00810710"/>
    <w:rsid w:val="00810B53"/>
    <w:rsid w:val="0081122B"/>
    <w:rsid w:val="008117BB"/>
    <w:rsid w:val="0081198E"/>
    <w:rsid w:val="00811A25"/>
    <w:rsid w:val="00811EF5"/>
    <w:rsid w:val="00811F94"/>
    <w:rsid w:val="00811F98"/>
    <w:rsid w:val="008136FE"/>
    <w:rsid w:val="00813DBA"/>
    <w:rsid w:val="0081407B"/>
    <w:rsid w:val="008142B4"/>
    <w:rsid w:val="008147C1"/>
    <w:rsid w:val="008147C2"/>
    <w:rsid w:val="00814A81"/>
    <w:rsid w:val="00814DBB"/>
    <w:rsid w:val="008167F4"/>
    <w:rsid w:val="008168A6"/>
    <w:rsid w:val="00816AA7"/>
    <w:rsid w:val="00816FBF"/>
    <w:rsid w:val="00817043"/>
    <w:rsid w:val="008170F0"/>
    <w:rsid w:val="008173B2"/>
    <w:rsid w:val="00817947"/>
    <w:rsid w:val="00820763"/>
    <w:rsid w:val="0082168C"/>
    <w:rsid w:val="00822141"/>
    <w:rsid w:val="00822370"/>
    <w:rsid w:val="008225B1"/>
    <w:rsid w:val="00822E47"/>
    <w:rsid w:val="00823278"/>
    <w:rsid w:val="00823584"/>
    <w:rsid w:val="00823F2E"/>
    <w:rsid w:val="00823F8E"/>
    <w:rsid w:val="0082470A"/>
    <w:rsid w:val="00824765"/>
    <w:rsid w:val="008252C0"/>
    <w:rsid w:val="0082533F"/>
    <w:rsid w:val="008263EB"/>
    <w:rsid w:val="008267AE"/>
    <w:rsid w:val="008269D0"/>
    <w:rsid w:val="00826CC0"/>
    <w:rsid w:val="00826CDD"/>
    <w:rsid w:val="00827328"/>
    <w:rsid w:val="00827548"/>
    <w:rsid w:val="0083060B"/>
    <w:rsid w:val="008306C2"/>
    <w:rsid w:val="00831028"/>
    <w:rsid w:val="00831638"/>
    <w:rsid w:val="00831BFA"/>
    <w:rsid w:val="00831CDB"/>
    <w:rsid w:val="00831EEA"/>
    <w:rsid w:val="00832324"/>
    <w:rsid w:val="00833201"/>
    <w:rsid w:val="00833B2B"/>
    <w:rsid w:val="00833C92"/>
    <w:rsid w:val="0083410F"/>
    <w:rsid w:val="008342A1"/>
    <w:rsid w:val="008342A7"/>
    <w:rsid w:val="00834734"/>
    <w:rsid w:val="00834897"/>
    <w:rsid w:val="00834A56"/>
    <w:rsid w:val="00834DD4"/>
    <w:rsid w:val="008350B7"/>
    <w:rsid w:val="0083511B"/>
    <w:rsid w:val="00835205"/>
    <w:rsid w:val="00835337"/>
    <w:rsid w:val="00835DAB"/>
    <w:rsid w:val="00835EAB"/>
    <w:rsid w:val="0083624E"/>
    <w:rsid w:val="008362C0"/>
    <w:rsid w:val="008363B3"/>
    <w:rsid w:val="0083660E"/>
    <w:rsid w:val="0083679A"/>
    <w:rsid w:val="008367A9"/>
    <w:rsid w:val="0083707C"/>
    <w:rsid w:val="0083762B"/>
    <w:rsid w:val="00837FC2"/>
    <w:rsid w:val="0084073E"/>
    <w:rsid w:val="00840A98"/>
    <w:rsid w:val="00840C03"/>
    <w:rsid w:val="008410AA"/>
    <w:rsid w:val="0084121A"/>
    <w:rsid w:val="00841443"/>
    <w:rsid w:val="0084182A"/>
    <w:rsid w:val="008419F0"/>
    <w:rsid w:val="008420CE"/>
    <w:rsid w:val="00842BDB"/>
    <w:rsid w:val="00842FF3"/>
    <w:rsid w:val="008434E0"/>
    <w:rsid w:val="00843DD3"/>
    <w:rsid w:val="008440EB"/>
    <w:rsid w:val="008445BF"/>
    <w:rsid w:val="0084510C"/>
    <w:rsid w:val="00845AE1"/>
    <w:rsid w:val="00846771"/>
    <w:rsid w:val="00846DCD"/>
    <w:rsid w:val="00846DD6"/>
    <w:rsid w:val="0084717C"/>
    <w:rsid w:val="008473B0"/>
    <w:rsid w:val="0084766B"/>
    <w:rsid w:val="00847C61"/>
    <w:rsid w:val="00847D75"/>
    <w:rsid w:val="008507BB"/>
    <w:rsid w:val="00850E8E"/>
    <w:rsid w:val="00850F31"/>
    <w:rsid w:val="008512DF"/>
    <w:rsid w:val="008515C3"/>
    <w:rsid w:val="00851D22"/>
    <w:rsid w:val="00851D85"/>
    <w:rsid w:val="0085254B"/>
    <w:rsid w:val="00852D3F"/>
    <w:rsid w:val="00853419"/>
    <w:rsid w:val="00853540"/>
    <w:rsid w:val="00853643"/>
    <w:rsid w:val="00853723"/>
    <w:rsid w:val="00853732"/>
    <w:rsid w:val="00853862"/>
    <w:rsid w:val="00853AA9"/>
    <w:rsid w:val="008549A7"/>
    <w:rsid w:val="00855064"/>
    <w:rsid w:val="00855317"/>
    <w:rsid w:val="008559D8"/>
    <w:rsid w:val="008561F4"/>
    <w:rsid w:val="008569BB"/>
    <w:rsid w:val="00856B75"/>
    <w:rsid w:val="008576A2"/>
    <w:rsid w:val="00857DD7"/>
    <w:rsid w:val="00857E04"/>
    <w:rsid w:val="00857F24"/>
    <w:rsid w:val="00860CCB"/>
    <w:rsid w:val="00860EE7"/>
    <w:rsid w:val="008610DF"/>
    <w:rsid w:val="008613E8"/>
    <w:rsid w:val="008618FE"/>
    <w:rsid w:val="008619F8"/>
    <w:rsid w:val="00861C5F"/>
    <w:rsid w:val="00861CD5"/>
    <w:rsid w:val="00861DEE"/>
    <w:rsid w:val="00861FC2"/>
    <w:rsid w:val="008622E3"/>
    <w:rsid w:val="00862723"/>
    <w:rsid w:val="00862743"/>
    <w:rsid w:val="00862DCA"/>
    <w:rsid w:val="00863362"/>
    <w:rsid w:val="008636BC"/>
    <w:rsid w:val="0086385B"/>
    <w:rsid w:val="008639C9"/>
    <w:rsid w:val="00863D64"/>
    <w:rsid w:val="00864145"/>
    <w:rsid w:val="00864A78"/>
    <w:rsid w:val="00864C41"/>
    <w:rsid w:val="00865188"/>
    <w:rsid w:val="0086518B"/>
    <w:rsid w:val="008659A3"/>
    <w:rsid w:val="00865EC4"/>
    <w:rsid w:val="0086616C"/>
    <w:rsid w:val="00866637"/>
    <w:rsid w:val="0086664D"/>
    <w:rsid w:val="008667E4"/>
    <w:rsid w:val="0086683E"/>
    <w:rsid w:val="0086684D"/>
    <w:rsid w:val="00866F3A"/>
    <w:rsid w:val="00867634"/>
    <w:rsid w:val="00867BFB"/>
    <w:rsid w:val="008706E9"/>
    <w:rsid w:val="008712A8"/>
    <w:rsid w:val="008717B7"/>
    <w:rsid w:val="00871A5F"/>
    <w:rsid w:val="0087291B"/>
    <w:rsid w:val="0087327A"/>
    <w:rsid w:val="00873306"/>
    <w:rsid w:val="0087382E"/>
    <w:rsid w:val="00873913"/>
    <w:rsid w:val="00873DC3"/>
    <w:rsid w:val="00873DEA"/>
    <w:rsid w:val="008740A3"/>
    <w:rsid w:val="00874508"/>
    <w:rsid w:val="00874B53"/>
    <w:rsid w:val="008750EA"/>
    <w:rsid w:val="0087548E"/>
    <w:rsid w:val="00875C8E"/>
    <w:rsid w:val="00875E0E"/>
    <w:rsid w:val="008761AC"/>
    <w:rsid w:val="0087713E"/>
    <w:rsid w:val="00877328"/>
    <w:rsid w:val="008773DC"/>
    <w:rsid w:val="0088051C"/>
    <w:rsid w:val="00880D69"/>
    <w:rsid w:val="00880D73"/>
    <w:rsid w:val="00881545"/>
    <w:rsid w:val="00881602"/>
    <w:rsid w:val="00881CF6"/>
    <w:rsid w:val="0088200E"/>
    <w:rsid w:val="00883626"/>
    <w:rsid w:val="00883C22"/>
    <w:rsid w:val="008841F0"/>
    <w:rsid w:val="008842B0"/>
    <w:rsid w:val="00884318"/>
    <w:rsid w:val="008845D8"/>
    <w:rsid w:val="0088486E"/>
    <w:rsid w:val="0088492C"/>
    <w:rsid w:val="00884B24"/>
    <w:rsid w:val="00885106"/>
    <w:rsid w:val="0088522F"/>
    <w:rsid w:val="00885D54"/>
    <w:rsid w:val="00885FAF"/>
    <w:rsid w:val="00887887"/>
    <w:rsid w:val="008905AB"/>
    <w:rsid w:val="00890961"/>
    <w:rsid w:val="00890CD9"/>
    <w:rsid w:val="00890DBB"/>
    <w:rsid w:val="008910C5"/>
    <w:rsid w:val="00891375"/>
    <w:rsid w:val="008914C8"/>
    <w:rsid w:val="00891630"/>
    <w:rsid w:val="00892686"/>
    <w:rsid w:val="0089297B"/>
    <w:rsid w:val="00892EED"/>
    <w:rsid w:val="00893013"/>
    <w:rsid w:val="008930C1"/>
    <w:rsid w:val="00893147"/>
    <w:rsid w:val="008934DC"/>
    <w:rsid w:val="00893886"/>
    <w:rsid w:val="00894ED3"/>
    <w:rsid w:val="00895FA4"/>
    <w:rsid w:val="00896B30"/>
    <w:rsid w:val="00896BC3"/>
    <w:rsid w:val="00897F5B"/>
    <w:rsid w:val="008A0623"/>
    <w:rsid w:val="008A0F47"/>
    <w:rsid w:val="008A0F62"/>
    <w:rsid w:val="008A1607"/>
    <w:rsid w:val="008A1B44"/>
    <w:rsid w:val="008A2180"/>
    <w:rsid w:val="008A2AB5"/>
    <w:rsid w:val="008A2B5A"/>
    <w:rsid w:val="008A3356"/>
    <w:rsid w:val="008A34E5"/>
    <w:rsid w:val="008A3861"/>
    <w:rsid w:val="008A397B"/>
    <w:rsid w:val="008A3E0B"/>
    <w:rsid w:val="008A52B0"/>
    <w:rsid w:val="008A5474"/>
    <w:rsid w:val="008A56FC"/>
    <w:rsid w:val="008A6261"/>
    <w:rsid w:val="008A6AC7"/>
    <w:rsid w:val="008A74F2"/>
    <w:rsid w:val="008A7707"/>
    <w:rsid w:val="008A78AB"/>
    <w:rsid w:val="008B01F6"/>
    <w:rsid w:val="008B057E"/>
    <w:rsid w:val="008B05AA"/>
    <w:rsid w:val="008B08EB"/>
    <w:rsid w:val="008B10FB"/>
    <w:rsid w:val="008B1151"/>
    <w:rsid w:val="008B1A56"/>
    <w:rsid w:val="008B242F"/>
    <w:rsid w:val="008B2585"/>
    <w:rsid w:val="008B2716"/>
    <w:rsid w:val="008B272A"/>
    <w:rsid w:val="008B29DB"/>
    <w:rsid w:val="008B2CA0"/>
    <w:rsid w:val="008B2DB4"/>
    <w:rsid w:val="008B317B"/>
    <w:rsid w:val="008B3191"/>
    <w:rsid w:val="008B339F"/>
    <w:rsid w:val="008B367D"/>
    <w:rsid w:val="008B446E"/>
    <w:rsid w:val="008B5339"/>
    <w:rsid w:val="008B5DC9"/>
    <w:rsid w:val="008B683A"/>
    <w:rsid w:val="008B6869"/>
    <w:rsid w:val="008B6D7F"/>
    <w:rsid w:val="008B714D"/>
    <w:rsid w:val="008B73DA"/>
    <w:rsid w:val="008B779C"/>
    <w:rsid w:val="008B7988"/>
    <w:rsid w:val="008C017F"/>
    <w:rsid w:val="008C0331"/>
    <w:rsid w:val="008C112B"/>
    <w:rsid w:val="008C1377"/>
    <w:rsid w:val="008C20F8"/>
    <w:rsid w:val="008C24FE"/>
    <w:rsid w:val="008C273A"/>
    <w:rsid w:val="008C2D75"/>
    <w:rsid w:val="008C322C"/>
    <w:rsid w:val="008C36CA"/>
    <w:rsid w:val="008C3929"/>
    <w:rsid w:val="008C3F36"/>
    <w:rsid w:val="008C40A7"/>
    <w:rsid w:val="008C4707"/>
    <w:rsid w:val="008C4B42"/>
    <w:rsid w:val="008C5A4C"/>
    <w:rsid w:val="008C5F29"/>
    <w:rsid w:val="008C62DE"/>
    <w:rsid w:val="008C638E"/>
    <w:rsid w:val="008C66F7"/>
    <w:rsid w:val="008C67B9"/>
    <w:rsid w:val="008C69AF"/>
    <w:rsid w:val="008C6DF0"/>
    <w:rsid w:val="008C74E6"/>
    <w:rsid w:val="008C7C6A"/>
    <w:rsid w:val="008C7D69"/>
    <w:rsid w:val="008C7EB3"/>
    <w:rsid w:val="008CFE99"/>
    <w:rsid w:val="008D0BEF"/>
    <w:rsid w:val="008D172F"/>
    <w:rsid w:val="008D1980"/>
    <w:rsid w:val="008D1A09"/>
    <w:rsid w:val="008D2588"/>
    <w:rsid w:val="008D2854"/>
    <w:rsid w:val="008D2B1D"/>
    <w:rsid w:val="008D2B73"/>
    <w:rsid w:val="008D2FB6"/>
    <w:rsid w:val="008D3ADD"/>
    <w:rsid w:val="008D3DB0"/>
    <w:rsid w:val="008D3FA5"/>
    <w:rsid w:val="008D41D7"/>
    <w:rsid w:val="008D4756"/>
    <w:rsid w:val="008D4974"/>
    <w:rsid w:val="008D4A7F"/>
    <w:rsid w:val="008D4C5A"/>
    <w:rsid w:val="008D4CD9"/>
    <w:rsid w:val="008D54A8"/>
    <w:rsid w:val="008D6157"/>
    <w:rsid w:val="008D6E01"/>
    <w:rsid w:val="008D723E"/>
    <w:rsid w:val="008D7245"/>
    <w:rsid w:val="008D785B"/>
    <w:rsid w:val="008D796F"/>
    <w:rsid w:val="008E0B86"/>
    <w:rsid w:val="008E105E"/>
    <w:rsid w:val="008E20A5"/>
    <w:rsid w:val="008E2340"/>
    <w:rsid w:val="008E3162"/>
    <w:rsid w:val="008E3235"/>
    <w:rsid w:val="008E358C"/>
    <w:rsid w:val="008E3F8C"/>
    <w:rsid w:val="008E3FAD"/>
    <w:rsid w:val="008E42F2"/>
    <w:rsid w:val="008E4A19"/>
    <w:rsid w:val="008E4FEE"/>
    <w:rsid w:val="008E5562"/>
    <w:rsid w:val="008E56B2"/>
    <w:rsid w:val="008E5A27"/>
    <w:rsid w:val="008E5F71"/>
    <w:rsid w:val="008E63A0"/>
    <w:rsid w:val="008E6DB4"/>
    <w:rsid w:val="008E74EF"/>
    <w:rsid w:val="008E7B96"/>
    <w:rsid w:val="008F183A"/>
    <w:rsid w:val="008F1922"/>
    <w:rsid w:val="008F1C0B"/>
    <w:rsid w:val="008F1C9C"/>
    <w:rsid w:val="008F2164"/>
    <w:rsid w:val="008F29AC"/>
    <w:rsid w:val="008F2CFC"/>
    <w:rsid w:val="008F2F20"/>
    <w:rsid w:val="008F3D0A"/>
    <w:rsid w:val="008F405F"/>
    <w:rsid w:val="008F44E4"/>
    <w:rsid w:val="008F47FB"/>
    <w:rsid w:val="008F48FF"/>
    <w:rsid w:val="008F4AE9"/>
    <w:rsid w:val="008F52DD"/>
    <w:rsid w:val="008F5CEC"/>
    <w:rsid w:val="008F5FFF"/>
    <w:rsid w:val="008F6253"/>
    <w:rsid w:val="008F719E"/>
    <w:rsid w:val="008F7511"/>
    <w:rsid w:val="008F7DCD"/>
    <w:rsid w:val="008F7E20"/>
    <w:rsid w:val="00900B34"/>
    <w:rsid w:val="00900EE1"/>
    <w:rsid w:val="00901D5A"/>
    <w:rsid w:val="00901F10"/>
    <w:rsid w:val="009024EC"/>
    <w:rsid w:val="009026F9"/>
    <w:rsid w:val="009028B6"/>
    <w:rsid w:val="00902968"/>
    <w:rsid w:val="00902E3A"/>
    <w:rsid w:val="00902FD0"/>
    <w:rsid w:val="00903295"/>
    <w:rsid w:val="009033E0"/>
    <w:rsid w:val="00903DF8"/>
    <w:rsid w:val="00903E49"/>
    <w:rsid w:val="00904AFA"/>
    <w:rsid w:val="00904CC4"/>
    <w:rsid w:val="009050E9"/>
    <w:rsid w:val="00905194"/>
    <w:rsid w:val="009053D3"/>
    <w:rsid w:val="009054A1"/>
    <w:rsid w:val="00905712"/>
    <w:rsid w:val="00905954"/>
    <w:rsid w:val="00905AC8"/>
    <w:rsid w:val="009061C0"/>
    <w:rsid w:val="009063CA"/>
    <w:rsid w:val="0090691F"/>
    <w:rsid w:val="00910341"/>
    <w:rsid w:val="009111C3"/>
    <w:rsid w:val="00911A39"/>
    <w:rsid w:val="00912538"/>
    <w:rsid w:val="009126C4"/>
    <w:rsid w:val="0091279F"/>
    <w:rsid w:val="009127BD"/>
    <w:rsid w:val="00912B4F"/>
    <w:rsid w:val="00912B92"/>
    <w:rsid w:val="00913DF6"/>
    <w:rsid w:val="0091557B"/>
    <w:rsid w:val="00916644"/>
    <w:rsid w:val="00916927"/>
    <w:rsid w:val="00916AF0"/>
    <w:rsid w:val="00916FB6"/>
    <w:rsid w:val="0091780E"/>
    <w:rsid w:val="00920167"/>
    <w:rsid w:val="009201C9"/>
    <w:rsid w:val="009204A8"/>
    <w:rsid w:val="00920553"/>
    <w:rsid w:val="00920F6E"/>
    <w:rsid w:val="009219F2"/>
    <w:rsid w:val="00921C1E"/>
    <w:rsid w:val="0092211D"/>
    <w:rsid w:val="00922AB8"/>
    <w:rsid w:val="009232FF"/>
    <w:rsid w:val="00923672"/>
    <w:rsid w:val="0092373B"/>
    <w:rsid w:val="0092386B"/>
    <w:rsid w:val="00923CC7"/>
    <w:rsid w:val="009250DF"/>
    <w:rsid w:val="00925388"/>
    <w:rsid w:val="00925BB7"/>
    <w:rsid w:val="00925DB6"/>
    <w:rsid w:val="00926631"/>
    <w:rsid w:val="00926963"/>
    <w:rsid w:val="00926BF0"/>
    <w:rsid w:val="00926E75"/>
    <w:rsid w:val="0092704D"/>
    <w:rsid w:val="0092721C"/>
    <w:rsid w:val="009276B4"/>
    <w:rsid w:val="009279AB"/>
    <w:rsid w:val="00927BF4"/>
    <w:rsid w:val="00927FF8"/>
    <w:rsid w:val="00930042"/>
    <w:rsid w:val="00930A45"/>
    <w:rsid w:val="00930C5C"/>
    <w:rsid w:val="00930F9D"/>
    <w:rsid w:val="0093111F"/>
    <w:rsid w:val="00932107"/>
    <w:rsid w:val="009325C0"/>
    <w:rsid w:val="00932633"/>
    <w:rsid w:val="00933689"/>
    <w:rsid w:val="00933BDD"/>
    <w:rsid w:val="00933D01"/>
    <w:rsid w:val="00933E35"/>
    <w:rsid w:val="00934084"/>
    <w:rsid w:val="00935689"/>
    <w:rsid w:val="00935B3D"/>
    <w:rsid w:val="00935D4C"/>
    <w:rsid w:val="009366F5"/>
    <w:rsid w:val="0093670B"/>
    <w:rsid w:val="0093678D"/>
    <w:rsid w:val="00936C71"/>
    <w:rsid w:val="00937129"/>
    <w:rsid w:val="009373F7"/>
    <w:rsid w:val="009375D3"/>
    <w:rsid w:val="00937BB9"/>
    <w:rsid w:val="0094022E"/>
    <w:rsid w:val="0094045A"/>
    <w:rsid w:val="00940CB3"/>
    <w:rsid w:val="00940E0D"/>
    <w:rsid w:val="009416DA"/>
    <w:rsid w:val="00941ED5"/>
    <w:rsid w:val="00941FEC"/>
    <w:rsid w:val="00942B5A"/>
    <w:rsid w:val="00943225"/>
    <w:rsid w:val="0094337F"/>
    <w:rsid w:val="0094383B"/>
    <w:rsid w:val="00944048"/>
    <w:rsid w:val="00944133"/>
    <w:rsid w:val="00944156"/>
    <w:rsid w:val="00944A2A"/>
    <w:rsid w:val="00944A5B"/>
    <w:rsid w:val="00944A66"/>
    <w:rsid w:val="009451AA"/>
    <w:rsid w:val="0094564E"/>
    <w:rsid w:val="009459FB"/>
    <w:rsid w:val="0094607C"/>
    <w:rsid w:val="00946760"/>
    <w:rsid w:val="00946D24"/>
    <w:rsid w:val="00947064"/>
    <w:rsid w:val="00947779"/>
    <w:rsid w:val="00947C16"/>
    <w:rsid w:val="00950B86"/>
    <w:rsid w:val="00950D6A"/>
    <w:rsid w:val="009510D3"/>
    <w:rsid w:val="00951630"/>
    <w:rsid w:val="0095176C"/>
    <w:rsid w:val="0095303B"/>
    <w:rsid w:val="00953082"/>
    <w:rsid w:val="00953500"/>
    <w:rsid w:val="00953924"/>
    <w:rsid w:val="00953F66"/>
    <w:rsid w:val="009540B2"/>
    <w:rsid w:val="009542E8"/>
    <w:rsid w:val="00954A1C"/>
    <w:rsid w:val="00954E9F"/>
    <w:rsid w:val="00955514"/>
    <w:rsid w:val="00955E7D"/>
    <w:rsid w:val="00956859"/>
    <w:rsid w:val="00956A24"/>
    <w:rsid w:val="00956FD0"/>
    <w:rsid w:val="00957014"/>
    <w:rsid w:val="00957354"/>
    <w:rsid w:val="00957388"/>
    <w:rsid w:val="0095757D"/>
    <w:rsid w:val="009576AA"/>
    <w:rsid w:val="009577D6"/>
    <w:rsid w:val="0095793A"/>
    <w:rsid w:val="009600EA"/>
    <w:rsid w:val="00960117"/>
    <w:rsid w:val="00960461"/>
    <w:rsid w:val="00961381"/>
    <w:rsid w:val="00961BAC"/>
    <w:rsid w:val="00961F44"/>
    <w:rsid w:val="00961FC8"/>
    <w:rsid w:val="009621E4"/>
    <w:rsid w:val="00962718"/>
    <w:rsid w:val="009636DF"/>
    <w:rsid w:val="0096387C"/>
    <w:rsid w:val="00963910"/>
    <w:rsid w:val="00963A3C"/>
    <w:rsid w:val="00963C05"/>
    <w:rsid w:val="009641EB"/>
    <w:rsid w:val="009645B4"/>
    <w:rsid w:val="0096471D"/>
    <w:rsid w:val="00965D20"/>
    <w:rsid w:val="009663B6"/>
    <w:rsid w:val="009663C7"/>
    <w:rsid w:val="00966858"/>
    <w:rsid w:val="00966BC3"/>
    <w:rsid w:val="00966E17"/>
    <w:rsid w:val="00967A7D"/>
    <w:rsid w:val="00967D4F"/>
    <w:rsid w:val="009701FB"/>
    <w:rsid w:val="009703E8"/>
    <w:rsid w:val="00970B40"/>
    <w:rsid w:val="00971725"/>
    <w:rsid w:val="00971880"/>
    <w:rsid w:val="009721EE"/>
    <w:rsid w:val="009726C0"/>
    <w:rsid w:val="00973700"/>
    <w:rsid w:val="0097375B"/>
    <w:rsid w:val="009737C7"/>
    <w:rsid w:val="00973E63"/>
    <w:rsid w:val="00974A47"/>
    <w:rsid w:val="00975262"/>
    <w:rsid w:val="009754F6"/>
    <w:rsid w:val="00975763"/>
    <w:rsid w:val="009758EA"/>
    <w:rsid w:val="00975F8A"/>
    <w:rsid w:val="00976645"/>
    <w:rsid w:val="00976945"/>
    <w:rsid w:val="00976A2A"/>
    <w:rsid w:val="009770CB"/>
    <w:rsid w:val="00977669"/>
    <w:rsid w:val="00980286"/>
    <w:rsid w:val="0098049A"/>
    <w:rsid w:val="0098068D"/>
    <w:rsid w:val="00980AC9"/>
    <w:rsid w:val="00980F0C"/>
    <w:rsid w:val="009812D5"/>
    <w:rsid w:val="00981BB2"/>
    <w:rsid w:val="00983141"/>
    <w:rsid w:val="00983842"/>
    <w:rsid w:val="00983F50"/>
    <w:rsid w:val="00984B41"/>
    <w:rsid w:val="00985038"/>
    <w:rsid w:val="00985160"/>
    <w:rsid w:val="009855B9"/>
    <w:rsid w:val="0098622C"/>
    <w:rsid w:val="00986DBB"/>
    <w:rsid w:val="00986EFC"/>
    <w:rsid w:val="0098715A"/>
    <w:rsid w:val="00987355"/>
    <w:rsid w:val="00990578"/>
    <w:rsid w:val="009906BC"/>
    <w:rsid w:val="009908D0"/>
    <w:rsid w:val="00990DCF"/>
    <w:rsid w:val="009913BD"/>
    <w:rsid w:val="0099172A"/>
    <w:rsid w:val="009918DE"/>
    <w:rsid w:val="00991DE1"/>
    <w:rsid w:val="009921A2"/>
    <w:rsid w:val="0099255E"/>
    <w:rsid w:val="00992948"/>
    <w:rsid w:val="00992BEE"/>
    <w:rsid w:val="00992E02"/>
    <w:rsid w:val="00992E32"/>
    <w:rsid w:val="00993213"/>
    <w:rsid w:val="009937CA"/>
    <w:rsid w:val="00993A54"/>
    <w:rsid w:val="009940AC"/>
    <w:rsid w:val="00995139"/>
    <w:rsid w:val="009951A9"/>
    <w:rsid w:val="009951C6"/>
    <w:rsid w:val="009952D9"/>
    <w:rsid w:val="0099552E"/>
    <w:rsid w:val="00995780"/>
    <w:rsid w:val="00995AC7"/>
    <w:rsid w:val="00995BFC"/>
    <w:rsid w:val="00995D5E"/>
    <w:rsid w:val="009962BE"/>
    <w:rsid w:val="009967AA"/>
    <w:rsid w:val="0099780A"/>
    <w:rsid w:val="009A0711"/>
    <w:rsid w:val="009A0833"/>
    <w:rsid w:val="009A136B"/>
    <w:rsid w:val="009A1E0F"/>
    <w:rsid w:val="009A201E"/>
    <w:rsid w:val="009A2905"/>
    <w:rsid w:val="009A30FD"/>
    <w:rsid w:val="009A33BC"/>
    <w:rsid w:val="009A363C"/>
    <w:rsid w:val="009A393A"/>
    <w:rsid w:val="009A4312"/>
    <w:rsid w:val="009A4ACD"/>
    <w:rsid w:val="009A4CD6"/>
    <w:rsid w:val="009A4D72"/>
    <w:rsid w:val="009A4FFC"/>
    <w:rsid w:val="009A537C"/>
    <w:rsid w:val="009A5629"/>
    <w:rsid w:val="009A589A"/>
    <w:rsid w:val="009A5AFC"/>
    <w:rsid w:val="009A67D9"/>
    <w:rsid w:val="009A6E09"/>
    <w:rsid w:val="009A78E1"/>
    <w:rsid w:val="009B05D6"/>
    <w:rsid w:val="009B0A64"/>
    <w:rsid w:val="009B1127"/>
    <w:rsid w:val="009B17B7"/>
    <w:rsid w:val="009B264E"/>
    <w:rsid w:val="009B2680"/>
    <w:rsid w:val="009B31FB"/>
    <w:rsid w:val="009B377A"/>
    <w:rsid w:val="009B3FA6"/>
    <w:rsid w:val="009B3FD2"/>
    <w:rsid w:val="009B4C74"/>
    <w:rsid w:val="009B573D"/>
    <w:rsid w:val="009B6103"/>
    <w:rsid w:val="009B617A"/>
    <w:rsid w:val="009B6AB5"/>
    <w:rsid w:val="009B701F"/>
    <w:rsid w:val="009B7300"/>
    <w:rsid w:val="009B73FC"/>
    <w:rsid w:val="009B7CAA"/>
    <w:rsid w:val="009C00AC"/>
    <w:rsid w:val="009C0886"/>
    <w:rsid w:val="009C1025"/>
    <w:rsid w:val="009C19EE"/>
    <w:rsid w:val="009C1B53"/>
    <w:rsid w:val="009C287A"/>
    <w:rsid w:val="009C28D0"/>
    <w:rsid w:val="009C2C3E"/>
    <w:rsid w:val="009C2E2B"/>
    <w:rsid w:val="009C35F2"/>
    <w:rsid w:val="009C3743"/>
    <w:rsid w:val="009C3902"/>
    <w:rsid w:val="009C39E3"/>
    <w:rsid w:val="009C3FB0"/>
    <w:rsid w:val="009C43E3"/>
    <w:rsid w:val="009C45F6"/>
    <w:rsid w:val="009C5198"/>
    <w:rsid w:val="009C58BE"/>
    <w:rsid w:val="009C5EB9"/>
    <w:rsid w:val="009C7301"/>
    <w:rsid w:val="009C7411"/>
    <w:rsid w:val="009C7682"/>
    <w:rsid w:val="009C7782"/>
    <w:rsid w:val="009C7A99"/>
    <w:rsid w:val="009C7C2C"/>
    <w:rsid w:val="009D07DA"/>
    <w:rsid w:val="009D08D9"/>
    <w:rsid w:val="009D08DF"/>
    <w:rsid w:val="009D0CD5"/>
    <w:rsid w:val="009D1226"/>
    <w:rsid w:val="009D16A4"/>
    <w:rsid w:val="009D1A3E"/>
    <w:rsid w:val="009D1B28"/>
    <w:rsid w:val="009D1B55"/>
    <w:rsid w:val="009D1DDD"/>
    <w:rsid w:val="009D1ED5"/>
    <w:rsid w:val="009D1FF1"/>
    <w:rsid w:val="009D2380"/>
    <w:rsid w:val="009D26C6"/>
    <w:rsid w:val="009D381A"/>
    <w:rsid w:val="009D3DCA"/>
    <w:rsid w:val="009D4438"/>
    <w:rsid w:val="009D4479"/>
    <w:rsid w:val="009D4C13"/>
    <w:rsid w:val="009D51F7"/>
    <w:rsid w:val="009D5507"/>
    <w:rsid w:val="009D5D1D"/>
    <w:rsid w:val="009D5EE0"/>
    <w:rsid w:val="009D67BA"/>
    <w:rsid w:val="009D6C64"/>
    <w:rsid w:val="009D720A"/>
    <w:rsid w:val="009E01E6"/>
    <w:rsid w:val="009E08C1"/>
    <w:rsid w:val="009E11B9"/>
    <w:rsid w:val="009E1389"/>
    <w:rsid w:val="009E1AF2"/>
    <w:rsid w:val="009E21A7"/>
    <w:rsid w:val="009E21DD"/>
    <w:rsid w:val="009E22D7"/>
    <w:rsid w:val="009E2A03"/>
    <w:rsid w:val="009E2B92"/>
    <w:rsid w:val="009E2E19"/>
    <w:rsid w:val="009E2E2B"/>
    <w:rsid w:val="009E3CB9"/>
    <w:rsid w:val="009E3EDB"/>
    <w:rsid w:val="009E4511"/>
    <w:rsid w:val="009E4F87"/>
    <w:rsid w:val="009E516C"/>
    <w:rsid w:val="009E557E"/>
    <w:rsid w:val="009E5699"/>
    <w:rsid w:val="009E5844"/>
    <w:rsid w:val="009E5E5B"/>
    <w:rsid w:val="009E5F7C"/>
    <w:rsid w:val="009E63DC"/>
    <w:rsid w:val="009E69A4"/>
    <w:rsid w:val="009E793C"/>
    <w:rsid w:val="009E7D7E"/>
    <w:rsid w:val="009F037D"/>
    <w:rsid w:val="009F04BF"/>
    <w:rsid w:val="009F05E8"/>
    <w:rsid w:val="009F1CFF"/>
    <w:rsid w:val="009F1DA5"/>
    <w:rsid w:val="009F216E"/>
    <w:rsid w:val="009F288B"/>
    <w:rsid w:val="009F28AB"/>
    <w:rsid w:val="009F28BD"/>
    <w:rsid w:val="009F2ADE"/>
    <w:rsid w:val="009F2BEB"/>
    <w:rsid w:val="009F2CDE"/>
    <w:rsid w:val="009F2F70"/>
    <w:rsid w:val="009F3356"/>
    <w:rsid w:val="009F3BAA"/>
    <w:rsid w:val="009F3EB4"/>
    <w:rsid w:val="009F40D3"/>
    <w:rsid w:val="009F41E0"/>
    <w:rsid w:val="009F4604"/>
    <w:rsid w:val="009F4CF5"/>
    <w:rsid w:val="009F4F9B"/>
    <w:rsid w:val="009F5109"/>
    <w:rsid w:val="009F5421"/>
    <w:rsid w:val="009F5F04"/>
    <w:rsid w:val="009F6756"/>
    <w:rsid w:val="009F6BB8"/>
    <w:rsid w:val="009F6C4E"/>
    <w:rsid w:val="009F6D27"/>
    <w:rsid w:val="009F6EB1"/>
    <w:rsid w:val="009F73A0"/>
    <w:rsid w:val="009F7628"/>
    <w:rsid w:val="009F7A89"/>
    <w:rsid w:val="009F7AE7"/>
    <w:rsid w:val="00A00815"/>
    <w:rsid w:val="00A0115F"/>
    <w:rsid w:val="00A01304"/>
    <w:rsid w:val="00A015A7"/>
    <w:rsid w:val="00A01808"/>
    <w:rsid w:val="00A0189D"/>
    <w:rsid w:val="00A01A35"/>
    <w:rsid w:val="00A01D1A"/>
    <w:rsid w:val="00A01F14"/>
    <w:rsid w:val="00A01F3E"/>
    <w:rsid w:val="00A028B0"/>
    <w:rsid w:val="00A02988"/>
    <w:rsid w:val="00A02B3D"/>
    <w:rsid w:val="00A02D5C"/>
    <w:rsid w:val="00A02F3D"/>
    <w:rsid w:val="00A031A9"/>
    <w:rsid w:val="00A03B0B"/>
    <w:rsid w:val="00A03D3A"/>
    <w:rsid w:val="00A041B8"/>
    <w:rsid w:val="00A04543"/>
    <w:rsid w:val="00A04CD2"/>
    <w:rsid w:val="00A04D3C"/>
    <w:rsid w:val="00A04F41"/>
    <w:rsid w:val="00A0537B"/>
    <w:rsid w:val="00A057EC"/>
    <w:rsid w:val="00A05F07"/>
    <w:rsid w:val="00A06060"/>
    <w:rsid w:val="00A069FF"/>
    <w:rsid w:val="00A07E73"/>
    <w:rsid w:val="00A103ED"/>
    <w:rsid w:val="00A10F18"/>
    <w:rsid w:val="00A116A9"/>
    <w:rsid w:val="00A11796"/>
    <w:rsid w:val="00A12092"/>
    <w:rsid w:val="00A122AD"/>
    <w:rsid w:val="00A128BE"/>
    <w:rsid w:val="00A12965"/>
    <w:rsid w:val="00A13C60"/>
    <w:rsid w:val="00A13D00"/>
    <w:rsid w:val="00A14101"/>
    <w:rsid w:val="00A141B4"/>
    <w:rsid w:val="00A14643"/>
    <w:rsid w:val="00A14E27"/>
    <w:rsid w:val="00A15134"/>
    <w:rsid w:val="00A15202"/>
    <w:rsid w:val="00A16BB5"/>
    <w:rsid w:val="00A16D52"/>
    <w:rsid w:val="00A16D75"/>
    <w:rsid w:val="00A16F2F"/>
    <w:rsid w:val="00A17698"/>
    <w:rsid w:val="00A2040B"/>
    <w:rsid w:val="00A20B74"/>
    <w:rsid w:val="00A20D47"/>
    <w:rsid w:val="00A20E08"/>
    <w:rsid w:val="00A218FC"/>
    <w:rsid w:val="00A21BD6"/>
    <w:rsid w:val="00A21E84"/>
    <w:rsid w:val="00A22582"/>
    <w:rsid w:val="00A225E0"/>
    <w:rsid w:val="00A233A1"/>
    <w:rsid w:val="00A23B0D"/>
    <w:rsid w:val="00A24156"/>
    <w:rsid w:val="00A2496D"/>
    <w:rsid w:val="00A2558F"/>
    <w:rsid w:val="00A25619"/>
    <w:rsid w:val="00A258C9"/>
    <w:rsid w:val="00A25B4C"/>
    <w:rsid w:val="00A25F3F"/>
    <w:rsid w:val="00A2616D"/>
    <w:rsid w:val="00A26E27"/>
    <w:rsid w:val="00A27F23"/>
    <w:rsid w:val="00A27F92"/>
    <w:rsid w:val="00A311E1"/>
    <w:rsid w:val="00A3122B"/>
    <w:rsid w:val="00A31555"/>
    <w:rsid w:val="00A32155"/>
    <w:rsid w:val="00A32783"/>
    <w:rsid w:val="00A32DE6"/>
    <w:rsid w:val="00A33284"/>
    <w:rsid w:val="00A33486"/>
    <w:rsid w:val="00A33F9A"/>
    <w:rsid w:val="00A341A3"/>
    <w:rsid w:val="00A347CF"/>
    <w:rsid w:val="00A3484C"/>
    <w:rsid w:val="00A34CEA"/>
    <w:rsid w:val="00A34FCF"/>
    <w:rsid w:val="00A355DA"/>
    <w:rsid w:val="00A356E8"/>
    <w:rsid w:val="00A35800"/>
    <w:rsid w:val="00A36743"/>
    <w:rsid w:val="00A36DFA"/>
    <w:rsid w:val="00A36EE8"/>
    <w:rsid w:val="00A377D0"/>
    <w:rsid w:val="00A378B0"/>
    <w:rsid w:val="00A37949"/>
    <w:rsid w:val="00A37ACA"/>
    <w:rsid w:val="00A37CC4"/>
    <w:rsid w:val="00A40143"/>
    <w:rsid w:val="00A40EAF"/>
    <w:rsid w:val="00A40FB4"/>
    <w:rsid w:val="00A410CA"/>
    <w:rsid w:val="00A42608"/>
    <w:rsid w:val="00A4307F"/>
    <w:rsid w:val="00A435AC"/>
    <w:rsid w:val="00A43677"/>
    <w:rsid w:val="00A44BCE"/>
    <w:rsid w:val="00A451D5"/>
    <w:rsid w:val="00A45255"/>
    <w:rsid w:val="00A45325"/>
    <w:rsid w:val="00A453B1"/>
    <w:rsid w:val="00A46694"/>
    <w:rsid w:val="00A4702E"/>
    <w:rsid w:val="00A47087"/>
    <w:rsid w:val="00A47B84"/>
    <w:rsid w:val="00A5073F"/>
    <w:rsid w:val="00A50756"/>
    <w:rsid w:val="00A50DA9"/>
    <w:rsid w:val="00A513AB"/>
    <w:rsid w:val="00A51E46"/>
    <w:rsid w:val="00A5218B"/>
    <w:rsid w:val="00A52612"/>
    <w:rsid w:val="00A52918"/>
    <w:rsid w:val="00A52963"/>
    <w:rsid w:val="00A535E6"/>
    <w:rsid w:val="00A537E4"/>
    <w:rsid w:val="00A53AC4"/>
    <w:rsid w:val="00A54331"/>
    <w:rsid w:val="00A54796"/>
    <w:rsid w:val="00A547B3"/>
    <w:rsid w:val="00A552D9"/>
    <w:rsid w:val="00A55D44"/>
    <w:rsid w:val="00A561B7"/>
    <w:rsid w:val="00A56797"/>
    <w:rsid w:val="00A56B3C"/>
    <w:rsid w:val="00A57198"/>
    <w:rsid w:val="00A5761D"/>
    <w:rsid w:val="00A57A4E"/>
    <w:rsid w:val="00A57AEE"/>
    <w:rsid w:val="00A603E5"/>
    <w:rsid w:val="00A60434"/>
    <w:rsid w:val="00A604B4"/>
    <w:rsid w:val="00A61207"/>
    <w:rsid w:val="00A61905"/>
    <w:rsid w:val="00A61F73"/>
    <w:rsid w:val="00A626C9"/>
    <w:rsid w:val="00A63637"/>
    <w:rsid w:val="00A63DC0"/>
    <w:rsid w:val="00A64284"/>
    <w:rsid w:val="00A64BE9"/>
    <w:rsid w:val="00A64CD2"/>
    <w:rsid w:val="00A64D16"/>
    <w:rsid w:val="00A6549C"/>
    <w:rsid w:val="00A65F6A"/>
    <w:rsid w:val="00A662E0"/>
    <w:rsid w:val="00A6670B"/>
    <w:rsid w:val="00A677E0"/>
    <w:rsid w:val="00A6786C"/>
    <w:rsid w:val="00A678C2"/>
    <w:rsid w:val="00A707C0"/>
    <w:rsid w:val="00A70932"/>
    <w:rsid w:val="00A70E82"/>
    <w:rsid w:val="00A70FE7"/>
    <w:rsid w:val="00A71196"/>
    <w:rsid w:val="00A719BA"/>
    <w:rsid w:val="00A719EC"/>
    <w:rsid w:val="00A71A31"/>
    <w:rsid w:val="00A71E61"/>
    <w:rsid w:val="00A7243D"/>
    <w:rsid w:val="00A72C5C"/>
    <w:rsid w:val="00A7359B"/>
    <w:rsid w:val="00A7413B"/>
    <w:rsid w:val="00A74D53"/>
    <w:rsid w:val="00A74F9C"/>
    <w:rsid w:val="00A74FD2"/>
    <w:rsid w:val="00A751EC"/>
    <w:rsid w:val="00A75571"/>
    <w:rsid w:val="00A75CC3"/>
    <w:rsid w:val="00A760FE"/>
    <w:rsid w:val="00A76E0D"/>
    <w:rsid w:val="00A77801"/>
    <w:rsid w:val="00A77D11"/>
    <w:rsid w:val="00A77D3D"/>
    <w:rsid w:val="00A77D75"/>
    <w:rsid w:val="00A77E86"/>
    <w:rsid w:val="00A803E2"/>
    <w:rsid w:val="00A803F4"/>
    <w:rsid w:val="00A80434"/>
    <w:rsid w:val="00A80CDD"/>
    <w:rsid w:val="00A81243"/>
    <w:rsid w:val="00A8126F"/>
    <w:rsid w:val="00A814BD"/>
    <w:rsid w:val="00A81954"/>
    <w:rsid w:val="00A81C65"/>
    <w:rsid w:val="00A81D66"/>
    <w:rsid w:val="00A8227E"/>
    <w:rsid w:val="00A82296"/>
    <w:rsid w:val="00A82935"/>
    <w:rsid w:val="00A82966"/>
    <w:rsid w:val="00A82EF5"/>
    <w:rsid w:val="00A838CB"/>
    <w:rsid w:val="00A8395B"/>
    <w:rsid w:val="00A83B29"/>
    <w:rsid w:val="00A8478C"/>
    <w:rsid w:val="00A84978"/>
    <w:rsid w:val="00A84CAD"/>
    <w:rsid w:val="00A85072"/>
    <w:rsid w:val="00A8616A"/>
    <w:rsid w:val="00A86449"/>
    <w:rsid w:val="00A868D3"/>
    <w:rsid w:val="00A8791F"/>
    <w:rsid w:val="00A90492"/>
    <w:rsid w:val="00A906F7"/>
    <w:rsid w:val="00A90811"/>
    <w:rsid w:val="00A90E50"/>
    <w:rsid w:val="00A91AF3"/>
    <w:rsid w:val="00A91B08"/>
    <w:rsid w:val="00A91B2C"/>
    <w:rsid w:val="00A91CDC"/>
    <w:rsid w:val="00A92067"/>
    <w:rsid w:val="00A92EDB"/>
    <w:rsid w:val="00A93730"/>
    <w:rsid w:val="00A938C0"/>
    <w:rsid w:val="00A93AED"/>
    <w:rsid w:val="00A93F42"/>
    <w:rsid w:val="00A940F3"/>
    <w:rsid w:val="00A9423B"/>
    <w:rsid w:val="00A9477F"/>
    <w:rsid w:val="00A95215"/>
    <w:rsid w:val="00A95510"/>
    <w:rsid w:val="00A957DA"/>
    <w:rsid w:val="00A95FA5"/>
    <w:rsid w:val="00A9607D"/>
    <w:rsid w:val="00A9612A"/>
    <w:rsid w:val="00A96ABB"/>
    <w:rsid w:val="00A96D92"/>
    <w:rsid w:val="00A96F2C"/>
    <w:rsid w:val="00A9737D"/>
    <w:rsid w:val="00A978D9"/>
    <w:rsid w:val="00A97AD6"/>
    <w:rsid w:val="00A97B9A"/>
    <w:rsid w:val="00A97C90"/>
    <w:rsid w:val="00A97CED"/>
    <w:rsid w:val="00AA00C0"/>
    <w:rsid w:val="00AA0569"/>
    <w:rsid w:val="00AA0DFB"/>
    <w:rsid w:val="00AA12FE"/>
    <w:rsid w:val="00AA13BD"/>
    <w:rsid w:val="00AA23CE"/>
    <w:rsid w:val="00AA2626"/>
    <w:rsid w:val="00AA2648"/>
    <w:rsid w:val="00AA26B0"/>
    <w:rsid w:val="00AA2901"/>
    <w:rsid w:val="00AA2E62"/>
    <w:rsid w:val="00AA3384"/>
    <w:rsid w:val="00AA3B22"/>
    <w:rsid w:val="00AA4E44"/>
    <w:rsid w:val="00AA5061"/>
    <w:rsid w:val="00AA530A"/>
    <w:rsid w:val="00AA5448"/>
    <w:rsid w:val="00AA59F7"/>
    <w:rsid w:val="00AA5BA7"/>
    <w:rsid w:val="00AA604D"/>
    <w:rsid w:val="00AA6132"/>
    <w:rsid w:val="00AA6358"/>
    <w:rsid w:val="00AA66AD"/>
    <w:rsid w:val="00AA6935"/>
    <w:rsid w:val="00AA6ACF"/>
    <w:rsid w:val="00AA70CB"/>
    <w:rsid w:val="00AA7770"/>
    <w:rsid w:val="00AA7D40"/>
    <w:rsid w:val="00AA7D79"/>
    <w:rsid w:val="00AB047C"/>
    <w:rsid w:val="00AB0752"/>
    <w:rsid w:val="00AB07AC"/>
    <w:rsid w:val="00AB09CE"/>
    <w:rsid w:val="00AB1747"/>
    <w:rsid w:val="00AB199C"/>
    <w:rsid w:val="00AB1A51"/>
    <w:rsid w:val="00AB21ED"/>
    <w:rsid w:val="00AB247A"/>
    <w:rsid w:val="00AB2FD2"/>
    <w:rsid w:val="00AB30D3"/>
    <w:rsid w:val="00AB3732"/>
    <w:rsid w:val="00AB3733"/>
    <w:rsid w:val="00AB40BF"/>
    <w:rsid w:val="00AB410B"/>
    <w:rsid w:val="00AB45CE"/>
    <w:rsid w:val="00AB465E"/>
    <w:rsid w:val="00AB4E5D"/>
    <w:rsid w:val="00AB5063"/>
    <w:rsid w:val="00AB5625"/>
    <w:rsid w:val="00AB588C"/>
    <w:rsid w:val="00AB5A20"/>
    <w:rsid w:val="00AB5AD9"/>
    <w:rsid w:val="00AB5C1E"/>
    <w:rsid w:val="00AB5D18"/>
    <w:rsid w:val="00AB5E03"/>
    <w:rsid w:val="00AB634E"/>
    <w:rsid w:val="00AB6413"/>
    <w:rsid w:val="00AB6565"/>
    <w:rsid w:val="00AB6F61"/>
    <w:rsid w:val="00AB727C"/>
    <w:rsid w:val="00AB73AC"/>
    <w:rsid w:val="00AB7897"/>
    <w:rsid w:val="00AB795C"/>
    <w:rsid w:val="00AC0577"/>
    <w:rsid w:val="00AC0972"/>
    <w:rsid w:val="00AC0E41"/>
    <w:rsid w:val="00AC2785"/>
    <w:rsid w:val="00AC2E81"/>
    <w:rsid w:val="00AC369A"/>
    <w:rsid w:val="00AC3FE6"/>
    <w:rsid w:val="00AC41C9"/>
    <w:rsid w:val="00AC428C"/>
    <w:rsid w:val="00AC4401"/>
    <w:rsid w:val="00AC4B68"/>
    <w:rsid w:val="00AC4BCD"/>
    <w:rsid w:val="00AC4DA2"/>
    <w:rsid w:val="00AC5054"/>
    <w:rsid w:val="00AC5E1B"/>
    <w:rsid w:val="00AC635D"/>
    <w:rsid w:val="00AC644A"/>
    <w:rsid w:val="00AC6DFA"/>
    <w:rsid w:val="00AD0593"/>
    <w:rsid w:val="00AD0A76"/>
    <w:rsid w:val="00AD114B"/>
    <w:rsid w:val="00AD12EB"/>
    <w:rsid w:val="00AD12F3"/>
    <w:rsid w:val="00AD1587"/>
    <w:rsid w:val="00AD1B83"/>
    <w:rsid w:val="00AD1BC4"/>
    <w:rsid w:val="00AD2066"/>
    <w:rsid w:val="00AD2AD1"/>
    <w:rsid w:val="00AD2CD9"/>
    <w:rsid w:val="00AD2CDC"/>
    <w:rsid w:val="00AD3163"/>
    <w:rsid w:val="00AD3261"/>
    <w:rsid w:val="00AD361D"/>
    <w:rsid w:val="00AD38E5"/>
    <w:rsid w:val="00AD3C0C"/>
    <w:rsid w:val="00AD3CA9"/>
    <w:rsid w:val="00AD3D3C"/>
    <w:rsid w:val="00AD44ED"/>
    <w:rsid w:val="00AD5459"/>
    <w:rsid w:val="00AD5D9D"/>
    <w:rsid w:val="00AD636F"/>
    <w:rsid w:val="00AD66A9"/>
    <w:rsid w:val="00AD670B"/>
    <w:rsid w:val="00AD691B"/>
    <w:rsid w:val="00AD6B46"/>
    <w:rsid w:val="00AD6F15"/>
    <w:rsid w:val="00AD7047"/>
    <w:rsid w:val="00AD73AA"/>
    <w:rsid w:val="00AD73DD"/>
    <w:rsid w:val="00AD790C"/>
    <w:rsid w:val="00AD79A7"/>
    <w:rsid w:val="00AD7E8C"/>
    <w:rsid w:val="00AE0245"/>
    <w:rsid w:val="00AE2737"/>
    <w:rsid w:val="00AE4BAC"/>
    <w:rsid w:val="00AE50C9"/>
    <w:rsid w:val="00AE53E9"/>
    <w:rsid w:val="00AE5E2D"/>
    <w:rsid w:val="00AE6CEE"/>
    <w:rsid w:val="00AE731F"/>
    <w:rsid w:val="00AE74DA"/>
    <w:rsid w:val="00AE79F0"/>
    <w:rsid w:val="00AE7DB8"/>
    <w:rsid w:val="00AE7DBE"/>
    <w:rsid w:val="00AF03AF"/>
    <w:rsid w:val="00AF057F"/>
    <w:rsid w:val="00AF089C"/>
    <w:rsid w:val="00AF1D9A"/>
    <w:rsid w:val="00AF1E94"/>
    <w:rsid w:val="00AF1F36"/>
    <w:rsid w:val="00AF245E"/>
    <w:rsid w:val="00AF2504"/>
    <w:rsid w:val="00AF2964"/>
    <w:rsid w:val="00AF2BC8"/>
    <w:rsid w:val="00AF2C5D"/>
    <w:rsid w:val="00AF35C5"/>
    <w:rsid w:val="00AF36B6"/>
    <w:rsid w:val="00AF3BA9"/>
    <w:rsid w:val="00AF404C"/>
    <w:rsid w:val="00AF414F"/>
    <w:rsid w:val="00AF4178"/>
    <w:rsid w:val="00AF4389"/>
    <w:rsid w:val="00AF4540"/>
    <w:rsid w:val="00AF48E3"/>
    <w:rsid w:val="00AF5CC6"/>
    <w:rsid w:val="00AF601C"/>
    <w:rsid w:val="00AF61A6"/>
    <w:rsid w:val="00AF6722"/>
    <w:rsid w:val="00AF6ACE"/>
    <w:rsid w:val="00AF6E18"/>
    <w:rsid w:val="00AF70F9"/>
    <w:rsid w:val="00AF7796"/>
    <w:rsid w:val="00AF7DF4"/>
    <w:rsid w:val="00B00131"/>
    <w:rsid w:val="00B01B22"/>
    <w:rsid w:val="00B02314"/>
    <w:rsid w:val="00B024A6"/>
    <w:rsid w:val="00B02C95"/>
    <w:rsid w:val="00B034FC"/>
    <w:rsid w:val="00B03BF7"/>
    <w:rsid w:val="00B04123"/>
    <w:rsid w:val="00B04169"/>
    <w:rsid w:val="00B042A4"/>
    <w:rsid w:val="00B042B7"/>
    <w:rsid w:val="00B04471"/>
    <w:rsid w:val="00B0452C"/>
    <w:rsid w:val="00B04812"/>
    <w:rsid w:val="00B05310"/>
    <w:rsid w:val="00B054F1"/>
    <w:rsid w:val="00B0578C"/>
    <w:rsid w:val="00B06343"/>
    <w:rsid w:val="00B069BD"/>
    <w:rsid w:val="00B075DA"/>
    <w:rsid w:val="00B07DB8"/>
    <w:rsid w:val="00B1056B"/>
    <w:rsid w:val="00B107F7"/>
    <w:rsid w:val="00B10961"/>
    <w:rsid w:val="00B10A0B"/>
    <w:rsid w:val="00B10DC7"/>
    <w:rsid w:val="00B1162D"/>
    <w:rsid w:val="00B12107"/>
    <w:rsid w:val="00B12511"/>
    <w:rsid w:val="00B129D4"/>
    <w:rsid w:val="00B12E7F"/>
    <w:rsid w:val="00B132BF"/>
    <w:rsid w:val="00B146E0"/>
    <w:rsid w:val="00B14C95"/>
    <w:rsid w:val="00B14D80"/>
    <w:rsid w:val="00B15377"/>
    <w:rsid w:val="00B153AF"/>
    <w:rsid w:val="00B15545"/>
    <w:rsid w:val="00B157C1"/>
    <w:rsid w:val="00B158F2"/>
    <w:rsid w:val="00B160AD"/>
    <w:rsid w:val="00B16431"/>
    <w:rsid w:val="00B1645B"/>
    <w:rsid w:val="00B16873"/>
    <w:rsid w:val="00B16994"/>
    <w:rsid w:val="00B16D75"/>
    <w:rsid w:val="00B17CF9"/>
    <w:rsid w:val="00B17E26"/>
    <w:rsid w:val="00B17E79"/>
    <w:rsid w:val="00B20A17"/>
    <w:rsid w:val="00B20DD6"/>
    <w:rsid w:val="00B2123F"/>
    <w:rsid w:val="00B21E42"/>
    <w:rsid w:val="00B21EB2"/>
    <w:rsid w:val="00B22170"/>
    <w:rsid w:val="00B226D6"/>
    <w:rsid w:val="00B22863"/>
    <w:rsid w:val="00B230A8"/>
    <w:rsid w:val="00B2314D"/>
    <w:rsid w:val="00B23469"/>
    <w:rsid w:val="00B23D1A"/>
    <w:rsid w:val="00B23EF7"/>
    <w:rsid w:val="00B24B0C"/>
    <w:rsid w:val="00B2547E"/>
    <w:rsid w:val="00B2564A"/>
    <w:rsid w:val="00B259FB"/>
    <w:rsid w:val="00B25DE0"/>
    <w:rsid w:val="00B26729"/>
    <w:rsid w:val="00B26800"/>
    <w:rsid w:val="00B26A31"/>
    <w:rsid w:val="00B26CF8"/>
    <w:rsid w:val="00B2704C"/>
    <w:rsid w:val="00B27725"/>
    <w:rsid w:val="00B27A07"/>
    <w:rsid w:val="00B27C99"/>
    <w:rsid w:val="00B30D85"/>
    <w:rsid w:val="00B3135F"/>
    <w:rsid w:val="00B31E42"/>
    <w:rsid w:val="00B31F33"/>
    <w:rsid w:val="00B32149"/>
    <w:rsid w:val="00B32B27"/>
    <w:rsid w:val="00B32E27"/>
    <w:rsid w:val="00B33413"/>
    <w:rsid w:val="00B334AB"/>
    <w:rsid w:val="00B33B75"/>
    <w:rsid w:val="00B33FAC"/>
    <w:rsid w:val="00B34D55"/>
    <w:rsid w:val="00B35000"/>
    <w:rsid w:val="00B352A9"/>
    <w:rsid w:val="00B3565C"/>
    <w:rsid w:val="00B3589C"/>
    <w:rsid w:val="00B35A4A"/>
    <w:rsid w:val="00B36E1F"/>
    <w:rsid w:val="00B375D0"/>
    <w:rsid w:val="00B3780A"/>
    <w:rsid w:val="00B37A81"/>
    <w:rsid w:val="00B400F7"/>
    <w:rsid w:val="00B40BC9"/>
    <w:rsid w:val="00B40D50"/>
    <w:rsid w:val="00B4132E"/>
    <w:rsid w:val="00B41EFE"/>
    <w:rsid w:val="00B4257C"/>
    <w:rsid w:val="00B43756"/>
    <w:rsid w:val="00B43EEF"/>
    <w:rsid w:val="00B44558"/>
    <w:rsid w:val="00B446A8"/>
    <w:rsid w:val="00B448A7"/>
    <w:rsid w:val="00B453CF"/>
    <w:rsid w:val="00B45961"/>
    <w:rsid w:val="00B45E88"/>
    <w:rsid w:val="00B46072"/>
    <w:rsid w:val="00B4639A"/>
    <w:rsid w:val="00B46FEB"/>
    <w:rsid w:val="00B506C1"/>
    <w:rsid w:val="00B50728"/>
    <w:rsid w:val="00B50997"/>
    <w:rsid w:val="00B50CF5"/>
    <w:rsid w:val="00B5121C"/>
    <w:rsid w:val="00B514DC"/>
    <w:rsid w:val="00B51F11"/>
    <w:rsid w:val="00B52328"/>
    <w:rsid w:val="00B527D8"/>
    <w:rsid w:val="00B52D0F"/>
    <w:rsid w:val="00B53654"/>
    <w:rsid w:val="00B53662"/>
    <w:rsid w:val="00B540D8"/>
    <w:rsid w:val="00B5432A"/>
    <w:rsid w:val="00B5535D"/>
    <w:rsid w:val="00B5560F"/>
    <w:rsid w:val="00B55791"/>
    <w:rsid w:val="00B5597F"/>
    <w:rsid w:val="00B55C2C"/>
    <w:rsid w:val="00B55DD8"/>
    <w:rsid w:val="00B5648F"/>
    <w:rsid w:val="00B56B5B"/>
    <w:rsid w:val="00B56C52"/>
    <w:rsid w:val="00B56E2E"/>
    <w:rsid w:val="00B57A55"/>
    <w:rsid w:val="00B57D63"/>
    <w:rsid w:val="00B57E1D"/>
    <w:rsid w:val="00B60181"/>
    <w:rsid w:val="00B60CB6"/>
    <w:rsid w:val="00B611E0"/>
    <w:rsid w:val="00B61B67"/>
    <w:rsid w:val="00B61CF8"/>
    <w:rsid w:val="00B6226A"/>
    <w:rsid w:val="00B62D0D"/>
    <w:rsid w:val="00B62F19"/>
    <w:rsid w:val="00B62F70"/>
    <w:rsid w:val="00B63A9D"/>
    <w:rsid w:val="00B63B3E"/>
    <w:rsid w:val="00B63FD7"/>
    <w:rsid w:val="00B64C89"/>
    <w:rsid w:val="00B64F85"/>
    <w:rsid w:val="00B65356"/>
    <w:rsid w:val="00B6544A"/>
    <w:rsid w:val="00B65531"/>
    <w:rsid w:val="00B66314"/>
    <w:rsid w:val="00B6634A"/>
    <w:rsid w:val="00B66A28"/>
    <w:rsid w:val="00B66B4E"/>
    <w:rsid w:val="00B66F2C"/>
    <w:rsid w:val="00B67EE8"/>
    <w:rsid w:val="00B702C6"/>
    <w:rsid w:val="00B70F91"/>
    <w:rsid w:val="00B711EB"/>
    <w:rsid w:val="00B7133C"/>
    <w:rsid w:val="00B71DCC"/>
    <w:rsid w:val="00B71FF9"/>
    <w:rsid w:val="00B7208F"/>
    <w:rsid w:val="00B728A1"/>
    <w:rsid w:val="00B72AA3"/>
    <w:rsid w:val="00B73C95"/>
    <w:rsid w:val="00B743F8"/>
    <w:rsid w:val="00B746BA"/>
    <w:rsid w:val="00B74C3E"/>
    <w:rsid w:val="00B74E18"/>
    <w:rsid w:val="00B75186"/>
    <w:rsid w:val="00B76DDF"/>
    <w:rsid w:val="00B77072"/>
    <w:rsid w:val="00B777E1"/>
    <w:rsid w:val="00B77B2F"/>
    <w:rsid w:val="00B77F1C"/>
    <w:rsid w:val="00B77FDB"/>
    <w:rsid w:val="00B80276"/>
    <w:rsid w:val="00B805A3"/>
    <w:rsid w:val="00B80EC5"/>
    <w:rsid w:val="00B816D9"/>
    <w:rsid w:val="00B81770"/>
    <w:rsid w:val="00B81A5E"/>
    <w:rsid w:val="00B83422"/>
    <w:rsid w:val="00B83504"/>
    <w:rsid w:val="00B850BE"/>
    <w:rsid w:val="00B85582"/>
    <w:rsid w:val="00B85ACB"/>
    <w:rsid w:val="00B86818"/>
    <w:rsid w:val="00B86A46"/>
    <w:rsid w:val="00B86C4E"/>
    <w:rsid w:val="00B871A2"/>
    <w:rsid w:val="00B87333"/>
    <w:rsid w:val="00B873BE"/>
    <w:rsid w:val="00B87B4C"/>
    <w:rsid w:val="00B90B99"/>
    <w:rsid w:val="00B9120F"/>
    <w:rsid w:val="00B916E2"/>
    <w:rsid w:val="00B9216C"/>
    <w:rsid w:val="00B923A1"/>
    <w:rsid w:val="00B92490"/>
    <w:rsid w:val="00B924A4"/>
    <w:rsid w:val="00B9255B"/>
    <w:rsid w:val="00B927FD"/>
    <w:rsid w:val="00B92A6F"/>
    <w:rsid w:val="00B92CC6"/>
    <w:rsid w:val="00B9369B"/>
    <w:rsid w:val="00B93971"/>
    <w:rsid w:val="00B93AEC"/>
    <w:rsid w:val="00B94041"/>
    <w:rsid w:val="00B94672"/>
    <w:rsid w:val="00B947E5"/>
    <w:rsid w:val="00B94CC5"/>
    <w:rsid w:val="00B94D2B"/>
    <w:rsid w:val="00B96588"/>
    <w:rsid w:val="00B96599"/>
    <w:rsid w:val="00B9712E"/>
    <w:rsid w:val="00B97497"/>
    <w:rsid w:val="00B975AE"/>
    <w:rsid w:val="00B97681"/>
    <w:rsid w:val="00B9787F"/>
    <w:rsid w:val="00BA0382"/>
    <w:rsid w:val="00BA0FFB"/>
    <w:rsid w:val="00BA120D"/>
    <w:rsid w:val="00BA157F"/>
    <w:rsid w:val="00BA15D5"/>
    <w:rsid w:val="00BA17AA"/>
    <w:rsid w:val="00BA1954"/>
    <w:rsid w:val="00BA1C4A"/>
    <w:rsid w:val="00BA217F"/>
    <w:rsid w:val="00BA2231"/>
    <w:rsid w:val="00BA22A5"/>
    <w:rsid w:val="00BA27A1"/>
    <w:rsid w:val="00BA28D9"/>
    <w:rsid w:val="00BA28EA"/>
    <w:rsid w:val="00BA3096"/>
    <w:rsid w:val="00BA3351"/>
    <w:rsid w:val="00BA36F2"/>
    <w:rsid w:val="00BA3C73"/>
    <w:rsid w:val="00BA3F83"/>
    <w:rsid w:val="00BA405D"/>
    <w:rsid w:val="00BA409C"/>
    <w:rsid w:val="00BA456E"/>
    <w:rsid w:val="00BA5061"/>
    <w:rsid w:val="00BA62CF"/>
    <w:rsid w:val="00BA7837"/>
    <w:rsid w:val="00BA790B"/>
    <w:rsid w:val="00BA7B02"/>
    <w:rsid w:val="00BA7D0B"/>
    <w:rsid w:val="00BB06BD"/>
    <w:rsid w:val="00BB07E9"/>
    <w:rsid w:val="00BB0D1A"/>
    <w:rsid w:val="00BB0F75"/>
    <w:rsid w:val="00BB1080"/>
    <w:rsid w:val="00BB123D"/>
    <w:rsid w:val="00BB1908"/>
    <w:rsid w:val="00BB1A70"/>
    <w:rsid w:val="00BB1D3B"/>
    <w:rsid w:val="00BB1E6C"/>
    <w:rsid w:val="00BB1ECD"/>
    <w:rsid w:val="00BB282E"/>
    <w:rsid w:val="00BB2D49"/>
    <w:rsid w:val="00BB31A4"/>
    <w:rsid w:val="00BB31E8"/>
    <w:rsid w:val="00BB36E5"/>
    <w:rsid w:val="00BB373B"/>
    <w:rsid w:val="00BB39BB"/>
    <w:rsid w:val="00BB4416"/>
    <w:rsid w:val="00BB4741"/>
    <w:rsid w:val="00BB48B0"/>
    <w:rsid w:val="00BB4BEC"/>
    <w:rsid w:val="00BB5238"/>
    <w:rsid w:val="00BB53F1"/>
    <w:rsid w:val="00BB5480"/>
    <w:rsid w:val="00BB5E1A"/>
    <w:rsid w:val="00BB5E8A"/>
    <w:rsid w:val="00BB6114"/>
    <w:rsid w:val="00BB6D0D"/>
    <w:rsid w:val="00BB6F47"/>
    <w:rsid w:val="00BB7182"/>
    <w:rsid w:val="00BB741F"/>
    <w:rsid w:val="00BB7F31"/>
    <w:rsid w:val="00BC01EB"/>
    <w:rsid w:val="00BC0202"/>
    <w:rsid w:val="00BC02CE"/>
    <w:rsid w:val="00BC06C9"/>
    <w:rsid w:val="00BC0727"/>
    <w:rsid w:val="00BC16B8"/>
    <w:rsid w:val="00BC1792"/>
    <w:rsid w:val="00BC188F"/>
    <w:rsid w:val="00BC1F72"/>
    <w:rsid w:val="00BC2549"/>
    <w:rsid w:val="00BC25EE"/>
    <w:rsid w:val="00BC2A6C"/>
    <w:rsid w:val="00BC315C"/>
    <w:rsid w:val="00BC35ED"/>
    <w:rsid w:val="00BC426F"/>
    <w:rsid w:val="00BC42C7"/>
    <w:rsid w:val="00BC4417"/>
    <w:rsid w:val="00BC4883"/>
    <w:rsid w:val="00BC5978"/>
    <w:rsid w:val="00BC5A7C"/>
    <w:rsid w:val="00BC6238"/>
    <w:rsid w:val="00BC692D"/>
    <w:rsid w:val="00BC6CEE"/>
    <w:rsid w:val="00BC6EC1"/>
    <w:rsid w:val="00BC710D"/>
    <w:rsid w:val="00BD0780"/>
    <w:rsid w:val="00BD0CBE"/>
    <w:rsid w:val="00BD14D6"/>
    <w:rsid w:val="00BD14E1"/>
    <w:rsid w:val="00BD1B04"/>
    <w:rsid w:val="00BD1F75"/>
    <w:rsid w:val="00BD232E"/>
    <w:rsid w:val="00BD24CC"/>
    <w:rsid w:val="00BD259B"/>
    <w:rsid w:val="00BD2695"/>
    <w:rsid w:val="00BD2994"/>
    <w:rsid w:val="00BD2F25"/>
    <w:rsid w:val="00BD2F60"/>
    <w:rsid w:val="00BD3277"/>
    <w:rsid w:val="00BD4F59"/>
    <w:rsid w:val="00BD50D0"/>
    <w:rsid w:val="00BD5AB8"/>
    <w:rsid w:val="00BD6379"/>
    <w:rsid w:val="00BD6398"/>
    <w:rsid w:val="00BD643C"/>
    <w:rsid w:val="00BD66C2"/>
    <w:rsid w:val="00BD6FEA"/>
    <w:rsid w:val="00BD7289"/>
    <w:rsid w:val="00BD7395"/>
    <w:rsid w:val="00BD748F"/>
    <w:rsid w:val="00BE0DCA"/>
    <w:rsid w:val="00BE128E"/>
    <w:rsid w:val="00BE1581"/>
    <w:rsid w:val="00BE1719"/>
    <w:rsid w:val="00BE1769"/>
    <w:rsid w:val="00BE205A"/>
    <w:rsid w:val="00BE22D3"/>
    <w:rsid w:val="00BE2F74"/>
    <w:rsid w:val="00BE334B"/>
    <w:rsid w:val="00BE3651"/>
    <w:rsid w:val="00BE36D5"/>
    <w:rsid w:val="00BE375D"/>
    <w:rsid w:val="00BE3802"/>
    <w:rsid w:val="00BE394A"/>
    <w:rsid w:val="00BE4E84"/>
    <w:rsid w:val="00BE53EC"/>
    <w:rsid w:val="00BE563E"/>
    <w:rsid w:val="00BE654D"/>
    <w:rsid w:val="00BE677F"/>
    <w:rsid w:val="00BE687B"/>
    <w:rsid w:val="00BE759E"/>
    <w:rsid w:val="00BE770D"/>
    <w:rsid w:val="00BE7733"/>
    <w:rsid w:val="00BE786E"/>
    <w:rsid w:val="00BE79D1"/>
    <w:rsid w:val="00BE7DE4"/>
    <w:rsid w:val="00BF08B2"/>
    <w:rsid w:val="00BF111E"/>
    <w:rsid w:val="00BF174F"/>
    <w:rsid w:val="00BF1CEE"/>
    <w:rsid w:val="00BF238E"/>
    <w:rsid w:val="00BF25B7"/>
    <w:rsid w:val="00BF270C"/>
    <w:rsid w:val="00BF2915"/>
    <w:rsid w:val="00BF2A5E"/>
    <w:rsid w:val="00BF2F4A"/>
    <w:rsid w:val="00BF2FD0"/>
    <w:rsid w:val="00BF544D"/>
    <w:rsid w:val="00BF568D"/>
    <w:rsid w:val="00BF636B"/>
    <w:rsid w:val="00BF6D79"/>
    <w:rsid w:val="00BF6FFD"/>
    <w:rsid w:val="00BF7013"/>
    <w:rsid w:val="00BF7157"/>
    <w:rsid w:val="00BF7168"/>
    <w:rsid w:val="00BF741A"/>
    <w:rsid w:val="00BF7843"/>
    <w:rsid w:val="00BF7C90"/>
    <w:rsid w:val="00C002DA"/>
    <w:rsid w:val="00C00404"/>
    <w:rsid w:val="00C0076F"/>
    <w:rsid w:val="00C00B2F"/>
    <w:rsid w:val="00C00EAF"/>
    <w:rsid w:val="00C01875"/>
    <w:rsid w:val="00C021E6"/>
    <w:rsid w:val="00C02394"/>
    <w:rsid w:val="00C0286B"/>
    <w:rsid w:val="00C02CA7"/>
    <w:rsid w:val="00C02CED"/>
    <w:rsid w:val="00C0301C"/>
    <w:rsid w:val="00C03B7B"/>
    <w:rsid w:val="00C050B6"/>
    <w:rsid w:val="00C05A7C"/>
    <w:rsid w:val="00C07F40"/>
    <w:rsid w:val="00C07F6B"/>
    <w:rsid w:val="00C10198"/>
    <w:rsid w:val="00C105DB"/>
    <w:rsid w:val="00C10F12"/>
    <w:rsid w:val="00C11DC3"/>
    <w:rsid w:val="00C11E67"/>
    <w:rsid w:val="00C12132"/>
    <w:rsid w:val="00C12A53"/>
    <w:rsid w:val="00C12B3C"/>
    <w:rsid w:val="00C136DE"/>
    <w:rsid w:val="00C13854"/>
    <w:rsid w:val="00C13D36"/>
    <w:rsid w:val="00C14199"/>
    <w:rsid w:val="00C14383"/>
    <w:rsid w:val="00C14B67"/>
    <w:rsid w:val="00C14F01"/>
    <w:rsid w:val="00C150F4"/>
    <w:rsid w:val="00C15398"/>
    <w:rsid w:val="00C15617"/>
    <w:rsid w:val="00C159F2"/>
    <w:rsid w:val="00C15DA8"/>
    <w:rsid w:val="00C15FEA"/>
    <w:rsid w:val="00C166A0"/>
    <w:rsid w:val="00C16FAE"/>
    <w:rsid w:val="00C170DF"/>
    <w:rsid w:val="00C17315"/>
    <w:rsid w:val="00C1731E"/>
    <w:rsid w:val="00C1750B"/>
    <w:rsid w:val="00C17A09"/>
    <w:rsid w:val="00C20213"/>
    <w:rsid w:val="00C20349"/>
    <w:rsid w:val="00C20464"/>
    <w:rsid w:val="00C20499"/>
    <w:rsid w:val="00C20622"/>
    <w:rsid w:val="00C206B3"/>
    <w:rsid w:val="00C2081C"/>
    <w:rsid w:val="00C20CDA"/>
    <w:rsid w:val="00C211F2"/>
    <w:rsid w:val="00C21526"/>
    <w:rsid w:val="00C21CBF"/>
    <w:rsid w:val="00C22739"/>
    <w:rsid w:val="00C22A2B"/>
    <w:rsid w:val="00C22D2D"/>
    <w:rsid w:val="00C23564"/>
    <w:rsid w:val="00C236E2"/>
    <w:rsid w:val="00C23B08"/>
    <w:rsid w:val="00C2404C"/>
    <w:rsid w:val="00C240A7"/>
    <w:rsid w:val="00C240A9"/>
    <w:rsid w:val="00C24158"/>
    <w:rsid w:val="00C245EA"/>
    <w:rsid w:val="00C25019"/>
    <w:rsid w:val="00C256F6"/>
    <w:rsid w:val="00C25BD0"/>
    <w:rsid w:val="00C25F07"/>
    <w:rsid w:val="00C26268"/>
    <w:rsid w:val="00C264A7"/>
    <w:rsid w:val="00C269F2"/>
    <w:rsid w:val="00C26D24"/>
    <w:rsid w:val="00C2700D"/>
    <w:rsid w:val="00C2716F"/>
    <w:rsid w:val="00C27B85"/>
    <w:rsid w:val="00C27CF7"/>
    <w:rsid w:val="00C30016"/>
    <w:rsid w:val="00C307BD"/>
    <w:rsid w:val="00C3097E"/>
    <w:rsid w:val="00C30F47"/>
    <w:rsid w:val="00C316DB"/>
    <w:rsid w:val="00C31836"/>
    <w:rsid w:val="00C31D32"/>
    <w:rsid w:val="00C326FF"/>
    <w:rsid w:val="00C32709"/>
    <w:rsid w:val="00C33245"/>
    <w:rsid w:val="00C333A6"/>
    <w:rsid w:val="00C33C78"/>
    <w:rsid w:val="00C33FAE"/>
    <w:rsid w:val="00C34476"/>
    <w:rsid w:val="00C345A6"/>
    <w:rsid w:val="00C3460C"/>
    <w:rsid w:val="00C34F2F"/>
    <w:rsid w:val="00C351E1"/>
    <w:rsid w:val="00C3543A"/>
    <w:rsid w:val="00C3549A"/>
    <w:rsid w:val="00C354EE"/>
    <w:rsid w:val="00C35835"/>
    <w:rsid w:val="00C35ECC"/>
    <w:rsid w:val="00C361A8"/>
    <w:rsid w:val="00C363CD"/>
    <w:rsid w:val="00C3655C"/>
    <w:rsid w:val="00C36D3E"/>
    <w:rsid w:val="00C37DCC"/>
    <w:rsid w:val="00C409FE"/>
    <w:rsid w:val="00C40A84"/>
    <w:rsid w:val="00C40E78"/>
    <w:rsid w:val="00C40FAF"/>
    <w:rsid w:val="00C4107A"/>
    <w:rsid w:val="00C41246"/>
    <w:rsid w:val="00C418E3"/>
    <w:rsid w:val="00C41989"/>
    <w:rsid w:val="00C41A59"/>
    <w:rsid w:val="00C4266A"/>
    <w:rsid w:val="00C439FB"/>
    <w:rsid w:val="00C43B27"/>
    <w:rsid w:val="00C43E69"/>
    <w:rsid w:val="00C43E70"/>
    <w:rsid w:val="00C44D58"/>
    <w:rsid w:val="00C44F5C"/>
    <w:rsid w:val="00C45226"/>
    <w:rsid w:val="00C45235"/>
    <w:rsid w:val="00C45E5F"/>
    <w:rsid w:val="00C4612A"/>
    <w:rsid w:val="00C46291"/>
    <w:rsid w:val="00C464AB"/>
    <w:rsid w:val="00C464E3"/>
    <w:rsid w:val="00C4651A"/>
    <w:rsid w:val="00C46B6D"/>
    <w:rsid w:val="00C472F7"/>
    <w:rsid w:val="00C47700"/>
    <w:rsid w:val="00C50639"/>
    <w:rsid w:val="00C50668"/>
    <w:rsid w:val="00C506CF"/>
    <w:rsid w:val="00C50F92"/>
    <w:rsid w:val="00C51C57"/>
    <w:rsid w:val="00C52005"/>
    <w:rsid w:val="00C523F9"/>
    <w:rsid w:val="00C5272C"/>
    <w:rsid w:val="00C52B2A"/>
    <w:rsid w:val="00C52C2A"/>
    <w:rsid w:val="00C5326A"/>
    <w:rsid w:val="00C5353E"/>
    <w:rsid w:val="00C53B97"/>
    <w:rsid w:val="00C53C5E"/>
    <w:rsid w:val="00C53F4C"/>
    <w:rsid w:val="00C54143"/>
    <w:rsid w:val="00C545B1"/>
    <w:rsid w:val="00C5471B"/>
    <w:rsid w:val="00C547C6"/>
    <w:rsid w:val="00C54953"/>
    <w:rsid w:val="00C54BBF"/>
    <w:rsid w:val="00C54C7A"/>
    <w:rsid w:val="00C55151"/>
    <w:rsid w:val="00C557DB"/>
    <w:rsid w:val="00C56293"/>
    <w:rsid w:val="00C562FC"/>
    <w:rsid w:val="00C56B06"/>
    <w:rsid w:val="00C56B7B"/>
    <w:rsid w:val="00C56C0A"/>
    <w:rsid w:val="00C56DCE"/>
    <w:rsid w:val="00C57575"/>
    <w:rsid w:val="00C57E96"/>
    <w:rsid w:val="00C57EAB"/>
    <w:rsid w:val="00C60A59"/>
    <w:rsid w:val="00C61183"/>
    <w:rsid w:val="00C611F4"/>
    <w:rsid w:val="00C6141A"/>
    <w:rsid w:val="00C61D3E"/>
    <w:rsid w:val="00C61F03"/>
    <w:rsid w:val="00C62AB4"/>
    <w:rsid w:val="00C62E5C"/>
    <w:rsid w:val="00C62EF8"/>
    <w:rsid w:val="00C63412"/>
    <w:rsid w:val="00C641A0"/>
    <w:rsid w:val="00C64211"/>
    <w:rsid w:val="00C643A4"/>
    <w:rsid w:val="00C6499A"/>
    <w:rsid w:val="00C6571A"/>
    <w:rsid w:val="00C65E0A"/>
    <w:rsid w:val="00C66279"/>
    <w:rsid w:val="00C6634A"/>
    <w:rsid w:val="00C66436"/>
    <w:rsid w:val="00C668D2"/>
    <w:rsid w:val="00C66AC1"/>
    <w:rsid w:val="00C66C09"/>
    <w:rsid w:val="00C6758F"/>
    <w:rsid w:val="00C67DA3"/>
    <w:rsid w:val="00C7038D"/>
    <w:rsid w:val="00C7070E"/>
    <w:rsid w:val="00C70901"/>
    <w:rsid w:val="00C70BB9"/>
    <w:rsid w:val="00C70CF6"/>
    <w:rsid w:val="00C714D0"/>
    <w:rsid w:val="00C714DA"/>
    <w:rsid w:val="00C717C8"/>
    <w:rsid w:val="00C717EE"/>
    <w:rsid w:val="00C7259E"/>
    <w:rsid w:val="00C728AD"/>
    <w:rsid w:val="00C72D5C"/>
    <w:rsid w:val="00C72EE9"/>
    <w:rsid w:val="00C7332F"/>
    <w:rsid w:val="00C733F8"/>
    <w:rsid w:val="00C73451"/>
    <w:rsid w:val="00C73776"/>
    <w:rsid w:val="00C73F67"/>
    <w:rsid w:val="00C741B8"/>
    <w:rsid w:val="00C744A4"/>
    <w:rsid w:val="00C7465F"/>
    <w:rsid w:val="00C748CD"/>
    <w:rsid w:val="00C74B26"/>
    <w:rsid w:val="00C74CF9"/>
    <w:rsid w:val="00C75216"/>
    <w:rsid w:val="00C7553A"/>
    <w:rsid w:val="00C75ACC"/>
    <w:rsid w:val="00C75B36"/>
    <w:rsid w:val="00C75E1D"/>
    <w:rsid w:val="00C76645"/>
    <w:rsid w:val="00C76DAB"/>
    <w:rsid w:val="00C76E5C"/>
    <w:rsid w:val="00C76FE1"/>
    <w:rsid w:val="00C77A65"/>
    <w:rsid w:val="00C77F4E"/>
    <w:rsid w:val="00C8016E"/>
    <w:rsid w:val="00C8105B"/>
    <w:rsid w:val="00C81A54"/>
    <w:rsid w:val="00C81A59"/>
    <w:rsid w:val="00C81CE8"/>
    <w:rsid w:val="00C82264"/>
    <w:rsid w:val="00C826A1"/>
    <w:rsid w:val="00C82DDB"/>
    <w:rsid w:val="00C83332"/>
    <w:rsid w:val="00C8432B"/>
    <w:rsid w:val="00C847DB"/>
    <w:rsid w:val="00C85312"/>
    <w:rsid w:val="00C86E6D"/>
    <w:rsid w:val="00C87452"/>
    <w:rsid w:val="00C875CE"/>
    <w:rsid w:val="00C87F69"/>
    <w:rsid w:val="00C906BA"/>
    <w:rsid w:val="00C90D80"/>
    <w:rsid w:val="00C90EF4"/>
    <w:rsid w:val="00C919B5"/>
    <w:rsid w:val="00C91BBE"/>
    <w:rsid w:val="00C92180"/>
    <w:rsid w:val="00C927CF"/>
    <w:rsid w:val="00C92B75"/>
    <w:rsid w:val="00C93071"/>
    <w:rsid w:val="00C93482"/>
    <w:rsid w:val="00C93572"/>
    <w:rsid w:val="00C93B7D"/>
    <w:rsid w:val="00C93D0D"/>
    <w:rsid w:val="00C93EE1"/>
    <w:rsid w:val="00C93FBA"/>
    <w:rsid w:val="00C94577"/>
    <w:rsid w:val="00C94D5C"/>
    <w:rsid w:val="00C951D9"/>
    <w:rsid w:val="00C95245"/>
    <w:rsid w:val="00C958AB"/>
    <w:rsid w:val="00C95AE4"/>
    <w:rsid w:val="00C95C3F"/>
    <w:rsid w:val="00C95DDA"/>
    <w:rsid w:val="00C95E23"/>
    <w:rsid w:val="00C960B0"/>
    <w:rsid w:val="00C965BC"/>
    <w:rsid w:val="00C9686F"/>
    <w:rsid w:val="00C96CC7"/>
    <w:rsid w:val="00C97088"/>
    <w:rsid w:val="00C972D8"/>
    <w:rsid w:val="00C97302"/>
    <w:rsid w:val="00C979C9"/>
    <w:rsid w:val="00C97DA4"/>
    <w:rsid w:val="00CA015A"/>
    <w:rsid w:val="00CA01B0"/>
    <w:rsid w:val="00CA02BB"/>
    <w:rsid w:val="00CA03FE"/>
    <w:rsid w:val="00CA0981"/>
    <w:rsid w:val="00CA0D04"/>
    <w:rsid w:val="00CA0F1A"/>
    <w:rsid w:val="00CA102E"/>
    <w:rsid w:val="00CA28A4"/>
    <w:rsid w:val="00CA2BEE"/>
    <w:rsid w:val="00CA34B8"/>
    <w:rsid w:val="00CA362C"/>
    <w:rsid w:val="00CA3A4A"/>
    <w:rsid w:val="00CA3E44"/>
    <w:rsid w:val="00CA45E6"/>
    <w:rsid w:val="00CA499B"/>
    <w:rsid w:val="00CA4A86"/>
    <w:rsid w:val="00CA4CC7"/>
    <w:rsid w:val="00CA5850"/>
    <w:rsid w:val="00CA5B8E"/>
    <w:rsid w:val="00CA6C1F"/>
    <w:rsid w:val="00CA6FA2"/>
    <w:rsid w:val="00CA73ED"/>
    <w:rsid w:val="00CA7935"/>
    <w:rsid w:val="00CB0629"/>
    <w:rsid w:val="00CB09D0"/>
    <w:rsid w:val="00CB0AD2"/>
    <w:rsid w:val="00CB14D6"/>
    <w:rsid w:val="00CB1BCA"/>
    <w:rsid w:val="00CB1CB7"/>
    <w:rsid w:val="00CB2D01"/>
    <w:rsid w:val="00CB3692"/>
    <w:rsid w:val="00CB3857"/>
    <w:rsid w:val="00CB3BC7"/>
    <w:rsid w:val="00CB3DB5"/>
    <w:rsid w:val="00CB3DDC"/>
    <w:rsid w:val="00CB4085"/>
    <w:rsid w:val="00CB4CFC"/>
    <w:rsid w:val="00CB4E1C"/>
    <w:rsid w:val="00CB5485"/>
    <w:rsid w:val="00CB699F"/>
    <w:rsid w:val="00CB6E09"/>
    <w:rsid w:val="00CB6EDF"/>
    <w:rsid w:val="00CB73B6"/>
    <w:rsid w:val="00CB7B35"/>
    <w:rsid w:val="00CC00A2"/>
    <w:rsid w:val="00CC02CA"/>
    <w:rsid w:val="00CC05A7"/>
    <w:rsid w:val="00CC0817"/>
    <w:rsid w:val="00CC0E3C"/>
    <w:rsid w:val="00CC155E"/>
    <w:rsid w:val="00CC1AA3"/>
    <w:rsid w:val="00CC253F"/>
    <w:rsid w:val="00CC25EA"/>
    <w:rsid w:val="00CC2B4D"/>
    <w:rsid w:val="00CC3558"/>
    <w:rsid w:val="00CC35A9"/>
    <w:rsid w:val="00CC3A47"/>
    <w:rsid w:val="00CC42AB"/>
    <w:rsid w:val="00CC4655"/>
    <w:rsid w:val="00CC5647"/>
    <w:rsid w:val="00CC57D7"/>
    <w:rsid w:val="00CC583B"/>
    <w:rsid w:val="00CC70C3"/>
    <w:rsid w:val="00CC73CE"/>
    <w:rsid w:val="00CC7676"/>
    <w:rsid w:val="00CC7818"/>
    <w:rsid w:val="00CD0111"/>
    <w:rsid w:val="00CD0662"/>
    <w:rsid w:val="00CD066E"/>
    <w:rsid w:val="00CD0AC3"/>
    <w:rsid w:val="00CD0AD4"/>
    <w:rsid w:val="00CD0E87"/>
    <w:rsid w:val="00CD1D24"/>
    <w:rsid w:val="00CD20D6"/>
    <w:rsid w:val="00CD21CA"/>
    <w:rsid w:val="00CD236A"/>
    <w:rsid w:val="00CD2396"/>
    <w:rsid w:val="00CD27EE"/>
    <w:rsid w:val="00CD2A49"/>
    <w:rsid w:val="00CD2D98"/>
    <w:rsid w:val="00CD334A"/>
    <w:rsid w:val="00CD3608"/>
    <w:rsid w:val="00CD37BB"/>
    <w:rsid w:val="00CD3B62"/>
    <w:rsid w:val="00CD4389"/>
    <w:rsid w:val="00CD4486"/>
    <w:rsid w:val="00CD4834"/>
    <w:rsid w:val="00CD55B8"/>
    <w:rsid w:val="00CD58DA"/>
    <w:rsid w:val="00CD5A53"/>
    <w:rsid w:val="00CD5BC3"/>
    <w:rsid w:val="00CD6E29"/>
    <w:rsid w:val="00CD721D"/>
    <w:rsid w:val="00CD756E"/>
    <w:rsid w:val="00CD792F"/>
    <w:rsid w:val="00CD7DE3"/>
    <w:rsid w:val="00CE0F37"/>
    <w:rsid w:val="00CE1413"/>
    <w:rsid w:val="00CE1BDD"/>
    <w:rsid w:val="00CE22A4"/>
    <w:rsid w:val="00CE33FF"/>
    <w:rsid w:val="00CE356F"/>
    <w:rsid w:val="00CE3E5B"/>
    <w:rsid w:val="00CE4010"/>
    <w:rsid w:val="00CE4653"/>
    <w:rsid w:val="00CE4A25"/>
    <w:rsid w:val="00CE4CA0"/>
    <w:rsid w:val="00CE5454"/>
    <w:rsid w:val="00CE56FA"/>
    <w:rsid w:val="00CE6165"/>
    <w:rsid w:val="00CE646D"/>
    <w:rsid w:val="00CE6C00"/>
    <w:rsid w:val="00CE6F98"/>
    <w:rsid w:val="00CE7367"/>
    <w:rsid w:val="00CE7815"/>
    <w:rsid w:val="00CF0387"/>
    <w:rsid w:val="00CF03D3"/>
    <w:rsid w:val="00CF1B7C"/>
    <w:rsid w:val="00CF2321"/>
    <w:rsid w:val="00CF2DB2"/>
    <w:rsid w:val="00CF2E0D"/>
    <w:rsid w:val="00CF3435"/>
    <w:rsid w:val="00CF344C"/>
    <w:rsid w:val="00CF34F9"/>
    <w:rsid w:val="00CF387D"/>
    <w:rsid w:val="00CF3DD7"/>
    <w:rsid w:val="00CF3FE8"/>
    <w:rsid w:val="00CF441D"/>
    <w:rsid w:val="00CF47BC"/>
    <w:rsid w:val="00CF4ADD"/>
    <w:rsid w:val="00CF52F9"/>
    <w:rsid w:val="00CF53DF"/>
    <w:rsid w:val="00CF5BE3"/>
    <w:rsid w:val="00CF5E22"/>
    <w:rsid w:val="00CF627B"/>
    <w:rsid w:val="00CF6D17"/>
    <w:rsid w:val="00CF7050"/>
    <w:rsid w:val="00CF7A80"/>
    <w:rsid w:val="00CF7DD5"/>
    <w:rsid w:val="00D00211"/>
    <w:rsid w:val="00D00C9F"/>
    <w:rsid w:val="00D018C2"/>
    <w:rsid w:val="00D01960"/>
    <w:rsid w:val="00D01AB7"/>
    <w:rsid w:val="00D02058"/>
    <w:rsid w:val="00D024EB"/>
    <w:rsid w:val="00D033F7"/>
    <w:rsid w:val="00D037A5"/>
    <w:rsid w:val="00D03949"/>
    <w:rsid w:val="00D03BEF"/>
    <w:rsid w:val="00D0444E"/>
    <w:rsid w:val="00D044C8"/>
    <w:rsid w:val="00D045D1"/>
    <w:rsid w:val="00D04C9E"/>
    <w:rsid w:val="00D04DC3"/>
    <w:rsid w:val="00D04F24"/>
    <w:rsid w:val="00D055EF"/>
    <w:rsid w:val="00D05617"/>
    <w:rsid w:val="00D05AD5"/>
    <w:rsid w:val="00D05BB5"/>
    <w:rsid w:val="00D0604C"/>
    <w:rsid w:val="00D0659F"/>
    <w:rsid w:val="00D069E4"/>
    <w:rsid w:val="00D06A44"/>
    <w:rsid w:val="00D06AED"/>
    <w:rsid w:val="00D06C5B"/>
    <w:rsid w:val="00D06DE0"/>
    <w:rsid w:val="00D073FA"/>
    <w:rsid w:val="00D075AF"/>
    <w:rsid w:val="00D076AA"/>
    <w:rsid w:val="00D0770D"/>
    <w:rsid w:val="00D10069"/>
    <w:rsid w:val="00D1008D"/>
    <w:rsid w:val="00D1176E"/>
    <w:rsid w:val="00D11DF0"/>
    <w:rsid w:val="00D1261A"/>
    <w:rsid w:val="00D13D4A"/>
    <w:rsid w:val="00D13E3C"/>
    <w:rsid w:val="00D13FAA"/>
    <w:rsid w:val="00D1437E"/>
    <w:rsid w:val="00D146A7"/>
    <w:rsid w:val="00D14D39"/>
    <w:rsid w:val="00D14EC5"/>
    <w:rsid w:val="00D151EB"/>
    <w:rsid w:val="00D15322"/>
    <w:rsid w:val="00D1565C"/>
    <w:rsid w:val="00D156DF"/>
    <w:rsid w:val="00D1583F"/>
    <w:rsid w:val="00D158B9"/>
    <w:rsid w:val="00D15F0D"/>
    <w:rsid w:val="00D16F4E"/>
    <w:rsid w:val="00D16FE2"/>
    <w:rsid w:val="00D171F6"/>
    <w:rsid w:val="00D177FB"/>
    <w:rsid w:val="00D20731"/>
    <w:rsid w:val="00D20748"/>
    <w:rsid w:val="00D2093D"/>
    <w:rsid w:val="00D20D16"/>
    <w:rsid w:val="00D2121E"/>
    <w:rsid w:val="00D21457"/>
    <w:rsid w:val="00D217A7"/>
    <w:rsid w:val="00D21E14"/>
    <w:rsid w:val="00D2254F"/>
    <w:rsid w:val="00D226AB"/>
    <w:rsid w:val="00D22E0F"/>
    <w:rsid w:val="00D238A7"/>
    <w:rsid w:val="00D2393E"/>
    <w:rsid w:val="00D24F2E"/>
    <w:rsid w:val="00D24F94"/>
    <w:rsid w:val="00D2503C"/>
    <w:rsid w:val="00D25849"/>
    <w:rsid w:val="00D25A20"/>
    <w:rsid w:val="00D25E88"/>
    <w:rsid w:val="00D26223"/>
    <w:rsid w:val="00D2633E"/>
    <w:rsid w:val="00D26CBE"/>
    <w:rsid w:val="00D26F96"/>
    <w:rsid w:val="00D27089"/>
    <w:rsid w:val="00D27390"/>
    <w:rsid w:val="00D276E1"/>
    <w:rsid w:val="00D27B66"/>
    <w:rsid w:val="00D300E0"/>
    <w:rsid w:val="00D302E0"/>
    <w:rsid w:val="00D30333"/>
    <w:rsid w:val="00D306AE"/>
    <w:rsid w:val="00D30CA5"/>
    <w:rsid w:val="00D31392"/>
    <w:rsid w:val="00D322A4"/>
    <w:rsid w:val="00D324FA"/>
    <w:rsid w:val="00D32DC2"/>
    <w:rsid w:val="00D33135"/>
    <w:rsid w:val="00D34029"/>
    <w:rsid w:val="00D34061"/>
    <w:rsid w:val="00D34522"/>
    <w:rsid w:val="00D34669"/>
    <w:rsid w:val="00D35597"/>
    <w:rsid w:val="00D35674"/>
    <w:rsid w:val="00D35CB0"/>
    <w:rsid w:val="00D35E3A"/>
    <w:rsid w:val="00D35ED1"/>
    <w:rsid w:val="00D36430"/>
    <w:rsid w:val="00D366EF"/>
    <w:rsid w:val="00D36A8E"/>
    <w:rsid w:val="00D36F68"/>
    <w:rsid w:val="00D374CD"/>
    <w:rsid w:val="00D377A7"/>
    <w:rsid w:val="00D379EC"/>
    <w:rsid w:val="00D405DB"/>
    <w:rsid w:val="00D40685"/>
    <w:rsid w:val="00D40773"/>
    <w:rsid w:val="00D409EF"/>
    <w:rsid w:val="00D41A31"/>
    <w:rsid w:val="00D41A89"/>
    <w:rsid w:val="00D41AF4"/>
    <w:rsid w:val="00D42588"/>
    <w:rsid w:val="00D42726"/>
    <w:rsid w:val="00D42AF2"/>
    <w:rsid w:val="00D42C9B"/>
    <w:rsid w:val="00D43A98"/>
    <w:rsid w:val="00D44C8B"/>
    <w:rsid w:val="00D4505D"/>
    <w:rsid w:val="00D45783"/>
    <w:rsid w:val="00D45B1E"/>
    <w:rsid w:val="00D45C76"/>
    <w:rsid w:val="00D464A6"/>
    <w:rsid w:val="00D470F9"/>
    <w:rsid w:val="00D471BE"/>
    <w:rsid w:val="00D47A89"/>
    <w:rsid w:val="00D47EBA"/>
    <w:rsid w:val="00D5175F"/>
    <w:rsid w:val="00D51FC5"/>
    <w:rsid w:val="00D52C31"/>
    <w:rsid w:val="00D52E6B"/>
    <w:rsid w:val="00D52FFE"/>
    <w:rsid w:val="00D53B33"/>
    <w:rsid w:val="00D54012"/>
    <w:rsid w:val="00D556D8"/>
    <w:rsid w:val="00D56E74"/>
    <w:rsid w:val="00D57A79"/>
    <w:rsid w:val="00D57C02"/>
    <w:rsid w:val="00D57FD1"/>
    <w:rsid w:val="00D6081F"/>
    <w:rsid w:val="00D60D4E"/>
    <w:rsid w:val="00D6244C"/>
    <w:rsid w:val="00D62918"/>
    <w:rsid w:val="00D62B36"/>
    <w:rsid w:val="00D62F2D"/>
    <w:rsid w:val="00D6398D"/>
    <w:rsid w:val="00D6399E"/>
    <w:rsid w:val="00D64120"/>
    <w:rsid w:val="00D64654"/>
    <w:rsid w:val="00D650CE"/>
    <w:rsid w:val="00D6570D"/>
    <w:rsid w:val="00D657F1"/>
    <w:rsid w:val="00D65ACD"/>
    <w:rsid w:val="00D662D8"/>
    <w:rsid w:val="00D6646D"/>
    <w:rsid w:val="00D66B5E"/>
    <w:rsid w:val="00D676B9"/>
    <w:rsid w:val="00D67978"/>
    <w:rsid w:val="00D67A1C"/>
    <w:rsid w:val="00D67B53"/>
    <w:rsid w:val="00D67F1F"/>
    <w:rsid w:val="00D7008C"/>
    <w:rsid w:val="00D70379"/>
    <w:rsid w:val="00D7060A"/>
    <w:rsid w:val="00D70F0E"/>
    <w:rsid w:val="00D7162C"/>
    <w:rsid w:val="00D71719"/>
    <w:rsid w:val="00D72DDE"/>
    <w:rsid w:val="00D72E0A"/>
    <w:rsid w:val="00D73961"/>
    <w:rsid w:val="00D73D04"/>
    <w:rsid w:val="00D73D46"/>
    <w:rsid w:val="00D744B0"/>
    <w:rsid w:val="00D74894"/>
    <w:rsid w:val="00D74F04"/>
    <w:rsid w:val="00D75465"/>
    <w:rsid w:val="00D756DC"/>
    <w:rsid w:val="00D75B1A"/>
    <w:rsid w:val="00D75CD6"/>
    <w:rsid w:val="00D75F72"/>
    <w:rsid w:val="00D76378"/>
    <w:rsid w:val="00D7702E"/>
    <w:rsid w:val="00D77112"/>
    <w:rsid w:val="00D77369"/>
    <w:rsid w:val="00D773B3"/>
    <w:rsid w:val="00D776DA"/>
    <w:rsid w:val="00D77934"/>
    <w:rsid w:val="00D77F4E"/>
    <w:rsid w:val="00D80347"/>
    <w:rsid w:val="00D804FA"/>
    <w:rsid w:val="00D812BB"/>
    <w:rsid w:val="00D81CED"/>
    <w:rsid w:val="00D8210E"/>
    <w:rsid w:val="00D82905"/>
    <w:rsid w:val="00D82E89"/>
    <w:rsid w:val="00D830D2"/>
    <w:rsid w:val="00D8346C"/>
    <w:rsid w:val="00D83EBF"/>
    <w:rsid w:val="00D83FEF"/>
    <w:rsid w:val="00D8417F"/>
    <w:rsid w:val="00D84380"/>
    <w:rsid w:val="00D84622"/>
    <w:rsid w:val="00D8526E"/>
    <w:rsid w:val="00D855B0"/>
    <w:rsid w:val="00D856C5"/>
    <w:rsid w:val="00D8580F"/>
    <w:rsid w:val="00D85D46"/>
    <w:rsid w:val="00D85D79"/>
    <w:rsid w:val="00D85EA2"/>
    <w:rsid w:val="00D86305"/>
    <w:rsid w:val="00D86316"/>
    <w:rsid w:val="00D86614"/>
    <w:rsid w:val="00D86B3E"/>
    <w:rsid w:val="00D86F56"/>
    <w:rsid w:val="00D87009"/>
    <w:rsid w:val="00D8758B"/>
    <w:rsid w:val="00D9025B"/>
    <w:rsid w:val="00D90880"/>
    <w:rsid w:val="00D90A71"/>
    <w:rsid w:val="00D9161E"/>
    <w:rsid w:val="00D91A3A"/>
    <w:rsid w:val="00D91C0E"/>
    <w:rsid w:val="00D91DD7"/>
    <w:rsid w:val="00D922EF"/>
    <w:rsid w:val="00D9346D"/>
    <w:rsid w:val="00D93E32"/>
    <w:rsid w:val="00D93F12"/>
    <w:rsid w:val="00D941A3"/>
    <w:rsid w:val="00D942B3"/>
    <w:rsid w:val="00D944CC"/>
    <w:rsid w:val="00D94850"/>
    <w:rsid w:val="00D94863"/>
    <w:rsid w:val="00D94CA4"/>
    <w:rsid w:val="00D94DF5"/>
    <w:rsid w:val="00D96974"/>
    <w:rsid w:val="00D96C46"/>
    <w:rsid w:val="00D978A8"/>
    <w:rsid w:val="00D97DAE"/>
    <w:rsid w:val="00D97E1C"/>
    <w:rsid w:val="00DA020F"/>
    <w:rsid w:val="00DA04DE"/>
    <w:rsid w:val="00DA09D3"/>
    <w:rsid w:val="00DA0A22"/>
    <w:rsid w:val="00DA0E4E"/>
    <w:rsid w:val="00DA1855"/>
    <w:rsid w:val="00DA1B80"/>
    <w:rsid w:val="00DA2444"/>
    <w:rsid w:val="00DA2627"/>
    <w:rsid w:val="00DA27C9"/>
    <w:rsid w:val="00DA29A1"/>
    <w:rsid w:val="00DA2A4A"/>
    <w:rsid w:val="00DA2C25"/>
    <w:rsid w:val="00DA3473"/>
    <w:rsid w:val="00DA36DD"/>
    <w:rsid w:val="00DA399D"/>
    <w:rsid w:val="00DA3C63"/>
    <w:rsid w:val="00DA3E5A"/>
    <w:rsid w:val="00DA4276"/>
    <w:rsid w:val="00DA44DB"/>
    <w:rsid w:val="00DA4E0E"/>
    <w:rsid w:val="00DA4F04"/>
    <w:rsid w:val="00DA50F1"/>
    <w:rsid w:val="00DA5452"/>
    <w:rsid w:val="00DA5509"/>
    <w:rsid w:val="00DA55BB"/>
    <w:rsid w:val="00DA56A2"/>
    <w:rsid w:val="00DA5954"/>
    <w:rsid w:val="00DA5959"/>
    <w:rsid w:val="00DA5F3C"/>
    <w:rsid w:val="00DA61DA"/>
    <w:rsid w:val="00DA66AC"/>
    <w:rsid w:val="00DA7D09"/>
    <w:rsid w:val="00DB0E81"/>
    <w:rsid w:val="00DB11D3"/>
    <w:rsid w:val="00DB149D"/>
    <w:rsid w:val="00DB17D1"/>
    <w:rsid w:val="00DB1B71"/>
    <w:rsid w:val="00DB212C"/>
    <w:rsid w:val="00DB21E1"/>
    <w:rsid w:val="00DB2B7C"/>
    <w:rsid w:val="00DB2C31"/>
    <w:rsid w:val="00DB2E6D"/>
    <w:rsid w:val="00DB2ED8"/>
    <w:rsid w:val="00DB31EF"/>
    <w:rsid w:val="00DB3235"/>
    <w:rsid w:val="00DB42A7"/>
    <w:rsid w:val="00DB45BC"/>
    <w:rsid w:val="00DB45D3"/>
    <w:rsid w:val="00DB47AE"/>
    <w:rsid w:val="00DB5302"/>
    <w:rsid w:val="00DB53E1"/>
    <w:rsid w:val="00DB5453"/>
    <w:rsid w:val="00DB5C62"/>
    <w:rsid w:val="00DB6209"/>
    <w:rsid w:val="00DB6584"/>
    <w:rsid w:val="00DB66F9"/>
    <w:rsid w:val="00DB790A"/>
    <w:rsid w:val="00DB7922"/>
    <w:rsid w:val="00DB79C5"/>
    <w:rsid w:val="00DB7C14"/>
    <w:rsid w:val="00DB7F2B"/>
    <w:rsid w:val="00DC092F"/>
    <w:rsid w:val="00DC0BD2"/>
    <w:rsid w:val="00DC0D18"/>
    <w:rsid w:val="00DC17DD"/>
    <w:rsid w:val="00DC19FA"/>
    <w:rsid w:val="00DC1F45"/>
    <w:rsid w:val="00DC233D"/>
    <w:rsid w:val="00DC2630"/>
    <w:rsid w:val="00DC3360"/>
    <w:rsid w:val="00DC34C1"/>
    <w:rsid w:val="00DC386D"/>
    <w:rsid w:val="00DC3936"/>
    <w:rsid w:val="00DC39CE"/>
    <w:rsid w:val="00DC3ECE"/>
    <w:rsid w:val="00DC4339"/>
    <w:rsid w:val="00DC44FF"/>
    <w:rsid w:val="00DC48A7"/>
    <w:rsid w:val="00DC49E9"/>
    <w:rsid w:val="00DC55C4"/>
    <w:rsid w:val="00DC55E4"/>
    <w:rsid w:val="00DC68ED"/>
    <w:rsid w:val="00DC69D3"/>
    <w:rsid w:val="00DC6E35"/>
    <w:rsid w:val="00DC7016"/>
    <w:rsid w:val="00DC78E2"/>
    <w:rsid w:val="00DC790D"/>
    <w:rsid w:val="00DC79E7"/>
    <w:rsid w:val="00DC7D71"/>
    <w:rsid w:val="00DC7EDB"/>
    <w:rsid w:val="00DD0B5E"/>
    <w:rsid w:val="00DD0FCD"/>
    <w:rsid w:val="00DD188C"/>
    <w:rsid w:val="00DD1B82"/>
    <w:rsid w:val="00DD1FB4"/>
    <w:rsid w:val="00DD29A3"/>
    <w:rsid w:val="00DD29F2"/>
    <w:rsid w:val="00DD2BE5"/>
    <w:rsid w:val="00DD2C11"/>
    <w:rsid w:val="00DD3488"/>
    <w:rsid w:val="00DD3F19"/>
    <w:rsid w:val="00DD43F0"/>
    <w:rsid w:val="00DD48EE"/>
    <w:rsid w:val="00DD4AB2"/>
    <w:rsid w:val="00DD546B"/>
    <w:rsid w:val="00DD54C2"/>
    <w:rsid w:val="00DD553A"/>
    <w:rsid w:val="00DD6318"/>
    <w:rsid w:val="00DD6A44"/>
    <w:rsid w:val="00DD6B59"/>
    <w:rsid w:val="00DD7254"/>
    <w:rsid w:val="00DD7626"/>
    <w:rsid w:val="00DD7899"/>
    <w:rsid w:val="00DD7A7C"/>
    <w:rsid w:val="00DD7BD2"/>
    <w:rsid w:val="00DE01D0"/>
    <w:rsid w:val="00DE0AE4"/>
    <w:rsid w:val="00DE0B96"/>
    <w:rsid w:val="00DE10B9"/>
    <w:rsid w:val="00DE16CB"/>
    <w:rsid w:val="00DE1987"/>
    <w:rsid w:val="00DE2168"/>
    <w:rsid w:val="00DE28E7"/>
    <w:rsid w:val="00DE2A9A"/>
    <w:rsid w:val="00DE2B8A"/>
    <w:rsid w:val="00DE31A8"/>
    <w:rsid w:val="00DE3311"/>
    <w:rsid w:val="00DE3B67"/>
    <w:rsid w:val="00DE417D"/>
    <w:rsid w:val="00DE4826"/>
    <w:rsid w:val="00DE557B"/>
    <w:rsid w:val="00DE5A61"/>
    <w:rsid w:val="00DE682F"/>
    <w:rsid w:val="00DE6B28"/>
    <w:rsid w:val="00DE6F20"/>
    <w:rsid w:val="00DE7D41"/>
    <w:rsid w:val="00DF0829"/>
    <w:rsid w:val="00DF0B13"/>
    <w:rsid w:val="00DF0C1E"/>
    <w:rsid w:val="00DF119C"/>
    <w:rsid w:val="00DF12FB"/>
    <w:rsid w:val="00DF1598"/>
    <w:rsid w:val="00DF17A2"/>
    <w:rsid w:val="00DF18A7"/>
    <w:rsid w:val="00DF1D19"/>
    <w:rsid w:val="00DF1D7C"/>
    <w:rsid w:val="00DF1FCB"/>
    <w:rsid w:val="00DF2DE3"/>
    <w:rsid w:val="00DF2E04"/>
    <w:rsid w:val="00DF2EB8"/>
    <w:rsid w:val="00DF2F34"/>
    <w:rsid w:val="00DF340E"/>
    <w:rsid w:val="00DF3714"/>
    <w:rsid w:val="00DF3A6A"/>
    <w:rsid w:val="00DF3E5E"/>
    <w:rsid w:val="00DF4A94"/>
    <w:rsid w:val="00DF4CE9"/>
    <w:rsid w:val="00DF4D78"/>
    <w:rsid w:val="00DF548B"/>
    <w:rsid w:val="00DF5B89"/>
    <w:rsid w:val="00DF5FF7"/>
    <w:rsid w:val="00DF6003"/>
    <w:rsid w:val="00DF72BD"/>
    <w:rsid w:val="00DF7502"/>
    <w:rsid w:val="00E00095"/>
    <w:rsid w:val="00E001E9"/>
    <w:rsid w:val="00E00701"/>
    <w:rsid w:val="00E0070E"/>
    <w:rsid w:val="00E00D72"/>
    <w:rsid w:val="00E0149A"/>
    <w:rsid w:val="00E01500"/>
    <w:rsid w:val="00E01B33"/>
    <w:rsid w:val="00E01BDA"/>
    <w:rsid w:val="00E01D16"/>
    <w:rsid w:val="00E024D4"/>
    <w:rsid w:val="00E0379F"/>
    <w:rsid w:val="00E040F2"/>
    <w:rsid w:val="00E04838"/>
    <w:rsid w:val="00E052F1"/>
    <w:rsid w:val="00E0587A"/>
    <w:rsid w:val="00E05D53"/>
    <w:rsid w:val="00E06263"/>
    <w:rsid w:val="00E066C3"/>
    <w:rsid w:val="00E067E6"/>
    <w:rsid w:val="00E06C52"/>
    <w:rsid w:val="00E06E81"/>
    <w:rsid w:val="00E07463"/>
    <w:rsid w:val="00E07C26"/>
    <w:rsid w:val="00E07D25"/>
    <w:rsid w:val="00E07FB4"/>
    <w:rsid w:val="00E101F0"/>
    <w:rsid w:val="00E10235"/>
    <w:rsid w:val="00E10D8C"/>
    <w:rsid w:val="00E10F6F"/>
    <w:rsid w:val="00E11072"/>
    <w:rsid w:val="00E11811"/>
    <w:rsid w:val="00E11B17"/>
    <w:rsid w:val="00E127A7"/>
    <w:rsid w:val="00E12865"/>
    <w:rsid w:val="00E12BE3"/>
    <w:rsid w:val="00E12CDA"/>
    <w:rsid w:val="00E1353A"/>
    <w:rsid w:val="00E138F9"/>
    <w:rsid w:val="00E13931"/>
    <w:rsid w:val="00E13EFE"/>
    <w:rsid w:val="00E15243"/>
    <w:rsid w:val="00E1564B"/>
    <w:rsid w:val="00E15998"/>
    <w:rsid w:val="00E15B11"/>
    <w:rsid w:val="00E15F78"/>
    <w:rsid w:val="00E16169"/>
    <w:rsid w:val="00E1660E"/>
    <w:rsid w:val="00E16950"/>
    <w:rsid w:val="00E16BF3"/>
    <w:rsid w:val="00E1721E"/>
    <w:rsid w:val="00E173F7"/>
    <w:rsid w:val="00E17B34"/>
    <w:rsid w:val="00E17CC5"/>
    <w:rsid w:val="00E17FCE"/>
    <w:rsid w:val="00E20028"/>
    <w:rsid w:val="00E20182"/>
    <w:rsid w:val="00E20432"/>
    <w:rsid w:val="00E208A0"/>
    <w:rsid w:val="00E208E5"/>
    <w:rsid w:val="00E21F2C"/>
    <w:rsid w:val="00E21F6F"/>
    <w:rsid w:val="00E21FF6"/>
    <w:rsid w:val="00E227EA"/>
    <w:rsid w:val="00E22B96"/>
    <w:rsid w:val="00E22BAB"/>
    <w:rsid w:val="00E234F7"/>
    <w:rsid w:val="00E23CB9"/>
    <w:rsid w:val="00E23FF6"/>
    <w:rsid w:val="00E255F4"/>
    <w:rsid w:val="00E25A6D"/>
    <w:rsid w:val="00E25B49"/>
    <w:rsid w:val="00E26430"/>
    <w:rsid w:val="00E269F5"/>
    <w:rsid w:val="00E26DFD"/>
    <w:rsid w:val="00E26E07"/>
    <w:rsid w:val="00E2737A"/>
    <w:rsid w:val="00E2739D"/>
    <w:rsid w:val="00E27733"/>
    <w:rsid w:val="00E27BE9"/>
    <w:rsid w:val="00E30F55"/>
    <w:rsid w:val="00E30F8E"/>
    <w:rsid w:val="00E313C4"/>
    <w:rsid w:val="00E31DBC"/>
    <w:rsid w:val="00E32288"/>
    <w:rsid w:val="00E32DD8"/>
    <w:rsid w:val="00E335FB"/>
    <w:rsid w:val="00E33A90"/>
    <w:rsid w:val="00E33C23"/>
    <w:rsid w:val="00E33E79"/>
    <w:rsid w:val="00E3406B"/>
    <w:rsid w:val="00E342D3"/>
    <w:rsid w:val="00E34736"/>
    <w:rsid w:val="00E34872"/>
    <w:rsid w:val="00E35101"/>
    <w:rsid w:val="00E35BDB"/>
    <w:rsid w:val="00E35CDF"/>
    <w:rsid w:val="00E36922"/>
    <w:rsid w:val="00E371EA"/>
    <w:rsid w:val="00E37448"/>
    <w:rsid w:val="00E37AA9"/>
    <w:rsid w:val="00E37AC4"/>
    <w:rsid w:val="00E37E1B"/>
    <w:rsid w:val="00E40046"/>
    <w:rsid w:val="00E4004E"/>
    <w:rsid w:val="00E4075B"/>
    <w:rsid w:val="00E41264"/>
    <w:rsid w:val="00E420A5"/>
    <w:rsid w:val="00E421B4"/>
    <w:rsid w:val="00E42252"/>
    <w:rsid w:val="00E424F6"/>
    <w:rsid w:val="00E42C87"/>
    <w:rsid w:val="00E42D61"/>
    <w:rsid w:val="00E42E15"/>
    <w:rsid w:val="00E43B6A"/>
    <w:rsid w:val="00E44377"/>
    <w:rsid w:val="00E446FB"/>
    <w:rsid w:val="00E44827"/>
    <w:rsid w:val="00E44978"/>
    <w:rsid w:val="00E44DCA"/>
    <w:rsid w:val="00E45411"/>
    <w:rsid w:val="00E458C3"/>
    <w:rsid w:val="00E45DB4"/>
    <w:rsid w:val="00E45DB8"/>
    <w:rsid w:val="00E46F91"/>
    <w:rsid w:val="00E47056"/>
    <w:rsid w:val="00E472A0"/>
    <w:rsid w:val="00E5050A"/>
    <w:rsid w:val="00E505CB"/>
    <w:rsid w:val="00E50C33"/>
    <w:rsid w:val="00E50E2F"/>
    <w:rsid w:val="00E51765"/>
    <w:rsid w:val="00E51A1C"/>
    <w:rsid w:val="00E51A90"/>
    <w:rsid w:val="00E51B35"/>
    <w:rsid w:val="00E52A41"/>
    <w:rsid w:val="00E535A5"/>
    <w:rsid w:val="00E53FAF"/>
    <w:rsid w:val="00E541A1"/>
    <w:rsid w:val="00E54490"/>
    <w:rsid w:val="00E550C7"/>
    <w:rsid w:val="00E553BC"/>
    <w:rsid w:val="00E5542A"/>
    <w:rsid w:val="00E55FDE"/>
    <w:rsid w:val="00E5667A"/>
    <w:rsid w:val="00E56C75"/>
    <w:rsid w:val="00E56CB4"/>
    <w:rsid w:val="00E56D07"/>
    <w:rsid w:val="00E56F09"/>
    <w:rsid w:val="00E57291"/>
    <w:rsid w:val="00E6016C"/>
    <w:rsid w:val="00E60508"/>
    <w:rsid w:val="00E605C1"/>
    <w:rsid w:val="00E60A88"/>
    <w:rsid w:val="00E62740"/>
    <w:rsid w:val="00E63A31"/>
    <w:rsid w:val="00E63A8E"/>
    <w:rsid w:val="00E63C13"/>
    <w:rsid w:val="00E64218"/>
    <w:rsid w:val="00E64371"/>
    <w:rsid w:val="00E64429"/>
    <w:rsid w:val="00E6454F"/>
    <w:rsid w:val="00E647D2"/>
    <w:rsid w:val="00E64959"/>
    <w:rsid w:val="00E64C1F"/>
    <w:rsid w:val="00E64E66"/>
    <w:rsid w:val="00E650C6"/>
    <w:rsid w:val="00E65771"/>
    <w:rsid w:val="00E65BE6"/>
    <w:rsid w:val="00E65EA0"/>
    <w:rsid w:val="00E66520"/>
    <w:rsid w:val="00E6667F"/>
    <w:rsid w:val="00E66701"/>
    <w:rsid w:val="00E66F58"/>
    <w:rsid w:val="00E6710C"/>
    <w:rsid w:val="00E67326"/>
    <w:rsid w:val="00E677DD"/>
    <w:rsid w:val="00E67CC6"/>
    <w:rsid w:val="00E704FC"/>
    <w:rsid w:val="00E70DE6"/>
    <w:rsid w:val="00E70DFD"/>
    <w:rsid w:val="00E71910"/>
    <w:rsid w:val="00E7197D"/>
    <w:rsid w:val="00E71B2E"/>
    <w:rsid w:val="00E71CCC"/>
    <w:rsid w:val="00E71F3A"/>
    <w:rsid w:val="00E72082"/>
    <w:rsid w:val="00E7211B"/>
    <w:rsid w:val="00E722FB"/>
    <w:rsid w:val="00E7271A"/>
    <w:rsid w:val="00E7285B"/>
    <w:rsid w:val="00E73013"/>
    <w:rsid w:val="00E73766"/>
    <w:rsid w:val="00E73BBF"/>
    <w:rsid w:val="00E749B7"/>
    <w:rsid w:val="00E74EAB"/>
    <w:rsid w:val="00E752DD"/>
    <w:rsid w:val="00E7594B"/>
    <w:rsid w:val="00E75C44"/>
    <w:rsid w:val="00E75DE0"/>
    <w:rsid w:val="00E75E40"/>
    <w:rsid w:val="00E75F26"/>
    <w:rsid w:val="00E7758B"/>
    <w:rsid w:val="00E77ED2"/>
    <w:rsid w:val="00E8000F"/>
    <w:rsid w:val="00E80DD1"/>
    <w:rsid w:val="00E8229A"/>
    <w:rsid w:val="00E82588"/>
    <w:rsid w:val="00E83609"/>
    <w:rsid w:val="00E83AC6"/>
    <w:rsid w:val="00E84E99"/>
    <w:rsid w:val="00E85262"/>
    <w:rsid w:val="00E85500"/>
    <w:rsid w:val="00E85F1C"/>
    <w:rsid w:val="00E85F69"/>
    <w:rsid w:val="00E863B8"/>
    <w:rsid w:val="00E86C88"/>
    <w:rsid w:val="00E86FFC"/>
    <w:rsid w:val="00E870FE"/>
    <w:rsid w:val="00E8720F"/>
    <w:rsid w:val="00E8793D"/>
    <w:rsid w:val="00E906B1"/>
    <w:rsid w:val="00E90FEE"/>
    <w:rsid w:val="00E91109"/>
    <w:rsid w:val="00E9186C"/>
    <w:rsid w:val="00E929C6"/>
    <w:rsid w:val="00E92A2E"/>
    <w:rsid w:val="00E942F8"/>
    <w:rsid w:val="00E95250"/>
    <w:rsid w:val="00E959A9"/>
    <w:rsid w:val="00E95F27"/>
    <w:rsid w:val="00E95F9F"/>
    <w:rsid w:val="00E96054"/>
    <w:rsid w:val="00E97823"/>
    <w:rsid w:val="00E97F1B"/>
    <w:rsid w:val="00EA021B"/>
    <w:rsid w:val="00EA046E"/>
    <w:rsid w:val="00EA05C0"/>
    <w:rsid w:val="00EA075B"/>
    <w:rsid w:val="00EA0DAE"/>
    <w:rsid w:val="00EA1B0B"/>
    <w:rsid w:val="00EA1B9C"/>
    <w:rsid w:val="00EA23A1"/>
    <w:rsid w:val="00EA267F"/>
    <w:rsid w:val="00EA2F6E"/>
    <w:rsid w:val="00EA33F9"/>
    <w:rsid w:val="00EA39F2"/>
    <w:rsid w:val="00EA4229"/>
    <w:rsid w:val="00EA43AD"/>
    <w:rsid w:val="00EA45E6"/>
    <w:rsid w:val="00EA4A9D"/>
    <w:rsid w:val="00EA52FF"/>
    <w:rsid w:val="00EA5539"/>
    <w:rsid w:val="00EA57EB"/>
    <w:rsid w:val="00EA5B49"/>
    <w:rsid w:val="00EA5CFB"/>
    <w:rsid w:val="00EA5D85"/>
    <w:rsid w:val="00EA5E2F"/>
    <w:rsid w:val="00EA62B0"/>
    <w:rsid w:val="00EA6A16"/>
    <w:rsid w:val="00EA6C8E"/>
    <w:rsid w:val="00EA79EB"/>
    <w:rsid w:val="00EB0143"/>
    <w:rsid w:val="00EB0890"/>
    <w:rsid w:val="00EB108D"/>
    <w:rsid w:val="00EB1D6D"/>
    <w:rsid w:val="00EB1D7D"/>
    <w:rsid w:val="00EB257E"/>
    <w:rsid w:val="00EB266E"/>
    <w:rsid w:val="00EB307B"/>
    <w:rsid w:val="00EB33AB"/>
    <w:rsid w:val="00EB355F"/>
    <w:rsid w:val="00EB3732"/>
    <w:rsid w:val="00EB45B8"/>
    <w:rsid w:val="00EB4688"/>
    <w:rsid w:val="00EB4720"/>
    <w:rsid w:val="00EB531F"/>
    <w:rsid w:val="00EB6342"/>
    <w:rsid w:val="00EB66EC"/>
    <w:rsid w:val="00EB6C07"/>
    <w:rsid w:val="00EB6C40"/>
    <w:rsid w:val="00EB6E3F"/>
    <w:rsid w:val="00EB6E5C"/>
    <w:rsid w:val="00EB7745"/>
    <w:rsid w:val="00EB7FA3"/>
    <w:rsid w:val="00EC0010"/>
    <w:rsid w:val="00EC00BC"/>
    <w:rsid w:val="00EC028D"/>
    <w:rsid w:val="00EC02A6"/>
    <w:rsid w:val="00EC1272"/>
    <w:rsid w:val="00EC1652"/>
    <w:rsid w:val="00EC185A"/>
    <w:rsid w:val="00EC19C6"/>
    <w:rsid w:val="00EC1F5B"/>
    <w:rsid w:val="00EC22C7"/>
    <w:rsid w:val="00EC2635"/>
    <w:rsid w:val="00EC29A7"/>
    <w:rsid w:val="00EC2DCC"/>
    <w:rsid w:val="00EC36AD"/>
    <w:rsid w:val="00EC36CA"/>
    <w:rsid w:val="00EC48F8"/>
    <w:rsid w:val="00EC4D20"/>
    <w:rsid w:val="00EC4DC6"/>
    <w:rsid w:val="00EC511A"/>
    <w:rsid w:val="00EC52F5"/>
    <w:rsid w:val="00EC5DE8"/>
    <w:rsid w:val="00EC6199"/>
    <w:rsid w:val="00EC6422"/>
    <w:rsid w:val="00EC64AA"/>
    <w:rsid w:val="00EC67FC"/>
    <w:rsid w:val="00EC6E7E"/>
    <w:rsid w:val="00EC75CA"/>
    <w:rsid w:val="00EC7745"/>
    <w:rsid w:val="00EC78CB"/>
    <w:rsid w:val="00EC7AD1"/>
    <w:rsid w:val="00EC7C18"/>
    <w:rsid w:val="00EC7C4E"/>
    <w:rsid w:val="00EC7CD0"/>
    <w:rsid w:val="00ED0C7A"/>
    <w:rsid w:val="00ED0E14"/>
    <w:rsid w:val="00ED0FAA"/>
    <w:rsid w:val="00ED100E"/>
    <w:rsid w:val="00ED1B93"/>
    <w:rsid w:val="00ED270D"/>
    <w:rsid w:val="00ED3D64"/>
    <w:rsid w:val="00ED48AD"/>
    <w:rsid w:val="00ED4EF4"/>
    <w:rsid w:val="00ED5B2D"/>
    <w:rsid w:val="00ED5CDE"/>
    <w:rsid w:val="00ED633B"/>
    <w:rsid w:val="00ED64C0"/>
    <w:rsid w:val="00ED73AE"/>
    <w:rsid w:val="00ED74AF"/>
    <w:rsid w:val="00ED7CE0"/>
    <w:rsid w:val="00ED7EEB"/>
    <w:rsid w:val="00EE07E1"/>
    <w:rsid w:val="00EE1196"/>
    <w:rsid w:val="00EE13C4"/>
    <w:rsid w:val="00EE14AD"/>
    <w:rsid w:val="00EE15FC"/>
    <w:rsid w:val="00EE242F"/>
    <w:rsid w:val="00EE2686"/>
    <w:rsid w:val="00EE2719"/>
    <w:rsid w:val="00EE27A3"/>
    <w:rsid w:val="00EE2BBB"/>
    <w:rsid w:val="00EE35DC"/>
    <w:rsid w:val="00EE45FD"/>
    <w:rsid w:val="00EE478C"/>
    <w:rsid w:val="00EE4EAC"/>
    <w:rsid w:val="00EE51D1"/>
    <w:rsid w:val="00EE51E9"/>
    <w:rsid w:val="00EE5B57"/>
    <w:rsid w:val="00EE615A"/>
    <w:rsid w:val="00EE63F6"/>
    <w:rsid w:val="00EE7612"/>
    <w:rsid w:val="00EE7D0F"/>
    <w:rsid w:val="00EF05C7"/>
    <w:rsid w:val="00EF0822"/>
    <w:rsid w:val="00EF18DD"/>
    <w:rsid w:val="00EF192C"/>
    <w:rsid w:val="00EF1A6D"/>
    <w:rsid w:val="00EF1C69"/>
    <w:rsid w:val="00EF26F0"/>
    <w:rsid w:val="00EF27D8"/>
    <w:rsid w:val="00EF2891"/>
    <w:rsid w:val="00EF2BA3"/>
    <w:rsid w:val="00EF2C3E"/>
    <w:rsid w:val="00EF2EC2"/>
    <w:rsid w:val="00EF350D"/>
    <w:rsid w:val="00EF39C2"/>
    <w:rsid w:val="00EF3AB9"/>
    <w:rsid w:val="00EF43C2"/>
    <w:rsid w:val="00EF4488"/>
    <w:rsid w:val="00EF6144"/>
    <w:rsid w:val="00EF63FE"/>
    <w:rsid w:val="00EF65D5"/>
    <w:rsid w:val="00EF6AA3"/>
    <w:rsid w:val="00EF6AFB"/>
    <w:rsid w:val="00EF6E49"/>
    <w:rsid w:val="00EF7B02"/>
    <w:rsid w:val="00F00156"/>
    <w:rsid w:val="00F001FC"/>
    <w:rsid w:val="00F00AD5"/>
    <w:rsid w:val="00F00D0A"/>
    <w:rsid w:val="00F00F93"/>
    <w:rsid w:val="00F01016"/>
    <w:rsid w:val="00F01098"/>
    <w:rsid w:val="00F01D0A"/>
    <w:rsid w:val="00F0225C"/>
    <w:rsid w:val="00F02946"/>
    <w:rsid w:val="00F03131"/>
    <w:rsid w:val="00F03A52"/>
    <w:rsid w:val="00F045C5"/>
    <w:rsid w:val="00F04928"/>
    <w:rsid w:val="00F04FED"/>
    <w:rsid w:val="00F05035"/>
    <w:rsid w:val="00F05394"/>
    <w:rsid w:val="00F05E55"/>
    <w:rsid w:val="00F063AB"/>
    <w:rsid w:val="00F06424"/>
    <w:rsid w:val="00F06F71"/>
    <w:rsid w:val="00F07167"/>
    <w:rsid w:val="00F075E5"/>
    <w:rsid w:val="00F07A5E"/>
    <w:rsid w:val="00F07CD8"/>
    <w:rsid w:val="00F1038C"/>
    <w:rsid w:val="00F107AF"/>
    <w:rsid w:val="00F107E1"/>
    <w:rsid w:val="00F10AD1"/>
    <w:rsid w:val="00F11231"/>
    <w:rsid w:val="00F1132C"/>
    <w:rsid w:val="00F11CD3"/>
    <w:rsid w:val="00F11E1E"/>
    <w:rsid w:val="00F12840"/>
    <w:rsid w:val="00F12FDE"/>
    <w:rsid w:val="00F13485"/>
    <w:rsid w:val="00F1368B"/>
    <w:rsid w:val="00F149A0"/>
    <w:rsid w:val="00F1581B"/>
    <w:rsid w:val="00F15963"/>
    <w:rsid w:val="00F15B90"/>
    <w:rsid w:val="00F15DD5"/>
    <w:rsid w:val="00F162C1"/>
    <w:rsid w:val="00F1635F"/>
    <w:rsid w:val="00F16D28"/>
    <w:rsid w:val="00F17271"/>
    <w:rsid w:val="00F17D4B"/>
    <w:rsid w:val="00F17F2A"/>
    <w:rsid w:val="00F20962"/>
    <w:rsid w:val="00F20F40"/>
    <w:rsid w:val="00F20F76"/>
    <w:rsid w:val="00F21105"/>
    <w:rsid w:val="00F2170B"/>
    <w:rsid w:val="00F21EBA"/>
    <w:rsid w:val="00F21FBD"/>
    <w:rsid w:val="00F22CE2"/>
    <w:rsid w:val="00F23139"/>
    <w:rsid w:val="00F23398"/>
    <w:rsid w:val="00F235BF"/>
    <w:rsid w:val="00F24BED"/>
    <w:rsid w:val="00F253AE"/>
    <w:rsid w:val="00F2569D"/>
    <w:rsid w:val="00F25CCA"/>
    <w:rsid w:val="00F25FA5"/>
    <w:rsid w:val="00F262B5"/>
    <w:rsid w:val="00F265AC"/>
    <w:rsid w:val="00F26DFF"/>
    <w:rsid w:val="00F26E3C"/>
    <w:rsid w:val="00F26F30"/>
    <w:rsid w:val="00F26FF1"/>
    <w:rsid w:val="00F2777D"/>
    <w:rsid w:val="00F3000F"/>
    <w:rsid w:val="00F30054"/>
    <w:rsid w:val="00F30802"/>
    <w:rsid w:val="00F309DA"/>
    <w:rsid w:val="00F30BFD"/>
    <w:rsid w:val="00F310FA"/>
    <w:rsid w:val="00F32AD7"/>
    <w:rsid w:val="00F32B64"/>
    <w:rsid w:val="00F33C92"/>
    <w:rsid w:val="00F33CF0"/>
    <w:rsid w:val="00F34001"/>
    <w:rsid w:val="00F341EF"/>
    <w:rsid w:val="00F34225"/>
    <w:rsid w:val="00F34F12"/>
    <w:rsid w:val="00F364B2"/>
    <w:rsid w:val="00F366A5"/>
    <w:rsid w:val="00F37293"/>
    <w:rsid w:val="00F373BE"/>
    <w:rsid w:val="00F374BC"/>
    <w:rsid w:val="00F37E8C"/>
    <w:rsid w:val="00F40856"/>
    <w:rsid w:val="00F40C44"/>
    <w:rsid w:val="00F41055"/>
    <w:rsid w:val="00F41171"/>
    <w:rsid w:val="00F41A0C"/>
    <w:rsid w:val="00F41C24"/>
    <w:rsid w:val="00F41FB6"/>
    <w:rsid w:val="00F4262D"/>
    <w:rsid w:val="00F427B6"/>
    <w:rsid w:val="00F43A68"/>
    <w:rsid w:val="00F43E75"/>
    <w:rsid w:val="00F4451A"/>
    <w:rsid w:val="00F447CD"/>
    <w:rsid w:val="00F44876"/>
    <w:rsid w:val="00F448A5"/>
    <w:rsid w:val="00F448BA"/>
    <w:rsid w:val="00F44DE1"/>
    <w:rsid w:val="00F44E91"/>
    <w:rsid w:val="00F44F67"/>
    <w:rsid w:val="00F45599"/>
    <w:rsid w:val="00F45695"/>
    <w:rsid w:val="00F4597E"/>
    <w:rsid w:val="00F462A3"/>
    <w:rsid w:val="00F46B79"/>
    <w:rsid w:val="00F47379"/>
    <w:rsid w:val="00F477C5"/>
    <w:rsid w:val="00F47B0E"/>
    <w:rsid w:val="00F51655"/>
    <w:rsid w:val="00F51E84"/>
    <w:rsid w:val="00F52793"/>
    <w:rsid w:val="00F529EC"/>
    <w:rsid w:val="00F52DBB"/>
    <w:rsid w:val="00F5300F"/>
    <w:rsid w:val="00F53DAB"/>
    <w:rsid w:val="00F53E53"/>
    <w:rsid w:val="00F540B7"/>
    <w:rsid w:val="00F542FD"/>
    <w:rsid w:val="00F5446B"/>
    <w:rsid w:val="00F548C9"/>
    <w:rsid w:val="00F55383"/>
    <w:rsid w:val="00F553BF"/>
    <w:rsid w:val="00F555FA"/>
    <w:rsid w:val="00F55CE3"/>
    <w:rsid w:val="00F55FFE"/>
    <w:rsid w:val="00F56F8B"/>
    <w:rsid w:val="00F60BCB"/>
    <w:rsid w:val="00F60F86"/>
    <w:rsid w:val="00F6122F"/>
    <w:rsid w:val="00F6140D"/>
    <w:rsid w:val="00F616B6"/>
    <w:rsid w:val="00F61F90"/>
    <w:rsid w:val="00F62865"/>
    <w:rsid w:val="00F6295C"/>
    <w:rsid w:val="00F63318"/>
    <w:rsid w:val="00F63658"/>
    <w:rsid w:val="00F63B72"/>
    <w:rsid w:val="00F63B9A"/>
    <w:rsid w:val="00F6420B"/>
    <w:rsid w:val="00F64B34"/>
    <w:rsid w:val="00F64BD9"/>
    <w:rsid w:val="00F6540D"/>
    <w:rsid w:val="00F656BC"/>
    <w:rsid w:val="00F66931"/>
    <w:rsid w:val="00F66B93"/>
    <w:rsid w:val="00F66CD5"/>
    <w:rsid w:val="00F66CEB"/>
    <w:rsid w:val="00F66E08"/>
    <w:rsid w:val="00F6722C"/>
    <w:rsid w:val="00F674FA"/>
    <w:rsid w:val="00F67A9A"/>
    <w:rsid w:val="00F700C0"/>
    <w:rsid w:val="00F70A8A"/>
    <w:rsid w:val="00F70B08"/>
    <w:rsid w:val="00F70F4E"/>
    <w:rsid w:val="00F7146F"/>
    <w:rsid w:val="00F71675"/>
    <w:rsid w:val="00F71D2E"/>
    <w:rsid w:val="00F721FA"/>
    <w:rsid w:val="00F72C7A"/>
    <w:rsid w:val="00F73113"/>
    <w:rsid w:val="00F73198"/>
    <w:rsid w:val="00F735CE"/>
    <w:rsid w:val="00F73669"/>
    <w:rsid w:val="00F74053"/>
    <w:rsid w:val="00F75070"/>
    <w:rsid w:val="00F7535F"/>
    <w:rsid w:val="00F754F0"/>
    <w:rsid w:val="00F7553D"/>
    <w:rsid w:val="00F759BE"/>
    <w:rsid w:val="00F75FC4"/>
    <w:rsid w:val="00F77345"/>
    <w:rsid w:val="00F77543"/>
    <w:rsid w:val="00F7759A"/>
    <w:rsid w:val="00F776DC"/>
    <w:rsid w:val="00F776F4"/>
    <w:rsid w:val="00F803FA"/>
    <w:rsid w:val="00F80729"/>
    <w:rsid w:val="00F80960"/>
    <w:rsid w:val="00F8126A"/>
    <w:rsid w:val="00F826DF"/>
    <w:rsid w:val="00F82C72"/>
    <w:rsid w:val="00F82E15"/>
    <w:rsid w:val="00F833BF"/>
    <w:rsid w:val="00F83483"/>
    <w:rsid w:val="00F83C34"/>
    <w:rsid w:val="00F83C43"/>
    <w:rsid w:val="00F83EC6"/>
    <w:rsid w:val="00F83FB9"/>
    <w:rsid w:val="00F8438A"/>
    <w:rsid w:val="00F8471D"/>
    <w:rsid w:val="00F84838"/>
    <w:rsid w:val="00F84FFB"/>
    <w:rsid w:val="00F85981"/>
    <w:rsid w:val="00F85F52"/>
    <w:rsid w:val="00F86005"/>
    <w:rsid w:val="00F868EA"/>
    <w:rsid w:val="00F87263"/>
    <w:rsid w:val="00F8775F"/>
    <w:rsid w:val="00F879C5"/>
    <w:rsid w:val="00F87CA6"/>
    <w:rsid w:val="00F87EC5"/>
    <w:rsid w:val="00F9046B"/>
    <w:rsid w:val="00F90AB3"/>
    <w:rsid w:val="00F90E38"/>
    <w:rsid w:val="00F92446"/>
    <w:rsid w:val="00F92989"/>
    <w:rsid w:val="00F92E3E"/>
    <w:rsid w:val="00F93725"/>
    <w:rsid w:val="00F949E9"/>
    <w:rsid w:val="00F94D24"/>
    <w:rsid w:val="00F9513C"/>
    <w:rsid w:val="00F95162"/>
    <w:rsid w:val="00F95352"/>
    <w:rsid w:val="00F955D9"/>
    <w:rsid w:val="00F958F0"/>
    <w:rsid w:val="00F9644B"/>
    <w:rsid w:val="00F9695D"/>
    <w:rsid w:val="00F96EEA"/>
    <w:rsid w:val="00F970EB"/>
    <w:rsid w:val="00F972BB"/>
    <w:rsid w:val="00F976FE"/>
    <w:rsid w:val="00F97CF9"/>
    <w:rsid w:val="00FA00C7"/>
    <w:rsid w:val="00FA0A1B"/>
    <w:rsid w:val="00FA0C7D"/>
    <w:rsid w:val="00FA0DC8"/>
    <w:rsid w:val="00FA0F2E"/>
    <w:rsid w:val="00FA105F"/>
    <w:rsid w:val="00FA1821"/>
    <w:rsid w:val="00FA198C"/>
    <w:rsid w:val="00FA1FE4"/>
    <w:rsid w:val="00FA2539"/>
    <w:rsid w:val="00FA2558"/>
    <w:rsid w:val="00FA3299"/>
    <w:rsid w:val="00FA3C3F"/>
    <w:rsid w:val="00FA4491"/>
    <w:rsid w:val="00FA4742"/>
    <w:rsid w:val="00FA4890"/>
    <w:rsid w:val="00FA4A01"/>
    <w:rsid w:val="00FA4A36"/>
    <w:rsid w:val="00FA4FC4"/>
    <w:rsid w:val="00FA503C"/>
    <w:rsid w:val="00FA5474"/>
    <w:rsid w:val="00FA5B0F"/>
    <w:rsid w:val="00FA6299"/>
    <w:rsid w:val="00FA643F"/>
    <w:rsid w:val="00FA6D22"/>
    <w:rsid w:val="00FA6FDE"/>
    <w:rsid w:val="00FA7740"/>
    <w:rsid w:val="00FA7A64"/>
    <w:rsid w:val="00FB026D"/>
    <w:rsid w:val="00FB0EF0"/>
    <w:rsid w:val="00FB0FEF"/>
    <w:rsid w:val="00FB1993"/>
    <w:rsid w:val="00FB1A99"/>
    <w:rsid w:val="00FB23AA"/>
    <w:rsid w:val="00FB2608"/>
    <w:rsid w:val="00FB297B"/>
    <w:rsid w:val="00FB3A10"/>
    <w:rsid w:val="00FB3BBF"/>
    <w:rsid w:val="00FB3E2E"/>
    <w:rsid w:val="00FB4292"/>
    <w:rsid w:val="00FB446B"/>
    <w:rsid w:val="00FB553F"/>
    <w:rsid w:val="00FB6163"/>
    <w:rsid w:val="00FB77FA"/>
    <w:rsid w:val="00FC0DF3"/>
    <w:rsid w:val="00FC11B4"/>
    <w:rsid w:val="00FC1429"/>
    <w:rsid w:val="00FC1C08"/>
    <w:rsid w:val="00FC1DC4"/>
    <w:rsid w:val="00FC2148"/>
    <w:rsid w:val="00FC22E6"/>
    <w:rsid w:val="00FC2414"/>
    <w:rsid w:val="00FC2BE9"/>
    <w:rsid w:val="00FC2FF1"/>
    <w:rsid w:val="00FC3917"/>
    <w:rsid w:val="00FC3A35"/>
    <w:rsid w:val="00FC3C70"/>
    <w:rsid w:val="00FC3FE9"/>
    <w:rsid w:val="00FC41B9"/>
    <w:rsid w:val="00FC469D"/>
    <w:rsid w:val="00FC4998"/>
    <w:rsid w:val="00FC4A20"/>
    <w:rsid w:val="00FC4A73"/>
    <w:rsid w:val="00FC4CA5"/>
    <w:rsid w:val="00FC534C"/>
    <w:rsid w:val="00FC559C"/>
    <w:rsid w:val="00FC6608"/>
    <w:rsid w:val="00FC6628"/>
    <w:rsid w:val="00FC70B3"/>
    <w:rsid w:val="00FC73C8"/>
    <w:rsid w:val="00FC746A"/>
    <w:rsid w:val="00FC7823"/>
    <w:rsid w:val="00FC7F0D"/>
    <w:rsid w:val="00FD07A0"/>
    <w:rsid w:val="00FD0EE6"/>
    <w:rsid w:val="00FD1427"/>
    <w:rsid w:val="00FD14F0"/>
    <w:rsid w:val="00FD1AB0"/>
    <w:rsid w:val="00FD1EA8"/>
    <w:rsid w:val="00FD2305"/>
    <w:rsid w:val="00FD2347"/>
    <w:rsid w:val="00FD445E"/>
    <w:rsid w:val="00FD470E"/>
    <w:rsid w:val="00FD4AAD"/>
    <w:rsid w:val="00FD4CB3"/>
    <w:rsid w:val="00FD5868"/>
    <w:rsid w:val="00FD5D03"/>
    <w:rsid w:val="00FD7321"/>
    <w:rsid w:val="00FD7687"/>
    <w:rsid w:val="00FD7853"/>
    <w:rsid w:val="00FD7EC7"/>
    <w:rsid w:val="00FE08A6"/>
    <w:rsid w:val="00FE09DD"/>
    <w:rsid w:val="00FE27D7"/>
    <w:rsid w:val="00FE2CB5"/>
    <w:rsid w:val="00FE2F68"/>
    <w:rsid w:val="00FE3EA8"/>
    <w:rsid w:val="00FE3F15"/>
    <w:rsid w:val="00FE44B7"/>
    <w:rsid w:val="00FE47BB"/>
    <w:rsid w:val="00FE49B5"/>
    <w:rsid w:val="00FE5512"/>
    <w:rsid w:val="00FE5602"/>
    <w:rsid w:val="00FE5A9C"/>
    <w:rsid w:val="00FE5F36"/>
    <w:rsid w:val="00FE645A"/>
    <w:rsid w:val="00FE6897"/>
    <w:rsid w:val="00FE6A2A"/>
    <w:rsid w:val="00FE71C7"/>
    <w:rsid w:val="00FE720C"/>
    <w:rsid w:val="00FE7658"/>
    <w:rsid w:val="00FE7CC4"/>
    <w:rsid w:val="00FE7E27"/>
    <w:rsid w:val="00FF02AC"/>
    <w:rsid w:val="00FF03C6"/>
    <w:rsid w:val="00FF0818"/>
    <w:rsid w:val="00FF0CDF"/>
    <w:rsid w:val="00FF133D"/>
    <w:rsid w:val="00FF17F5"/>
    <w:rsid w:val="00FF208C"/>
    <w:rsid w:val="00FF20D0"/>
    <w:rsid w:val="00FF2118"/>
    <w:rsid w:val="00FF214A"/>
    <w:rsid w:val="00FF28C9"/>
    <w:rsid w:val="00FF28E0"/>
    <w:rsid w:val="00FF2ECE"/>
    <w:rsid w:val="00FF2FA1"/>
    <w:rsid w:val="00FF32BC"/>
    <w:rsid w:val="00FF340F"/>
    <w:rsid w:val="00FF3E87"/>
    <w:rsid w:val="00FF47BA"/>
    <w:rsid w:val="00FF484F"/>
    <w:rsid w:val="00FF4AB7"/>
    <w:rsid w:val="00FF4D23"/>
    <w:rsid w:val="00FF4F1F"/>
    <w:rsid w:val="00FF5228"/>
    <w:rsid w:val="00FF55C4"/>
    <w:rsid w:val="00FF59A5"/>
    <w:rsid w:val="00FF5AA1"/>
    <w:rsid w:val="00FF5BD8"/>
    <w:rsid w:val="00FF5ED6"/>
    <w:rsid w:val="00FF6102"/>
    <w:rsid w:val="00FF673A"/>
    <w:rsid w:val="00FF712B"/>
    <w:rsid w:val="00FF7CF4"/>
    <w:rsid w:val="016973F7"/>
    <w:rsid w:val="01ECAA76"/>
    <w:rsid w:val="01FAB0A3"/>
    <w:rsid w:val="01FDF900"/>
    <w:rsid w:val="024F4B9B"/>
    <w:rsid w:val="02525363"/>
    <w:rsid w:val="02749956"/>
    <w:rsid w:val="029632AC"/>
    <w:rsid w:val="02A84B04"/>
    <w:rsid w:val="02B8658E"/>
    <w:rsid w:val="02C6AD94"/>
    <w:rsid w:val="02DB426A"/>
    <w:rsid w:val="02FF1E50"/>
    <w:rsid w:val="0300DD4C"/>
    <w:rsid w:val="0369FF7D"/>
    <w:rsid w:val="038317AB"/>
    <w:rsid w:val="0399A1B0"/>
    <w:rsid w:val="03E329FA"/>
    <w:rsid w:val="041D6EF2"/>
    <w:rsid w:val="042CC4A5"/>
    <w:rsid w:val="04687242"/>
    <w:rsid w:val="048F7B22"/>
    <w:rsid w:val="04A84D43"/>
    <w:rsid w:val="04B0E502"/>
    <w:rsid w:val="04B7D968"/>
    <w:rsid w:val="04E26987"/>
    <w:rsid w:val="051E7963"/>
    <w:rsid w:val="05402E7C"/>
    <w:rsid w:val="05F4E41A"/>
    <w:rsid w:val="05FCFAE2"/>
    <w:rsid w:val="065B8AD0"/>
    <w:rsid w:val="068C99AF"/>
    <w:rsid w:val="06C007FF"/>
    <w:rsid w:val="072216FC"/>
    <w:rsid w:val="07578065"/>
    <w:rsid w:val="075BFC9D"/>
    <w:rsid w:val="07635378"/>
    <w:rsid w:val="07B531D6"/>
    <w:rsid w:val="07DB7918"/>
    <w:rsid w:val="07F6374E"/>
    <w:rsid w:val="0835A675"/>
    <w:rsid w:val="08697F65"/>
    <w:rsid w:val="08A8EA88"/>
    <w:rsid w:val="08E4435D"/>
    <w:rsid w:val="09195220"/>
    <w:rsid w:val="09219882"/>
    <w:rsid w:val="09488C78"/>
    <w:rsid w:val="09BC2E00"/>
    <w:rsid w:val="09D8DD68"/>
    <w:rsid w:val="0A2E39FF"/>
    <w:rsid w:val="0AC0205A"/>
    <w:rsid w:val="0ACD47AD"/>
    <w:rsid w:val="0AFB533E"/>
    <w:rsid w:val="0B0A516A"/>
    <w:rsid w:val="0BABB2D9"/>
    <w:rsid w:val="0BAC1FF5"/>
    <w:rsid w:val="0BFA50E2"/>
    <w:rsid w:val="0C01BD58"/>
    <w:rsid w:val="0C385765"/>
    <w:rsid w:val="0C82F437"/>
    <w:rsid w:val="0CB5C01A"/>
    <w:rsid w:val="0CC1CBD1"/>
    <w:rsid w:val="0D0F20CF"/>
    <w:rsid w:val="0D72A382"/>
    <w:rsid w:val="0D833EC8"/>
    <w:rsid w:val="0D867A03"/>
    <w:rsid w:val="0DE0FC56"/>
    <w:rsid w:val="0DED3948"/>
    <w:rsid w:val="0E0FABB3"/>
    <w:rsid w:val="0E10694A"/>
    <w:rsid w:val="0E136A59"/>
    <w:rsid w:val="0E453101"/>
    <w:rsid w:val="0E7D64AD"/>
    <w:rsid w:val="0EB81F26"/>
    <w:rsid w:val="0EE4AC91"/>
    <w:rsid w:val="0F1D8815"/>
    <w:rsid w:val="0F4C1769"/>
    <w:rsid w:val="0F9B5A4E"/>
    <w:rsid w:val="0FA7603B"/>
    <w:rsid w:val="0FDECBB3"/>
    <w:rsid w:val="0FF16510"/>
    <w:rsid w:val="0FFEEB53"/>
    <w:rsid w:val="1031BF0A"/>
    <w:rsid w:val="1078DBE7"/>
    <w:rsid w:val="1088B7E1"/>
    <w:rsid w:val="1099727E"/>
    <w:rsid w:val="10B23539"/>
    <w:rsid w:val="10B37730"/>
    <w:rsid w:val="10D1C67F"/>
    <w:rsid w:val="10E12CC0"/>
    <w:rsid w:val="10ED5F4C"/>
    <w:rsid w:val="1182F7FC"/>
    <w:rsid w:val="11CC7651"/>
    <w:rsid w:val="11DB77D2"/>
    <w:rsid w:val="11E5452D"/>
    <w:rsid w:val="120B7145"/>
    <w:rsid w:val="1230395A"/>
    <w:rsid w:val="127958FB"/>
    <w:rsid w:val="127A6885"/>
    <w:rsid w:val="129C5C8A"/>
    <w:rsid w:val="13072BA2"/>
    <w:rsid w:val="13453C4E"/>
    <w:rsid w:val="134DFDD4"/>
    <w:rsid w:val="1351B5A5"/>
    <w:rsid w:val="135E8449"/>
    <w:rsid w:val="1363E6EA"/>
    <w:rsid w:val="138FBB89"/>
    <w:rsid w:val="13A93467"/>
    <w:rsid w:val="13B2E298"/>
    <w:rsid w:val="13C20B02"/>
    <w:rsid w:val="13E942B6"/>
    <w:rsid w:val="144EE91A"/>
    <w:rsid w:val="146C68C1"/>
    <w:rsid w:val="14815893"/>
    <w:rsid w:val="149F2AB6"/>
    <w:rsid w:val="14A8B36B"/>
    <w:rsid w:val="14B85FBF"/>
    <w:rsid w:val="14FE00C2"/>
    <w:rsid w:val="1500C651"/>
    <w:rsid w:val="152E474B"/>
    <w:rsid w:val="154C962A"/>
    <w:rsid w:val="1561AA0D"/>
    <w:rsid w:val="158C7D7B"/>
    <w:rsid w:val="15A1A5EA"/>
    <w:rsid w:val="15B89926"/>
    <w:rsid w:val="15E32F27"/>
    <w:rsid w:val="1648FCDC"/>
    <w:rsid w:val="166E9219"/>
    <w:rsid w:val="1693338A"/>
    <w:rsid w:val="169F5FA0"/>
    <w:rsid w:val="16A4C5C1"/>
    <w:rsid w:val="16ADC72A"/>
    <w:rsid w:val="16B42AC1"/>
    <w:rsid w:val="16CAC475"/>
    <w:rsid w:val="16CF9313"/>
    <w:rsid w:val="172DCB39"/>
    <w:rsid w:val="177CCCD2"/>
    <w:rsid w:val="17B035AF"/>
    <w:rsid w:val="17C977A4"/>
    <w:rsid w:val="17E34E98"/>
    <w:rsid w:val="18030CCC"/>
    <w:rsid w:val="18293E98"/>
    <w:rsid w:val="186713DE"/>
    <w:rsid w:val="18BDB5C3"/>
    <w:rsid w:val="18C6632A"/>
    <w:rsid w:val="190547FF"/>
    <w:rsid w:val="1928F0F0"/>
    <w:rsid w:val="193337ED"/>
    <w:rsid w:val="1945F63A"/>
    <w:rsid w:val="195B6CB5"/>
    <w:rsid w:val="197C424B"/>
    <w:rsid w:val="19825134"/>
    <w:rsid w:val="19BF8F04"/>
    <w:rsid w:val="19E814F2"/>
    <w:rsid w:val="1A17E6C0"/>
    <w:rsid w:val="1A20D065"/>
    <w:rsid w:val="1A46214D"/>
    <w:rsid w:val="1A4FD8ED"/>
    <w:rsid w:val="1A7CE7AA"/>
    <w:rsid w:val="1A86489E"/>
    <w:rsid w:val="1AAC13D2"/>
    <w:rsid w:val="1AB0ABF3"/>
    <w:rsid w:val="1AF50672"/>
    <w:rsid w:val="1AFF8EF0"/>
    <w:rsid w:val="1B2BF005"/>
    <w:rsid w:val="1B4CDA72"/>
    <w:rsid w:val="1B79208C"/>
    <w:rsid w:val="1B924E91"/>
    <w:rsid w:val="1BB74D59"/>
    <w:rsid w:val="1BDD0E86"/>
    <w:rsid w:val="1C4F30CD"/>
    <w:rsid w:val="1C814FC7"/>
    <w:rsid w:val="1C85B70A"/>
    <w:rsid w:val="1CA3297C"/>
    <w:rsid w:val="1CF7D59D"/>
    <w:rsid w:val="1D194C43"/>
    <w:rsid w:val="1D21F2D9"/>
    <w:rsid w:val="1D50E943"/>
    <w:rsid w:val="1D7B814F"/>
    <w:rsid w:val="1DB30964"/>
    <w:rsid w:val="1DC683A7"/>
    <w:rsid w:val="1DF635E9"/>
    <w:rsid w:val="1E1140A8"/>
    <w:rsid w:val="1E258444"/>
    <w:rsid w:val="1F0584A4"/>
    <w:rsid w:val="1F319BA9"/>
    <w:rsid w:val="1FA0E56F"/>
    <w:rsid w:val="1FB19F3B"/>
    <w:rsid w:val="1FBD71F9"/>
    <w:rsid w:val="1FC27F80"/>
    <w:rsid w:val="1FC97F49"/>
    <w:rsid w:val="1FD36751"/>
    <w:rsid w:val="1FE3AD60"/>
    <w:rsid w:val="202111EE"/>
    <w:rsid w:val="20454358"/>
    <w:rsid w:val="20A7B90C"/>
    <w:rsid w:val="20A87E18"/>
    <w:rsid w:val="20B997E3"/>
    <w:rsid w:val="20C0DCF9"/>
    <w:rsid w:val="2113A0A4"/>
    <w:rsid w:val="2127BBE9"/>
    <w:rsid w:val="21E7213A"/>
    <w:rsid w:val="221CD282"/>
    <w:rsid w:val="221F016B"/>
    <w:rsid w:val="228C82B0"/>
    <w:rsid w:val="22A8F1AC"/>
    <w:rsid w:val="22DF4CB3"/>
    <w:rsid w:val="22F067F8"/>
    <w:rsid w:val="2312B559"/>
    <w:rsid w:val="231E9D8F"/>
    <w:rsid w:val="23269BB0"/>
    <w:rsid w:val="23333007"/>
    <w:rsid w:val="2356F038"/>
    <w:rsid w:val="2362D2E0"/>
    <w:rsid w:val="236A206C"/>
    <w:rsid w:val="236D9D89"/>
    <w:rsid w:val="23706D8C"/>
    <w:rsid w:val="23C96EEE"/>
    <w:rsid w:val="242D5DB5"/>
    <w:rsid w:val="247EAB2B"/>
    <w:rsid w:val="24DA2A50"/>
    <w:rsid w:val="24F5D326"/>
    <w:rsid w:val="255DF468"/>
    <w:rsid w:val="258E4FF6"/>
    <w:rsid w:val="25CF7364"/>
    <w:rsid w:val="2602D21C"/>
    <w:rsid w:val="2619B608"/>
    <w:rsid w:val="261EAD50"/>
    <w:rsid w:val="268B15D6"/>
    <w:rsid w:val="26A2FA89"/>
    <w:rsid w:val="26EAEAAA"/>
    <w:rsid w:val="26EE5860"/>
    <w:rsid w:val="271606B0"/>
    <w:rsid w:val="271DAADB"/>
    <w:rsid w:val="27376C81"/>
    <w:rsid w:val="273A6BE6"/>
    <w:rsid w:val="276466FF"/>
    <w:rsid w:val="276F9AE7"/>
    <w:rsid w:val="27708BB0"/>
    <w:rsid w:val="277AB220"/>
    <w:rsid w:val="27AEACEC"/>
    <w:rsid w:val="28227606"/>
    <w:rsid w:val="283694C0"/>
    <w:rsid w:val="285F23A4"/>
    <w:rsid w:val="2875AD4E"/>
    <w:rsid w:val="2876745A"/>
    <w:rsid w:val="288E6AD1"/>
    <w:rsid w:val="28C28EEF"/>
    <w:rsid w:val="28EF46CA"/>
    <w:rsid w:val="29290629"/>
    <w:rsid w:val="295C4B59"/>
    <w:rsid w:val="2991DBA0"/>
    <w:rsid w:val="299B4F9D"/>
    <w:rsid w:val="299D396A"/>
    <w:rsid w:val="29DACE1C"/>
    <w:rsid w:val="2A1ACB34"/>
    <w:rsid w:val="2A8905B6"/>
    <w:rsid w:val="2A89B5B7"/>
    <w:rsid w:val="2AE77273"/>
    <w:rsid w:val="2AE914AB"/>
    <w:rsid w:val="2B5F4AA3"/>
    <w:rsid w:val="2B624756"/>
    <w:rsid w:val="2B662CF4"/>
    <w:rsid w:val="2B92301B"/>
    <w:rsid w:val="2B9E83DF"/>
    <w:rsid w:val="2BE8FE7D"/>
    <w:rsid w:val="2C10C0B3"/>
    <w:rsid w:val="2C39D088"/>
    <w:rsid w:val="2C5DA2EA"/>
    <w:rsid w:val="2C81C673"/>
    <w:rsid w:val="2D015678"/>
    <w:rsid w:val="2D727043"/>
    <w:rsid w:val="2DE6FDED"/>
    <w:rsid w:val="2DF94C36"/>
    <w:rsid w:val="2E582DA6"/>
    <w:rsid w:val="2E5A3888"/>
    <w:rsid w:val="2E702182"/>
    <w:rsid w:val="2EBB4ABE"/>
    <w:rsid w:val="2F01CAA2"/>
    <w:rsid w:val="2F5B9C59"/>
    <w:rsid w:val="2F77F52B"/>
    <w:rsid w:val="2F929DFE"/>
    <w:rsid w:val="2FBEF2D2"/>
    <w:rsid w:val="301CB165"/>
    <w:rsid w:val="303E8028"/>
    <w:rsid w:val="305F4B09"/>
    <w:rsid w:val="306E674D"/>
    <w:rsid w:val="30889AF1"/>
    <w:rsid w:val="30948810"/>
    <w:rsid w:val="30E50091"/>
    <w:rsid w:val="3115D718"/>
    <w:rsid w:val="312DFD5D"/>
    <w:rsid w:val="31307689"/>
    <w:rsid w:val="31385E6D"/>
    <w:rsid w:val="31574DD7"/>
    <w:rsid w:val="317DD9B2"/>
    <w:rsid w:val="318F19D1"/>
    <w:rsid w:val="31939FC2"/>
    <w:rsid w:val="31A1966D"/>
    <w:rsid w:val="31D0D4BF"/>
    <w:rsid w:val="3223E992"/>
    <w:rsid w:val="3240727D"/>
    <w:rsid w:val="324C3945"/>
    <w:rsid w:val="32540F0E"/>
    <w:rsid w:val="329820A0"/>
    <w:rsid w:val="32A20664"/>
    <w:rsid w:val="32B26735"/>
    <w:rsid w:val="32BDDD41"/>
    <w:rsid w:val="32C07473"/>
    <w:rsid w:val="32DB9690"/>
    <w:rsid w:val="3317DF27"/>
    <w:rsid w:val="33421F9A"/>
    <w:rsid w:val="335C927F"/>
    <w:rsid w:val="33A5A267"/>
    <w:rsid w:val="33B06B5F"/>
    <w:rsid w:val="33C3AE1A"/>
    <w:rsid w:val="33E3A99A"/>
    <w:rsid w:val="34259301"/>
    <w:rsid w:val="343342C7"/>
    <w:rsid w:val="349835A1"/>
    <w:rsid w:val="349C5FCE"/>
    <w:rsid w:val="35AB8F3F"/>
    <w:rsid w:val="35EBFE64"/>
    <w:rsid w:val="35FE6398"/>
    <w:rsid w:val="360A9169"/>
    <w:rsid w:val="36133D83"/>
    <w:rsid w:val="36190B34"/>
    <w:rsid w:val="3627B768"/>
    <w:rsid w:val="3629BA7D"/>
    <w:rsid w:val="3665EC7D"/>
    <w:rsid w:val="36924AFD"/>
    <w:rsid w:val="369FD81D"/>
    <w:rsid w:val="36C47543"/>
    <w:rsid w:val="36CBE59B"/>
    <w:rsid w:val="36D7B8FB"/>
    <w:rsid w:val="36E08F8A"/>
    <w:rsid w:val="36EEF964"/>
    <w:rsid w:val="373AD019"/>
    <w:rsid w:val="37658D43"/>
    <w:rsid w:val="3794540C"/>
    <w:rsid w:val="37A56430"/>
    <w:rsid w:val="37D00491"/>
    <w:rsid w:val="37EAF2AF"/>
    <w:rsid w:val="37F78187"/>
    <w:rsid w:val="37FCDA3F"/>
    <w:rsid w:val="381DD023"/>
    <w:rsid w:val="3895A461"/>
    <w:rsid w:val="38C860DC"/>
    <w:rsid w:val="38E53960"/>
    <w:rsid w:val="38E76EB0"/>
    <w:rsid w:val="38F7D58F"/>
    <w:rsid w:val="38F81F8B"/>
    <w:rsid w:val="39244643"/>
    <w:rsid w:val="3931EF3B"/>
    <w:rsid w:val="3937C3E1"/>
    <w:rsid w:val="39A6F385"/>
    <w:rsid w:val="3A01991F"/>
    <w:rsid w:val="3A1971CC"/>
    <w:rsid w:val="3ADF118F"/>
    <w:rsid w:val="3B2849DC"/>
    <w:rsid w:val="3B4DDEF8"/>
    <w:rsid w:val="3B65A98B"/>
    <w:rsid w:val="3BF68022"/>
    <w:rsid w:val="3C0E93D7"/>
    <w:rsid w:val="3C10D5F7"/>
    <w:rsid w:val="3C1AC3EC"/>
    <w:rsid w:val="3C3A2767"/>
    <w:rsid w:val="3C8628E2"/>
    <w:rsid w:val="3C95D1A9"/>
    <w:rsid w:val="3CA93226"/>
    <w:rsid w:val="3CAFB1A5"/>
    <w:rsid w:val="3CB47C62"/>
    <w:rsid w:val="3CCB7055"/>
    <w:rsid w:val="3CCED17D"/>
    <w:rsid w:val="3CD560FF"/>
    <w:rsid w:val="3D159477"/>
    <w:rsid w:val="3D67DFE9"/>
    <w:rsid w:val="3DA96E68"/>
    <w:rsid w:val="3DCC434F"/>
    <w:rsid w:val="3E177809"/>
    <w:rsid w:val="3E2604F5"/>
    <w:rsid w:val="3E421918"/>
    <w:rsid w:val="3E5FF9D4"/>
    <w:rsid w:val="3E68356C"/>
    <w:rsid w:val="3E702EBF"/>
    <w:rsid w:val="3E713160"/>
    <w:rsid w:val="3E72CFA8"/>
    <w:rsid w:val="3E9258E0"/>
    <w:rsid w:val="3EA0F98F"/>
    <w:rsid w:val="3EBC5AF4"/>
    <w:rsid w:val="3F0F66F8"/>
    <w:rsid w:val="3F6E17C3"/>
    <w:rsid w:val="3F7BF800"/>
    <w:rsid w:val="3F99C0F1"/>
    <w:rsid w:val="40122E20"/>
    <w:rsid w:val="402B4196"/>
    <w:rsid w:val="402BFB08"/>
    <w:rsid w:val="4037CDE0"/>
    <w:rsid w:val="40F723DF"/>
    <w:rsid w:val="40FA967F"/>
    <w:rsid w:val="40FC4CF6"/>
    <w:rsid w:val="412AF3EF"/>
    <w:rsid w:val="41359152"/>
    <w:rsid w:val="4157E4F1"/>
    <w:rsid w:val="41687B9F"/>
    <w:rsid w:val="416C37B5"/>
    <w:rsid w:val="41965C9B"/>
    <w:rsid w:val="41B4CA93"/>
    <w:rsid w:val="41CDED6E"/>
    <w:rsid w:val="420C1426"/>
    <w:rsid w:val="420D5A39"/>
    <w:rsid w:val="423A5635"/>
    <w:rsid w:val="424E26FB"/>
    <w:rsid w:val="42594194"/>
    <w:rsid w:val="427117BC"/>
    <w:rsid w:val="42736808"/>
    <w:rsid w:val="42B304A1"/>
    <w:rsid w:val="42BAB700"/>
    <w:rsid w:val="42F18CA1"/>
    <w:rsid w:val="433AF1EB"/>
    <w:rsid w:val="43431147"/>
    <w:rsid w:val="436F8627"/>
    <w:rsid w:val="4400CC1E"/>
    <w:rsid w:val="442D0050"/>
    <w:rsid w:val="44443821"/>
    <w:rsid w:val="4478C7B6"/>
    <w:rsid w:val="4482A605"/>
    <w:rsid w:val="4492D652"/>
    <w:rsid w:val="44AA374C"/>
    <w:rsid w:val="44B0523F"/>
    <w:rsid w:val="44B6A5BF"/>
    <w:rsid w:val="44C5476E"/>
    <w:rsid w:val="44D50214"/>
    <w:rsid w:val="44F812B8"/>
    <w:rsid w:val="45486422"/>
    <w:rsid w:val="4571EE61"/>
    <w:rsid w:val="45D1B314"/>
    <w:rsid w:val="45E1540D"/>
    <w:rsid w:val="45E6AF75"/>
    <w:rsid w:val="4648F49F"/>
    <w:rsid w:val="476A74F8"/>
    <w:rsid w:val="477B4B9A"/>
    <w:rsid w:val="478D5158"/>
    <w:rsid w:val="47B6E56C"/>
    <w:rsid w:val="47E90FC5"/>
    <w:rsid w:val="47F18CB4"/>
    <w:rsid w:val="48284D81"/>
    <w:rsid w:val="486C30F5"/>
    <w:rsid w:val="48A4933E"/>
    <w:rsid w:val="4957EBBA"/>
    <w:rsid w:val="498ABA18"/>
    <w:rsid w:val="498D2820"/>
    <w:rsid w:val="49AAE455"/>
    <w:rsid w:val="49B9F49D"/>
    <w:rsid w:val="49ECF134"/>
    <w:rsid w:val="49F0CA55"/>
    <w:rsid w:val="4A06D797"/>
    <w:rsid w:val="4A0EA5DF"/>
    <w:rsid w:val="4A26951C"/>
    <w:rsid w:val="4A4A83A0"/>
    <w:rsid w:val="4A679194"/>
    <w:rsid w:val="4A6C99D3"/>
    <w:rsid w:val="4A6CBDBD"/>
    <w:rsid w:val="4A8F0A0B"/>
    <w:rsid w:val="4AB67D06"/>
    <w:rsid w:val="4AC93911"/>
    <w:rsid w:val="4ACC6127"/>
    <w:rsid w:val="4AE4F301"/>
    <w:rsid w:val="4AE6BFE2"/>
    <w:rsid w:val="4B0102CF"/>
    <w:rsid w:val="4B1DE146"/>
    <w:rsid w:val="4B21E019"/>
    <w:rsid w:val="4B290823"/>
    <w:rsid w:val="4B3F004C"/>
    <w:rsid w:val="4B408808"/>
    <w:rsid w:val="4B46B4B6"/>
    <w:rsid w:val="4B55A888"/>
    <w:rsid w:val="4B9AB377"/>
    <w:rsid w:val="4BABE76C"/>
    <w:rsid w:val="4BD85CAB"/>
    <w:rsid w:val="4C0DF82F"/>
    <w:rsid w:val="4C4C46A8"/>
    <w:rsid w:val="4C4DD11A"/>
    <w:rsid w:val="4D1659A7"/>
    <w:rsid w:val="4D24189A"/>
    <w:rsid w:val="4DC62CE3"/>
    <w:rsid w:val="4E132691"/>
    <w:rsid w:val="4E257614"/>
    <w:rsid w:val="4E2F840D"/>
    <w:rsid w:val="4E38A391"/>
    <w:rsid w:val="4E3A97DF"/>
    <w:rsid w:val="4E474E83"/>
    <w:rsid w:val="4E64A485"/>
    <w:rsid w:val="4E6FCB15"/>
    <w:rsid w:val="4E9C8E6B"/>
    <w:rsid w:val="4EAE24A3"/>
    <w:rsid w:val="4EC788A2"/>
    <w:rsid w:val="4EDF8842"/>
    <w:rsid w:val="4F118DD9"/>
    <w:rsid w:val="4F3AE31A"/>
    <w:rsid w:val="4F4E5A8B"/>
    <w:rsid w:val="4FA7D872"/>
    <w:rsid w:val="4FEC7771"/>
    <w:rsid w:val="5000A41D"/>
    <w:rsid w:val="50112552"/>
    <w:rsid w:val="502374AC"/>
    <w:rsid w:val="5024B8DF"/>
    <w:rsid w:val="5040D989"/>
    <w:rsid w:val="509E61C4"/>
    <w:rsid w:val="515C0DE7"/>
    <w:rsid w:val="515CDCF8"/>
    <w:rsid w:val="51C61A85"/>
    <w:rsid w:val="51C7EC67"/>
    <w:rsid w:val="51D1DF2D"/>
    <w:rsid w:val="51D5FD7A"/>
    <w:rsid w:val="522A24DC"/>
    <w:rsid w:val="52361F12"/>
    <w:rsid w:val="52698A62"/>
    <w:rsid w:val="5278BE6F"/>
    <w:rsid w:val="5284971E"/>
    <w:rsid w:val="5289ABAC"/>
    <w:rsid w:val="52EF7303"/>
    <w:rsid w:val="52F2EC57"/>
    <w:rsid w:val="52F7F17B"/>
    <w:rsid w:val="52FF14B8"/>
    <w:rsid w:val="5334B3DD"/>
    <w:rsid w:val="533D8A7A"/>
    <w:rsid w:val="53437183"/>
    <w:rsid w:val="535E88B1"/>
    <w:rsid w:val="536BFB5C"/>
    <w:rsid w:val="537A0DE2"/>
    <w:rsid w:val="53813467"/>
    <w:rsid w:val="5387FF59"/>
    <w:rsid w:val="53B24995"/>
    <w:rsid w:val="53D95A2C"/>
    <w:rsid w:val="53F825E4"/>
    <w:rsid w:val="5423B48D"/>
    <w:rsid w:val="542A6EEE"/>
    <w:rsid w:val="54325124"/>
    <w:rsid w:val="544A9ECB"/>
    <w:rsid w:val="5479D54C"/>
    <w:rsid w:val="547F1AFC"/>
    <w:rsid w:val="54A8A00D"/>
    <w:rsid w:val="5540332D"/>
    <w:rsid w:val="55554908"/>
    <w:rsid w:val="555A25C8"/>
    <w:rsid w:val="55D5A32B"/>
    <w:rsid w:val="55D6AF4E"/>
    <w:rsid w:val="55E36939"/>
    <w:rsid w:val="55E78012"/>
    <w:rsid w:val="56018A14"/>
    <w:rsid w:val="56074356"/>
    <w:rsid w:val="5610DE44"/>
    <w:rsid w:val="561F6377"/>
    <w:rsid w:val="56539999"/>
    <w:rsid w:val="56765209"/>
    <w:rsid w:val="567B6518"/>
    <w:rsid w:val="567B7998"/>
    <w:rsid w:val="56DA0823"/>
    <w:rsid w:val="57553323"/>
    <w:rsid w:val="57562F71"/>
    <w:rsid w:val="57961E22"/>
    <w:rsid w:val="57A728CA"/>
    <w:rsid w:val="5806647A"/>
    <w:rsid w:val="5820555A"/>
    <w:rsid w:val="58694CA4"/>
    <w:rsid w:val="586E1003"/>
    <w:rsid w:val="58837C29"/>
    <w:rsid w:val="58E9EBFD"/>
    <w:rsid w:val="58F273CD"/>
    <w:rsid w:val="592895FF"/>
    <w:rsid w:val="5957F066"/>
    <w:rsid w:val="595B3344"/>
    <w:rsid w:val="596134A1"/>
    <w:rsid w:val="59898C93"/>
    <w:rsid w:val="598A4679"/>
    <w:rsid w:val="59B114A0"/>
    <w:rsid w:val="5A030032"/>
    <w:rsid w:val="5A123441"/>
    <w:rsid w:val="5A1BCC71"/>
    <w:rsid w:val="5A206B40"/>
    <w:rsid w:val="5A286BA8"/>
    <w:rsid w:val="5A65000D"/>
    <w:rsid w:val="5ACC5F25"/>
    <w:rsid w:val="5AF4C719"/>
    <w:rsid w:val="5B02CFC2"/>
    <w:rsid w:val="5B067F56"/>
    <w:rsid w:val="5B3356EE"/>
    <w:rsid w:val="5B6A75E3"/>
    <w:rsid w:val="5BADD071"/>
    <w:rsid w:val="5C69AADD"/>
    <w:rsid w:val="5C6C20B0"/>
    <w:rsid w:val="5C6E7D3B"/>
    <w:rsid w:val="5CABBE3B"/>
    <w:rsid w:val="5CFB1BA6"/>
    <w:rsid w:val="5D151628"/>
    <w:rsid w:val="5DE427C1"/>
    <w:rsid w:val="5DFDE5E7"/>
    <w:rsid w:val="5E00A3AB"/>
    <w:rsid w:val="5E3659F6"/>
    <w:rsid w:val="5E4ADDC8"/>
    <w:rsid w:val="5EC055DD"/>
    <w:rsid w:val="5EE6F1A4"/>
    <w:rsid w:val="5F1CB295"/>
    <w:rsid w:val="5F682B88"/>
    <w:rsid w:val="5F879E4E"/>
    <w:rsid w:val="5F901F57"/>
    <w:rsid w:val="5FBF71C2"/>
    <w:rsid w:val="5FC37A3B"/>
    <w:rsid w:val="5FD16F5F"/>
    <w:rsid w:val="5FF0BFFF"/>
    <w:rsid w:val="5FF90A9D"/>
    <w:rsid w:val="6046BE9B"/>
    <w:rsid w:val="607783A9"/>
    <w:rsid w:val="60B5DA01"/>
    <w:rsid w:val="60C1218E"/>
    <w:rsid w:val="60D7B455"/>
    <w:rsid w:val="611A0323"/>
    <w:rsid w:val="614FAC15"/>
    <w:rsid w:val="61645C8D"/>
    <w:rsid w:val="616EB607"/>
    <w:rsid w:val="61C3D747"/>
    <w:rsid w:val="61FF47FD"/>
    <w:rsid w:val="621C6E51"/>
    <w:rsid w:val="6224FC63"/>
    <w:rsid w:val="622F8A33"/>
    <w:rsid w:val="6250F527"/>
    <w:rsid w:val="626206B7"/>
    <w:rsid w:val="6282D293"/>
    <w:rsid w:val="629D8FA1"/>
    <w:rsid w:val="62D2C516"/>
    <w:rsid w:val="62F19FAF"/>
    <w:rsid w:val="63001B90"/>
    <w:rsid w:val="630398F6"/>
    <w:rsid w:val="63A17CD9"/>
    <w:rsid w:val="645BB7BE"/>
    <w:rsid w:val="647768A4"/>
    <w:rsid w:val="64EAF64D"/>
    <w:rsid w:val="65068F60"/>
    <w:rsid w:val="65380850"/>
    <w:rsid w:val="6540704A"/>
    <w:rsid w:val="655A5E17"/>
    <w:rsid w:val="65FF15FD"/>
    <w:rsid w:val="661F3430"/>
    <w:rsid w:val="6626FF25"/>
    <w:rsid w:val="6653921D"/>
    <w:rsid w:val="665CA385"/>
    <w:rsid w:val="6663AE13"/>
    <w:rsid w:val="6682998C"/>
    <w:rsid w:val="66A230BD"/>
    <w:rsid w:val="66A5F7EA"/>
    <w:rsid w:val="66A72230"/>
    <w:rsid w:val="66C0E0DE"/>
    <w:rsid w:val="674A45FF"/>
    <w:rsid w:val="6762091A"/>
    <w:rsid w:val="677088AA"/>
    <w:rsid w:val="6779CB6E"/>
    <w:rsid w:val="678432BF"/>
    <w:rsid w:val="67877E6E"/>
    <w:rsid w:val="67AAAE4E"/>
    <w:rsid w:val="67AAF2D2"/>
    <w:rsid w:val="67B018CE"/>
    <w:rsid w:val="67D40A4F"/>
    <w:rsid w:val="67E3EEE0"/>
    <w:rsid w:val="67E76943"/>
    <w:rsid w:val="6802CE8C"/>
    <w:rsid w:val="685D857D"/>
    <w:rsid w:val="686F20BC"/>
    <w:rsid w:val="68F05A73"/>
    <w:rsid w:val="692A0484"/>
    <w:rsid w:val="692E8A23"/>
    <w:rsid w:val="6951932E"/>
    <w:rsid w:val="696716CE"/>
    <w:rsid w:val="6968D364"/>
    <w:rsid w:val="697FB7A3"/>
    <w:rsid w:val="6A1B3F8A"/>
    <w:rsid w:val="6A1C695A"/>
    <w:rsid w:val="6A1EC283"/>
    <w:rsid w:val="6A300653"/>
    <w:rsid w:val="6A580536"/>
    <w:rsid w:val="6A788385"/>
    <w:rsid w:val="6A85AD8B"/>
    <w:rsid w:val="6A8943C5"/>
    <w:rsid w:val="6AA724D8"/>
    <w:rsid w:val="6B1C0E0C"/>
    <w:rsid w:val="6BC5736B"/>
    <w:rsid w:val="6C3A08C6"/>
    <w:rsid w:val="6C5FC270"/>
    <w:rsid w:val="6C937F6B"/>
    <w:rsid w:val="6CE49269"/>
    <w:rsid w:val="6CF919DF"/>
    <w:rsid w:val="6D24A95F"/>
    <w:rsid w:val="6D33E5BB"/>
    <w:rsid w:val="6D683468"/>
    <w:rsid w:val="6D6DC1B0"/>
    <w:rsid w:val="6D7F2D71"/>
    <w:rsid w:val="6D938CB8"/>
    <w:rsid w:val="6DA39B71"/>
    <w:rsid w:val="6DB9369F"/>
    <w:rsid w:val="6DD0E59F"/>
    <w:rsid w:val="6DEB053E"/>
    <w:rsid w:val="6E6E9553"/>
    <w:rsid w:val="6E93C177"/>
    <w:rsid w:val="6E9CEB34"/>
    <w:rsid w:val="6E9DE7C4"/>
    <w:rsid w:val="6FAB530E"/>
    <w:rsid w:val="6FD67F90"/>
    <w:rsid w:val="709C1962"/>
    <w:rsid w:val="70E69A22"/>
    <w:rsid w:val="712F1114"/>
    <w:rsid w:val="713DD523"/>
    <w:rsid w:val="716B4259"/>
    <w:rsid w:val="718DF7B7"/>
    <w:rsid w:val="71AA98D9"/>
    <w:rsid w:val="71B918AC"/>
    <w:rsid w:val="71D09944"/>
    <w:rsid w:val="724EF86B"/>
    <w:rsid w:val="7282DF9E"/>
    <w:rsid w:val="72A1D324"/>
    <w:rsid w:val="72CAE175"/>
    <w:rsid w:val="730C17ED"/>
    <w:rsid w:val="73253C30"/>
    <w:rsid w:val="73643D4E"/>
    <w:rsid w:val="7371F8DD"/>
    <w:rsid w:val="7373F407"/>
    <w:rsid w:val="73B0F53E"/>
    <w:rsid w:val="73FFC358"/>
    <w:rsid w:val="7475F7AA"/>
    <w:rsid w:val="7476BC31"/>
    <w:rsid w:val="747B2A6E"/>
    <w:rsid w:val="748FCD32"/>
    <w:rsid w:val="74A9C975"/>
    <w:rsid w:val="74E3F9B6"/>
    <w:rsid w:val="74EEC7EE"/>
    <w:rsid w:val="75131999"/>
    <w:rsid w:val="755063E1"/>
    <w:rsid w:val="7552E8A7"/>
    <w:rsid w:val="7568B907"/>
    <w:rsid w:val="759D23B8"/>
    <w:rsid w:val="75A07542"/>
    <w:rsid w:val="75C45FBE"/>
    <w:rsid w:val="75D5B00B"/>
    <w:rsid w:val="75F69843"/>
    <w:rsid w:val="76C1413A"/>
    <w:rsid w:val="76CE2769"/>
    <w:rsid w:val="7715FD31"/>
    <w:rsid w:val="77427BCA"/>
    <w:rsid w:val="77763053"/>
    <w:rsid w:val="77BB2742"/>
    <w:rsid w:val="78243F72"/>
    <w:rsid w:val="785598B7"/>
    <w:rsid w:val="7869A28D"/>
    <w:rsid w:val="7870FFA8"/>
    <w:rsid w:val="787EF105"/>
    <w:rsid w:val="78BE3766"/>
    <w:rsid w:val="7953774B"/>
    <w:rsid w:val="7980D17A"/>
    <w:rsid w:val="79B6EFE7"/>
    <w:rsid w:val="79EEC606"/>
    <w:rsid w:val="79FD284C"/>
    <w:rsid w:val="7A38992F"/>
    <w:rsid w:val="7A4720C4"/>
    <w:rsid w:val="7A5E0A0A"/>
    <w:rsid w:val="7A6B307C"/>
    <w:rsid w:val="7A6C9CD5"/>
    <w:rsid w:val="7A93B1D5"/>
    <w:rsid w:val="7AC02912"/>
    <w:rsid w:val="7AE5E659"/>
    <w:rsid w:val="7B4ADACD"/>
    <w:rsid w:val="7B4E09D5"/>
    <w:rsid w:val="7B503607"/>
    <w:rsid w:val="7BDE6B9B"/>
    <w:rsid w:val="7BE78CB9"/>
    <w:rsid w:val="7C214914"/>
    <w:rsid w:val="7CA90528"/>
    <w:rsid w:val="7CB6CFA8"/>
    <w:rsid w:val="7CF01B7C"/>
    <w:rsid w:val="7D109AB4"/>
    <w:rsid w:val="7D131234"/>
    <w:rsid w:val="7D322284"/>
    <w:rsid w:val="7D560544"/>
    <w:rsid w:val="7D661CCC"/>
    <w:rsid w:val="7D665F35"/>
    <w:rsid w:val="7D7C9395"/>
    <w:rsid w:val="7D983A9F"/>
    <w:rsid w:val="7DAFA555"/>
    <w:rsid w:val="7DD01D7F"/>
    <w:rsid w:val="7DF08897"/>
    <w:rsid w:val="7E0A92E1"/>
    <w:rsid w:val="7E489B95"/>
    <w:rsid w:val="7E6B1919"/>
    <w:rsid w:val="7E80B17D"/>
    <w:rsid w:val="7E8ECEE7"/>
    <w:rsid w:val="7E9C311F"/>
    <w:rsid w:val="7ECCB965"/>
    <w:rsid w:val="7EE95195"/>
    <w:rsid w:val="7F1F03EE"/>
    <w:rsid w:val="7F2EC877"/>
    <w:rsid w:val="7F565365"/>
    <w:rsid w:val="7F957D29"/>
    <w:rsid w:val="7FBD544B"/>
    <w:rsid w:val="7FD8CC4A"/>
    <w:rsid w:val="7FDC1AD4"/>
    <w:rsid w:val="7FFC0E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B36"/>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uiPriority w:val="51"/>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nhideWhenUsed/>
    <w:rsid w:val="008142B4"/>
    <w:pPr>
      <w:spacing w:after="0"/>
    </w:pPr>
    <w:rPr>
      <w:sz w:val="18"/>
      <w:szCs w:val="20"/>
    </w:rPr>
  </w:style>
  <w:style w:type="character" w:customStyle="1" w:styleId="FootnoteTextChar">
    <w:name w:val="Footnote Text Char"/>
    <w:basedOn w:val="DefaultParagraphFont"/>
    <w:link w:val="FootnoteText"/>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abbreviation">
    <w:name w:val="abbreviation"/>
    <w:basedOn w:val="DefaultParagraphFont"/>
    <w:rsid w:val="0025173D"/>
  </w:style>
  <w:style w:type="character" w:styleId="FollowedHyperlink">
    <w:name w:val="FollowedHyperlink"/>
    <w:basedOn w:val="DefaultParagraphFont"/>
    <w:uiPriority w:val="99"/>
    <w:semiHidden/>
    <w:unhideWhenUsed/>
    <w:rsid w:val="00EA57EB"/>
    <w:rPr>
      <w:color w:val="800080" w:themeColor="followedHyperlink"/>
      <w:u w:val="single"/>
    </w:rPr>
  </w:style>
  <w:style w:type="paragraph" w:customStyle="1" w:styleId="BodyText1">
    <w:name w:val="Body Text1"/>
    <w:basedOn w:val="Normal"/>
    <w:link w:val="BodytextChar"/>
    <w:uiPriority w:val="1"/>
    <w:qFormat/>
    <w:rsid w:val="001C74EC"/>
    <w:pPr>
      <w:spacing w:before="120" w:after="120" w:line="260" w:lineRule="exact"/>
    </w:pPr>
    <w:rPr>
      <w:rFonts w:ascii="Arial" w:eastAsia="Times New Roman" w:hAnsi="Arial" w:cs="Arial"/>
      <w:sz w:val="20"/>
      <w:szCs w:val="20"/>
    </w:rPr>
  </w:style>
  <w:style w:type="character" w:customStyle="1" w:styleId="BodytextChar">
    <w:name w:val="Body text Char"/>
    <w:basedOn w:val="DefaultParagraphFont"/>
    <w:link w:val="BodyText1"/>
    <w:uiPriority w:val="1"/>
    <w:rsid w:val="001C74EC"/>
    <w:rPr>
      <w:rFonts w:ascii="Arial" w:eastAsia="Times New Roman" w:hAnsi="Arial" w:cs="Arial"/>
      <w:sz w:val="20"/>
      <w:szCs w:val="20"/>
    </w:rPr>
  </w:style>
  <w:style w:type="paragraph" w:customStyle="1" w:styleId="EndNoteBibliographyTitle">
    <w:name w:val="EndNote Bibliography Title"/>
    <w:basedOn w:val="Normal"/>
    <w:link w:val="EndNoteBibliographyTitleChar"/>
    <w:rsid w:val="00D6570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570D"/>
    <w:rPr>
      <w:rFonts w:ascii="Calibri" w:hAnsi="Calibri" w:cs="Calibri"/>
      <w:noProof/>
      <w:sz w:val="24"/>
      <w:szCs w:val="24"/>
    </w:rPr>
  </w:style>
  <w:style w:type="paragraph" w:customStyle="1" w:styleId="EndNoteBibliography">
    <w:name w:val="EndNote Bibliography"/>
    <w:basedOn w:val="Normal"/>
    <w:link w:val="EndNoteBibliographyChar"/>
    <w:rsid w:val="002F0256"/>
    <w:rPr>
      <w:rFonts w:ascii="Calibri" w:hAnsi="Calibri" w:cs="Calibri"/>
      <w:noProof/>
    </w:rPr>
  </w:style>
  <w:style w:type="character" w:customStyle="1" w:styleId="EndNoteBibliographyChar">
    <w:name w:val="EndNote Bibliography Char"/>
    <w:basedOn w:val="DefaultParagraphFont"/>
    <w:link w:val="EndNoteBibliography"/>
    <w:rsid w:val="002F0256"/>
    <w:rPr>
      <w:rFonts w:ascii="Calibri" w:hAnsi="Calibri" w:cs="Calibri"/>
      <w:noProof/>
      <w:sz w:val="24"/>
      <w:szCs w:val="24"/>
    </w:rPr>
  </w:style>
  <w:style w:type="character" w:customStyle="1" w:styleId="UnresolvedMention1">
    <w:name w:val="Unresolved Mention1"/>
    <w:basedOn w:val="DefaultParagraphFont"/>
    <w:uiPriority w:val="99"/>
    <w:semiHidden/>
    <w:unhideWhenUsed/>
    <w:rsid w:val="009A201E"/>
    <w:rPr>
      <w:color w:val="605E5C"/>
      <w:shd w:val="clear" w:color="auto" w:fill="E1DFDD"/>
    </w:rPr>
  </w:style>
  <w:style w:type="paragraph" w:styleId="Revision">
    <w:name w:val="Revision"/>
    <w:hidden/>
    <w:uiPriority w:val="99"/>
    <w:semiHidden/>
    <w:rsid w:val="00322C51"/>
    <w:pPr>
      <w:spacing w:after="0" w:line="240" w:lineRule="auto"/>
    </w:pPr>
    <w:rPr>
      <w:sz w:val="24"/>
      <w:szCs w:val="24"/>
    </w:rPr>
  </w:style>
  <w:style w:type="character" w:customStyle="1" w:styleId="UnresolvedMention2">
    <w:name w:val="Unresolved Mention2"/>
    <w:basedOn w:val="DefaultParagraphFont"/>
    <w:uiPriority w:val="99"/>
    <w:unhideWhenUsed/>
    <w:rsid w:val="00BB5238"/>
    <w:rPr>
      <w:color w:val="605E5C"/>
      <w:shd w:val="clear" w:color="auto" w:fill="E1DFDD"/>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34"/>
    <w:qFormat/>
    <w:locked/>
    <w:rsid w:val="007C522E"/>
    <w:rPr>
      <w:sz w:val="24"/>
      <w:szCs w:val="24"/>
    </w:rPr>
  </w:style>
  <w:style w:type="paragraph" w:customStyle="1" w:styleId="headinganchor">
    <w:name w:val="headinganchor"/>
    <w:basedOn w:val="Normal"/>
    <w:rsid w:val="007C522E"/>
    <w:pPr>
      <w:spacing w:before="100" w:beforeAutospacing="1" w:after="100" w:afterAutospacing="1"/>
    </w:pPr>
    <w:rPr>
      <w:rFonts w:ascii="Times New Roman" w:eastAsia="Times New Roman" w:hAnsi="Times New Roman" w:cs="Times New Roman"/>
      <w:lang w:eastAsia="en-GB"/>
    </w:rPr>
  </w:style>
  <w:style w:type="character" w:customStyle="1" w:styleId="h2">
    <w:name w:val="h2"/>
    <w:basedOn w:val="DefaultParagraphFont"/>
    <w:rsid w:val="007C522E"/>
  </w:style>
  <w:style w:type="character" w:customStyle="1" w:styleId="headingendmark">
    <w:name w:val="headingendmark"/>
    <w:basedOn w:val="DefaultParagraphFont"/>
    <w:rsid w:val="007C522E"/>
  </w:style>
  <w:style w:type="paragraph" w:styleId="NormalWeb">
    <w:name w:val="Normal (Web)"/>
    <w:basedOn w:val="Normal"/>
    <w:uiPriority w:val="99"/>
    <w:semiHidden/>
    <w:unhideWhenUsed/>
    <w:rsid w:val="007C522E"/>
    <w:pPr>
      <w:spacing w:before="100" w:beforeAutospacing="1" w:after="100" w:afterAutospacing="1"/>
    </w:pPr>
    <w:rPr>
      <w:rFonts w:ascii="Times New Roman" w:eastAsia="Times New Roman" w:hAnsi="Times New Roman" w:cs="Times New Roman"/>
      <w:lang w:eastAsia="en-GB"/>
    </w:rPr>
  </w:style>
  <w:style w:type="paragraph" w:customStyle="1" w:styleId="bulletindent1">
    <w:name w:val="bulletindent1"/>
    <w:basedOn w:val="Normal"/>
    <w:rsid w:val="007C522E"/>
    <w:pPr>
      <w:spacing w:before="100" w:beforeAutospacing="1" w:after="100" w:afterAutospacing="1"/>
    </w:pPr>
    <w:rPr>
      <w:rFonts w:ascii="Times New Roman" w:eastAsia="Times New Roman" w:hAnsi="Times New Roman" w:cs="Times New Roman"/>
      <w:lang w:eastAsia="en-GB"/>
    </w:rPr>
  </w:style>
  <w:style w:type="character" w:customStyle="1" w:styleId="glyph">
    <w:name w:val="glyph"/>
    <w:basedOn w:val="DefaultParagraphFont"/>
    <w:rsid w:val="007C522E"/>
  </w:style>
  <w:style w:type="character" w:customStyle="1" w:styleId="TableFigureFooterChar">
    <w:name w:val="Table/Figure Footer Char"/>
    <w:link w:val="TableFigureFooter"/>
    <w:locked/>
    <w:rsid w:val="003351D1"/>
    <w:rPr>
      <w:rFonts w:ascii="Arial Narrow" w:eastAsia="Times New Roman" w:hAnsi="Arial Narrow" w:cs="Arial"/>
      <w:sz w:val="18"/>
    </w:rPr>
  </w:style>
  <w:style w:type="paragraph" w:customStyle="1" w:styleId="TableFigureFooter">
    <w:name w:val="Table/Figure Footer"/>
    <w:basedOn w:val="Normal"/>
    <w:link w:val="TableFigureFooterChar"/>
    <w:qFormat/>
    <w:rsid w:val="003351D1"/>
    <w:pPr>
      <w:snapToGrid w:val="0"/>
      <w:spacing w:after="120"/>
      <w:contextualSpacing/>
      <w:jc w:val="both"/>
    </w:pPr>
    <w:rPr>
      <w:rFonts w:ascii="Arial Narrow" w:eastAsia="Times New Roman" w:hAnsi="Arial Narrow" w:cs="Arial"/>
      <w:sz w:val="18"/>
      <w:szCs w:val="22"/>
    </w:rPr>
  </w:style>
  <w:style w:type="character" w:customStyle="1" w:styleId="Mention1">
    <w:name w:val="Mention1"/>
    <w:basedOn w:val="DefaultParagraphFont"/>
    <w:uiPriority w:val="99"/>
    <w:unhideWhenUsed/>
    <w:rsid w:val="008019AF"/>
    <w:rPr>
      <w:color w:val="2B579A"/>
      <w:shd w:val="clear" w:color="auto" w:fill="E1DFDD"/>
    </w:rPr>
  </w:style>
  <w:style w:type="character" w:styleId="UnresolvedMention">
    <w:name w:val="Unresolved Mention"/>
    <w:basedOn w:val="DefaultParagraphFont"/>
    <w:uiPriority w:val="99"/>
    <w:semiHidden/>
    <w:unhideWhenUsed/>
    <w:rsid w:val="00A12965"/>
    <w:rPr>
      <w:color w:val="605E5C"/>
      <w:shd w:val="clear" w:color="auto" w:fill="E1DFDD"/>
    </w:rPr>
  </w:style>
  <w:style w:type="table" w:customStyle="1" w:styleId="TableNPSstandard">
    <w:name w:val="Table NPS standard"/>
    <w:basedOn w:val="TableNormal"/>
    <w:rsid w:val="000B05BB"/>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character" w:customStyle="1" w:styleId="Bold">
    <w:name w:val="Bold"/>
    <w:uiPriority w:val="1"/>
    <w:qFormat/>
    <w:rsid w:val="00C67DA3"/>
    <w:rPr>
      <w:b/>
      <w:lang w:val="en-AU" w:eastAsia="en-US"/>
    </w:rPr>
  </w:style>
  <w:style w:type="character" w:customStyle="1" w:styleId="Bolditalic">
    <w:name w:val="Bold + italic"/>
    <w:uiPriority w:val="4"/>
    <w:rsid w:val="00C67DA3"/>
    <w:rPr>
      <w:b/>
      <w:i/>
    </w:rPr>
  </w:style>
  <w:style w:type="table" w:customStyle="1" w:styleId="TableNPSstandard1">
    <w:name w:val="Table NPS standard1"/>
    <w:basedOn w:val="TableNormal"/>
    <w:rsid w:val="00C67DA3"/>
    <w:pPr>
      <w:spacing w:before="60" w:after="0" w:line="264" w:lineRule="auto"/>
    </w:pPr>
    <w:rPr>
      <w:rFonts w:ascii="Arial Narrow" w:eastAsia="Times New Roman" w:hAnsi="Arial Narrow" w:cs="Times New Roman"/>
      <w:sz w:val="20"/>
      <w:szCs w:val="20"/>
      <w:lang w:eastAsia="en-US"/>
    </w:rPr>
    <w:tblPr>
      <w:tblStyleRowBandSize w:val="1"/>
      <w:tblStyleColBandSize w:val="1"/>
      <w:tblInd w:w="0" w:type="nil"/>
      <w:tblBorders>
        <w:bottom w:val="single" w:sz="12" w:space="0" w:color="401E6C"/>
        <w:insideH w:val="single" w:sz="4" w:space="0" w:color="C0C0C0"/>
        <w:insideV w:val="single" w:sz="8" w:space="0" w:color="FFFFFF"/>
      </w:tblBorders>
      <w:tblCellMar>
        <w:top w:w="28" w:type="dxa"/>
        <w:bottom w:w="28" w:type="dxa"/>
      </w:tblCellMar>
    </w:tblPr>
    <w:tblStylePr w:type="firstRow">
      <w:pPr>
        <w:jc w:val="left"/>
      </w:pPr>
      <w:rPr>
        <w:b/>
        <w:sz w:val="20"/>
        <w:szCs w:val="20"/>
      </w:rPr>
      <w:tbl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single" w:sz="12" w:space="0" w:color="401E6C"/>
          <w:left w:val="nil"/>
          <w:bottom w:val="single" w:sz="12" w:space="0" w:color="401E6C"/>
          <w:right w:val="nil"/>
          <w:insideH w:val="nil"/>
          <w:insideV w:val="single" w:sz="8" w:space="0" w:color="FFFFFF"/>
          <w:tl2br w:val="nil"/>
          <w:tr2bl w:val="nil"/>
        </w:tcBorders>
      </w:tcPr>
    </w:tblStylePr>
    <w:tblStylePr w:type="firstCol">
      <w:rPr>
        <w:b/>
      </w:rPr>
    </w:tblStylePr>
    <w:tblStylePr w:type="lastCol">
      <w:rPr>
        <w:b/>
      </w:rPr>
    </w:tblStylePr>
    <w:tblStylePr w:type="band2Vert">
      <w:tblPr/>
      <w:tcPr>
        <w:tcBorders>
          <w:top w:val="nil"/>
          <w:left w:val="nil"/>
          <w:bottom w:val="single" w:sz="12" w:space="0" w:color="401E6C"/>
          <w:right w:val="nil"/>
          <w:insideH w:val="nil"/>
          <w:insideV w:val="nil"/>
          <w:tl2br w:val="nil"/>
          <w:tr2bl w:val="nil"/>
        </w:tcBorders>
        <w:shd w:val="clear" w:color="auto" w:fill="F2F2F2"/>
      </w:tcPr>
    </w:tblStylePr>
    <w:tblStylePr w:type="band2Horz">
      <w:tblPr/>
      <w:tcPr>
        <w:tcBorders>
          <w:top w:val="nil"/>
          <w:left w:val="nil"/>
          <w:bottom w:val="nil"/>
          <w:right w:val="nil"/>
          <w:insideH w:val="nil"/>
          <w:insideV w:val="nil"/>
          <w:tl2br w:val="nil"/>
          <w:tr2bl w:val="nil"/>
        </w:tcBorders>
        <w:shd w:val="clear" w:color="auto" w:fill="F2F2F2"/>
      </w:tcPr>
    </w:tblStylePr>
  </w:style>
  <w:style w:type="table" w:customStyle="1" w:styleId="TableGrid1">
    <w:name w:val="Table Grid1"/>
    <w:basedOn w:val="TableNormal"/>
    <w:next w:val="TableGrid"/>
    <w:uiPriority w:val="39"/>
    <w:rsid w:val="00427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Normal"/>
    <w:uiPriority w:val="53"/>
    <w:rsid w:val="00F52793"/>
    <w:pPr>
      <w:numPr>
        <w:numId w:val="12"/>
      </w:numPr>
      <w:spacing w:after="0"/>
    </w:pPr>
    <w:rPr>
      <w:rFonts w:ascii="Arial Narrow" w:eastAsia="Times New Roman" w:hAnsi="Arial Narro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4420">
      <w:bodyDiv w:val="1"/>
      <w:marLeft w:val="0"/>
      <w:marRight w:val="0"/>
      <w:marTop w:val="0"/>
      <w:marBottom w:val="0"/>
      <w:divBdr>
        <w:top w:val="none" w:sz="0" w:space="0" w:color="auto"/>
        <w:left w:val="none" w:sz="0" w:space="0" w:color="auto"/>
        <w:bottom w:val="none" w:sz="0" w:space="0" w:color="auto"/>
        <w:right w:val="none" w:sz="0" w:space="0" w:color="auto"/>
      </w:divBdr>
    </w:div>
    <w:div w:id="152381442">
      <w:bodyDiv w:val="1"/>
      <w:marLeft w:val="0"/>
      <w:marRight w:val="0"/>
      <w:marTop w:val="0"/>
      <w:marBottom w:val="0"/>
      <w:divBdr>
        <w:top w:val="none" w:sz="0" w:space="0" w:color="auto"/>
        <w:left w:val="none" w:sz="0" w:space="0" w:color="auto"/>
        <w:bottom w:val="none" w:sz="0" w:space="0" w:color="auto"/>
        <w:right w:val="none" w:sz="0" w:space="0" w:color="auto"/>
      </w:divBdr>
    </w:div>
    <w:div w:id="174731034">
      <w:bodyDiv w:val="1"/>
      <w:marLeft w:val="0"/>
      <w:marRight w:val="0"/>
      <w:marTop w:val="0"/>
      <w:marBottom w:val="0"/>
      <w:divBdr>
        <w:top w:val="none" w:sz="0" w:space="0" w:color="auto"/>
        <w:left w:val="none" w:sz="0" w:space="0" w:color="auto"/>
        <w:bottom w:val="none" w:sz="0" w:space="0" w:color="auto"/>
        <w:right w:val="none" w:sz="0" w:space="0" w:color="auto"/>
      </w:divBdr>
    </w:div>
    <w:div w:id="32945492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01241791">
      <w:bodyDiv w:val="1"/>
      <w:marLeft w:val="0"/>
      <w:marRight w:val="0"/>
      <w:marTop w:val="0"/>
      <w:marBottom w:val="0"/>
      <w:divBdr>
        <w:top w:val="none" w:sz="0" w:space="0" w:color="auto"/>
        <w:left w:val="none" w:sz="0" w:space="0" w:color="auto"/>
        <w:bottom w:val="none" w:sz="0" w:space="0" w:color="auto"/>
        <w:right w:val="none" w:sz="0" w:space="0" w:color="auto"/>
      </w:divBdr>
    </w:div>
    <w:div w:id="672101196">
      <w:bodyDiv w:val="1"/>
      <w:marLeft w:val="0"/>
      <w:marRight w:val="0"/>
      <w:marTop w:val="0"/>
      <w:marBottom w:val="0"/>
      <w:divBdr>
        <w:top w:val="none" w:sz="0" w:space="0" w:color="auto"/>
        <w:left w:val="none" w:sz="0" w:space="0" w:color="auto"/>
        <w:bottom w:val="none" w:sz="0" w:space="0" w:color="auto"/>
        <w:right w:val="none" w:sz="0" w:space="0" w:color="auto"/>
      </w:divBdr>
    </w:div>
    <w:div w:id="877548481">
      <w:bodyDiv w:val="1"/>
      <w:marLeft w:val="0"/>
      <w:marRight w:val="0"/>
      <w:marTop w:val="0"/>
      <w:marBottom w:val="0"/>
      <w:divBdr>
        <w:top w:val="none" w:sz="0" w:space="0" w:color="auto"/>
        <w:left w:val="none" w:sz="0" w:space="0" w:color="auto"/>
        <w:bottom w:val="none" w:sz="0" w:space="0" w:color="auto"/>
        <w:right w:val="none" w:sz="0" w:space="0" w:color="auto"/>
      </w:divBdr>
    </w:div>
    <w:div w:id="947736913">
      <w:bodyDiv w:val="1"/>
      <w:marLeft w:val="0"/>
      <w:marRight w:val="0"/>
      <w:marTop w:val="0"/>
      <w:marBottom w:val="0"/>
      <w:divBdr>
        <w:top w:val="none" w:sz="0" w:space="0" w:color="auto"/>
        <w:left w:val="none" w:sz="0" w:space="0" w:color="auto"/>
        <w:bottom w:val="none" w:sz="0" w:space="0" w:color="auto"/>
        <w:right w:val="none" w:sz="0" w:space="0" w:color="auto"/>
      </w:divBdr>
    </w:div>
    <w:div w:id="1015574398">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26896759">
      <w:bodyDiv w:val="1"/>
      <w:marLeft w:val="0"/>
      <w:marRight w:val="0"/>
      <w:marTop w:val="0"/>
      <w:marBottom w:val="0"/>
      <w:divBdr>
        <w:top w:val="none" w:sz="0" w:space="0" w:color="auto"/>
        <w:left w:val="none" w:sz="0" w:space="0" w:color="auto"/>
        <w:bottom w:val="none" w:sz="0" w:space="0" w:color="auto"/>
        <w:right w:val="none" w:sz="0" w:space="0" w:color="auto"/>
      </w:divBdr>
    </w:div>
    <w:div w:id="1149056817">
      <w:bodyDiv w:val="1"/>
      <w:marLeft w:val="0"/>
      <w:marRight w:val="0"/>
      <w:marTop w:val="0"/>
      <w:marBottom w:val="0"/>
      <w:divBdr>
        <w:top w:val="none" w:sz="0" w:space="0" w:color="auto"/>
        <w:left w:val="none" w:sz="0" w:space="0" w:color="auto"/>
        <w:bottom w:val="none" w:sz="0" w:space="0" w:color="auto"/>
        <w:right w:val="none" w:sz="0" w:space="0" w:color="auto"/>
      </w:divBdr>
    </w:div>
    <w:div w:id="1149709806">
      <w:bodyDiv w:val="1"/>
      <w:marLeft w:val="0"/>
      <w:marRight w:val="0"/>
      <w:marTop w:val="0"/>
      <w:marBottom w:val="0"/>
      <w:divBdr>
        <w:top w:val="none" w:sz="0" w:space="0" w:color="auto"/>
        <w:left w:val="none" w:sz="0" w:space="0" w:color="auto"/>
        <w:bottom w:val="none" w:sz="0" w:space="0" w:color="auto"/>
        <w:right w:val="none" w:sz="0" w:space="0" w:color="auto"/>
      </w:divBdr>
    </w:div>
    <w:div w:id="1457874292">
      <w:bodyDiv w:val="1"/>
      <w:marLeft w:val="0"/>
      <w:marRight w:val="0"/>
      <w:marTop w:val="0"/>
      <w:marBottom w:val="0"/>
      <w:divBdr>
        <w:top w:val="none" w:sz="0" w:space="0" w:color="auto"/>
        <w:left w:val="none" w:sz="0" w:space="0" w:color="auto"/>
        <w:bottom w:val="none" w:sz="0" w:space="0" w:color="auto"/>
        <w:right w:val="none" w:sz="0" w:space="0" w:color="auto"/>
      </w:divBdr>
    </w:div>
    <w:div w:id="1550529236">
      <w:bodyDiv w:val="1"/>
      <w:marLeft w:val="0"/>
      <w:marRight w:val="0"/>
      <w:marTop w:val="0"/>
      <w:marBottom w:val="0"/>
      <w:divBdr>
        <w:top w:val="none" w:sz="0" w:space="0" w:color="auto"/>
        <w:left w:val="none" w:sz="0" w:space="0" w:color="auto"/>
        <w:bottom w:val="none" w:sz="0" w:space="0" w:color="auto"/>
        <w:right w:val="none" w:sz="0" w:space="0" w:color="auto"/>
      </w:divBdr>
    </w:div>
    <w:div w:id="1607302634">
      <w:bodyDiv w:val="1"/>
      <w:marLeft w:val="0"/>
      <w:marRight w:val="0"/>
      <w:marTop w:val="0"/>
      <w:marBottom w:val="0"/>
      <w:divBdr>
        <w:top w:val="none" w:sz="0" w:space="0" w:color="auto"/>
        <w:left w:val="none" w:sz="0" w:space="0" w:color="auto"/>
        <w:bottom w:val="none" w:sz="0" w:space="0" w:color="auto"/>
        <w:right w:val="none" w:sz="0" w:space="0" w:color="auto"/>
      </w:divBdr>
    </w:div>
    <w:div w:id="1624340392">
      <w:bodyDiv w:val="1"/>
      <w:marLeft w:val="0"/>
      <w:marRight w:val="0"/>
      <w:marTop w:val="0"/>
      <w:marBottom w:val="0"/>
      <w:divBdr>
        <w:top w:val="none" w:sz="0" w:space="0" w:color="auto"/>
        <w:left w:val="none" w:sz="0" w:space="0" w:color="auto"/>
        <w:bottom w:val="none" w:sz="0" w:space="0" w:color="auto"/>
        <w:right w:val="none" w:sz="0" w:space="0" w:color="auto"/>
      </w:divBdr>
    </w:div>
    <w:div w:id="1914969093">
      <w:bodyDiv w:val="1"/>
      <w:marLeft w:val="0"/>
      <w:marRight w:val="0"/>
      <w:marTop w:val="0"/>
      <w:marBottom w:val="0"/>
      <w:divBdr>
        <w:top w:val="none" w:sz="0" w:space="0" w:color="auto"/>
        <w:left w:val="none" w:sz="0" w:space="0" w:color="auto"/>
        <w:bottom w:val="none" w:sz="0" w:space="0" w:color="auto"/>
        <w:right w:val="none" w:sz="0" w:space="0" w:color="auto"/>
      </w:divBdr>
    </w:div>
    <w:div w:id="2023166290">
      <w:bodyDiv w:val="1"/>
      <w:marLeft w:val="0"/>
      <w:marRight w:val="0"/>
      <w:marTop w:val="0"/>
      <w:marBottom w:val="0"/>
      <w:divBdr>
        <w:top w:val="none" w:sz="0" w:space="0" w:color="auto"/>
        <w:left w:val="none" w:sz="0" w:space="0" w:color="auto"/>
        <w:bottom w:val="none" w:sz="0" w:space="0" w:color="auto"/>
        <w:right w:val="none" w:sz="0" w:space="0" w:color="auto"/>
      </w:divBdr>
    </w:div>
    <w:div w:id="2025282805">
      <w:bodyDiv w:val="1"/>
      <w:marLeft w:val="0"/>
      <w:marRight w:val="0"/>
      <w:marTop w:val="0"/>
      <w:marBottom w:val="0"/>
      <w:divBdr>
        <w:top w:val="none" w:sz="0" w:space="0" w:color="auto"/>
        <w:left w:val="none" w:sz="0" w:space="0" w:color="auto"/>
        <w:bottom w:val="none" w:sz="0" w:space="0" w:color="auto"/>
        <w:right w:val="none" w:sz="0" w:space="0" w:color="auto"/>
      </w:divBdr>
    </w:div>
    <w:div w:id="203210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yperlink" Target="https://www.healthdirect.gov.au/hiv-infection-and-aids" TargetMode="External"/><Relationship Id="rId3" Type="http://schemas.openxmlformats.org/officeDocument/2006/relationships/styles" Target="styles.xml"/><Relationship Id="rId21" Type="http://schemas.openxmlformats.org/officeDocument/2006/relationships/hyperlink" Target="https://www.nps.org.au/medicine-insight" TargetMode="External"/><Relationship Id="rId34" Type="http://schemas.openxmlformats.org/officeDocument/2006/relationships/hyperlink" Target="https://napwha.org.au/wp-content/uploads/2019/04/HIV-and-Ageing-in-Australia-New-Frontier-April19.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pbs.gov.au/industry/listing/elements/dusc-meetings/dos/DUSC-Outcome-Statement-June-2021.pdf" TargetMode="External"/><Relationship Id="rId33" Type="http://schemas.openxmlformats.org/officeDocument/2006/relationships/hyperlink" Target="https://clinicalinfo.hiv.gov/sites/default/files/guidelines/documents/AdultandAdolescentGL.pdf"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pbs.gov.au/industry/listing/elements/dusc-meetings/dos/dusc-dos-feb-2013.doc" TargetMode="External"/><Relationship Id="rId29" Type="http://schemas.openxmlformats.org/officeDocument/2006/relationships/hyperlink" Target="https://hivmanagement.ashm.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pbs.gov.au/pbs/industry/listing/elements/pbac-meetings/psd/2013-11/first-line-art" TargetMode="External"/><Relationship Id="rId32" Type="http://schemas.openxmlformats.org/officeDocument/2006/relationships/hyperlink" Target="https://amhonline.amh.net.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hart" Target="charts/chart2.xml"/><Relationship Id="rId28" Type="http://schemas.openxmlformats.org/officeDocument/2006/relationships/hyperlink" Target="https://kirby.unsw.edu.au/sites/default/files/kirby/report/National-update-on-HIV-viral-hepatitis-and-STIs-2009-2018.pdf" TargetMode="External"/><Relationship Id="rId36" Type="http://schemas.openxmlformats.org/officeDocument/2006/relationships/fontTable" Target="fontTable.xml"/><Relationship Id="rId10" Type="http://schemas.openxmlformats.org/officeDocument/2006/relationships/hyperlink" Target="https://www.pbs.gov.au/pbs/home" TargetMode="External"/><Relationship Id="rId19" Type="http://schemas.openxmlformats.org/officeDocument/2006/relationships/footer" Target="footer6.xml"/><Relationship Id="rId31" Type="http://schemas.openxmlformats.org/officeDocument/2006/relationships/hyperlink" Target="https://arv.ashm.org.au/" TargetMode="External"/><Relationship Id="rId4" Type="http://schemas.openxmlformats.org/officeDocument/2006/relationships/settings" Target="settings.xml"/><Relationship Id="rId9" Type="http://schemas.openxmlformats.org/officeDocument/2006/relationships/hyperlink" Target="https://www.tga.gov.au/consumer-medicines-information-cmi" TargetMode="External"/><Relationship Id="rId14" Type="http://schemas.openxmlformats.org/officeDocument/2006/relationships/header" Target="header1.xml"/><Relationship Id="rId22" Type="http://schemas.openxmlformats.org/officeDocument/2006/relationships/chart" Target="charts/chart1.xml"/><Relationship Id="rId27" Type="http://schemas.openxmlformats.org/officeDocument/2006/relationships/hyperlink" Target="https://kirby.unsw.edu.au/sites/default/files/kirby/report/KI_Annual-Surveillance-Report-2018.pdf" TargetMode="External"/><Relationship Id="rId30" Type="http://schemas.openxmlformats.org/officeDocument/2006/relationships/hyperlink" Target="https://npsmedicinewise.sharepoint.com/ws/c/MedicineInsight/Docs/MedicineInsight%20Research/DUSC/OCT%202021%20meeting/www.tg.org.au" TargetMode="External"/><Relationship Id="rId35" Type="http://schemas.openxmlformats.org/officeDocument/2006/relationships/hyperlink" Target="https://www.latrobe.edu.au/__data/assets/pdf_file/0007/1058614/HIV-Futures-9.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OCT%202021%20meeting/Results/MI%20HIV%20results/ART_NewTable03_T1ARTpatientPrevalenceOfEachART_20210810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OCT%202021%20meeting/Results/MI%20HIV%20results/ART_NewTable03_T1ARTpatientPrevalenceOfEachART_20210810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Sheet1!$B$23</c:f>
              <c:strCache>
                <c:ptCount val="1"/>
                <c:pt idx="0">
                  <c:v>Patient number</c:v>
                </c:pt>
              </c:strCache>
            </c:strRef>
          </c:tx>
          <c:spPr>
            <a:solidFill>
              <a:schemeClr val="accent1"/>
            </a:solidFill>
            <a:ln>
              <a:noFill/>
            </a:ln>
            <a:effectLst/>
          </c:spPr>
          <c:invertIfNegative val="0"/>
          <c:cat>
            <c:strRef>
              <c:f>Sheet1!$A$24:$A$29</c:f>
              <c:strCache>
                <c:ptCount val="6"/>
                <c:pt idx="0">
                  <c:v>Combination</c:v>
                </c:pt>
                <c:pt idx="1">
                  <c:v>NRTI</c:v>
                </c:pt>
                <c:pt idx="2">
                  <c:v>HIV-PI</c:v>
                </c:pt>
                <c:pt idx="3">
                  <c:v>NNRTI</c:v>
                </c:pt>
                <c:pt idx="4">
                  <c:v>Entry Inhibitor</c:v>
                </c:pt>
                <c:pt idx="5">
                  <c:v>Integrase Inhibitor</c:v>
                </c:pt>
              </c:strCache>
            </c:strRef>
          </c:cat>
          <c:val>
            <c:numRef>
              <c:f>Sheet1!$B$24:$B$29</c:f>
              <c:numCache>
                <c:formatCode>0</c:formatCode>
                <c:ptCount val="6"/>
                <c:pt idx="0">
                  <c:v>1160</c:v>
                </c:pt>
                <c:pt idx="1">
                  <c:v>510</c:v>
                </c:pt>
                <c:pt idx="2">
                  <c:v>164</c:v>
                </c:pt>
                <c:pt idx="3">
                  <c:v>160</c:v>
                </c:pt>
                <c:pt idx="4">
                  <c:v>35</c:v>
                </c:pt>
                <c:pt idx="5">
                  <c:v>319</c:v>
                </c:pt>
              </c:numCache>
            </c:numRef>
          </c:val>
          <c:extLst>
            <c:ext xmlns:c16="http://schemas.microsoft.com/office/drawing/2014/chart" uri="{C3380CC4-5D6E-409C-BE32-E72D297353CC}">
              <c16:uniqueId val="{00000000-F05E-4421-A030-A26B198654D2}"/>
            </c:ext>
          </c:extLst>
        </c:ser>
        <c:dLbls>
          <c:showLegendKey val="0"/>
          <c:showVal val="0"/>
          <c:showCatName val="0"/>
          <c:showSerName val="0"/>
          <c:showPercent val="0"/>
          <c:showBubbleSize val="0"/>
        </c:dLbls>
        <c:gapWidth val="219"/>
        <c:overlap val="-27"/>
        <c:axId val="663718024"/>
        <c:axId val="663717696"/>
      </c:barChart>
      <c:catAx>
        <c:axId val="663718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17696"/>
        <c:crosses val="autoZero"/>
        <c:auto val="1"/>
        <c:lblAlgn val="ctr"/>
        <c:lblOffset val="100"/>
        <c:noMultiLvlLbl val="0"/>
      </c:catAx>
      <c:valAx>
        <c:axId val="663717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18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Sheet1!$B$69</c:f>
              <c:strCache>
                <c:ptCount val="1"/>
                <c:pt idx="0">
                  <c:v>Number of patients</c:v>
                </c:pt>
              </c:strCache>
            </c:strRef>
          </c:tx>
          <c:spPr>
            <a:solidFill>
              <a:schemeClr val="accent1"/>
            </a:solidFill>
            <a:ln>
              <a:noFill/>
            </a:ln>
            <a:effectLst/>
          </c:spPr>
          <c:invertIfNegative val="0"/>
          <c:cat>
            <c:strRef>
              <c:f>Sheet1!$A$70:$A$76</c:f>
              <c:strCache>
                <c:ptCount val="7"/>
                <c:pt idx="0">
                  <c:v>raltegravir (Isentress) </c:v>
                </c:pt>
                <c:pt idx="1">
                  <c:v>emtricitabine + rilpivirine + tenofovir alafenamide (Odefsey) </c:v>
                </c:pt>
                <c:pt idx="2">
                  <c:v>dolutegravir (Tivicay) </c:v>
                </c:pt>
                <c:pt idx="3">
                  <c:v>emtricitabine + tenofovir alafenamide (Descovy) </c:v>
                </c:pt>
                <c:pt idx="4">
                  <c:v>abacavir + dolutegravir + lamivudine (Triumeq) </c:v>
                </c:pt>
                <c:pt idx="5">
                  <c:v>elvitegravir + cobicistat + emtricitabine + tenofovir alafenamide (Genvoya)</c:v>
                </c:pt>
                <c:pt idx="6">
                  <c:v>bictegravir + tenofovir alafenamide + emtricitabine (Biktarvy)</c:v>
                </c:pt>
              </c:strCache>
            </c:strRef>
          </c:cat>
          <c:val>
            <c:numRef>
              <c:f>Sheet1!$B$70:$B$76</c:f>
              <c:numCache>
                <c:formatCode>0</c:formatCode>
                <c:ptCount val="7"/>
                <c:pt idx="0">
                  <c:v>105</c:v>
                </c:pt>
                <c:pt idx="1">
                  <c:v>135</c:v>
                </c:pt>
                <c:pt idx="2">
                  <c:v>221</c:v>
                </c:pt>
                <c:pt idx="3">
                  <c:v>333</c:v>
                </c:pt>
                <c:pt idx="4">
                  <c:v>336</c:v>
                </c:pt>
                <c:pt idx="5">
                  <c:v>354</c:v>
                </c:pt>
                <c:pt idx="6">
                  <c:v>471</c:v>
                </c:pt>
              </c:numCache>
            </c:numRef>
          </c:val>
          <c:extLst>
            <c:ext xmlns:c16="http://schemas.microsoft.com/office/drawing/2014/chart" uri="{C3380CC4-5D6E-409C-BE32-E72D297353CC}">
              <c16:uniqueId val="{00000000-F29A-498E-A497-BEF76CE16328}"/>
            </c:ext>
          </c:extLst>
        </c:ser>
        <c:dLbls>
          <c:showLegendKey val="0"/>
          <c:showVal val="0"/>
          <c:showCatName val="0"/>
          <c:showSerName val="0"/>
          <c:showPercent val="0"/>
          <c:showBubbleSize val="0"/>
        </c:dLbls>
        <c:gapWidth val="182"/>
        <c:axId val="673887568"/>
        <c:axId val="673891176"/>
      </c:barChart>
      <c:catAx>
        <c:axId val="673887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673891176"/>
        <c:crosses val="autoZero"/>
        <c:auto val="1"/>
        <c:lblAlgn val="ctr"/>
        <c:lblOffset val="100"/>
        <c:noMultiLvlLbl val="0"/>
      </c:catAx>
      <c:valAx>
        <c:axId val="6738911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3887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0E976-9169-4817-AB84-37023C27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17444</Words>
  <Characters>99437</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116648</CharactersWithSpaces>
  <SharedDoc>false</SharedDoc>
  <HLinks>
    <vt:vector size="102" baseType="variant">
      <vt:variant>
        <vt:i4>3997778</vt:i4>
      </vt:variant>
      <vt:variant>
        <vt:i4>169</vt:i4>
      </vt:variant>
      <vt:variant>
        <vt:i4>0</vt:i4>
      </vt:variant>
      <vt:variant>
        <vt:i4>5</vt:i4>
      </vt:variant>
      <vt:variant>
        <vt:lpwstr>https://www.latrobe.edu.au/__data/assets/pdf_file/0007/1058614/HIV-Futures-9.pdf</vt:lpwstr>
      </vt:variant>
      <vt:variant>
        <vt:lpwstr/>
      </vt:variant>
      <vt:variant>
        <vt:i4>5111812</vt:i4>
      </vt:variant>
      <vt:variant>
        <vt:i4>166</vt:i4>
      </vt:variant>
      <vt:variant>
        <vt:i4>0</vt:i4>
      </vt:variant>
      <vt:variant>
        <vt:i4>5</vt:i4>
      </vt:variant>
      <vt:variant>
        <vt:lpwstr>https://napwha.org.au/wp-content/uploads/2019/04/HIV-and-Ageing-in-Australia-New-Frontier-April19.pdf</vt:lpwstr>
      </vt:variant>
      <vt:variant>
        <vt:lpwstr/>
      </vt:variant>
      <vt:variant>
        <vt:i4>7143537</vt:i4>
      </vt:variant>
      <vt:variant>
        <vt:i4>163</vt:i4>
      </vt:variant>
      <vt:variant>
        <vt:i4>0</vt:i4>
      </vt:variant>
      <vt:variant>
        <vt:i4>5</vt:i4>
      </vt:variant>
      <vt:variant>
        <vt:lpwstr>https://clinicalinfo.hiv.gov/sites/default/files/guidelines/documents/AdultandAdolescentGL.pdf</vt:lpwstr>
      </vt:variant>
      <vt:variant>
        <vt:lpwstr/>
      </vt:variant>
      <vt:variant>
        <vt:i4>4325465</vt:i4>
      </vt:variant>
      <vt:variant>
        <vt:i4>160</vt:i4>
      </vt:variant>
      <vt:variant>
        <vt:i4>0</vt:i4>
      </vt:variant>
      <vt:variant>
        <vt:i4>5</vt:i4>
      </vt:variant>
      <vt:variant>
        <vt:lpwstr>https://amhonline.amh.net.au/</vt:lpwstr>
      </vt:variant>
      <vt:variant>
        <vt:lpwstr/>
      </vt:variant>
      <vt:variant>
        <vt:i4>1376345</vt:i4>
      </vt:variant>
      <vt:variant>
        <vt:i4>157</vt:i4>
      </vt:variant>
      <vt:variant>
        <vt:i4>0</vt:i4>
      </vt:variant>
      <vt:variant>
        <vt:i4>5</vt:i4>
      </vt:variant>
      <vt:variant>
        <vt:lpwstr>https://arv.ashm.org.au/</vt:lpwstr>
      </vt:variant>
      <vt:variant>
        <vt:lpwstr/>
      </vt:variant>
      <vt:variant>
        <vt:i4>1441875</vt:i4>
      </vt:variant>
      <vt:variant>
        <vt:i4>154</vt:i4>
      </vt:variant>
      <vt:variant>
        <vt:i4>0</vt:i4>
      </vt:variant>
      <vt:variant>
        <vt:i4>5</vt:i4>
      </vt:variant>
      <vt:variant>
        <vt:lpwstr>https://npsmedicinewise.sharepoint.com/ws/c/MedicineInsight/Docs/MedicineInsight Research/DUSC/OCT 2021 meeting/www.tg.org.au</vt:lpwstr>
      </vt:variant>
      <vt:variant>
        <vt:lpwstr/>
      </vt:variant>
      <vt:variant>
        <vt:i4>6881316</vt:i4>
      </vt:variant>
      <vt:variant>
        <vt:i4>151</vt:i4>
      </vt:variant>
      <vt:variant>
        <vt:i4>0</vt:i4>
      </vt:variant>
      <vt:variant>
        <vt:i4>5</vt:i4>
      </vt:variant>
      <vt:variant>
        <vt:lpwstr>https://hivmanagement.ashm.org.au/</vt:lpwstr>
      </vt:variant>
      <vt:variant>
        <vt:lpwstr/>
      </vt:variant>
      <vt:variant>
        <vt:i4>6029381</vt:i4>
      </vt:variant>
      <vt:variant>
        <vt:i4>148</vt:i4>
      </vt:variant>
      <vt:variant>
        <vt:i4>0</vt:i4>
      </vt:variant>
      <vt:variant>
        <vt:i4>5</vt:i4>
      </vt:variant>
      <vt:variant>
        <vt:lpwstr>https://kirby.unsw.edu.au/sites/default/files/kirby/report/National-update-on-HIV-viral-hepatitis-and-STIs-2009-2018.pdf</vt:lpwstr>
      </vt:variant>
      <vt:variant>
        <vt:lpwstr/>
      </vt:variant>
      <vt:variant>
        <vt:i4>3997700</vt:i4>
      </vt:variant>
      <vt:variant>
        <vt:i4>145</vt:i4>
      </vt:variant>
      <vt:variant>
        <vt:i4>0</vt:i4>
      </vt:variant>
      <vt:variant>
        <vt:i4>5</vt:i4>
      </vt:variant>
      <vt:variant>
        <vt:lpwstr>https://kirby.unsw.edu.au/sites/default/files/kirby/report/KI_Annual-Surveillance-Report-2018.pdf</vt:lpwstr>
      </vt:variant>
      <vt:variant>
        <vt:lpwstr/>
      </vt:variant>
      <vt:variant>
        <vt:i4>3014695</vt:i4>
      </vt:variant>
      <vt:variant>
        <vt:i4>142</vt:i4>
      </vt:variant>
      <vt:variant>
        <vt:i4>0</vt:i4>
      </vt:variant>
      <vt:variant>
        <vt:i4>5</vt:i4>
      </vt:variant>
      <vt:variant>
        <vt:lpwstr>https://www.healthdirect.gov.au/hiv-infection-and-aids</vt:lpwstr>
      </vt:variant>
      <vt:variant>
        <vt:lpwstr/>
      </vt:variant>
      <vt:variant>
        <vt:i4>6946915</vt:i4>
      </vt:variant>
      <vt:variant>
        <vt:i4>139</vt:i4>
      </vt:variant>
      <vt:variant>
        <vt:i4>0</vt:i4>
      </vt:variant>
      <vt:variant>
        <vt:i4>5</vt:i4>
      </vt:variant>
      <vt:variant>
        <vt:lpwstr>https://www.pbs.gov.au/industry/listing/elements/dusc-meetings/dos/DUSC-Outcome-Statement-June-2021.pdf</vt:lpwstr>
      </vt:variant>
      <vt:variant>
        <vt:lpwstr/>
      </vt:variant>
      <vt:variant>
        <vt:i4>5636187</vt:i4>
      </vt:variant>
      <vt:variant>
        <vt:i4>136</vt:i4>
      </vt:variant>
      <vt:variant>
        <vt:i4>0</vt:i4>
      </vt:variant>
      <vt:variant>
        <vt:i4>5</vt:i4>
      </vt:variant>
      <vt:variant>
        <vt:lpwstr>https://www.pbs.gov.au/pbs/industry/listing/elements/pbac-meetings/psd/2013-11/first-line-art</vt:lpwstr>
      </vt:variant>
      <vt:variant>
        <vt:lpwstr/>
      </vt:variant>
      <vt:variant>
        <vt:i4>7929958</vt:i4>
      </vt:variant>
      <vt:variant>
        <vt:i4>62</vt:i4>
      </vt:variant>
      <vt:variant>
        <vt:i4>0</vt:i4>
      </vt:variant>
      <vt:variant>
        <vt:i4>5</vt:i4>
      </vt:variant>
      <vt:variant>
        <vt:lpwstr>https://www.nps.org.au/medicine-insight</vt:lpwstr>
      </vt:variant>
      <vt:variant>
        <vt:lpwstr/>
      </vt:variant>
      <vt:variant>
        <vt:i4>4587549</vt:i4>
      </vt:variant>
      <vt:variant>
        <vt:i4>59</vt:i4>
      </vt:variant>
      <vt:variant>
        <vt:i4>0</vt:i4>
      </vt:variant>
      <vt:variant>
        <vt:i4>5</vt:i4>
      </vt:variant>
      <vt:variant>
        <vt:lpwstr>https://www.pbs.gov.au/industry/listing/elements/dusc-meetings/dos/dusc-dos-feb-2013.doc</vt:lpwstr>
      </vt:variant>
      <vt:variant>
        <vt:lpwstr/>
      </vt:variant>
      <vt:variant>
        <vt:i4>3539006</vt:i4>
      </vt:variant>
      <vt:variant>
        <vt:i4>50</vt:i4>
      </vt:variant>
      <vt:variant>
        <vt:i4>0</vt:i4>
      </vt:variant>
      <vt:variant>
        <vt:i4>5</vt:i4>
      </vt:variant>
      <vt:variant>
        <vt:lpwstr>https://www.pbs.gov.au/pbs/home</vt:lpwstr>
      </vt:variant>
      <vt:variant>
        <vt:lpwstr/>
      </vt:variant>
      <vt:variant>
        <vt:i4>2031622</vt:i4>
      </vt:variant>
      <vt:variant>
        <vt:i4>47</vt:i4>
      </vt:variant>
      <vt:variant>
        <vt:i4>0</vt:i4>
      </vt:variant>
      <vt:variant>
        <vt:i4>5</vt:i4>
      </vt:variant>
      <vt:variant>
        <vt:lpwstr>https://www.tga.gov.au/consumer-medicines-information-cmi</vt:lpwstr>
      </vt:variant>
      <vt:variant>
        <vt:lpwstr/>
      </vt:variant>
      <vt:variant>
        <vt:i4>5701701</vt:i4>
      </vt:variant>
      <vt:variant>
        <vt:i4>44</vt:i4>
      </vt:variant>
      <vt:variant>
        <vt:i4>0</vt:i4>
      </vt:variant>
      <vt:variant>
        <vt:i4>5</vt:i4>
      </vt:variant>
      <vt:variant>
        <vt:lpwstr>http://tga.gov.au/hp/information-medicines-pi.htm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2022-03-17T22:14:00Z</dcterms:created>
  <dcterms:modified xsi:type="dcterms:W3CDTF">2022-03-18T00:10:00Z</dcterms:modified>
</cp:coreProperties>
</file>