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chart13.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4.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5.xml" ContentType="application/vnd.openxmlformats-officedocument.drawingml.chart+xml"/>
  <Override PartName="/word/charts/style14.xml" ContentType="application/vnd.ms-office.chartstyle+xml"/>
  <Override PartName="/word/charts/colors14.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F6467E" w14:textId="77777777" w:rsidR="00832324" w:rsidRPr="001D105D" w:rsidRDefault="000C7395" w:rsidP="00215563">
      <w:pPr>
        <w:pStyle w:val="Title"/>
      </w:pPr>
      <w:r w:rsidRPr="001D105D">
        <w:t>A</w:t>
      </w:r>
      <w:r w:rsidR="00625AC5" w:rsidRPr="001D105D">
        <w:t xml:space="preserve">ttention </w:t>
      </w:r>
      <w:r w:rsidRPr="001D105D">
        <w:t>D</w:t>
      </w:r>
      <w:r w:rsidR="00625AC5" w:rsidRPr="001D105D">
        <w:t xml:space="preserve">eficit </w:t>
      </w:r>
      <w:r w:rsidRPr="001D105D">
        <w:t>H</w:t>
      </w:r>
      <w:r w:rsidR="00625AC5" w:rsidRPr="001D105D">
        <w:t xml:space="preserve">yperactivity </w:t>
      </w:r>
      <w:r w:rsidRPr="001D105D">
        <w:t>D</w:t>
      </w:r>
      <w:r w:rsidR="00625AC5" w:rsidRPr="001D105D">
        <w:t>isorder</w:t>
      </w:r>
      <w:r w:rsidR="00520BCB" w:rsidRPr="001D105D">
        <w:t>:</w:t>
      </w:r>
      <w:r w:rsidRPr="001D105D">
        <w:t xml:space="preserve"> Utilisation Analysis</w:t>
      </w:r>
    </w:p>
    <w:p w14:paraId="0E5E0943" w14:textId="77777777" w:rsidR="00736041" w:rsidRPr="001D105D" w:rsidRDefault="009053D3" w:rsidP="00215563">
      <w:pPr>
        <w:pStyle w:val="Title2"/>
      </w:pPr>
      <w:r w:rsidRPr="001D105D">
        <w:t>D</w:t>
      </w:r>
      <w:r w:rsidR="00832324" w:rsidRPr="001D105D">
        <w:t>rug utilisation sub-committee (DUSC)</w:t>
      </w:r>
    </w:p>
    <w:p w14:paraId="4896133A" w14:textId="6F608848" w:rsidR="009053D3" w:rsidRPr="001D105D" w:rsidRDefault="002B1A81" w:rsidP="00215563">
      <w:pPr>
        <w:pStyle w:val="Meetingdate"/>
      </w:pPr>
      <w:r>
        <w:t>June</w:t>
      </w:r>
      <w:r w:rsidR="00A3494A" w:rsidRPr="001D105D">
        <w:t xml:space="preserve"> 20</w:t>
      </w:r>
      <w:r w:rsidR="002E7B52" w:rsidRPr="001D105D">
        <w:t>21</w:t>
      </w:r>
    </w:p>
    <w:p w14:paraId="406C6147" w14:textId="77777777" w:rsidR="005C6661" w:rsidRPr="001D105D" w:rsidRDefault="005C6661" w:rsidP="00215563">
      <w:pPr>
        <w:pStyle w:val="Heading2"/>
      </w:pPr>
      <w:r w:rsidRPr="001D105D">
        <w:t>Abstract</w:t>
      </w:r>
    </w:p>
    <w:p w14:paraId="18DCA608" w14:textId="77777777" w:rsidR="005C6661" w:rsidRPr="001D105D" w:rsidRDefault="005C6661" w:rsidP="00215563">
      <w:pPr>
        <w:pStyle w:val="Heading3"/>
      </w:pPr>
      <w:r w:rsidRPr="001D105D">
        <w:t>Purpose</w:t>
      </w:r>
    </w:p>
    <w:p w14:paraId="63DA2E16" w14:textId="163016CB" w:rsidR="000C7395" w:rsidRPr="001D105D" w:rsidRDefault="00916077" w:rsidP="00215563">
      <w:pPr>
        <w:rPr>
          <w:rFonts w:cs="Arial"/>
          <w:color w:val="222222"/>
          <w:shd w:val="clear" w:color="auto" w:fill="FFFFFF"/>
        </w:rPr>
      </w:pPr>
      <w:r w:rsidRPr="001D105D">
        <w:t xml:space="preserve">To review </w:t>
      </w:r>
      <w:r w:rsidR="000C7395" w:rsidRPr="001D105D">
        <w:t xml:space="preserve">the utilisation of </w:t>
      </w:r>
      <w:r w:rsidR="009F2DD4" w:rsidRPr="001D105D">
        <w:t xml:space="preserve">the </w:t>
      </w:r>
      <w:r w:rsidR="000B7C29" w:rsidRPr="001D105D">
        <w:t>P</w:t>
      </w:r>
      <w:r w:rsidR="009F2DD4" w:rsidRPr="001D105D">
        <w:t xml:space="preserve">harmaceutical </w:t>
      </w:r>
      <w:r w:rsidR="000B7C29" w:rsidRPr="001D105D">
        <w:t>B</w:t>
      </w:r>
      <w:r w:rsidR="009F2DD4" w:rsidRPr="001D105D">
        <w:t xml:space="preserve">enefits </w:t>
      </w:r>
      <w:r w:rsidR="000B7C29" w:rsidRPr="001D105D">
        <w:t>S</w:t>
      </w:r>
      <w:r w:rsidR="009F2DD4" w:rsidRPr="001D105D">
        <w:t>cheme (PBS)</w:t>
      </w:r>
      <w:r w:rsidR="000B7C29" w:rsidRPr="001D105D">
        <w:t xml:space="preserve"> and Repatriation PBS (</w:t>
      </w:r>
      <w:r w:rsidR="00EA7981" w:rsidRPr="001D105D">
        <w:t>R/</w:t>
      </w:r>
      <w:r w:rsidR="000C7395" w:rsidRPr="001D105D">
        <w:t>PBS</w:t>
      </w:r>
      <w:r w:rsidR="000B7C29" w:rsidRPr="001D105D">
        <w:t>)</w:t>
      </w:r>
      <w:r w:rsidR="009A224B" w:rsidRPr="001D105D">
        <w:t xml:space="preserve"> </w:t>
      </w:r>
      <w:r w:rsidR="000C7395" w:rsidRPr="001D105D">
        <w:t>listed medicines used in the management of attention deficit hyperactivity disord</w:t>
      </w:r>
      <w:r w:rsidR="00761FD6" w:rsidRPr="001D105D">
        <w:t>er (ADHD)</w:t>
      </w:r>
      <w:r w:rsidR="00FD1176" w:rsidRPr="001D105D">
        <w:t xml:space="preserve">. This includes a predicted versus actual analysis of </w:t>
      </w:r>
      <w:r w:rsidR="00E02139" w:rsidRPr="001D105D">
        <w:t>guanfacine</w:t>
      </w:r>
      <w:r w:rsidR="00FD1176" w:rsidRPr="001D105D">
        <w:t xml:space="preserve"> in the first 24 months of </w:t>
      </w:r>
      <w:r w:rsidR="00EA7981" w:rsidRPr="001D105D">
        <w:t>R/</w:t>
      </w:r>
      <w:r w:rsidR="00FD1176" w:rsidRPr="001D105D">
        <w:t>PBS listing</w:t>
      </w:r>
      <w:r w:rsidR="000C7395" w:rsidRPr="001D105D">
        <w:t xml:space="preserve">. </w:t>
      </w:r>
      <w:r w:rsidR="00E02139" w:rsidRPr="001D105D">
        <w:t xml:space="preserve">Guanfacine </w:t>
      </w:r>
      <w:r w:rsidR="000C7395" w:rsidRPr="001D105D">
        <w:rPr>
          <w:rFonts w:cs="Arial"/>
          <w:color w:val="222222"/>
          <w:shd w:val="clear" w:color="auto" w:fill="FFFFFF"/>
        </w:rPr>
        <w:t xml:space="preserve">was first </w:t>
      </w:r>
      <w:r w:rsidR="00EA7981" w:rsidRPr="001D105D">
        <w:rPr>
          <w:rFonts w:cs="Arial"/>
          <w:color w:val="222222"/>
          <w:shd w:val="clear" w:color="auto" w:fill="FFFFFF"/>
        </w:rPr>
        <w:t>R/</w:t>
      </w:r>
      <w:r w:rsidR="00B94230" w:rsidRPr="001D105D">
        <w:rPr>
          <w:rFonts w:cs="Arial"/>
          <w:color w:val="222222"/>
          <w:shd w:val="clear" w:color="auto" w:fill="FFFFFF"/>
        </w:rPr>
        <w:t>PBS-listed for this indication o</w:t>
      </w:r>
      <w:r w:rsidR="000C7395" w:rsidRPr="001D105D">
        <w:rPr>
          <w:rFonts w:cs="Arial"/>
          <w:color w:val="222222"/>
          <w:shd w:val="clear" w:color="auto" w:fill="FFFFFF"/>
        </w:rPr>
        <w:t>n</w:t>
      </w:r>
      <w:r w:rsidR="00B94230" w:rsidRPr="001D105D">
        <w:rPr>
          <w:rFonts w:cs="Arial"/>
          <w:color w:val="222222"/>
          <w:shd w:val="clear" w:color="auto" w:fill="FFFFFF"/>
        </w:rPr>
        <w:t xml:space="preserve"> 1</w:t>
      </w:r>
      <w:r w:rsidR="00EF44AF" w:rsidRPr="001D105D">
        <w:rPr>
          <w:rFonts w:cs="Arial"/>
          <w:color w:val="222222"/>
          <w:shd w:val="clear" w:color="auto" w:fill="FFFFFF"/>
        </w:rPr>
        <w:t xml:space="preserve"> September 2018</w:t>
      </w:r>
      <w:r w:rsidR="000C7395" w:rsidRPr="001D105D">
        <w:rPr>
          <w:rFonts w:cs="Arial"/>
          <w:color w:val="222222"/>
          <w:shd w:val="clear" w:color="auto" w:fill="FFFFFF"/>
        </w:rPr>
        <w:t>.</w:t>
      </w:r>
      <w:r w:rsidR="00702204" w:rsidRPr="001D105D">
        <w:rPr>
          <w:rFonts w:cs="Arial"/>
          <w:color w:val="222222"/>
          <w:shd w:val="clear" w:color="auto" w:fill="FFFFFF"/>
        </w:rPr>
        <w:t xml:space="preserve"> </w:t>
      </w:r>
    </w:p>
    <w:p w14:paraId="4426F023" w14:textId="2370A644" w:rsidR="002D144A" w:rsidRPr="001D105D" w:rsidRDefault="002D144A" w:rsidP="00215563">
      <w:pPr>
        <w:pStyle w:val="Heading3"/>
      </w:pPr>
      <w:r w:rsidRPr="001D105D">
        <w:t xml:space="preserve">Date of listing on the </w:t>
      </w:r>
      <w:r w:rsidR="00A95FA5" w:rsidRPr="001D105D">
        <w:t>PBS</w:t>
      </w:r>
    </w:p>
    <w:p w14:paraId="24D74901" w14:textId="77777777" w:rsidR="000C7395" w:rsidRPr="001D105D" w:rsidRDefault="00E56C55" w:rsidP="00215563">
      <w:pPr>
        <w:pStyle w:val="ListParagraph"/>
        <w:numPr>
          <w:ilvl w:val="0"/>
          <w:numId w:val="4"/>
        </w:numPr>
      </w:pPr>
      <w:proofErr w:type="spellStart"/>
      <w:r w:rsidRPr="001D105D">
        <w:t>Dexamf</w:t>
      </w:r>
      <w:r w:rsidR="00761FD6" w:rsidRPr="001D105D">
        <w:t>etamine</w:t>
      </w:r>
      <w:proofErr w:type="spellEnd"/>
      <w:r w:rsidR="00761FD6" w:rsidRPr="001D105D">
        <w:t xml:space="preserve"> - 1 December 1973</w:t>
      </w:r>
    </w:p>
    <w:p w14:paraId="7218807B" w14:textId="77777777" w:rsidR="000C7395" w:rsidRPr="001D105D" w:rsidRDefault="000C7395" w:rsidP="00215563">
      <w:pPr>
        <w:pStyle w:val="ListParagraph"/>
        <w:numPr>
          <w:ilvl w:val="0"/>
          <w:numId w:val="4"/>
        </w:numPr>
      </w:pPr>
      <w:r w:rsidRPr="001D105D">
        <w:t xml:space="preserve">Methylphenidate immediate release (IR) </w:t>
      </w:r>
      <w:r w:rsidR="00A3494A" w:rsidRPr="001D105D">
        <w:t>-</w:t>
      </w:r>
      <w:r w:rsidRPr="001D105D">
        <w:t xml:space="preserve"> 1</w:t>
      </w:r>
      <w:r w:rsidRPr="001D105D">
        <w:rPr>
          <w:vertAlign w:val="superscript"/>
        </w:rPr>
        <w:t xml:space="preserve"> </w:t>
      </w:r>
      <w:r w:rsidRPr="001D105D">
        <w:t>August 2005</w:t>
      </w:r>
    </w:p>
    <w:p w14:paraId="3105D5B6" w14:textId="77777777" w:rsidR="000C7395" w:rsidRPr="001D105D" w:rsidRDefault="000C7395" w:rsidP="00215563">
      <w:pPr>
        <w:pStyle w:val="ListParagraph"/>
        <w:numPr>
          <w:ilvl w:val="0"/>
          <w:numId w:val="4"/>
        </w:numPr>
      </w:pPr>
      <w:r w:rsidRPr="001D105D">
        <w:t>Methylphenidate modified release (MR) (</w:t>
      </w:r>
      <w:proofErr w:type="spellStart"/>
      <w:r w:rsidRPr="001D105D">
        <w:t>Concerta</w:t>
      </w:r>
      <w:proofErr w:type="spellEnd"/>
      <w:r w:rsidR="005B190B" w:rsidRPr="001D105D">
        <w:rPr>
          <w:vertAlign w:val="superscript"/>
        </w:rPr>
        <w:sym w:font="Symbol" w:char="F0E2"/>
      </w:r>
      <w:r w:rsidRPr="001D105D">
        <w:t>) - 1 April 2007</w:t>
      </w:r>
    </w:p>
    <w:p w14:paraId="47E477AA" w14:textId="77777777" w:rsidR="000C7395" w:rsidRPr="001D105D" w:rsidRDefault="000C7395" w:rsidP="00215563">
      <w:pPr>
        <w:pStyle w:val="ListParagraph"/>
        <w:numPr>
          <w:ilvl w:val="0"/>
          <w:numId w:val="4"/>
        </w:numPr>
      </w:pPr>
      <w:r w:rsidRPr="001D105D">
        <w:t>Methylphenidate modified releas</w:t>
      </w:r>
      <w:r w:rsidR="00761FD6" w:rsidRPr="001D105D">
        <w:t>e (MR) (Ritalin</w:t>
      </w:r>
      <w:r w:rsidR="005B190B" w:rsidRPr="001D105D">
        <w:t xml:space="preserve"> LA</w:t>
      </w:r>
      <w:r w:rsidR="005B190B" w:rsidRPr="001D105D">
        <w:rPr>
          <w:vertAlign w:val="superscript"/>
        </w:rPr>
        <w:sym w:font="Symbol" w:char="F0E2"/>
      </w:r>
      <w:r w:rsidR="00761FD6" w:rsidRPr="001D105D">
        <w:t>) - 1 April 2008</w:t>
      </w:r>
    </w:p>
    <w:p w14:paraId="22CF98B7" w14:textId="77777777" w:rsidR="000C7395" w:rsidRPr="001D105D" w:rsidRDefault="000C7395" w:rsidP="00215563">
      <w:pPr>
        <w:pStyle w:val="ListParagraph"/>
        <w:numPr>
          <w:ilvl w:val="0"/>
          <w:numId w:val="4"/>
        </w:numPr>
      </w:pPr>
      <w:r w:rsidRPr="001D105D">
        <w:t>Atomoxetine - 1 July 2007</w:t>
      </w:r>
      <w:r w:rsidR="00602ED6" w:rsidRPr="001D105D">
        <w:t xml:space="preserve"> requiring authority approval. O</w:t>
      </w:r>
      <w:r w:rsidRPr="001D105D">
        <w:t>n 1 August 2014, the restriction was simplified and changed to streamlined authority</w:t>
      </w:r>
    </w:p>
    <w:p w14:paraId="112263CC" w14:textId="687EDAC4" w:rsidR="000C7395" w:rsidRPr="001D105D" w:rsidRDefault="000C7395" w:rsidP="00215563">
      <w:pPr>
        <w:pStyle w:val="ListParagraph"/>
        <w:numPr>
          <w:ilvl w:val="0"/>
          <w:numId w:val="4"/>
        </w:numPr>
      </w:pPr>
      <w:proofErr w:type="spellStart"/>
      <w:r w:rsidRPr="001D105D">
        <w:t>Lis</w:t>
      </w:r>
      <w:r w:rsidR="00761FD6" w:rsidRPr="001D105D">
        <w:t>dexamfetamine</w:t>
      </w:r>
      <w:proofErr w:type="spellEnd"/>
      <w:r w:rsidR="00A3494A" w:rsidRPr="001D105D">
        <w:t xml:space="preserve"> </w:t>
      </w:r>
      <w:r w:rsidR="00761FD6" w:rsidRPr="001D105D">
        <w:t>- 1 September 2015</w:t>
      </w:r>
      <w:r w:rsidR="001B0673">
        <w:t xml:space="preserve"> requiring authority approval</w:t>
      </w:r>
    </w:p>
    <w:p w14:paraId="6F5B4F3D" w14:textId="099793A0" w:rsidR="00E02139" w:rsidRPr="001D105D" w:rsidRDefault="00E02139" w:rsidP="00215563">
      <w:pPr>
        <w:pStyle w:val="ListParagraph"/>
        <w:numPr>
          <w:ilvl w:val="0"/>
          <w:numId w:val="4"/>
        </w:numPr>
      </w:pPr>
      <w:r w:rsidRPr="001D105D">
        <w:t xml:space="preserve">Guanfacine </w:t>
      </w:r>
      <w:r w:rsidR="00D671EE" w:rsidRPr="001D105D">
        <w:t>–</w:t>
      </w:r>
      <w:r w:rsidRPr="001D105D">
        <w:t xml:space="preserve"> </w:t>
      </w:r>
      <w:r w:rsidR="00D671EE" w:rsidRPr="001D105D">
        <w:t xml:space="preserve">1 </w:t>
      </w:r>
      <w:r w:rsidR="00EF44AF" w:rsidRPr="001D105D">
        <w:t>September</w:t>
      </w:r>
      <w:r w:rsidR="00D671EE" w:rsidRPr="001D105D">
        <w:t xml:space="preserve"> 201</w:t>
      </w:r>
      <w:r w:rsidR="00EF44AF" w:rsidRPr="001D105D">
        <w:t>8</w:t>
      </w:r>
      <w:r w:rsidR="00D671EE" w:rsidRPr="001D105D">
        <w:t xml:space="preserve"> requiring streamlined authority approval</w:t>
      </w:r>
    </w:p>
    <w:p w14:paraId="1CFBD7F7" w14:textId="268C9DD5" w:rsidR="009E5A18" w:rsidRPr="001D105D" w:rsidRDefault="00F4668A" w:rsidP="00215563">
      <w:pPr>
        <w:tabs>
          <w:tab w:val="left" w:pos="0"/>
        </w:tabs>
      </w:pPr>
      <w:r w:rsidRPr="001D105D">
        <w:t xml:space="preserve">Subsidy of </w:t>
      </w:r>
      <w:proofErr w:type="spellStart"/>
      <w:r w:rsidRPr="001D105D">
        <w:t>lisdexamfetamine</w:t>
      </w:r>
      <w:proofErr w:type="spellEnd"/>
      <w:r w:rsidR="00463EBA" w:rsidRPr="001D105D">
        <w:t>, atomoxetine</w:t>
      </w:r>
      <w:r w:rsidRPr="001D105D">
        <w:t xml:space="preserve"> and the two modified</w:t>
      </w:r>
      <w:r w:rsidR="00644B37" w:rsidRPr="001D105D">
        <w:t>-</w:t>
      </w:r>
      <w:r w:rsidRPr="001D105D">
        <w:t xml:space="preserve">release forms of methylphenidate (Ritalin LA and </w:t>
      </w:r>
      <w:proofErr w:type="spellStart"/>
      <w:r w:rsidRPr="001D105D">
        <w:t>Concerta</w:t>
      </w:r>
      <w:proofErr w:type="spellEnd"/>
      <w:r w:rsidRPr="001D105D">
        <w:t>) is limited to patients diagnosed between the ages of 6 and 18 years of age inclus</w:t>
      </w:r>
      <w:r w:rsidR="00644B37" w:rsidRPr="001D105D">
        <w:t>ive. In addition, for modified-</w:t>
      </w:r>
      <w:r w:rsidRPr="001D105D">
        <w:t xml:space="preserve">release methylphenidate, patients need to have demonstrated a response to immediate-release methylphenidate with no emergence of adverse events. </w:t>
      </w:r>
      <w:proofErr w:type="spellStart"/>
      <w:r w:rsidR="009E5A18" w:rsidRPr="001D105D">
        <w:t>Lisdexam</w:t>
      </w:r>
      <w:r w:rsidRPr="001D105D">
        <w:t>f</w:t>
      </w:r>
      <w:r w:rsidR="009E5A18" w:rsidRPr="001D105D">
        <w:t>etamine</w:t>
      </w:r>
      <w:proofErr w:type="spellEnd"/>
      <w:r w:rsidR="009E5A18" w:rsidRPr="001D105D">
        <w:t xml:space="preserve"> and </w:t>
      </w:r>
      <w:proofErr w:type="spellStart"/>
      <w:r w:rsidR="009E5A18" w:rsidRPr="001D105D">
        <w:t>Concerta</w:t>
      </w:r>
      <w:proofErr w:type="spellEnd"/>
      <w:r w:rsidR="009E5A18" w:rsidRPr="001D105D">
        <w:t xml:space="preserve"> are for patients requiring coverage over 12 </w:t>
      </w:r>
      <w:r w:rsidRPr="001D105D">
        <w:t>hours</w:t>
      </w:r>
      <w:r w:rsidR="009E5A18" w:rsidRPr="001D105D">
        <w:t>. Ritalin</w:t>
      </w:r>
      <w:r w:rsidRPr="001D105D">
        <w:t xml:space="preserve"> LA</w:t>
      </w:r>
      <w:r w:rsidR="009E5A18" w:rsidRPr="001D105D">
        <w:t xml:space="preserve"> is for patients requiring coverage over 8 hours. </w:t>
      </w:r>
    </w:p>
    <w:p w14:paraId="0498DB80" w14:textId="7171E6AC" w:rsidR="00F4668A" w:rsidRPr="001D105D" w:rsidRDefault="00F4668A" w:rsidP="00215563">
      <w:pPr>
        <w:tabs>
          <w:tab w:val="left" w:pos="0"/>
        </w:tabs>
      </w:pPr>
      <w:r w:rsidRPr="001D105D">
        <w:t>Atomoxetine</w:t>
      </w:r>
      <w:r w:rsidR="004479CA" w:rsidRPr="001D105D">
        <w:t xml:space="preserve"> and gu</w:t>
      </w:r>
      <w:r w:rsidR="00E71688" w:rsidRPr="001D105D">
        <w:t>a</w:t>
      </w:r>
      <w:r w:rsidR="004479CA" w:rsidRPr="001D105D">
        <w:t>nfacine</w:t>
      </w:r>
      <w:r w:rsidRPr="001D105D">
        <w:t xml:space="preserve"> </w:t>
      </w:r>
      <w:r w:rsidR="004479CA" w:rsidRPr="001D105D">
        <w:t>are</w:t>
      </w:r>
      <w:r w:rsidR="00463EBA" w:rsidRPr="001D105D">
        <w:t xml:space="preserve"> subsidised for</w:t>
      </w:r>
      <w:r w:rsidR="00644B37" w:rsidRPr="001D105D">
        <w:t xml:space="preserve"> patients unable to take </w:t>
      </w:r>
      <w:proofErr w:type="spellStart"/>
      <w:r w:rsidR="00644B37" w:rsidRPr="001D105D">
        <w:t>dexamf</w:t>
      </w:r>
      <w:r w:rsidR="00463EBA" w:rsidRPr="001D105D">
        <w:t>etamine</w:t>
      </w:r>
      <w:proofErr w:type="spellEnd"/>
      <w:r w:rsidR="00463EBA" w:rsidRPr="001D105D">
        <w:t xml:space="preserve"> or methylphenidate due specific circumstances set out in the PBS restriction. P</w:t>
      </w:r>
      <w:r w:rsidRPr="001D105D">
        <w:t>atient</w:t>
      </w:r>
      <w:r w:rsidR="00463EBA" w:rsidRPr="001D105D">
        <w:t xml:space="preserve">s need </w:t>
      </w:r>
      <w:r w:rsidRPr="001D105D">
        <w:t xml:space="preserve">to have been diagnosed by a paediatrician or psychiatrist according to the DSM-5 </w:t>
      </w:r>
      <w:r w:rsidR="00463EBA" w:rsidRPr="001D105D">
        <w:t>criteria.</w:t>
      </w:r>
      <w:r w:rsidRPr="001D105D">
        <w:t xml:space="preserve"> </w:t>
      </w:r>
    </w:p>
    <w:p w14:paraId="77297CE3" w14:textId="77777777" w:rsidR="005C6661" w:rsidRPr="001D105D" w:rsidRDefault="00761FD6" w:rsidP="00215563">
      <w:pPr>
        <w:pStyle w:val="Heading3"/>
      </w:pPr>
      <w:r w:rsidRPr="001D105D">
        <w:t>Data Source / methodology</w:t>
      </w:r>
    </w:p>
    <w:p w14:paraId="0DA903EF" w14:textId="77777777" w:rsidR="00FF4FBB" w:rsidRPr="001D105D" w:rsidRDefault="00FD1176" w:rsidP="00215563">
      <w:r w:rsidRPr="001D105D">
        <w:t>The analysis used data</w:t>
      </w:r>
      <w:r w:rsidR="00FF4FBB" w:rsidRPr="001D105D">
        <w:t xml:space="preserve"> from </w:t>
      </w:r>
      <w:r w:rsidR="00E02139" w:rsidRPr="001D105D">
        <w:t xml:space="preserve">Services Australia </w:t>
      </w:r>
      <w:r w:rsidRPr="001D105D">
        <w:t xml:space="preserve">supplied </w:t>
      </w:r>
      <w:r w:rsidR="00FF4FBB" w:rsidRPr="001D105D">
        <w:t>prescription</w:t>
      </w:r>
      <w:r w:rsidRPr="001D105D">
        <w:t>s</w:t>
      </w:r>
      <w:r w:rsidR="00FF4FBB" w:rsidRPr="001D105D">
        <w:t xml:space="preserve"> database.</w:t>
      </w:r>
    </w:p>
    <w:p w14:paraId="280897DB" w14:textId="77777777" w:rsidR="00280B24" w:rsidRPr="001D105D" w:rsidRDefault="00280B24" w:rsidP="00215563">
      <w:pPr>
        <w:spacing w:line="276" w:lineRule="auto"/>
        <w:rPr>
          <w:b/>
          <w:i/>
          <w:szCs w:val="28"/>
        </w:rPr>
      </w:pPr>
      <w:r w:rsidRPr="001D105D">
        <w:br w:type="page"/>
      </w:r>
    </w:p>
    <w:p w14:paraId="6CB67097" w14:textId="77777777" w:rsidR="005C6661" w:rsidRPr="001D105D" w:rsidRDefault="0000180C" w:rsidP="00215563">
      <w:pPr>
        <w:pStyle w:val="Heading3"/>
      </w:pPr>
      <w:r w:rsidRPr="001D105D">
        <w:lastRenderedPageBreak/>
        <w:t>Key Findin</w:t>
      </w:r>
      <w:r w:rsidR="00FF4FBB" w:rsidRPr="001D105D">
        <w:t>gs</w:t>
      </w:r>
    </w:p>
    <w:p w14:paraId="2E0A4E5D" w14:textId="6D45072C" w:rsidR="00F617A8" w:rsidRPr="001D105D" w:rsidRDefault="00F617A8" w:rsidP="00215563">
      <w:pPr>
        <w:spacing w:line="276" w:lineRule="auto"/>
      </w:pPr>
      <w:r w:rsidRPr="001D105D">
        <w:t xml:space="preserve">Over the </w:t>
      </w:r>
      <w:r w:rsidR="00AE7716" w:rsidRPr="001D105D">
        <w:t>seven</w:t>
      </w:r>
      <w:r w:rsidRPr="001D105D">
        <w:t xml:space="preserve"> year period 201</w:t>
      </w:r>
      <w:r w:rsidR="00AE7716" w:rsidRPr="001D105D">
        <w:t>4</w:t>
      </w:r>
      <w:r w:rsidRPr="001D105D">
        <w:t>-20</w:t>
      </w:r>
      <w:r w:rsidR="00AE7716" w:rsidRPr="001D105D">
        <w:t>20</w:t>
      </w:r>
      <w:r w:rsidRPr="001D105D">
        <w:t>:</w:t>
      </w:r>
    </w:p>
    <w:p w14:paraId="5C6D02DA" w14:textId="70F0B65F" w:rsidR="00F617A8" w:rsidRPr="001D105D" w:rsidRDefault="00F617A8" w:rsidP="00215563">
      <w:pPr>
        <w:pStyle w:val="ListParagraph"/>
        <w:numPr>
          <w:ilvl w:val="0"/>
          <w:numId w:val="15"/>
        </w:numPr>
      </w:pPr>
      <w:r w:rsidRPr="001D105D">
        <w:t xml:space="preserve">The number of </w:t>
      </w:r>
      <w:r w:rsidR="00AE7716" w:rsidRPr="001D105D">
        <w:t xml:space="preserve">prevalent </w:t>
      </w:r>
      <w:r w:rsidRPr="001D105D">
        <w:t xml:space="preserve">patients treated with R/PBS medicines for ADHD has risen at a </w:t>
      </w:r>
      <w:r w:rsidR="00505373" w:rsidRPr="001D105D">
        <w:t>yearly average</w:t>
      </w:r>
      <w:r w:rsidR="00360676" w:rsidRPr="001D105D">
        <w:t xml:space="preserve"> growth rate of </w:t>
      </w:r>
      <w:r w:rsidR="00AE7716" w:rsidRPr="001D105D">
        <w:t>12.43</w:t>
      </w:r>
      <w:r w:rsidR="00FD1176" w:rsidRPr="001D105D">
        <w:t>%</w:t>
      </w:r>
      <w:r w:rsidR="00AE7716" w:rsidRPr="001D105D">
        <w:t>, however this rate does not give the full picture. From 2014-2017 the yearly average growth rate was 9.75%, whereas from 2018-2020 the yearly</w:t>
      </w:r>
      <w:r w:rsidR="00B40181" w:rsidRPr="001D105D">
        <w:t xml:space="preserve"> </w:t>
      </w:r>
      <w:r w:rsidR="00AE7716" w:rsidRPr="001D105D">
        <w:t>growth rate was 16%. The substantial increase since 2018 is likely to be due to the listing of guanfacine in September 2018.</w:t>
      </w:r>
    </w:p>
    <w:p w14:paraId="5D134075" w14:textId="1F981337" w:rsidR="00F617A8" w:rsidRPr="001D105D" w:rsidRDefault="00F617A8" w:rsidP="00215563">
      <w:pPr>
        <w:pStyle w:val="ListParagraph"/>
        <w:numPr>
          <w:ilvl w:val="0"/>
          <w:numId w:val="15"/>
        </w:numPr>
      </w:pPr>
      <w:r w:rsidRPr="001D105D">
        <w:t xml:space="preserve">The number of prescriptions also increased </w:t>
      </w:r>
      <w:r w:rsidR="00FD1176" w:rsidRPr="001D105D">
        <w:t>at similar growth rates</w:t>
      </w:r>
      <w:r w:rsidR="00B40181" w:rsidRPr="001D105D">
        <w:t>, from 2014-2017 the yearly average growth rate was 10.25%, whereas from 2018-2020 the yearly growth rate was 17.67%</w:t>
      </w:r>
      <w:r w:rsidR="009B2F98" w:rsidRPr="001D105D">
        <w:t>.</w:t>
      </w:r>
    </w:p>
    <w:p w14:paraId="469CAB7C" w14:textId="77777777" w:rsidR="00F617A8" w:rsidRPr="001D105D" w:rsidRDefault="00F617A8" w:rsidP="00215563">
      <w:pPr>
        <w:pStyle w:val="ListParagraph"/>
        <w:numPr>
          <w:ilvl w:val="0"/>
          <w:numId w:val="15"/>
        </w:numPr>
      </w:pPr>
      <w:r w:rsidRPr="001D105D">
        <w:t xml:space="preserve">The </w:t>
      </w:r>
      <w:proofErr w:type="gramStart"/>
      <w:r w:rsidRPr="001D105D">
        <w:t>most commonly used</w:t>
      </w:r>
      <w:proofErr w:type="gramEnd"/>
      <w:r w:rsidRPr="001D105D">
        <w:t xml:space="preserve"> medicine</w:t>
      </w:r>
      <w:r w:rsidR="00706D03" w:rsidRPr="001D105D">
        <w:t xml:space="preserve"> in terms of </w:t>
      </w:r>
      <w:r w:rsidR="00EA7981" w:rsidRPr="001D105D">
        <w:t>prevalent patients</w:t>
      </w:r>
      <w:r w:rsidRPr="001D105D">
        <w:t xml:space="preserve"> is </w:t>
      </w:r>
      <w:r w:rsidR="00F51CFB" w:rsidRPr="001D105D">
        <w:t xml:space="preserve">the </w:t>
      </w:r>
      <w:r w:rsidR="002B237D" w:rsidRPr="001D105D">
        <w:t>modifi</w:t>
      </w:r>
      <w:r w:rsidRPr="001D105D">
        <w:t>ed</w:t>
      </w:r>
      <w:r w:rsidR="00644B37" w:rsidRPr="001D105D">
        <w:t>-</w:t>
      </w:r>
      <w:r w:rsidRPr="001D105D">
        <w:t>release formulation</w:t>
      </w:r>
      <w:r w:rsidR="00F51CFB" w:rsidRPr="001D105D">
        <w:t xml:space="preserve"> of methylphenidate</w:t>
      </w:r>
      <w:r w:rsidR="009B2F98" w:rsidRPr="001D105D">
        <w:t>.</w:t>
      </w:r>
    </w:p>
    <w:p w14:paraId="036B8BDE" w14:textId="0C8BF88C" w:rsidR="00F617A8" w:rsidRPr="001D105D" w:rsidRDefault="00AE7716" w:rsidP="00215563">
      <w:pPr>
        <w:pStyle w:val="ListParagraph"/>
        <w:numPr>
          <w:ilvl w:val="0"/>
          <w:numId w:val="15"/>
        </w:numPr>
      </w:pPr>
      <w:r w:rsidRPr="001D105D">
        <w:t>For all age groups m</w:t>
      </w:r>
      <w:r w:rsidR="00F617A8" w:rsidRPr="001D105D">
        <w:t xml:space="preserve">ore males than females </w:t>
      </w:r>
      <w:r w:rsidR="00F51CFB" w:rsidRPr="001D105D">
        <w:t xml:space="preserve">were </w:t>
      </w:r>
      <w:r w:rsidR="00F617A8" w:rsidRPr="001D105D">
        <w:t>treated</w:t>
      </w:r>
      <w:r w:rsidRPr="001D105D">
        <w:t>.</w:t>
      </w:r>
      <w:r w:rsidR="00CF09DE" w:rsidRPr="001D105D">
        <w:t xml:space="preserve"> For &gt;6 year </w:t>
      </w:r>
      <w:proofErr w:type="spellStart"/>
      <w:r w:rsidR="00CF09DE" w:rsidRPr="001D105D">
        <w:t>olds</w:t>
      </w:r>
      <w:proofErr w:type="spellEnd"/>
      <w:r w:rsidR="00CF09DE" w:rsidRPr="001D105D">
        <w:t>, 76% of prevalent patients were boys and for 6-12 year 72% of prevalent patients were boys.</w:t>
      </w:r>
    </w:p>
    <w:p w14:paraId="2E4EDF93" w14:textId="70ED0AB2" w:rsidR="0070581D" w:rsidRPr="001D105D" w:rsidRDefault="0070581D" w:rsidP="00215563">
      <w:pPr>
        <w:pStyle w:val="ListParagraph"/>
        <w:numPr>
          <w:ilvl w:val="0"/>
          <w:numId w:val="15"/>
        </w:numPr>
      </w:pPr>
      <w:r w:rsidRPr="001D105D">
        <w:t xml:space="preserve">Of all prevalent patients treated with </w:t>
      </w:r>
      <w:r w:rsidR="004100AB" w:rsidRPr="001D105D">
        <w:t>R/</w:t>
      </w:r>
      <w:r w:rsidRPr="001D105D">
        <w:t xml:space="preserve">PBS listed ADHD medicines: </w:t>
      </w:r>
    </w:p>
    <w:p w14:paraId="78B7A35C" w14:textId="2164ADA5" w:rsidR="0070581D" w:rsidRPr="001D105D" w:rsidRDefault="0070581D" w:rsidP="00215563">
      <w:pPr>
        <w:pStyle w:val="ListParagraph"/>
        <w:numPr>
          <w:ilvl w:val="1"/>
          <w:numId w:val="15"/>
        </w:numPr>
      </w:pPr>
      <w:r w:rsidRPr="001D105D">
        <w:t>c</w:t>
      </w:r>
      <w:r w:rsidR="00EA7981" w:rsidRPr="001D105D">
        <w:t xml:space="preserve">hildren </w:t>
      </w:r>
      <w:r w:rsidR="00CF09DE" w:rsidRPr="001D105D">
        <w:t>under 6 year</w:t>
      </w:r>
      <w:r w:rsidRPr="001D105D">
        <w:t>s</w:t>
      </w:r>
      <w:r w:rsidR="00CF09DE" w:rsidRPr="001D105D">
        <w:t xml:space="preserve"> old account for 2%</w:t>
      </w:r>
      <w:r w:rsidRPr="001D105D">
        <w:t xml:space="preserve"> of patients</w:t>
      </w:r>
      <w:r w:rsidR="00CF09DE" w:rsidRPr="001D105D">
        <w:t xml:space="preserve"> </w:t>
      </w:r>
    </w:p>
    <w:p w14:paraId="58BB67FF" w14:textId="77777777" w:rsidR="0070581D" w:rsidRPr="001D105D" w:rsidRDefault="0070581D" w:rsidP="00215563">
      <w:pPr>
        <w:pStyle w:val="ListParagraph"/>
        <w:numPr>
          <w:ilvl w:val="1"/>
          <w:numId w:val="15"/>
        </w:numPr>
      </w:pPr>
      <w:r w:rsidRPr="001D105D">
        <w:t>c</w:t>
      </w:r>
      <w:r w:rsidR="00CF09DE" w:rsidRPr="001D105D">
        <w:t xml:space="preserve">hildren </w:t>
      </w:r>
      <w:r w:rsidR="00EA7981" w:rsidRPr="001D105D">
        <w:t xml:space="preserve">aged 6-12 years old account for </w:t>
      </w:r>
      <w:r w:rsidR="00CF09DE" w:rsidRPr="001D105D">
        <w:t>43%</w:t>
      </w:r>
      <w:r w:rsidRPr="001D105D">
        <w:t xml:space="preserve"> of patients </w:t>
      </w:r>
    </w:p>
    <w:p w14:paraId="58E90181" w14:textId="77777777" w:rsidR="0070581D" w:rsidRPr="001D105D" w:rsidRDefault="0070581D" w:rsidP="00215563">
      <w:pPr>
        <w:pStyle w:val="ListParagraph"/>
        <w:numPr>
          <w:ilvl w:val="1"/>
          <w:numId w:val="15"/>
        </w:numPr>
      </w:pPr>
      <w:r w:rsidRPr="001D105D">
        <w:t>adolescents aged 13-18 account for 22%</w:t>
      </w:r>
    </w:p>
    <w:p w14:paraId="4FE172A1" w14:textId="5A920182" w:rsidR="00F617A8" w:rsidRPr="001D105D" w:rsidRDefault="0070581D" w:rsidP="00215563">
      <w:pPr>
        <w:pStyle w:val="ListParagraph"/>
        <w:numPr>
          <w:ilvl w:val="1"/>
          <w:numId w:val="15"/>
        </w:numPr>
      </w:pPr>
      <w:r w:rsidRPr="001D105D">
        <w:t>adults aged 19+ account for 33%</w:t>
      </w:r>
      <w:r w:rsidR="00CF09DE" w:rsidRPr="001D105D">
        <w:t xml:space="preserve">. </w:t>
      </w:r>
    </w:p>
    <w:p w14:paraId="16F7600F" w14:textId="77777777" w:rsidR="00F617A8" w:rsidRPr="001D105D" w:rsidRDefault="00F617A8" w:rsidP="00215563">
      <w:pPr>
        <w:pStyle w:val="ListParagraph"/>
      </w:pPr>
    </w:p>
    <w:p w14:paraId="2B2CE390" w14:textId="7DAD7D3B" w:rsidR="00F617A8" w:rsidRPr="001D105D" w:rsidRDefault="00F617A8" w:rsidP="00215563">
      <w:pPr>
        <w:spacing w:line="276" w:lineRule="auto"/>
      </w:pPr>
      <w:r w:rsidRPr="001D105D">
        <w:t>A</w:t>
      </w:r>
      <w:r w:rsidR="003A4C38">
        <w:t>n analysis</w:t>
      </w:r>
      <w:r w:rsidRPr="001D105D">
        <w:t xml:space="preserve"> of medicine use in 20</w:t>
      </w:r>
      <w:r w:rsidR="00A34815" w:rsidRPr="001D105D">
        <w:t>20</w:t>
      </w:r>
      <w:r w:rsidRPr="001D105D">
        <w:t xml:space="preserve"> shows that:</w:t>
      </w:r>
    </w:p>
    <w:p w14:paraId="40E7B4DF" w14:textId="1D978979" w:rsidR="00882A9B" w:rsidRPr="001D105D" w:rsidRDefault="00F51CFB" w:rsidP="00215563">
      <w:pPr>
        <w:pStyle w:val="ListParagraph"/>
        <w:numPr>
          <w:ilvl w:val="0"/>
          <w:numId w:val="15"/>
        </w:numPr>
      </w:pPr>
      <w:proofErr w:type="gramStart"/>
      <w:r w:rsidRPr="001D105D">
        <w:t>The majority of</w:t>
      </w:r>
      <w:proofErr w:type="gramEnd"/>
      <w:r w:rsidRPr="001D105D">
        <w:t xml:space="preserve"> prescriptions we</w:t>
      </w:r>
      <w:r w:rsidR="0018399E" w:rsidRPr="001D105D">
        <w:t xml:space="preserve">re written by </w:t>
      </w:r>
      <w:r w:rsidR="00F617A8" w:rsidRPr="001D105D">
        <w:t>paediatrician</w:t>
      </w:r>
      <w:r w:rsidR="0018399E" w:rsidRPr="001D105D">
        <w:t>s or</w:t>
      </w:r>
      <w:r w:rsidRPr="001D105D">
        <w:t xml:space="preserve"> </w:t>
      </w:r>
      <w:r w:rsidR="00F617A8" w:rsidRPr="001D105D">
        <w:t>psychiatrist</w:t>
      </w:r>
      <w:r w:rsidR="0018399E" w:rsidRPr="001D105D">
        <w:t>s</w:t>
      </w:r>
      <w:r w:rsidR="00F617A8" w:rsidRPr="001D105D">
        <w:t xml:space="preserve">. </w:t>
      </w:r>
    </w:p>
    <w:p w14:paraId="7422C30E" w14:textId="55E28F1F" w:rsidR="00F617A8" w:rsidRPr="001D105D" w:rsidRDefault="002E7B52" w:rsidP="00215563">
      <w:pPr>
        <w:pStyle w:val="ListParagraph"/>
        <w:numPr>
          <w:ilvl w:val="0"/>
          <w:numId w:val="15"/>
        </w:numPr>
      </w:pPr>
      <w:r w:rsidRPr="001D105D">
        <w:t>The</w:t>
      </w:r>
      <w:r w:rsidR="009B756B" w:rsidRPr="001D105D">
        <w:t xml:space="preserve"> initial</w:t>
      </w:r>
      <w:r w:rsidRPr="001D105D">
        <w:t xml:space="preserve"> prescription of </w:t>
      </w:r>
      <w:r w:rsidR="00F617A8" w:rsidRPr="001D105D">
        <w:t xml:space="preserve">methylphenidate, </w:t>
      </w:r>
      <w:proofErr w:type="spellStart"/>
      <w:r w:rsidR="00F617A8" w:rsidRPr="001D105D">
        <w:t>lisdexamfetamine</w:t>
      </w:r>
      <w:proofErr w:type="spellEnd"/>
      <w:r w:rsidR="00F617A8" w:rsidRPr="001D105D">
        <w:t xml:space="preserve"> and </w:t>
      </w:r>
      <w:proofErr w:type="spellStart"/>
      <w:r w:rsidR="00F617A8" w:rsidRPr="001D105D">
        <w:t>dexamfetamine</w:t>
      </w:r>
      <w:proofErr w:type="spellEnd"/>
      <w:r w:rsidR="00F617A8" w:rsidRPr="001D105D">
        <w:t xml:space="preserve"> for the treatment of ADHD </w:t>
      </w:r>
      <w:r w:rsidRPr="001D105D">
        <w:t xml:space="preserve">is generally restricted </w:t>
      </w:r>
      <w:r w:rsidR="00F617A8" w:rsidRPr="001D105D">
        <w:t>to specialist</w:t>
      </w:r>
      <w:r w:rsidR="00F51CFB" w:rsidRPr="001D105D">
        <w:t>s</w:t>
      </w:r>
      <w:r w:rsidR="009B756B" w:rsidRPr="001D105D">
        <w:t xml:space="preserve"> in most Australian states and territories. </w:t>
      </w:r>
    </w:p>
    <w:p w14:paraId="74A1F5AE" w14:textId="1A544281" w:rsidR="00F617A8" w:rsidRPr="001D105D" w:rsidRDefault="00F617A8" w:rsidP="00215563">
      <w:pPr>
        <w:pStyle w:val="ListParagraph"/>
        <w:numPr>
          <w:ilvl w:val="0"/>
          <w:numId w:val="15"/>
        </w:numPr>
      </w:pPr>
      <w:r w:rsidRPr="001D105D">
        <w:t>Rates of prescribing vary across s</w:t>
      </w:r>
      <w:r w:rsidR="00F51CFB" w:rsidRPr="001D105D">
        <w:t>tates and territories</w:t>
      </w:r>
      <w:r w:rsidR="002B0712">
        <w:t>, reflecting the different jurisdictional laws about stimulant prescribing</w:t>
      </w:r>
      <w:r w:rsidR="00F51CFB" w:rsidRPr="001D105D">
        <w:t>. The rate</w:t>
      </w:r>
      <w:r w:rsidR="00246E5A" w:rsidRPr="001D105D">
        <w:t>s</w:t>
      </w:r>
      <w:r w:rsidR="00F51CFB" w:rsidRPr="001D105D">
        <w:t xml:space="preserve"> of treat</w:t>
      </w:r>
      <w:r w:rsidR="00246E5A" w:rsidRPr="001D105D">
        <w:t xml:space="preserve">ment in </w:t>
      </w:r>
      <w:r w:rsidR="00595F7D" w:rsidRPr="001D105D">
        <w:t xml:space="preserve">&gt;6 year </w:t>
      </w:r>
      <w:proofErr w:type="spellStart"/>
      <w:r w:rsidR="00595F7D" w:rsidRPr="001D105D">
        <w:t>olds</w:t>
      </w:r>
      <w:proofErr w:type="spellEnd"/>
      <w:r w:rsidR="00595F7D" w:rsidRPr="001D105D">
        <w:t xml:space="preserve"> </w:t>
      </w:r>
      <w:proofErr w:type="gramStart"/>
      <w:r w:rsidR="00595F7D" w:rsidRPr="001D105D">
        <w:t>was</w:t>
      </w:r>
      <w:proofErr w:type="gramEnd"/>
      <w:r w:rsidR="00595F7D" w:rsidRPr="001D105D">
        <w:t xml:space="preserve"> highest in Tasmania (Tas)</w:t>
      </w:r>
      <w:r w:rsidR="002C5DA1">
        <w:t xml:space="preserve"> and lowest in the Australian Capital Territory (ACT)</w:t>
      </w:r>
      <w:r w:rsidR="00595F7D" w:rsidRPr="001D105D">
        <w:t xml:space="preserve">, while rates in </w:t>
      </w:r>
      <w:r w:rsidR="00246E5A" w:rsidRPr="001D105D">
        <w:t xml:space="preserve">school-aged children </w:t>
      </w:r>
      <w:r w:rsidR="00B40181" w:rsidRPr="001D105D">
        <w:t xml:space="preserve">(6-12 years old) </w:t>
      </w:r>
      <w:r w:rsidR="00246E5A" w:rsidRPr="001D105D">
        <w:t>were</w:t>
      </w:r>
      <w:r w:rsidRPr="001D105D">
        <w:t xml:space="preserve"> highest in </w:t>
      </w:r>
      <w:r w:rsidR="00B40181" w:rsidRPr="001D105D">
        <w:t>Q</w:t>
      </w:r>
      <w:r w:rsidR="002C5DA1">
        <w:t>ueensland (Q</w:t>
      </w:r>
      <w:r w:rsidR="00B40181" w:rsidRPr="001D105D">
        <w:t>LD</w:t>
      </w:r>
      <w:r w:rsidR="002C5DA1">
        <w:t>)</w:t>
      </w:r>
      <w:r w:rsidR="00595F7D" w:rsidRPr="001D105D">
        <w:t xml:space="preserve"> </w:t>
      </w:r>
      <w:r w:rsidR="00B40181" w:rsidRPr="001D105D">
        <w:t xml:space="preserve">and </w:t>
      </w:r>
      <w:r w:rsidR="002C5DA1">
        <w:t>Tas</w:t>
      </w:r>
      <w:r w:rsidR="00AA0968">
        <w:t>, and lowest in South Australia (SA)</w:t>
      </w:r>
      <w:r w:rsidR="002C5DA1">
        <w:t>.</w:t>
      </w:r>
      <w:r w:rsidR="00B40181" w:rsidRPr="001D105D">
        <w:t xml:space="preserve"> Rates of treatment for </w:t>
      </w:r>
      <w:r w:rsidR="00595F7D" w:rsidRPr="001D105D">
        <w:t xml:space="preserve">13-18 year </w:t>
      </w:r>
      <w:proofErr w:type="spellStart"/>
      <w:r w:rsidR="00595F7D" w:rsidRPr="001D105D">
        <w:t>olds</w:t>
      </w:r>
      <w:proofErr w:type="spellEnd"/>
      <w:r w:rsidR="00595F7D" w:rsidRPr="001D105D">
        <w:t xml:space="preserve"> was highest in </w:t>
      </w:r>
      <w:r w:rsidR="002C5DA1">
        <w:t>ACT</w:t>
      </w:r>
      <w:r w:rsidR="00AA0968">
        <w:t xml:space="preserve"> and lowest in SA</w:t>
      </w:r>
      <w:r w:rsidR="00595F7D" w:rsidRPr="001D105D">
        <w:t>, while r</w:t>
      </w:r>
      <w:r w:rsidR="00F51CFB" w:rsidRPr="001D105D">
        <w:t>ate</w:t>
      </w:r>
      <w:r w:rsidR="00246E5A" w:rsidRPr="001D105D">
        <w:t>s</w:t>
      </w:r>
      <w:r w:rsidR="00F51CFB" w:rsidRPr="001D105D">
        <w:t xml:space="preserve"> of treatment in adults we</w:t>
      </w:r>
      <w:r w:rsidRPr="001D105D">
        <w:t>re highest in Western Australia</w:t>
      </w:r>
      <w:r w:rsidR="009F2DD4" w:rsidRPr="001D105D">
        <w:t xml:space="preserve"> (WA)</w:t>
      </w:r>
      <w:r w:rsidRPr="001D105D">
        <w:t>.</w:t>
      </w:r>
    </w:p>
    <w:p w14:paraId="26D9DF2E" w14:textId="77777777" w:rsidR="00AA0968" w:rsidRDefault="00AA0968" w:rsidP="00215563">
      <w:pPr>
        <w:spacing w:line="276" w:lineRule="auto"/>
      </w:pPr>
      <w:r>
        <w:br w:type="page"/>
      </w:r>
    </w:p>
    <w:p w14:paraId="045B0F52" w14:textId="1EBF2ACE" w:rsidR="0000180C" w:rsidRPr="001D105D" w:rsidRDefault="00A13683" w:rsidP="00215563">
      <w:pPr>
        <w:pStyle w:val="NoSpacing"/>
        <w:ind w:left="360"/>
      </w:pPr>
      <w:r w:rsidRPr="001D105D">
        <w:lastRenderedPageBreak/>
        <w:t>Guanfacine</w:t>
      </w:r>
      <w:r w:rsidR="00706D03" w:rsidRPr="001D105D">
        <w:t xml:space="preserve">: </w:t>
      </w:r>
    </w:p>
    <w:p w14:paraId="3467810D" w14:textId="3E8124B8" w:rsidR="00A85135" w:rsidRPr="001D105D" w:rsidRDefault="00A85135" w:rsidP="00215563">
      <w:pPr>
        <w:pStyle w:val="ListParagraph"/>
        <w:numPr>
          <w:ilvl w:val="0"/>
          <w:numId w:val="15"/>
        </w:numPr>
      </w:pPr>
      <w:r w:rsidRPr="001D105D">
        <w:t>The</w:t>
      </w:r>
      <w:r w:rsidR="00A13683" w:rsidRPr="001D105D">
        <w:t xml:space="preserve"> listing of guanfacine in September 2018 has contributed towards an increase in the use of ADHD </w:t>
      </w:r>
      <w:r w:rsidRPr="001D105D">
        <w:t>medicines</w:t>
      </w:r>
      <w:r w:rsidR="00A13683" w:rsidRPr="001D105D">
        <w:t xml:space="preserve">. The listing of guanfacine has not resulted in </w:t>
      </w:r>
      <w:r w:rsidR="007C03F1" w:rsidRPr="001D105D">
        <w:t>substitution</w:t>
      </w:r>
      <w:r w:rsidR="00B40181" w:rsidRPr="001D105D">
        <w:t xml:space="preserve"> of ADHD medicines and thus a corresponding </w:t>
      </w:r>
      <w:r w:rsidR="00A13683" w:rsidRPr="001D105D">
        <w:t xml:space="preserve">reduction in the use of other ADHD medications. </w:t>
      </w:r>
      <w:r w:rsidR="00A95CE6" w:rsidRPr="001D105D">
        <w:t xml:space="preserve"> </w:t>
      </w:r>
    </w:p>
    <w:p w14:paraId="01CE9569" w14:textId="2A2F3C22" w:rsidR="00706D03" w:rsidRPr="001D105D" w:rsidRDefault="00595F7D" w:rsidP="00215563">
      <w:pPr>
        <w:pStyle w:val="ListParagraph"/>
        <w:numPr>
          <w:ilvl w:val="0"/>
          <w:numId w:val="15"/>
        </w:numPr>
      </w:pPr>
      <w:r w:rsidRPr="001D105D">
        <w:t xml:space="preserve">18,030 and 25,580 prevalent </w:t>
      </w:r>
      <w:r w:rsidR="00706D03" w:rsidRPr="001D105D">
        <w:t xml:space="preserve">R/PBS patients </w:t>
      </w:r>
      <w:r w:rsidR="00360676" w:rsidRPr="001D105D">
        <w:t xml:space="preserve">were </w:t>
      </w:r>
      <w:r w:rsidR="00706D03" w:rsidRPr="001D105D">
        <w:t>treated with</w:t>
      </w:r>
      <w:r w:rsidR="007C03F1">
        <w:t xml:space="preserve"> guan</w:t>
      </w:r>
      <w:r w:rsidRPr="001D105D">
        <w:t xml:space="preserve">facine </w:t>
      </w:r>
      <w:r w:rsidR="00706D03" w:rsidRPr="001D105D">
        <w:t xml:space="preserve">in </w:t>
      </w:r>
      <w:r w:rsidRPr="001D105D">
        <w:t xml:space="preserve">2019 and 2020 </w:t>
      </w:r>
      <w:r w:rsidR="00A85135" w:rsidRPr="001D105D">
        <w:t xml:space="preserve">respectively. </w:t>
      </w:r>
    </w:p>
    <w:p w14:paraId="6D468DC5" w14:textId="720637CF" w:rsidR="00E62C45" w:rsidRPr="001D105D" w:rsidRDefault="00706D03" w:rsidP="00215563">
      <w:pPr>
        <w:pStyle w:val="ListParagraph"/>
        <w:numPr>
          <w:ilvl w:val="0"/>
          <w:numId w:val="15"/>
        </w:numPr>
      </w:pPr>
      <w:r w:rsidRPr="001D105D">
        <w:t xml:space="preserve">The total </w:t>
      </w:r>
      <w:r w:rsidR="008D0192" w:rsidRPr="001D105D">
        <w:t xml:space="preserve">number of </w:t>
      </w:r>
      <w:r w:rsidR="00A34815" w:rsidRPr="001D105D">
        <w:t xml:space="preserve">guanfacine </w:t>
      </w:r>
      <w:r w:rsidR="008D0192" w:rsidRPr="001D105D">
        <w:t>prescriptions supplied in Year 1 (</w:t>
      </w:r>
      <w:r w:rsidR="00A34815" w:rsidRPr="001D105D">
        <w:t>74</w:t>
      </w:r>
      <w:r w:rsidR="008D0192" w:rsidRPr="001D105D">
        <w:t>,</w:t>
      </w:r>
      <w:r w:rsidR="00A34815" w:rsidRPr="001D105D">
        <w:t>725</w:t>
      </w:r>
      <w:r w:rsidR="008D0192" w:rsidRPr="001D105D">
        <w:t>) was</w:t>
      </w:r>
      <w:r w:rsidRPr="001D105D">
        <w:t xml:space="preserve"> </w:t>
      </w:r>
      <w:r w:rsidR="00A34815" w:rsidRPr="001D105D">
        <w:t xml:space="preserve">more than double the predicted number (111%) with and even higher increase in </w:t>
      </w:r>
      <w:r w:rsidR="008D0192" w:rsidRPr="001D105D">
        <w:t>in Year 2 (</w:t>
      </w:r>
      <w:r w:rsidR="00A34815" w:rsidRPr="001D105D">
        <w:t>177,301</w:t>
      </w:r>
      <w:r w:rsidR="008D0192" w:rsidRPr="001D105D">
        <w:t>) w</w:t>
      </w:r>
      <w:r w:rsidR="00A34815" w:rsidRPr="001D105D">
        <w:t>hich was an increase of 255% over the predicted amount.</w:t>
      </w:r>
      <w:r w:rsidRPr="001D105D">
        <w:t xml:space="preserve"> </w:t>
      </w:r>
    </w:p>
    <w:p w14:paraId="46B9BA5A" w14:textId="3D15D553" w:rsidR="00706D03" w:rsidRPr="001D105D" w:rsidRDefault="00E62C45" w:rsidP="00215563">
      <w:pPr>
        <w:pStyle w:val="ListParagraph"/>
        <w:numPr>
          <w:ilvl w:val="0"/>
          <w:numId w:val="15"/>
        </w:numPr>
      </w:pPr>
      <w:r w:rsidRPr="001D105D">
        <w:t>A closer look at the distribution of the number of prescriptions per patient in the 12</w:t>
      </w:r>
      <w:r w:rsidR="0017283A" w:rsidRPr="001D105D">
        <w:t> </w:t>
      </w:r>
      <w:r w:rsidRPr="001D105D">
        <w:t>months after initiation found that 1</w:t>
      </w:r>
      <w:r w:rsidR="00A34815" w:rsidRPr="001D105D">
        <w:t>1</w:t>
      </w:r>
      <w:r w:rsidRPr="001D105D">
        <w:t>% of p</w:t>
      </w:r>
      <w:r w:rsidR="00D5352F" w:rsidRPr="001D105D">
        <w:t>atients</w:t>
      </w:r>
      <w:r w:rsidR="0064703E" w:rsidRPr="001D105D">
        <w:t xml:space="preserve"> had</w:t>
      </w:r>
      <w:r w:rsidR="00D5352F" w:rsidRPr="001D105D">
        <w:t xml:space="preserve"> </w:t>
      </w:r>
      <w:r w:rsidR="0017283A" w:rsidRPr="001D105D">
        <w:t>one supply, while</w:t>
      </w:r>
      <w:r w:rsidRPr="001D105D">
        <w:t xml:space="preserve"> </w:t>
      </w:r>
      <w:r w:rsidR="00A34815" w:rsidRPr="001D105D">
        <w:t>on average patients received 9.48 prescriptions in the first year of therapy.</w:t>
      </w:r>
      <w:r w:rsidRPr="001D105D">
        <w:t xml:space="preserve"> </w:t>
      </w:r>
    </w:p>
    <w:p w14:paraId="5E2EDBF2" w14:textId="256DC2CA" w:rsidR="000D5CE4" w:rsidRPr="001D105D" w:rsidRDefault="000D5CE4" w:rsidP="00215563">
      <w:pPr>
        <w:pStyle w:val="ListParagraph"/>
        <w:numPr>
          <w:ilvl w:val="0"/>
          <w:numId w:val="15"/>
        </w:numPr>
      </w:pPr>
      <w:r w:rsidRPr="001D105D">
        <w:t xml:space="preserve">The </w:t>
      </w:r>
      <w:r w:rsidR="00505373" w:rsidRPr="001D105D">
        <w:t>expected</w:t>
      </w:r>
      <w:r w:rsidRPr="001D105D">
        <w:t xml:space="preserve"> cost offset from substitution of other ADHD medicines to </w:t>
      </w:r>
      <w:r w:rsidR="00A34815" w:rsidRPr="001D105D">
        <w:t xml:space="preserve">guanfacine </w:t>
      </w:r>
      <w:r w:rsidR="00CE71E4" w:rsidRPr="001D105D">
        <w:t>has not been</w:t>
      </w:r>
      <w:r w:rsidRPr="001D105D">
        <w:t xml:space="preserve"> realised</w:t>
      </w:r>
      <w:r w:rsidR="00644B37" w:rsidRPr="001D105D">
        <w:t>.</w:t>
      </w:r>
    </w:p>
    <w:p w14:paraId="56008B56" w14:textId="026BE335" w:rsidR="00415702" w:rsidRPr="001D105D" w:rsidRDefault="00415702" w:rsidP="00215563">
      <w:pPr>
        <w:pStyle w:val="NoSpacing"/>
        <w:tabs>
          <w:tab w:val="left" w:pos="284"/>
        </w:tabs>
        <w:ind w:left="360"/>
      </w:pPr>
    </w:p>
    <w:p w14:paraId="7FF824B8" w14:textId="2AB8E198" w:rsidR="00415702" w:rsidRPr="001D105D" w:rsidRDefault="00415702" w:rsidP="00215563">
      <w:pPr>
        <w:pStyle w:val="NoSpacing"/>
        <w:tabs>
          <w:tab w:val="left" w:pos="284"/>
        </w:tabs>
        <w:ind w:left="360"/>
      </w:pPr>
    </w:p>
    <w:p w14:paraId="5625DFAD" w14:textId="77777777" w:rsidR="00C25E97" w:rsidRPr="001D105D" w:rsidRDefault="00C25E97" w:rsidP="00215563">
      <w:pPr>
        <w:pStyle w:val="NoSpacing"/>
        <w:tabs>
          <w:tab w:val="left" w:pos="284"/>
        </w:tabs>
        <w:ind w:left="360"/>
      </w:pPr>
    </w:p>
    <w:p w14:paraId="3757C7CF" w14:textId="77777777" w:rsidR="00BB0D1A" w:rsidRPr="001D105D" w:rsidRDefault="00BB0D1A" w:rsidP="00215563">
      <w:pPr>
        <w:spacing w:line="276" w:lineRule="auto"/>
        <w:rPr>
          <w:rFonts w:eastAsiaTheme="majorEastAsia" w:cstheme="majorBidi"/>
          <w:b/>
          <w:bCs/>
          <w:sz w:val="32"/>
          <w:szCs w:val="26"/>
        </w:rPr>
      </w:pPr>
      <w:r w:rsidRPr="001D105D">
        <w:br w:type="page"/>
      </w:r>
    </w:p>
    <w:p w14:paraId="3D992C36" w14:textId="77777777" w:rsidR="00E677DD" w:rsidRPr="001D105D" w:rsidRDefault="00E677DD" w:rsidP="00215563">
      <w:pPr>
        <w:pStyle w:val="Heading1"/>
      </w:pPr>
      <w:r w:rsidRPr="001D105D">
        <w:lastRenderedPageBreak/>
        <w:t xml:space="preserve">Purpose of </w:t>
      </w:r>
      <w:r w:rsidR="00D151EB" w:rsidRPr="001D105D">
        <w:t>analysis</w:t>
      </w:r>
    </w:p>
    <w:p w14:paraId="3841EF8E" w14:textId="360BD831" w:rsidR="00F73C0F" w:rsidRPr="001D105D" w:rsidRDefault="00F73C0F" w:rsidP="00215563">
      <w:r w:rsidRPr="001D105D">
        <w:t xml:space="preserve">To review the utilisation of </w:t>
      </w:r>
      <w:r w:rsidR="004100AB" w:rsidRPr="001D105D">
        <w:t>R/</w:t>
      </w:r>
      <w:r w:rsidRPr="001D105D">
        <w:t xml:space="preserve">PBS-listed medicines used in the management of attention deficit hyperactivity disorder (ADHD). This includes a predicted versus actual analysis of </w:t>
      </w:r>
      <w:r w:rsidR="00E14F9B" w:rsidRPr="001D105D">
        <w:t>guanfacine</w:t>
      </w:r>
      <w:r w:rsidRPr="001D105D">
        <w:t xml:space="preserve"> in the first 24 months of </w:t>
      </w:r>
      <w:r w:rsidR="004100AB" w:rsidRPr="001D105D">
        <w:t>R/</w:t>
      </w:r>
      <w:r w:rsidRPr="001D105D">
        <w:t>PBS listing (</w:t>
      </w:r>
      <w:r w:rsidR="00E14F9B" w:rsidRPr="001D105D">
        <w:rPr>
          <w:rFonts w:cs="Arial"/>
          <w:color w:val="222222"/>
          <w:shd w:val="clear" w:color="auto" w:fill="FFFFFF"/>
        </w:rPr>
        <w:t>September 2018</w:t>
      </w:r>
      <w:r w:rsidRPr="001D105D">
        <w:rPr>
          <w:rFonts w:cs="Arial"/>
          <w:color w:val="222222"/>
          <w:shd w:val="clear" w:color="auto" w:fill="FFFFFF"/>
        </w:rPr>
        <w:t>).</w:t>
      </w:r>
    </w:p>
    <w:p w14:paraId="548FEF8E" w14:textId="77777777" w:rsidR="000C7395" w:rsidRPr="001D105D" w:rsidRDefault="000C7395" w:rsidP="00215563">
      <w:r w:rsidRPr="001D105D">
        <w:t>The ADHD medicines considered in this analysis are:</w:t>
      </w:r>
    </w:p>
    <w:p w14:paraId="30E5F3AD" w14:textId="77777777" w:rsidR="000C7395" w:rsidRPr="001D105D" w:rsidRDefault="000C7395" w:rsidP="00215563">
      <w:pPr>
        <w:pStyle w:val="ListParagraph"/>
        <w:numPr>
          <w:ilvl w:val="0"/>
          <w:numId w:val="5"/>
        </w:numPr>
      </w:pPr>
      <w:proofErr w:type="spellStart"/>
      <w:r w:rsidRPr="001D105D">
        <w:t>d</w:t>
      </w:r>
      <w:r w:rsidR="00E56C55" w:rsidRPr="001D105D">
        <w:t>examfetamine</w:t>
      </w:r>
      <w:proofErr w:type="spellEnd"/>
      <w:r w:rsidR="00E56C55" w:rsidRPr="001D105D">
        <w:t xml:space="preserve"> </w:t>
      </w:r>
    </w:p>
    <w:p w14:paraId="00C20C91" w14:textId="77777777" w:rsidR="000C7395" w:rsidRPr="001D105D" w:rsidRDefault="000C7395" w:rsidP="00215563">
      <w:pPr>
        <w:pStyle w:val="ListParagraph"/>
        <w:numPr>
          <w:ilvl w:val="0"/>
          <w:numId w:val="5"/>
        </w:numPr>
      </w:pPr>
      <w:r w:rsidRPr="001D105D">
        <w:t xml:space="preserve">methylphenidate (immediate release (IR) </w:t>
      </w:r>
      <w:r w:rsidR="00177003" w:rsidRPr="001D105D">
        <w:t>and modified release (MR) forms)</w:t>
      </w:r>
    </w:p>
    <w:p w14:paraId="2F68CC8D" w14:textId="77777777" w:rsidR="000C7395" w:rsidRPr="001D105D" w:rsidRDefault="000C7395" w:rsidP="00215563">
      <w:pPr>
        <w:pStyle w:val="ListParagraph"/>
        <w:numPr>
          <w:ilvl w:val="0"/>
          <w:numId w:val="5"/>
        </w:numPr>
      </w:pPr>
      <w:r w:rsidRPr="001D105D">
        <w:t>atomoxetine</w:t>
      </w:r>
    </w:p>
    <w:p w14:paraId="627C07B3" w14:textId="6166662E" w:rsidR="000C7395" w:rsidRPr="001D105D" w:rsidRDefault="000C7395" w:rsidP="00215563">
      <w:pPr>
        <w:pStyle w:val="ListParagraph"/>
        <w:numPr>
          <w:ilvl w:val="0"/>
          <w:numId w:val="5"/>
        </w:numPr>
      </w:pPr>
      <w:proofErr w:type="spellStart"/>
      <w:r w:rsidRPr="001D105D">
        <w:t>lisdexamfetamine</w:t>
      </w:r>
      <w:proofErr w:type="spellEnd"/>
      <w:r w:rsidRPr="001D105D">
        <w:t xml:space="preserve"> </w:t>
      </w:r>
    </w:p>
    <w:p w14:paraId="306AD6BE" w14:textId="4902719C" w:rsidR="00E14F9B" w:rsidRPr="001D105D" w:rsidRDefault="00E14F9B" w:rsidP="00215563">
      <w:pPr>
        <w:pStyle w:val="ListParagraph"/>
        <w:numPr>
          <w:ilvl w:val="0"/>
          <w:numId w:val="5"/>
        </w:numPr>
      </w:pPr>
      <w:r w:rsidRPr="001D105D">
        <w:t>guanfacine</w:t>
      </w:r>
    </w:p>
    <w:p w14:paraId="7DCD5B70" w14:textId="3E596DED" w:rsidR="005B210E" w:rsidRPr="001D105D" w:rsidRDefault="005B210E" w:rsidP="00215563">
      <w:r w:rsidRPr="001D105D">
        <w:t xml:space="preserve">This analysis also examines the use of clonidine </w:t>
      </w:r>
      <w:r w:rsidR="00461A2F" w:rsidRPr="001D105D">
        <w:t>(</w:t>
      </w:r>
      <w:r w:rsidR="00E71688" w:rsidRPr="001D105D">
        <w:t xml:space="preserve">which has a specific registered indication as </w:t>
      </w:r>
      <w:r w:rsidR="00461A2F" w:rsidRPr="001D105D">
        <w:t>a cardiovascular drug) as a treatment for ADHD.</w:t>
      </w:r>
      <w:r w:rsidR="00FD5344" w:rsidRPr="001D105D">
        <w:rPr>
          <w:rStyle w:val="FootnoteReference"/>
        </w:rPr>
        <w:footnoteReference w:id="2"/>
      </w:r>
      <w:r w:rsidRPr="001D105D">
        <w:t xml:space="preserve"> </w:t>
      </w:r>
    </w:p>
    <w:p w14:paraId="4B40587F" w14:textId="77777777" w:rsidR="006537D9" w:rsidRPr="001D105D" w:rsidRDefault="00736041" w:rsidP="00215563">
      <w:pPr>
        <w:pStyle w:val="Heading1"/>
      </w:pPr>
      <w:r w:rsidRPr="001D105D">
        <w:t>Background</w:t>
      </w:r>
    </w:p>
    <w:p w14:paraId="7E8FE908" w14:textId="77777777" w:rsidR="00EE2BBB" w:rsidRPr="001D105D" w:rsidRDefault="00EE2BBB" w:rsidP="00215563">
      <w:pPr>
        <w:pStyle w:val="Heading2"/>
      </w:pPr>
      <w:r w:rsidRPr="001D105D">
        <w:t>Clinical situation</w:t>
      </w:r>
    </w:p>
    <w:p w14:paraId="71EBE37F" w14:textId="77777777" w:rsidR="000C7395" w:rsidRPr="001D105D" w:rsidRDefault="000C7395" w:rsidP="00215563">
      <w:r w:rsidRPr="001D105D">
        <w:t xml:space="preserve">ADHD is characterised by a persistent pattern of inattentiveness, hyperactivity and/or impulsiveness that </w:t>
      </w:r>
      <w:r w:rsidR="00400EF0" w:rsidRPr="001D105D">
        <w:t>is</w:t>
      </w:r>
      <w:r w:rsidRPr="001D105D">
        <w:t xml:space="preserve"> associated with learning, behavioural and emotional impairment. </w:t>
      </w:r>
    </w:p>
    <w:p w14:paraId="01836844" w14:textId="77777777" w:rsidR="00C56F3F" w:rsidRPr="001D105D" w:rsidRDefault="000C7395" w:rsidP="00215563">
      <w:r w:rsidRPr="001D105D">
        <w:t>In 2013-2014, the prevalence of ADHD in Australian children and adolescents aged 4-17 w</w:t>
      </w:r>
      <w:r w:rsidR="00177003" w:rsidRPr="001D105D">
        <w:t>as</w:t>
      </w:r>
      <w:r w:rsidRPr="001D105D">
        <w:t xml:space="preserve"> estimated to be 7.4%</w:t>
      </w:r>
      <w:r w:rsidR="00B66678" w:rsidRPr="001D105D">
        <w:t>.</w:t>
      </w:r>
      <w:r w:rsidR="00400EF0" w:rsidRPr="001D105D">
        <w:rPr>
          <w:rStyle w:val="FootnoteReference"/>
        </w:rPr>
        <w:footnoteReference w:id="3"/>
      </w:r>
      <w:r w:rsidRPr="001D105D">
        <w:t xml:space="preserve"> The prevalence of ADHD is higher in </w:t>
      </w:r>
      <w:r w:rsidR="00AC093E" w:rsidRPr="001D105D">
        <w:t>males than females</w:t>
      </w:r>
      <w:r w:rsidR="001F2413" w:rsidRPr="001D105D">
        <w:t xml:space="preserve"> at </w:t>
      </w:r>
      <w:r w:rsidRPr="001D105D">
        <w:t>10.4% compared</w:t>
      </w:r>
      <w:r w:rsidR="001F2413" w:rsidRPr="001D105D">
        <w:t xml:space="preserve"> to 4.3% of females having ADHD</w:t>
      </w:r>
      <w:r w:rsidR="00B66678" w:rsidRPr="001D105D">
        <w:t>.</w:t>
      </w:r>
      <w:r w:rsidR="00400EF0" w:rsidRPr="001D105D">
        <w:rPr>
          <w:vertAlign w:val="superscript"/>
        </w:rPr>
        <w:t>1</w:t>
      </w:r>
      <w:r w:rsidRPr="001D105D">
        <w:t xml:space="preserve"> Many children with ADHD continue to have symptoms as adults</w:t>
      </w:r>
      <w:r w:rsidR="00B66678" w:rsidRPr="001D105D">
        <w:t>.</w:t>
      </w:r>
      <w:r w:rsidR="00C31A47" w:rsidRPr="001D105D">
        <w:rPr>
          <w:vertAlign w:val="superscript"/>
        </w:rPr>
        <w:t>2</w:t>
      </w:r>
    </w:p>
    <w:p w14:paraId="2943A630" w14:textId="77777777" w:rsidR="000C7395" w:rsidRPr="001D105D" w:rsidRDefault="00C56F3F" w:rsidP="00215563">
      <w:r w:rsidRPr="001D105D">
        <w:t xml:space="preserve">Comorbid psychiatric </w:t>
      </w:r>
      <w:r w:rsidR="000C7395" w:rsidRPr="001D105D">
        <w:t xml:space="preserve">conditions </w:t>
      </w:r>
      <w:r w:rsidR="009B15E2" w:rsidRPr="001D105D">
        <w:t xml:space="preserve">are </w:t>
      </w:r>
      <w:r w:rsidRPr="001D105D">
        <w:t xml:space="preserve">also </w:t>
      </w:r>
      <w:r w:rsidR="009B15E2" w:rsidRPr="001D105D">
        <w:t>common in patients with</w:t>
      </w:r>
      <w:r w:rsidR="000C7395" w:rsidRPr="001D105D">
        <w:t xml:space="preserve"> ADHD including anxie</w:t>
      </w:r>
      <w:r w:rsidRPr="001D105D">
        <w:t>ty disorders and mood disorders</w:t>
      </w:r>
      <w:r w:rsidR="00B66678" w:rsidRPr="001D105D">
        <w:t>.</w:t>
      </w:r>
      <w:r w:rsidR="00213392" w:rsidRPr="001D105D">
        <w:rPr>
          <w:rStyle w:val="FootnoteReference"/>
        </w:rPr>
        <w:footnoteReference w:id="4"/>
      </w:r>
    </w:p>
    <w:p w14:paraId="234B3CBB" w14:textId="18B1FB82" w:rsidR="000C7395" w:rsidRPr="001D105D" w:rsidRDefault="00C56F3F" w:rsidP="00215563">
      <w:r w:rsidRPr="001D105D">
        <w:t>The most current ADHD g</w:t>
      </w:r>
      <w:r w:rsidR="000C7395" w:rsidRPr="001D105D">
        <w:t>uidelines by the NHMRC</w:t>
      </w:r>
      <w:r w:rsidR="000C7395" w:rsidRPr="001D105D">
        <w:rPr>
          <w:vertAlign w:val="superscript"/>
        </w:rPr>
        <w:t>2</w:t>
      </w:r>
      <w:r w:rsidR="000C7395" w:rsidRPr="001D105D">
        <w:t xml:space="preserve"> </w:t>
      </w:r>
      <w:r w:rsidRPr="001D105D">
        <w:t xml:space="preserve">in 2012 </w:t>
      </w:r>
      <w:r w:rsidR="000C7395" w:rsidRPr="001D105D">
        <w:t>and Therapeutic Guidelines</w:t>
      </w:r>
      <w:r w:rsidR="00213392" w:rsidRPr="001D105D">
        <w:rPr>
          <w:rStyle w:val="FootnoteReference"/>
        </w:rPr>
        <w:footnoteReference w:id="5"/>
      </w:r>
      <w:r w:rsidR="000C7395" w:rsidRPr="001D105D">
        <w:t xml:space="preserve"> </w:t>
      </w:r>
      <w:r w:rsidRPr="001D105D">
        <w:t>in 20</w:t>
      </w:r>
      <w:r w:rsidR="00D613C8" w:rsidRPr="001D105D">
        <w:t>21</w:t>
      </w:r>
      <w:r w:rsidRPr="001D105D">
        <w:t xml:space="preserve"> </w:t>
      </w:r>
      <w:r w:rsidR="000C7395" w:rsidRPr="001D105D">
        <w:t>recommend</w:t>
      </w:r>
      <w:r w:rsidR="00AC093E" w:rsidRPr="001D105D">
        <w:t xml:space="preserve"> an</w:t>
      </w:r>
      <w:r w:rsidR="000C7395" w:rsidRPr="001D105D">
        <w:t xml:space="preserve"> individualised multimodal management plan </w:t>
      </w:r>
      <w:r w:rsidR="005F4DB0" w:rsidRPr="001D105D">
        <w:t>for the management of ADHD</w:t>
      </w:r>
      <w:r w:rsidR="00177003" w:rsidRPr="001D105D">
        <w:t>.</w:t>
      </w:r>
      <w:r w:rsidR="00E93D9D" w:rsidRPr="001D105D">
        <w:t xml:space="preserve"> </w:t>
      </w:r>
      <w:r w:rsidR="000C7395" w:rsidRPr="001D105D">
        <w:t>Behavioural and educational interventions may be used as non-pharmacological management</w:t>
      </w:r>
      <w:r w:rsidR="00AC093E" w:rsidRPr="001D105D">
        <w:t xml:space="preserve"> of ADHD symptoms</w:t>
      </w:r>
      <w:r w:rsidR="000C7395" w:rsidRPr="001D105D">
        <w:t xml:space="preserve">, either alone or in combination with medicines. </w:t>
      </w:r>
      <w:r w:rsidR="00213392" w:rsidRPr="001D105D">
        <w:t xml:space="preserve">In young </w:t>
      </w:r>
      <w:r w:rsidR="00213392" w:rsidRPr="001D105D">
        <w:lastRenderedPageBreak/>
        <w:t>children, it is recommended to start on</w:t>
      </w:r>
      <w:r w:rsidR="00AC093E" w:rsidRPr="001D105D">
        <w:t xml:space="preserve"> non</w:t>
      </w:r>
      <w:r w:rsidR="00213392" w:rsidRPr="001D105D">
        <w:t>-pharmacological interventions</w:t>
      </w:r>
      <w:r w:rsidR="00AC093E" w:rsidRPr="001D105D">
        <w:t>.</w:t>
      </w:r>
      <w:r w:rsidR="00E93D9D" w:rsidRPr="001D105D">
        <w:t xml:space="preserve"> This report focuses on pharmacological management. </w:t>
      </w:r>
    </w:p>
    <w:p w14:paraId="1865A73E" w14:textId="2D5A3896" w:rsidR="00E10785" w:rsidRPr="001D105D" w:rsidRDefault="000C7395" w:rsidP="00215563">
      <w:r w:rsidRPr="001D105D">
        <w:t>In Australia, psychostimulants are considered the first-line pharmacological treatment for ADHD</w:t>
      </w:r>
      <w:r w:rsidR="00B66678" w:rsidRPr="001D105D">
        <w:t>.</w:t>
      </w:r>
      <w:r w:rsidR="00213392" w:rsidRPr="001D105D">
        <w:rPr>
          <w:vertAlign w:val="superscript"/>
        </w:rPr>
        <w:t>2,3,</w:t>
      </w:r>
      <w:r w:rsidR="00213392" w:rsidRPr="001D105D">
        <w:rPr>
          <w:rStyle w:val="FootnoteReference"/>
        </w:rPr>
        <w:footnoteReference w:id="6"/>
      </w:r>
      <w:r w:rsidR="00213392" w:rsidRPr="001D105D">
        <w:t xml:space="preserve"> </w:t>
      </w:r>
      <w:r w:rsidR="00E10785" w:rsidRPr="001D105D">
        <w:t xml:space="preserve"> </w:t>
      </w:r>
      <w:r w:rsidR="00213392" w:rsidRPr="001D105D">
        <w:t xml:space="preserve">Therapeutic Guidelines recommend that, with rare exceptions, </w:t>
      </w:r>
      <w:r w:rsidR="00C92BAD" w:rsidRPr="001D105D">
        <w:t>stimulants (</w:t>
      </w:r>
      <w:proofErr w:type="spellStart"/>
      <w:r w:rsidR="00213392" w:rsidRPr="001D105D">
        <w:t>dexamfetamine</w:t>
      </w:r>
      <w:proofErr w:type="spellEnd"/>
      <w:r w:rsidR="00C92BAD" w:rsidRPr="001D105D">
        <w:t xml:space="preserve">, </w:t>
      </w:r>
      <w:proofErr w:type="spellStart"/>
      <w:r w:rsidR="00C92BAD" w:rsidRPr="001D105D">
        <w:t>lisdex</w:t>
      </w:r>
      <w:r w:rsidR="007C03F1">
        <w:t>a</w:t>
      </w:r>
      <w:r w:rsidR="00C92BAD" w:rsidRPr="001D105D">
        <w:t>mfetamine</w:t>
      </w:r>
      <w:proofErr w:type="spellEnd"/>
      <w:r w:rsidR="00C92BAD" w:rsidRPr="001D105D">
        <w:t xml:space="preserve"> and</w:t>
      </w:r>
      <w:r w:rsidR="00213392" w:rsidRPr="001D105D">
        <w:t xml:space="preserve"> </w:t>
      </w:r>
      <w:r w:rsidR="00C92BAD" w:rsidRPr="001D105D">
        <w:t xml:space="preserve">methylphenidate) </w:t>
      </w:r>
      <w:r w:rsidR="00213392" w:rsidRPr="001D105D">
        <w:t xml:space="preserve">should not be used in children aged younger than </w:t>
      </w:r>
      <w:r w:rsidR="00E02139" w:rsidRPr="001D105D">
        <w:t>6</w:t>
      </w:r>
      <w:r w:rsidR="00E93D9D" w:rsidRPr="001D105D">
        <w:t> </w:t>
      </w:r>
      <w:r w:rsidR="00213392" w:rsidRPr="001D105D">
        <w:t>years</w:t>
      </w:r>
      <w:r w:rsidR="00B66678" w:rsidRPr="001D105D">
        <w:t>.</w:t>
      </w:r>
      <w:r w:rsidR="00606B7F" w:rsidRPr="001D105D">
        <w:rPr>
          <w:vertAlign w:val="superscript"/>
        </w:rPr>
        <w:t>3</w:t>
      </w:r>
      <w:r w:rsidR="00213392" w:rsidRPr="001D105D">
        <w:t xml:space="preserve"> </w:t>
      </w:r>
      <w:r w:rsidR="00E10785" w:rsidRPr="001D105D">
        <w:t>Atomoxetine</w:t>
      </w:r>
      <w:r w:rsidR="00C92BAD" w:rsidRPr="001D105D">
        <w:t>, a non-stimulant drug,</w:t>
      </w:r>
      <w:r w:rsidR="00E10785" w:rsidRPr="001D105D">
        <w:t xml:space="preserve"> </w:t>
      </w:r>
      <w:r w:rsidR="00C92BAD" w:rsidRPr="001D105D">
        <w:t xml:space="preserve">is approved for use in </w:t>
      </w:r>
      <w:r w:rsidR="00E10785" w:rsidRPr="001D105D">
        <w:t>children</w:t>
      </w:r>
      <w:r w:rsidR="00C92BAD" w:rsidRPr="001D105D">
        <w:t xml:space="preserve"> (over six years old)</w:t>
      </w:r>
      <w:r w:rsidR="00E10785" w:rsidRPr="001D105D">
        <w:t>, adolescents and adults</w:t>
      </w:r>
      <w:r w:rsidR="00C92BAD" w:rsidRPr="001D105D">
        <w:t xml:space="preserve"> with </w:t>
      </w:r>
      <w:r w:rsidR="00E10785" w:rsidRPr="001D105D">
        <w:t xml:space="preserve">ADHD </w:t>
      </w:r>
      <w:r w:rsidR="00C92BAD" w:rsidRPr="001D105D">
        <w:t>where treatment with stimulants is not suitable or tolerated.</w:t>
      </w:r>
      <w:r w:rsidR="00E10785" w:rsidRPr="001D105D">
        <w:rPr>
          <w:vertAlign w:val="superscript"/>
        </w:rPr>
        <w:t>3,4</w:t>
      </w:r>
      <w:r w:rsidR="00C92BAD" w:rsidRPr="001D105D">
        <w:rPr>
          <w:vertAlign w:val="superscript"/>
        </w:rPr>
        <w:t xml:space="preserve"> </w:t>
      </w:r>
      <w:r w:rsidR="00C92BAD" w:rsidRPr="001D105D">
        <w:t xml:space="preserve">Guanfacine, a non-stimulant drug, is approved for children (over six years old) </w:t>
      </w:r>
      <w:r w:rsidR="00515756" w:rsidRPr="001D105D">
        <w:t>and adolescents (up to the age of 18).</w:t>
      </w:r>
    </w:p>
    <w:p w14:paraId="048F92F4" w14:textId="77777777" w:rsidR="005F4DB0" w:rsidRPr="001D105D" w:rsidRDefault="00496C30" w:rsidP="00215563">
      <w:r w:rsidRPr="001D105D">
        <w:t xml:space="preserve">In August 2017, guanfacine </w:t>
      </w:r>
      <w:r w:rsidR="00DD6AC5" w:rsidRPr="001D105D">
        <w:t>was registered</w:t>
      </w:r>
      <w:r w:rsidRPr="001D105D">
        <w:t xml:space="preserve"> </w:t>
      </w:r>
      <w:r w:rsidR="00E10785" w:rsidRPr="001D105D">
        <w:t xml:space="preserve">for </w:t>
      </w:r>
      <w:r w:rsidRPr="001D105D">
        <w:t xml:space="preserve">the management of ADHD </w:t>
      </w:r>
      <w:r w:rsidR="004E349A" w:rsidRPr="001D105D">
        <w:t xml:space="preserve">in children 6-17 years old, </w:t>
      </w:r>
      <w:r w:rsidR="0075258B" w:rsidRPr="001D105D">
        <w:t xml:space="preserve">as monotherapy </w:t>
      </w:r>
      <w:r w:rsidR="000C7395" w:rsidRPr="001D105D">
        <w:t xml:space="preserve">where psychostimulants </w:t>
      </w:r>
      <w:r w:rsidR="0075258B" w:rsidRPr="001D105D">
        <w:t xml:space="preserve">or </w:t>
      </w:r>
      <w:r w:rsidR="000C7395" w:rsidRPr="001D105D">
        <w:t xml:space="preserve">atomoxetine </w:t>
      </w:r>
      <w:r w:rsidR="0075258B" w:rsidRPr="001D105D">
        <w:t xml:space="preserve">are </w:t>
      </w:r>
      <w:r w:rsidR="000C7395" w:rsidRPr="001D105D">
        <w:t>not suitable</w:t>
      </w:r>
      <w:r w:rsidR="0075258B" w:rsidRPr="001D105D">
        <w:t>, not tolerated or have been shown to be ineffective; or as adjunctive therapy to psychostimulants (where there has been a sub-optimal response to psychostimulants</w:t>
      </w:r>
      <w:r w:rsidR="004E349A" w:rsidRPr="001D105D">
        <w:t>)</w:t>
      </w:r>
      <w:r w:rsidR="00B66678" w:rsidRPr="001D105D">
        <w:t>.</w:t>
      </w:r>
      <w:r w:rsidR="00E10785" w:rsidRPr="001D105D">
        <w:rPr>
          <w:rStyle w:val="FootnoteReference"/>
        </w:rPr>
        <w:footnoteReference w:id="7"/>
      </w:r>
    </w:p>
    <w:p w14:paraId="60519AB4" w14:textId="77777777" w:rsidR="001C271F" w:rsidRPr="001D105D" w:rsidRDefault="001C271F" w:rsidP="00215563">
      <w:proofErr w:type="spellStart"/>
      <w:r w:rsidRPr="001D105D">
        <w:t>Dexamfetamine</w:t>
      </w:r>
      <w:proofErr w:type="spellEnd"/>
      <w:r w:rsidRPr="001D105D">
        <w:t xml:space="preserve">, </w:t>
      </w:r>
      <w:proofErr w:type="spellStart"/>
      <w:r w:rsidRPr="001D105D">
        <w:t>lisdexamfetamine</w:t>
      </w:r>
      <w:proofErr w:type="spellEnd"/>
      <w:r w:rsidRPr="001D105D">
        <w:t xml:space="preserve"> and methylphenidate are Schedule 8 medicines under the Standard for the Uniform Scheduling of Medicines and Poisons (SUSMP). Schedule 8 medicines have a high potential for abuse and dependence. The prescribing and supply of Schedule 8 medications are tightly regulated, and regulations vary between each state and territory. </w:t>
      </w:r>
    </w:p>
    <w:p w14:paraId="35A8DF9B" w14:textId="380263B3" w:rsidR="001C271F" w:rsidRPr="001D105D" w:rsidRDefault="001C271F" w:rsidP="00215563">
      <w:r w:rsidRPr="001D105D">
        <w:t xml:space="preserve">Most Australian states and territories restrict the prescribing of psychostimulants for the treatment of ADHD to specialist medical practitioners, including psychiatrists, </w:t>
      </w:r>
      <w:proofErr w:type="gramStart"/>
      <w:r w:rsidRPr="001D105D">
        <w:t>neurologists</w:t>
      </w:r>
      <w:proofErr w:type="gramEnd"/>
      <w:r w:rsidRPr="001D105D">
        <w:t xml:space="preserve"> and paediatricians. These specialist prescribers are generally required to obtain prior authorisation from the relevant state or territory regulatory body for each patient. Prescribing of psychostimulants to patients under the age of 2 years is generally prohibited, and there are additional regulatory requirements to prescribe psychostimulants to patients aged between 2 to 3 years old. </w:t>
      </w:r>
    </w:p>
    <w:p w14:paraId="4EB7A36B" w14:textId="47FAC4B6" w:rsidR="001C271F" w:rsidRPr="001D105D" w:rsidRDefault="001C271F" w:rsidP="00215563">
      <w:r w:rsidRPr="001D105D">
        <w:t>State and territory government health pages should be checked for the most up to date regulatory information regarding psychostimulant prescribing.</w:t>
      </w:r>
      <w:r w:rsidRPr="001D105D">
        <w:rPr>
          <w:rStyle w:val="FootnoteReference"/>
        </w:rPr>
        <w:footnoteReference w:id="8"/>
      </w:r>
    </w:p>
    <w:p w14:paraId="080A9379" w14:textId="2AF9E0E3" w:rsidR="000C7395" w:rsidRPr="001D105D" w:rsidRDefault="008E14FA" w:rsidP="00215563">
      <w:r w:rsidRPr="001D105D">
        <w:t xml:space="preserve">Previous </w:t>
      </w:r>
      <w:r w:rsidR="000C291F" w:rsidRPr="001D105D">
        <w:t>utilisation</w:t>
      </w:r>
      <w:r w:rsidRPr="001D105D">
        <w:t xml:space="preserve"> analysis</w:t>
      </w:r>
      <w:r w:rsidR="000C291F" w:rsidRPr="001D105D">
        <w:t xml:space="preserve"> </w:t>
      </w:r>
      <w:r w:rsidR="009F0585" w:rsidRPr="001D105D">
        <w:t xml:space="preserve">undertaken by DUSC </w:t>
      </w:r>
      <w:r w:rsidRPr="001D105D">
        <w:t xml:space="preserve">did </w:t>
      </w:r>
      <w:r w:rsidR="000C291F" w:rsidRPr="001D105D">
        <w:t>not consider</w:t>
      </w:r>
      <w:r w:rsidRPr="001D105D">
        <w:t xml:space="preserve"> the</w:t>
      </w:r>
      <w:r w:rsidR="000C291F" w:rsidRPr="001D105D">
        <w:t xml:space="preserve"> use of </w:t>
      </w:r>
      <w:proofErr w:type="spellStart"/>
      <w:r w:rsidR="000C291F" w:rsidRPr="001D105D">
        <w:t>buproprion</w:t>
      </w:r>
      <w:proofErr w:type="spellEnd"/>
      <w:r w:rsidR="000C291F" w:rsidRPr="001D105D">
        <w:t>, modafinil, tricyclic antidepressants or clonidine as these medicines are n</w:t>
      </w:r>
      <w:r w:rsidR="00C3608D" w:rsidRPr="001D105D">
        <w:t xml:space="preserve">ot </w:t>
      </w:r>
      <w:r w:rsidR="009F0585" w:rsidRPr="001D105D">
        <w:t xml:space="preserve">specifically </w:t>
      </w:r>
      <w:r w:rsidR="00C3608D" w:rsidRPr="001D105D">
        <w:t xml:space="preserve">TGA-indicated </w:t>
      </w:r>
      <w:r w:rsidR="008A67DB" w:rsidRPr="001D105D">
        <w:t xml:space="preserve">or </w:t>
      </w:r>
      <w:r w:rsidR="004100AB" w:rsidRPr="001D105D">
        <w:t>R/</w:t>
      </w:r>
      <w:r w:rsidR="00C3608D" w:rsidRPr="001D105D">
        <w:t>PBS-</w:t>
      </w:r>
      <w:r w:rsidR="000C291F" w:rsidRPr="001D105D">
        <w:t xml:space="preserve">subsidised for the treatment of ADHD. </w:t>
      </w:r>
      <w:r w:rsidRPr="001D105D">
        <w:t xml:space="preserve">The utilisation of clonidine has been included in this analysis as the mechanism of action is </w:t>
      </w:r>
      <w:proofErr w:type="gramStart"/>
      <w:r w:rsidRPr="001D105D">
        <w:t>similar to</w:t>
      </w:r>
      <w:proofErr w:type="gramEnd"/>
      <w:r w:rsidRPr="001D105D">
        <w:t xml:space="preserve"> guanfacine and </w:t>
      </w:r>
      <w:r w:rsidR="0002762B" w:rsidRPr="001D105D">
        <w:t>it is frequently used for the management of ADHD.</w:t>
      </w:r>
      <w:r w:rsidR="00F8698E" w:rsidRPr="001D105D">
        <w:rPr>
          <w:rStyle w:val="FootnoteReference"/>
        </w:rPr>
        <w:footnoteReference w:id="9"/>
      </w:r>
      <w:r w:rsidR="0002762B" w:rsidRPr="001D105D">
        <w:t xml:space="preserve"> </w:t>
      </w:r>
    </w:p>
    <w:p w14:paraId="18C84534" w14:textId="77777777" w:rsidR="007247B9" w:rsidRPr="001D105D" w:rsidRDefault="007247B9" w:rsidP="00215563">
      <w:pPr>
        <w:pStyle w:val="Heading2"/>
      </w:pPr>
      <w:r w:rsidRPr="001D105D">
        <w:lastRenderedPageBreak/>
        <w:t>Pharmacology</w:t>
      </w:r>
    </w:p>
    <w:p w14:paraId="561390DD" w14:textId="2E7A1DE3" w:rsidR="00511025" w:rsidRPr="001D105D" w:rsidRDefault="00004FE9" w:rsidP="00215563">
      <w:r w:rsidRPr="001D105D">
        <w:t xml:space="preserve">The exact mechanism of action of ADHD medications is not fully established but is thought to be due to modification of dopaminergic and noradrenergic activity in the brain. </w:t>
      </w:r>
      <w:proofErr w:type="spellStart"/>
      <w:r w:rsidR="00511025" w:rsidRPr="001D105D">
        <w:t>Dexamfetamine</w:t>
      </w:r>
      <w:proofErr w:type="spellEnd"/>
      <w:r w:rsidR="00511025" w:rsidRPr="001D105D">
        <w:t xml:space="preserve">, </w:t>
      </w:r>
      <w:proofErr w:type="spellStart"/>
      <w:r w:rsidR="00511025" w:rsidRPr="001D105D">
        <w:t>lisdexamfetamine</w:t>
      </w:r>
      <w:proofErr w:type="spellEnd"/>
      <w:r w:rsidR="00511025" w:rsidRPr="001D105D">
        <w:t xml:space="preserve"> and methylphenidate hydrochloride are central nervous system stimulants</w:t>
      </w:r>
      <w:r w:rsidR="00B66678" w:rsidRPr="001D105D">
        <w:t>.</w:t>
      </w:r>
      <w:r w:rsidR="000C291F" w:rsidRPr="001D105D">
        <w:rPr>
          <w:vertAlign w:val="superscript"/>
        </w:rPr>
        <w:t>5,</w:t>
      </w:r>
      <w:r w:rsidR="00511025" w:rsidRPr="001D105D">
        <w:rPr>
          <w:rStyle w:val="FootnoteReference"/>
        </w:rPr>
        <w:footnoteReference w:id="10"/>
      </w:r>
      <w:r w:rsidR="00511025" w:rsidRPr="001D105D">
        <w:rPr>
          <w:vertAlign w:val="superscript"/>
        </w:rPr>
        <w:t>,</w:t>
      </w:r>
      <w:r w:rsidR="00511025" w:rsidRPr="001D105D">
        <w:rPr>
          <w:rStyle w:val="FootnoteReference"/>
        </w:rPr>
        <w:footnoteReference w:id="11"/>
      </w:r>
      <w:r w:rsidR="00511025" w:rsidRPr="001D105D">
        <w:t xml:space="preserve"> </w:t>
      </w:r>
      <w:proofErr w:type="spellStart"/>
      <w:r w:rsidR="00511025" w:rsidRPr="001D105D">
        <w:t>Lisdexamfetamine</w:t>
      </w:r>
      <w:proofErr w:type="spellEnd"/>
      <w:r w:rsidR="002C3CBA" w:rsidRPr="001D105D">
        <w:rPr>
          <w:rStyle w:val="FootnoteReference"/>
        </w:rPr>
        <w:footnoteReference w:id="12"/>
      </w:r>
      <w:r w:rsidR="00511025" w:rsidRPr="001D105D">
        <w:t xml:space="preserve"> is a prodrug of </w:t>
      </w:r>
      <w:proofErr w:type="spellStart"/>
      <w:r w:rsidR="00511025" w:rsidRPr="001D105D">
        <w:t>dexamfetamine</w:t>
      </w:r>
      <w:proofErr w:type="spellEnd"/>
      <w:r w:rsidR="00511025" w:rsidRPr="001D105D">
        <w:t xml:space="preserve"> and is broken down into active </w:t>
      </w:r>
      <w:proofErr w:type="spellStart"/>
      <w:r w:rsidR="00511025" w:rsidRPr="001D105D">
        <w:t>dexamfetamine</w:t>
      </w:r>
      <w:proofErr w:type="spellEnd"/>
      <w:r w:rsidR="00511025" w:rsidRPr="001D105D">
        <w:t xml:space="preserve"> after ingestion</w:t>
      </w:r>
      <w:r w:rsidR="00B66678" w:rsidRPr="001D105D">
        <w:t>.</w:t>
      </w:r>
      <w:r w:rsidR="000C291F" w:rsidRPr="001D105D">
        <w:rPr>
          <w:vertAlign w:val="superscript"/>
        </w:rPr>
        <w:t>5</w:t>
      </w:r>
      <w:r w:rsidR="00511025" w:rsidRPr="001D105D">
        <w:t xml:space="preserve"> Atomoxetine is a selective noradrenaline reuptake inhibitor</w:t>
      </w:r>
      <w:r w:rsidR="00B66678" w:rsidRPr="001D105D">
        <w:t>.</w:t>
      </w:r>
      <w:r w:rsidR="00511025" w:rsidRPr="001D105D">
        <w:rPr>
          <w:rStyle w:val="FootnoteReference"/>
        </w:rPr>
        <w:footnoteReference w:id="13"/>
      </w:r>
      <w:r w:rsidR="00ED1BA1" w:rsidRPr="001D105D">
        <w:t xml:space="preserve"> Guanfacine</w:t>
      </w:r>
      <w:r w:rsidR="008A2075" w:rsidRPr="001D105D">
        <w:rPr>
          <w:vertAlign w:val="superscript"/>
        </w:rPr>
        <w:t>6</w:t>
      </w:r>
      <w:r w:rsidR="008A2075" w:rsidRPr="001D105D">
        <w:t xml:space="preserve"> </w:t>
      </w:r>
      <w:r w:rsidR="00ED1BA1" w:rsidRPr="001D105D">
        <w:t>is a selective alpha</w:t>
      </w:r>
      <w:r w:rsidR="00ED1BA1" w:rsidRPr="001D105D">
        <w:rPr>
          <w:vertAlign w:val="subscript"/>
        </w:rPr>
        <w:t>2A</w:t>
      </w:r>
      <w:r w:rsidR="00ED1BA1" w:rsidRPr="001D105D">
        <w:t>-adrenergic receptor agonist</w:t>
      </w:r>
      <w:r w:rsidR="0002762B" w:rsidRPr="001D105D">
        <w:t xml:space="preserve"> and was ATC classified as a cardiovascular drug</w:t>
      </w:r>
      <w:r w:rsidR="008A2075" w:rsidRPr="001D105D">
        <w:t xml:space="preserve"> </w:t>
      </w:r>
      <w:r w:rsidR="0002762B" w:rsidRPr="001D105D">
        <w:t>similar to clonidine</w:t>
      </w:r>
      <w:r w:rsidR="00215563">
        <w:t>.</w:t>
      </w:r>
      <w:r w:rsidR="008A2075" w:rsidRPr="001D105D">
        <w:rPr>
          <w:rStyle w:val="FootnoteReference"/>
        </w:rPr>
        <w:footnoteReference w:id="14"/>
      </w:r>
      <w:r w:rsidR="00ED1BA1" w:rsidRPr="001D105D">
        <w:t xml:space="preserve"> </w:t>
      </w:r>
    </w:p>
    <w:p w14:paraId="47A9583C" w14:textId="77777777" w:rsidR="001420B3" w:rsidRPr="001D105D" w:rsidRDefault="00A52918" w:rsidP="00215563">
      <w:pPr>
        <w:pStyle w:val="Heading2"/>
      </w:pPr>
      <w:r w:rsidRPr="001D105D">
        <w:t>Therapeutic Goods Administration (</w:t>
      </w:r>
      <w:r w:rsidR="001420B3" w:rsidRPr="001D105D">
        <w:t>TGA</w:t>
      </w:r>
      <w:r w:rsidRPr="001D105D">
        <w:t>)</w:t>
      </w:r>
      <w:r w:rsidR="001420B3" w:rsidRPr="001D105D">
        <w:t xml:space="preserve"> approved indications</w:t>
      </w:r>
      <w:r w:rsidR="00FE7994" w:rsidRPr="001D105D">
        <w:t xml:space="preserve"> and PBS restrictions</w:t>
      </w:r>
    </w:p>
    <w:p w14:paraId="46AAC97E" w14:textId="77777777" w:rsidR="00511025" w:rsidRPr="001D105D" w:rsidRDefault="00511025" w:rsidP="00215563">
      <w:r w:rsidRPr="001D105D">
        <w:t xml:space="preserve">Table 1 shows the TGA indications and PBS restricted uses of medicines used to manage ADHD. </w:t>
      </w:r>
    </w:p>
    <w:p w14:paraId="2100BC7E" w14:textId="67618C88" w:rsidR="00511025" w:rsidRPr="001D105D" w:rsidRDefault="00511025" w:rsidP="00215563">
      <w:pPr>
        <w:pStyle w:val="Tabletitle"/>
      </w:pPr>
      <w:r w:rsidRPr="001D105D">
        <w:t>Table 1: TGA indications and PBS restricted uses for ADHD medicines</w:t>
      </w:r>
      <w:r w:rsidR="00A76A55" w:rsidRPr="001D105D">
        <w:rPr>
          <w:rStyle w:val="FootnoteReference"/>
        </w:rPr>
        <w:footnoteReference w:id="15"/>
      </w:r>
    </w:p>
    <w:tbl>
      <w:tblPr>
        <w:tblStyle w:val="TableGrid"/>
        <w:tblW w:w="9102" w:type="dxa"/>
        <w:tblInd w:w="-176" w:type="dxa"/>
        <w:tblLayout w:type="fixed"/>
        <w:tblLook w:val="04A0" w:firstRow="1" w:lastRow="0" w:firstColumn="1" w:lastColumn="0" w:noHBand="0" w:noVBand="1"/>
        <w:tblDescription w:val="The different drugs are listed in the first column, read across the row for the TGA indications and abbreviated PBS restricted uses"/>
      </w:tblPr>
      <w:tblGrid>
        <w:gridCol w:w="1731"/>
        <w:gridCol w:w="3827"/>
        <w:gridCol w:w="3544"/>
      </w:tblGrid>
      <w:tr w:rsidR="00511025" w:rsidRPr="001D105D" w14:paraId="0D027495" w14:textId="77777777" w:rsidTr="00215563">
        <w:trPr>
          <w:tblHeader/>
        </w:trPr>
        <w:tc>
          <w:tcPr>
            <w:tcW w:w="1731" w:type="dxa"/>
            <w:shd w:val="clear" w:color="auto" w:fill="BFBFBF" w:themeFill="background1" w:themeFillShade="BF"/>
          </w:tcPr>
          <w:p w14:paraId="344BFFD2" w14:textId="77777777" w:rsidR="00511025" w:rsidRPr="001D105D" w:rsidRDefault="00511025" w:rsidP="00215563">
            <w:pPr>
              <w:pStyle w:val="Tableheading"/>
              <w:rPr>
                <w:sz w:val="20"/>
                <w:szCs w:val="20"/>
              </w:rPr>
            </w:pPr>
            <w:r w:rsidRPr="001D105D">
              <w:rPr>
                <w:sz w:val="20"/>
                <w:szCs w:val="20"/>
              </w:rPr>
              <w:t>Drug</w:t>
            </w:r>
          </w:p>
        </w:tc>
        <w:tc>
          <w:tcPr>
            <w:tcW w:w="3827" w:type="dxa"/>
            <w:shd w:val="clear" w:color="auto" w:fill="BFBFBF" w:themeFill="background1" w:themeFillShade="BF"/>
          </w:tcPr>
          <w:p w14:paraId="62A1F128" w14:textId="77777777" w:rsidR="00511025" w:rsidRPr="001D105D" w:rsidRDefault="00511025" w:rsidP="00215563">
            <w:pPr>
              <w:pStyle w:val="Tableheading"/>
              <w:rPr>
                <w:sz w:val="20"/>
                <w:szCs w:val="20"/>
              </w:rPr>
            </w:pPr>
            <w:r w:rsidRPr="001D105D">
              <w:rPr>
                <w:sz w:val="20"/>
                <w:szCs w:val="20"/>
              </w:rPr>
              <w:t>TGA indications</w:t>
            </w:r>
          </w:p>
        </w:tc>
        <w:tc>
          <w:tcPr>
            <w:tcW w:w="3544" w:type="dxa"/>
            <w:shd w:val="clear" w:color="auto" w:fill="BFBFBF" w:themeFill="background1" w:themeFillShade="BF"/>
          </w:tcPr>
          <w:p w14:paraId="79AD6B83" w14:textId="77777777" w:rsidR="00511025" w:rsidRPr="001D105D" w:rsidRDefault="00511025" w:rsidP="00215563">
            <w:pPr>
              <w:pStyle w:val="Tableheading"/>
              <w:rPr>
                <w:sz w:val="20"/>
                <w:szCs w:val="20"/>
              </w:rPr>
            </w:pPr>
            <w:r w:rsidRPr="001D105D">
              <w:rPr>
                <w:sz w:val="20"/>
                <w:szCs w:val="20"/>
              </w:rPr>
              <w:t>PBS restricted uses</w:t>
            </w:r>
          </w:p>
        </w:tc>
      </w:tr>
      <w:tr w:rsidR="00511025" w:rsidRPr="001D105D" w14:paraId="48F732E5" w14:textId="77777777" w:rsidTr="00215563">
        <w:tc>
          <w:tcPr>
            <w:tcW w:w="1731" w:type="dxa"/>
          </w:tcPr>
          <w:p w14:paraId="323F3280" w14:textId="77777777" w:rsidR="00511025" w:rsidRPr="001D105D" w:rsidRDefault="006F743A" w:rsidP="00215563">
            <w:pPr>
              <w:pStyle w:val="Tablewriting"/>
            </w:pPr>
            <w:proofErr w:type="spellStart"/>
            <w:r w:rsidRPr="001D105D">
              <w:t>Dexamf</w:t>
            </w:r>
            <w:r w:rsidR="00511025" w:rsidRPr="001D105D">
              <w:t>etamine</w:t>
            </w:r>
            <w:proofErr w:type="spellEnd"/>
          </w:p>
        </w:tc>
        <w:tc>
          <w:tcPr>
            <w:tcW w:w="3827" w:type="dxa"/>
          </w:tcPr>
          <w:p w14:paraId="3D811F15" w14:textId="77777777" w:rsidR="00511025" w:rsidRPr="001D105D" w:rsidRDefault="00511025" w:rsidP="00215563">
            <w:pPr>
              <w:pStyle w:val="Tablewriting"/>
              <w:numPr>
                <w:ilvl w:val="0"/>
                <w:numId w:val="8"/>
              </w:numPr>
              <w:ind w:left="176" w:hanging="142"/>
            </w:pPr>
            <w:r w:rsidRPr="001D105D">
              <w:t>Hyperkinetic behaviour disorders in children</w:t>
            </w:r>
          </w:p>
          <w:p w14:paraId="1D924684" w14:textId="77777777" w:rsidR="00511025" w:rsidRPr="001D105D" w:rsidRDefault="00511025" w:rsidP="00215563">
            <w:pPr>
              <w:pStyle w:val="Tablewriting"/>
              <w:numPr>
                <w:ilvl w:val="0"/>
                <w:numId w:val="8"/>
              </w:numPr>
              <w:ind w:left="176" w:hanging="142"/>
            </w:pPr>
            <w:r w:rsidRPr="001D105D">
              <w:t>Narcolepsy</w:t>
            </w:r>
          </w:p>
        </w:tc>
        <w:tc>
          <w:tcPr>
            <w:tcW w:w="3544" w:type="dxa"/>
          </w:tcPr>
          <w:p w14:paraId="0FA80049" w14:textId="77777777" w:rsidR="00511025" w:rsidRPr="001D105D" w:rsidRDefault="00511025" w:rsidP="00215563">
            <w:pPr>
              <w:pStyle w:val="Tablewriting"/>
              <w:numPr>
                <w:ilvl w:val="0"/>
                <w:numId w:val="8"/>
              </w:numPr>
              <w:ind w:left="175" w:hanging="142"/>
            </w:pPr>
            <w:r w:rsidRPr="001D105D">
              <w:t>ADHD</w:t>
            </w:r>
          </w:p>
          <w:p w14:paraId="3B1FAB30" w14:textId="77777777" w:rsidR="00511025" w:rsidRPr="001D105D" w:rsidRDefault="00511025" w:rsidP="00215563">
            <w:pPr>
              <w:pStyle w:val="Tablewriting"/>
              <w:numPr>
                <w:ilvl w:val="0"/>
                <w:numId w:val="8"/>
              </w:numPr>
              <w:ind w:left="175" w:hanging="142"/>
            </w:pPr>
            <w:r w:rsidRPr="001D105D">
              <w:t>Narcolepsy</w:t>
            </w:r>
          </w:p>
        </w:tc>
      </w:tr>
      <w:tr w:rsidR="00511025" w:rsidRPr="001D105D" w14:paraId="366C4AFA" w14:textId="77777777" w:rsidTr="00215563">
        <w:tc>
          <w:tcPr>
            <w:tcW w:w="1731" w:type="dxa"/>
          </w:tcPr>
          <w:p w14:paraId="4E684897" w14:textId="77777777" w:rsidR="00511025" w:rsidRPr="001D105D" w:rsidRDefault="00511025" w:rsidP="00215563">
            <w:pPr>
              <w:pStyle w:val="Tablewriting"/>
            </w:pPr>
            <w:r w:rsidRPr="001D105D">
              <w:t>Methylphenidate IR</w:t>
            </w:r>
          </w:p>
        </w:tc>
        <w:tc>
          <w:tcPr>
            <w:tcW w:w="3827" w:type="dxa"/>
          </w:tcPr>
          <w:p w14:paraId="11B5BB0D" w14:textId="77777777" w:rsidR="00511025" w:rsidRPr="001D105D" w:rsidRDefault="00511025" w:rsidP="00215563">
            <w:pPr>
              <w:pStyle w:val="Tablewriting"/>
              <w:numPr>
                <w:ilvl w:val="0"/>
                <w:numId w:val="7"/>
              </w:numPr>
              <w:ind w:left="176" w:hanging="142"/>
            </w:pPr>
            <w:r w:rsidRPr="001D105D">
              <w:t>ADHD</w:t>
            </w:r>
          </w:p>
          <w:p w14:paraId="03D58E4F" w14:textId="77777777" w:rsidR="00511025" w:rsidRPr="001D105D" w:rsidRDefault="00511025" w:rsidP="00215563">
            <w:pPr>
              <w:pStyle w:val="Tablewriting"/>
              <w:numPr>
                <w:ilvl w:val="0"/>
                <w:numId w:val="7"/>
              </w:numPr>
              <w:ind w:left="176" w:hanging="142"/>
            </w:pPr>
            <w:r w:rsidRPr="001D105D">
              <w:t>Narcolepsy</w:t>
            </w:r>
          </w:p>
        </w:tc>
        <w:tc>
          <w:tcPr>
            <w:tcW w:w="3544" w:type="dxa"/>
          </w:tcPr>
          <w:p w14:paraId="32C12319" w14:textId="77777777" w:rsidR="00511025" w:rsidRPr="001D105D" w:rsidRDefault="00511025" w:rsidP="00215563">
            <w:pPr>
              <w:pStyle w:val="Tablewriting"/>
              <w:numPr>
                <w:ilvl w:val="0"/>
                <w:numId w:val="7"/>
              </w:numPr>
              <w:ind w:left="175" w:hanging="142"/>
            </w:pPr>
            <w:r w:rsidRPr="001D105D">
              <w:t>ADHD</w:t>
            </w:r>
          </w:p>
        </w:tc>
      </w:tr>
      <w:tr w:rsidR="00511025" w:rsidRPr="001D105D" w14:paraId="00F4DBE4" w14:textId="77777777" w:rsidTr="00215563">
        <w:tc>
          <w:tcPr>
            <w:tcW w:w="1731" w:type="dxa"/>
          </w:tcPr>
          <w:p w14:paraId="73852AF0" w14:textId="77777777" w:rsidR="00511025" w:rsidRPr="001D105D" w:rsidRDefault="00511025" w:rsidP="00215563">
            <w:pPr>
              <w:pStyle w:val="Tablewriting"/>
            </w:pPr>
            <w:r w:rsidRPr="001D105D">
              <w:t>Methylphenidate MR</w:t>
            </w:r>
          </w:p>
        </w:tc>
        <w:tc>
          <w:tcPr>
            <w:tcW w:w="3827" w:type="dxa"/>
          </w:tcPr>
          <w:p w14:paraId="56CD3C63" w14:textId="77777777" w:rsidR="00511025" w:rsidRPr="001D105D" w:rsidRDefault="00511025" w:rsidP="00215563">
            <w:pPr>
              <w:pStyle w:val="Tablewriting"/>
              <w:numPr>
                <w:ilvl w:val="0"/>
                <w:numId w:val="7"/>
              </w:numPr>
              <w:ind w:left="176" w:hanging="142"/>
            </w:pPr>
            <w:r w:rsidRPr="001D105D">
              <w:t>ADHD</w:t>
            </w:r>
          </w:p>
        </w:tc>
        <w:tc>
          <w:tcPr>
            <w:tcW w:w="3544" w:type="dxa"/>
          </w:tcPr>
          <w:p w14:paraId="1A927DE8" w14:textId="77777777" w:rsidR="00511025" w:rsidRPr="001D105D" w:rsidRDefault="00511025" w:rsidP="00215563">
            <w:pPr>
              <w:pStyle w:val="Tablewriting"/>
              <w:numPr>
                <w:ilvl w:val="0"/>
                <w:numId w:val="7"/>
              </w:numPr>
              <w:ind w:left="175" w:hanging="142"/>
            </w:pPr>
            <w:r w:rsidRPr="001D105D">
              <w:t>ADHD in a patient diagnosed between ages 6 to 18, who require c</w:t>
            </w:r>
            <w:r w:rsidR="007C421F" w:rsidRPr="001D105D">
              <w:t xml:space="preserve">ontinuous coverage </w:t>
            </w:r>
            <w:r w:rsidRPr="001D105D">
              <w:t>and has demonstrated a response to IR methylphenidate</w:t>
            </w:r>
            <w:r w:rsidR="002E6C62" w:rsidRPr="001D105D">
              <w:t>.</w:t>
            </w:r>
          </w:p>
        </w:tc>
      </w:tr>
      <w:tr w:rsidR="00511025" w:rsidRPr="001D105D" w14:paraId="6ACEF84F" w14:textId="77777777" w:rsidTr="00215563">
        <w:tc>
          <w:tcPr>
            <w:tcW w:w="1731" w:type="dxa"/>
          </w:tcPr>
          <w:p w14:paraId="4CA46C8E" w14:textId="77777777" w:rsidR="00511025" w:rsidRPr="001D105D" w:rsidRDefault="00511025" w:rsidP="00215563">
            <w:pPr>
              <w:pStyle w:val="Tablewriting"/>
            </w:pPr>
            <w:r w:rsidRPr="001D105D">
              <w:t xml:space="preserve">Atomoxetine </w:t>
            </w:r>
          </w:p>
        </w:tc>
        <w:tc>
          <w:tcPr>
            <w:tcW w:w="3827" w:type="dxa"/>
          </w:tcPr>
          <w:p w14:paraId="5AE55C4D" w14:textId="77777777" w:rsidR="00511025" w:rsidRPr="001D105D" w:rsidRDefault="00511025" w:rsidP="00215563">
            <w:pPr>
              <w:pStyle w:val="Tablewriting"/>
              <w:numPr>
                <w:ilvl w:val="0"/>
                <w:numId w:val="6"/>
              </w:numPr>
              <w:ind w:left="176" w:hanging="142"/>
            </w:pPr>
            <w:r w:rsidRPr="001D105D">
              <w:t>ADHD as defined by the DSM-IV criteria for people aged ≥6 years</w:t>
            </w:r>
            <w:r w:rsidR="002E6C62" w:rsidRPr="001D105D">
              <w:t>.</w:t>
            </w:r>
          </w:p>
        </w:tc>
        <w:tc>
          <w:tcPr>
            <w:tcW w:w="3544" w:type="dxa"/>
          </w:tcPr>
          <w:p w14:paraId="2C12DDAD" w14:textId="77777777" w:rsidR="00511025" w:rsidRPr="001D105D" w:rsidRDefault="00511025" w:rsidP="00215563">
            <w:pPr>
              <w:pStyle w:val="Tablewriting"/>
              <w:numPr>
                <w:ilvl w:val="0"/>
                <w:numId w:val="6"/>
              </w:numPr>
              <w:ind w:left="175" w:hanging="142"/>
            </w:pPr>
            <w:r w:rsidRPr="001D105D">
              <w:t>ADHD as defi</w:t>
            </w:r>
            <w:r w:rsidR="006F743A" w:rsidRPr="001D105D">
              <w:t xml:space="preserve">ned by the DSM-V criteria, </w:t>
            </w:r>
            <w:r w:rsidR="007C421F" w:rsidRPr="001D105D">
              <w:t xml:space="preserve">diagnosed by a paediatrician or psychiatrist, </w:t>
            </w:r>
            <w:r w:rsidR="006F743A" w:rsidRPr="001D105D">
              <w:t xml:space="preserve">in </w:t>
            </w:r>
            <w:r w:rsidRPr="001D105D">
              <w:t>patient</w:t>
            </w:r>
            <w:r w:rsidR="006F743A" w:rsidRPr="001D105D">
              <w:t>s</w:t>
            </w:r>
            <w:r w:rsidRPr="001D105D">
              <w:t xml:space="preserve"> diagno</w:t>
            </w:r>
            <w:r w:rsidR="006F743A" w:rsidRPr="001D105D">
              <w:t>sed between ages 6 to 18, who are</w:t>
            </w:r>
            <w:r w:rsidRPr="001D105D">
              <w:t xml:space="preserve"> contraindicated to or intolerant of stimulant treatment.</w:t>
            </w:r>
          </w:p>
        </w:tc>
      </w:tr>
      <w:tr w:rsidR="00511025" w:rsidRPr="001D105D" w14:paraId="7229D089" w14:textId="77777777" w:rsidTr="00215563">
        <w:tc>
          <w:tcPr>
            <w:tcW w:w="1731" w:type="dxa"/>
          </w:tcPr>
          <w:p w14:paraId="2118CCF6" w14:textId="77777777" w:rsidR="00511025" w:rsidRPr="001D105D" w:rsidRDefault="00511025" w:rsidP="00215563">
            <w:pPr>
              <w:pStyle w:val="Tablewriting"/>
            </w:pPr>
            <w:proofErr w:type="spellStart"/>
            <w:r w:rsidRPr="001D105D">
              <w:lastRenderedPageBreak/>
              <w:t>Lisdexamfetamine</w:t>
            </w:r>
            <w:proofErr w:type="spellEnd"/>
          </w:p>
        </w:tc>
        <w:tc>
          <w:tcPr>
            <w:tcW w:w="3827" w:type="dxa"/>
          </w:tcPr>
          <w:p w14:paraId="4F7BC053" w14:textId="77777777" w:rsidR="00511025" w:rsidRPr="001D105D" w:rsidRDefault="00511025" w:rsidP="00215563">
            <w:pPr>
              <w:pStyle w:val="Tablewriting"/>
              <w:numPr>
                <w:ilvl w:val="0"/>
                <w:numId w:val="6"/>
              </w:numPr>
              <w:ind w:left="176" w:hanging="142"/>
            </w:pPr>
            <w:r w:rsidRPr="001D105D">
              <w:t xml:space="preserve">ADHD </w:t>
            </w:r>
            <w:r w:rsidR="007B5D2F" w:rsidRPr="001D105D">
              <w:t xml:space="preserve">treatment </w:t>
            </w:r>
            <w:r w:rsidRPr="001D105D">
              <w:t xml:space="preserve">commenced by specialist </w:t>
            </w:r>
          </w:p>
          <w:p w14:paraId="598E0A84" w14:textId="77777777" w:rsidR="00511025" w:rsidRPr="001D105D" w:rsidRDefault="00511025" w:rsidP="00215563">
            <w:pPr>
              <w:pStyle w:val="Tablewriting"/>
              <w:numPr>
                <w:ilvl w:val="0"/>
                <w:numId w:val="6"/>
              </w:numPr>
              <w:ind w:left="176" w:hanging="142"/>
            </w:pPr>
            <w:r w:rsidRPr="001D105D">
              <w:t>Moderate to severe Binge Eating Disorder in adults when non</w:t>
            </w:r>
            <w:r w:rsidR="00DF2DCC" w:rsidRPr="001D105D">
              <w:t>-</w:t>
            </w:r>
            <w:r w:rsidRPr="001D105D">
              <w:t>pharmacological treatment is unsuccessful or unavailable. Must be commenced and managed by specialist</w:t>
            </w:r>
            <w:r w:rsidR="002E6C62" w:rsidRPr="001D105D">
              <w:t>.</w:t>
            </w:r>
            <w:r w:rsidRPr="001D105D">
              <w:t xml:space="preserve"> </w:t>
            </w:r>
          </w:p>
        </w:tc>
        <w:tc>
          <w:tcPr>
            <w:tcW w:w="3544" w:type="dxa"/>
          </w:tcPr>
          <w:p w14:paraId="3936460A" w14:textId="77777777" w:rsidR="00511025" w:rsidRPr="001D105D" w:rsidRDefault="00511025" w:rsidP="00215563">
            <w:pPr>
              <w:pStyle w:val="Tablewriting"/>
              <w:numPr>
                <w:ilvl w:val="0"/>
                <w:numId w:val="6"/>
              </w:numPr>
              <w:ind w:left="175" w:hanging="142"/>
            </w:pPr>
            <w:r w:rsidRPr="001D105D">
              <w:t>ADHD in a patient diagnosed between ages 6 to 18, who require continuous coverage over 12 hours</w:t>
            </w:r>
            <w:r w:rsidR="002E6C62" w:rsidRPr="001D105D">
              <w:t>.</w:t>
            </w:r>
          </w:p>
        </w:tc>
      </w:tr>
      <w:tr w:rsidR="00511025" w:rsidRPr="001D105D" w14:paraId="05467D20" w14:textId="77777777" w:rsidTr="00215563">
        <w:trPr>
          <w:trHeight w:val="1587"/>
        </w:trPr>
        <w:tc>
          <w:tcPr>
            <w:tcW w:w="1731" w:type="dxa"/>
          </w:tcPr>
          <w:p w14:paraId="49320EFB" w14:textId="77777777" w:rsidR="00511025" w:rsidRPr="001D105D" w:rsidRDefault="00511025" w:rsidP="00215563">
            <w:pPr>
              <w:pStyle w:val="Tablewriting"/>
            </w:pPr>
            <w:r w:rsidRPr="001D105D">
              <w:t>Guanfacine</w:t>
            </w:r>
          </w:p>
        </w:tc>
        <w:tc>
          <w:tcPr>
            <w:tcW w:w="3827" w:type="dxa"/>
          </w:tcPr>
          <w:p w14:paraId="20758CBA" w14:textId="77777777" w:rsidR="00511025" w:rsidRPr="001D105D" w:rsidRDefault="00511025" w:rsidP="00215563">
            <w:pPr>
              <w:pStyle w:val="Tablewriting"/>
              <w:numPr>
                <w:ilvl w:val="0"/>
                <w:numId w:val="6"/>
              </w:numPr>
              <w:ind w:left="176" w:hanging="142"/>
            </w:pPr>
            <w:r w:rsidRPr="001D105D">
              <w:t>ADHD in children and adolescents aged 6-17 years old, as monotherapy (when stimulants or atomoxetine are not suitable, not tolerated or have been shown to be ineffective) or as adjunctive therapy to psychostimulants</w:t>
            </w:r>
            <w:r w:rsidR="002E6C62" w:rsidRPr="001D105D">
              <w:t>.</w:t>
            </w:r>
          </w:p>
        </w:tc>
        <w:tc>
          <w:tcPr>
            <w:tcW w:w="3544" w:type="dxa"/>
          </w:tcPr>
          <w:p w14:paraId="45666BE8" w14:textId="29B66F4A" w:rsidR="00772132" w:rsidRPr="001D105D" w:rsidRDefault="009F2099" w:rsidP="00215563">
            <w:pPr>
              <w:pStyle w:val="Tablewriting"/>
            </w:pPr>
            <w:r w:rsidRPr="001D105D">
              <w:t>ADHD as defined by the DSM-V criteria, diagnosed by a paediatrician or psychiatrist, in patients diagnosed between ages 6 to 17, who are contraindicated to or intolerant of stimulant treatment.</w:t>
            </w:r>
          </w:p>
        </w:tc>
      </w:tr>
    </w:tbl>
    <w:p w14:paraId="79ADAD36" w14:textId="2B121E76" w:rsidR="00511025" w:rsidRPr="001D105D" w:rsidRDefault="002C3CBA" w:rsidP="00215563">
      <w:pPr>
        <w:pStyle w:val="Heading4"/>
        <w:rPr>
          <w:sz w:val="24"/>
          <w:szCs w:val="24"/>
        </w:rPr>
      </w:pPr>
      <w:r w:rsidRPr="001D105D">
        <w:rPr>
          <w:sz w:val="24"/>
          <w:szCs w:val="24"/>
        </w:rPr>
        <w:t>TGA product information b</w:t>
      </w:r>
      <w:r w:rsidR="00511025" w:rsidRPr="001D105D">
        <w:rPr>
          <w:sz w:val="24"/>
          <w:szCs w:val="24"/>
        </w:rPr>
        <w:t>ox warnings</w:t>
      </w:r>
    </w:p>
    <w:p w14:paraId="16DAE549" w14:textId="20354801" w:rsidR="00511025" w:rsidRPr="001D105D" w:rsidRDefault="00511025" w:rsidP="00215563">
      <w:pPr>
        <w:rPr>
          <w:vertAlign w:val="superscript"/>
        </w:rPr>
      </w:pPr>
      <w:proofErr w:type="spellStart"/>
      <w:r w:rsidRPr="001D105D">
        <w:t>Dexamfetamine</w:t>
      </w:r>
      <w:proofErr w:type="spellEnd"/>
      <w:r w:rsidRPr="001D105D">
        <w:t xml:space="preserve">, </w:t>
      </w:r>
      <w:proofErr w:type="spellStart"/>
      <w:r w:rsidRPr="001D105D">
        <w:t>lisdexamfetamine</w:t>
      </w:r>
      <w:proofErr w:type="spellEnd"/>
      <w:r w:rsidRPr="001D105D">
        <w:t xml:space="preserve"> and methylphenidate have box warnings concerning drug dependence. They should be used cautiously in people with a history of drug or alcohol dependence. Chronic abuse may lead to tolerance, psychological </w:t>
      </w:r>
      <w:proofErr w:type="gramStart"/>
      <w:r w:rsidRPr="001D105D">
        <w:t>dependence</w:t>
      </w:r>
      <w:proofErr w:type="gramEnd"/>
      <w:r w:rsidRPr="001D105D">
        <w:t xml:space="preserve"> and abnormal behaviour</w:t>
      </w:r>
      <w:r w:rsidR="00B66678" w:rsidRPr="001D105D">
        <w:t>.</w:t>
      </w:r>
      <w:r w:rsidR="002C3CBA" w:rsidRPr="001D105D">
        <w:rPr>
          <w:vertAlign w:val="superscript"/>
        </w:rPr>
        <w:t>9,10,11</w:t>
      </w:r>
      <w:r w:rsidRPr="001D105D">
        <w:t xml:space="preserve"> Supervision is required during withdrawal from abusive use since severe depression may occur. Withdrawal following chronic therapeutic use may unmask symptoms of the underlying disorder that may require follow-up.</w:t>
      </w:r>
    </w:p>
    <w:p w14:paraId="669ACDF3" w14:textId="7CA89C34" w:rsidR="00511025" w:rsidRPr="001D105D" w:rsidRDefault="00511025" w:rsidP="00215563">
      <w:r w:rsidRPr="001D105D">
        <w:t>Atomoxetine has a box warning to monitor patients for suicidal thoughts and behaviours. Short-term placebo-controlled studies showed a positive signal for suicidal thoughts and behaviours in children aged 12 years and under</w:t>
      </w:r>
      <w:r w:rsidR="00B66678" w:rsidRPr="001D105D">
        <w:t>.</w:t>
      </w:r>
      <w:r w:rsidR="003E2FB6" w:rsidRPr="001D105D">
        <w:rPr>
          <w:vertAlign w:val="superscript"/>
        </w:rPr>
        <w:t>1</w:t>
      </w:r>
      <w:r w:rsidR="00A76A55" w:rsidRPr="001D105D">
        <w:rPr>
          <w:vertAlign w:val="superscript"/>
        </w:rPr>
        <w:t>2,</w:t>
      </w:r>
      <w:r w:rsidR="00B72303" w:rsidRPr="001D105D">
        <w:rPr>
          <w:rStyle w:val="FootnoteReference"/>
        </w:rPr>
        <w:footnoteReference w:id="16"/>
      </w:r>
      <w:r w:rsidRPr="001D105D">
        <w:t xml:space="preserve"> </w:t>
      </w:r>
    </w:p>
    <w:p w14:paraId="5BDBD877" w14:textId="77777777" w:rsidR="00D92479" w:rsidRPr="001D105D" w:rsidRDefault="00D92479" w:rsidP="00215563">
      <w:pPr>
        <w:pStyle w:val="Heading4"/>
        <w:rPr>
          <w:sz w:val="24"/>
          <w:szCs w:val="24"/>
        </w:rPr>
      </w:pPr>
      <w:r w:rsidRPr="001D105D">
        <w:rPr>
          <w:sz w:val="24"/>
          <w:szCs w:val="24"/>
        </w:rPr>
        <w:t>Safety alerts</w:t>
      </w:r>
    </w:p>
    <w:p w14:paraId="1C0C2A5E" w14:textId="36660D92" w:rsidR="00D92479" w:rsidRPr="001D105D" w:rsidRDefault="00D92479" w:rsidP="00215563">
      <w:r w:rsidRPr="001D105D">
        <w:t>The TGA issued a safety alert for atomoxeti</w:t>
      </w:r>
      <w:r w:rsidR="00DA130B" w:rsidRPr="001D105D">
        <w:t>ne in November 2011</w:t>
      </w:r>
      <w:r w:rsidRPr="001D105D">
        <w:t xml:space="preserve"> advising that the medication can cause clinically significant increases in heart rate and blood pressure in some patients and that its use is contraindicated in patients with symptomatic cardiovascular diseases, moderate to severe hypertension, or severe cardiovascular disorders, whose condition would be expected to deteriorate if they experienced increases in blood pressure or in heart rate</w:t>
      </w:r>
      <w:r w:rsidR="00B66678" w:rsidRPr="001D105D">
        <w:t>.</w:t>
      </w:r>
      <w:r w:rsidR="00B72303" w:rsidRPr="001D105D">
        <w:rPr>
          <w:rStyle w:val="FootnoteReference"/>
        </w:rPr>
        <w:footnoteReference w:id="17"/>
      </w:r>
    </w:p>
    <w:p w14:paraId="19C22986" w14:textId="5EFDA59B" w:rsidR="00D92479" w:rsidRPr="001D105D" w:rsidRDefault="00D92479" w:rsidP="00215563">
      <w:r w:rsidRPr="001D105D">
        <w:t>The TGA issued another safety alert for atomoxetine in October 2013</w:t>
      </w:r>
      <w:r w:rsidR="00FE07F1" w:rsidRPr="001D105D">
        <w:rPr>
          <w:rStyle w:val="FootnoteReference"/>
        </w:rPr>
        <w:footnoteReference w:id="18"/>
      </w:r>
      <w:r w:rsidRPr="001D105D">
        <w:t xml:space="preserve"> </w:t>
      </w:r>
      <w:r w:rsidR="00DA130B" w:rsidRPr="001D105D">
        <w:t>advising the</w:t>
      </w:r>
      <w:r w:rsidRPr="001D105D">
        <w:t xml:space="preserve"> risk of suicidal ideation and behaviour in children and adolescents</w:t>
      </w:r>
      <w:r w:rsidR="00B66678" w:rsidRPr="001D105D">
        <w:t>.</w:t>
      </w:r>
      <w:r w:rsidRPr="001D105D">
        <w:t xml:space="preserve"> The advice reinforced that while the risks of suicidal ideation and behaviour are well known, it is important that health </w:t>
      </w:r>
      <w:r w:rsidRPr="001D105D">
        <w:lastRenderedPageBreak/>
        <w:t>professionals adequately inform parents and caregivers of the risks of suicidal ideation and behaviour in children and adolescents taking atomoxetine.</w:t>
      </w:r>
    </w:p>
    <w:p w14:paraId="48BFB732" w14:textId="17656FEA" w:rsidR="00511025" w:rsidRPr="001D105D" w:rsidRDefault="00D92479" w:rsidP="00215563">
      <w:r w:rsidRPr="001D105D">
        <w:t>In October 2014, the TGA issued a safety alert advising health professionals that in very rare cases</w:t>
      </w:r>
      <w:r w:rsidR="00DA130B" w:rsidRPr="001D105D">
        <w:t>,</w:t>
      </w:r>
      <w:r w:rsidRPr="001D105D">
        <w:t xml:space="preserve"> treatment with methylphenidate may potentially lead to prolonged and sometimes painful erections</w:t>
      </w:r>
      <w:r w:rsidR="00B66678" w:rsidRPr="001D105D">
        <w:t>.</w:t>
      </w:r>
      <w:r w:rsidRPr="001D105D">
        <w:rPr>
          <w:rStyle w:val="FootnoteReference"/>
        </w:rPr>
        <w:footnoteReference w:id="19"/>
      </w:r>
    </w:p>
    <w:p w14:paraId="28DD76A1" w14:textId="6F1436D4" w:rsidR="006B709B" w:rsidRPr="001D105D" w:rsidRDefault="006B709B" w:rsidP="00215563">
      <w:pPr>
        <w:pStyle w:val="Heading4"/>
      </w:pPr>
      <w:r w:rsidRPr="001D105D">
        <w:rPr>
          <w:sz w:val="24"/>
          <w:szCs w:val="24"/>
        </w:rPr>
        <w:t>Dosage and administration</w:t>
      </w:r>
    </w:p>
    <w:p w14:paraId="531CD8A0" w14:textId="77777777" w:rsidR="00C82F04" w:rsidRPr="001D105D" w:rsidRDefault="00D92479" w:rsidP="00215563">
      <w:r w:rsidRPr="001D105D">
        <w:t xml:space="preserve">Treatment </w:t>
      </w:r>
      <w:r w:rsidR="00E56C55" w:rsidRPr="001D105D">
        <w:t xml:space="preserve">is usually commenced on </w:t>
      </w:r>
      <w:proofErr w:type="spellStart"/>
      <w:r w:rsidR="00E56C55" w:rsidRPr="001D105D">
        <w:t>dexamf</w:t>
      </w:r>
      <w:r w:rsidRPr="001D105D">
        <w:t>etamine</w:t>
      </w:r>
      <w:proofErr w:type="spellEnd"/>
      <w:r w:rsidRPr="001D105D">
        <w:t xml:space="preserve">, </w:t>
      </w:r>
      <w:proofErr w:type="spellStart"/>
      <w:r w:rsidRPr="001D105D">
        <w:t>lisdexamfetamine</w:t>
      </w:r>
      <w:proofErr w:type="spellEnd"/>
      <w:r w:rsidRPr="001D105D">
        <w:t xml:space="preserve"> or the immediate release (IR) formulation of methylphenidate.</w:t>
      </w:r>
      <w:r w:rsidR="00045E3D" w:rsidRPr="001D105D">
        <w:t xml:space="preserve"> </w:t>
      </w:r>
      <w:r w:rsidRPr="001D105D">
        <w:t>Doses are started low and then up-titrated weekly to optimal doses</w:t>
      </w:r>
      <w:r w:rsidR="00B66678" w:rsidRPr="001D105D">
        <w:t>.</w:t>
      </w:r>
      <w:r w:rsidR="0095396C" w:rsidRPr="001D105D">
        <w:rPr>
          <w:vertAlign w:val="superscript"/>
        </w:rPr>
        <w:t>3</w:t>
      </w:r>
      <w:r w:rsidR="00625E3E" w:rsidRPr="001D105D">
        <w:t xml:space="preserve"> </w:t>
      </w:r>
    </w:p>
    <w:p w14:paraId="45C6CCF4" w14:textId="70521989" w:rsidR="00D92479" w:rsidRPr="001D105D" w:rsidRDefault="00D92479" w:rsidP="00215563">
      <w:r w:rsidRPr="001D105D">
        <w:t>Patients taking methyl</w:t>
      </w:r>
      <w:r w:rsidR="004834C3" w:rsidRPr="001D105D">
        <w:t>phenidate IR may switch to long-</w:t>
      </w:r>
      <w:r w:rsidRPr="001D105D">
        <w:t>acting methylphenidate once responsive and dose stabilised.</w:t>
      </w:r>
      <w:r w:rsidR="00432E73" w:rsidRPr="001D105D">
        <w:t xml:space="preserve"> Alternative treatments should be considered if the maximum stimulant dose has been reached and significant improvement in symptoms has not occurred after a month or unacceptable side effects have developed</w:t>
      </w:r>
      <w:r w:rsidR="00B66678" w:rsidRPr="001D105D">
        <w:t>.</w:t>
      </w:r>
      <w:r w:rsidR="0095396C" w:rsidRPr="001D105D">
        <w:rPr>
          <w:vertAlign w:val="superscript"/>
        </w:rPr>
        <w:t>4</w:t>
      </w:r>
      <w:hyperlink w:anchor="_ENREF_1" w:tooltip="National Health and Medical Research Council, 2012 #1" w:history="1"/>
    </w:p>
    <w:p w14:paraId="76B18B92" w14:textId="77777777" w:rsidR="00D92479" w:rsidRPr="001D105D" w:rsidRDefault="00D92479" w:rsidP="00215563">
      <w:r w:rsidRPr="001D105D">
        <w:t>There are no established guidelines for the length of time a child should be maintained on stimulants.</w:t>
      </w:r>
    </w:p>
    <w:p w14:paraId="14446590" w14:textId="35810693" w:rsidR="00724250" w:rsidRPr="001D105D" w:rsidRDefault="00D92479" w:rsidP="00215563">
      <w:r w:rsidRPr="001D105D">
        <w:t xml:space="preserve">Full details on dosing and titration schedules can be found in the Product Information. The current Product Information (PI) and Consumer Medicine Information (CMI) are available from </w:t>
      </w:r>
      <w:hyperlink r:id="rId8" w:history="1">
        <w:r w:rsidRPr="001D105D">
          <w:rPr>
            <w:rStyle w:val="Hyperlink"/>
          </w:rPr>
          <w:t>the TGA (Product Information)</w:t>
        </w:r>
      </w:hyperlink>
      <w:r w:rsidRPr="001D105D">
        <w:t xml:space="preserve"> and </w:t>
      </w:r>
      <w:hyperlink r:id="rId9" w:history="1">
        <w:r w:rsidRPr="001D105D">
          <w:rPr>
            <w:rStyle w:val="Hyperlink"/>
          </w:rPr>
          <w:t>the TGA (Consumer Medicines Information)</w:t>
        </w:r>
      </w:hyperlink>
      <w:r w:rsidR="00625E3E" w:rsidRPr="001D105D">
        <w:t>.</w:t>
      </w:r>
    </w:p>
    <w:p w14:paraId="3D8809D6" w14:textId="7810EB3D" w:rsidR="00D2758C" w:rsidRPr="001D105D" w:rsidRDefault="00D2758C" w:rsidP="00215563">
      <w:pPr>
        <w:pStyle w:val="Heading4"/>
        <w:rPr>
          <w:i w:val="0"/>
          <w:sz w:val="28"/>
          <w:szCs w:val="28"/>
        </w:rPr>
      </w:pPr>
      <w:r w:rsidRPr="001D105D">
        <w:rPr>
          <w:i w:val="0"/>
          <w:sz w:val="28"/>
          <w:szCs w:val="28"/>
        </w:rPr>
        <w:t xml:space="preserve">Date of listing on </w:t>
      </w:r>
      <w:r w:rsidR="004100AB" w:rsidRPr="001D105D">
        <w:rPr>
          <w:i w:val="0"/>
          <w:sz w:val="28"/>
          <w:szCs w:val="28"/>
        </w:rPr>
        <w:t>R/</w:t>
      </w:r>
      <w:r w:rsidRPr="001D105D">
        <w:rPr>
          <w:i w:val="0"/>
          <w:sz w:val="28"/>
          <w:szCs w:val="28"/>
        </w:rPr>
        <w:t>PBS</w:t>
      </w:r>
    </w:p>
    <w:p w14:paraId="6369A55D" w14:textId="6A066434" w:rsidR="00CD2428" w:rsidRPr="001D105D" w:rsidRDefault="00D2758C" w:rsidP="00215563">
      <w:pPr>
        <w:rPr>
          <w:u w:val="single"/>
        </w:rPr>
      </w:pPr>
      <w:r w:rsidRPr="001D105D">
        <w:t xml:space="preserve">The dates of listing and changes to listing for these medicines are available in </w:t>
      </w:r>
      <w:r w:rsidR="00CD2428" w:rsidRPr="001D105D">
        <w:rPr>
          <w:u w:val="single"/>
        </w:rPr>
        <w:t>Appendix A</w:t>
      </w:r>
      <w:r w:rsidR="002432A4" w:rsidRPr="001D105D">
        <w:rPr>
          <w:u w:val="single"/>
        </w:rPr>
        <w:t>.</w:t>
      </w:r>
    </w:p>
    <w:p w14:paraId="19E4A026" w14:textId="26F67742" w:rsidR="00D2758C" w:rsidRPr="001D105D" w:rsidRDefault="00D2758C" w:rsidP="00215563">
      <w:pPr>
        <w:rPr>
          <w:rStyle w:val="Hyperlink"/>
          <w:color w:val="auto"/>
          <w:u w:val="none"/>
        </w:rPr>
      </w:pPr>
      <w:r w:rsidRPr="001D105D">
        <w:t xml:space="preserve">Current </w:t>
      </w:r>
      <w:r w:rsidR="004100AB" w:rsidRPr="001D105D">
        <w:t>R/</w:t>
      </w:r>
      <w:r w:rsidRPr="001D105D">
        <w:t xml:space="preserve">PBS listing </w:t>
      </w:r>
      <w:r w:rsidR="002432A4" w:rsidRPr="001D105D">
        <w:t xml:space="preserve">and restriction </w:t>
      </w:r>
      <w:r w:rsidRPr="001D105D">
        <w:t xml:space="preserve">details are available from the </w:t>
      </w:r>
      <w:hyperlink r:id="rId10" w:history="1">
        <w:r w:rsidRPr="001D105D">
          <w:rPr>
            <w:rStyle w:val="Hyperlink"/>
          </w:rPr>
          <w:t>PBS website</w:t>
        </w:r>
      </w:hyperlink>
      <w:r w:rsidRPr="001D105D">
        <w:t>.</w:t>
      </w:r>
      <w:r w:rsidR="002432A4" w:rsidRPr="001D105D">
        <w:rPr>
          <w:rStyle w:val="FootnoteReference"/>
        </w:rPr>
        <w:footnoteReference w:id="20"/>
      </w:r>
    </w:p>
    <w:p w14:paraId="119CF1A3" w14:textId="77777777" w:rsidR="00736041" w:rsidRPr="001D105D" w:rsidRDefault="00394AEE" w:rsidP="00215563">
      <w:pPr>
        <w:pStyle w:val="Heading2"/>
      </w:pPr>
      <w:r w:rsidRPr="001D105D">
        <w:t>Relevant aspects of</w:t>
      </w:r>
      <w:r w:rsidR="00736041" w:rsidRPr="001D105D">
        <w:t xml:space="preserve"> consideration</w:t>
      </w:r>
      <w:r w:rsidRPr="001D105D">
        <w:t xml:space="preserve"> by the Pharmaceutical Benefits Advisory Committee (PBAC)</w:t>
      </w:r>
    </w:p>
    <w:p w14:paraId="4CEEC37F" w14:textId="4DBB43F7" w:rsidR="0064071F" w:rsidRPr="001D105D" w:rsidRDefault="00F266BA" w:rsidP="00215563">
      <w:r w:rsidRPr="001D105D">
        <w:t xml:space="preserve">The </w:t>
      </w:r>
      <w:r w:rsidR="0064071F" w:rsidRPr="001D105D">
        <w:t>PBAC recommendation</w:t>
      </w:r>
      <w:r w:rsidRPr="001D105D">
        <w:t>s</w:t>
      </w:r>
      <w:r w:rsidR="0064071F" w:rsidRPr="001D105D">
        <w:t xml:space="preserve"> </w:t>
      </w:r>
      <w:r w:rsidRPr="001D105D">
        <w:t>for</w:t>
      </w:r>
      <w:r w:rsidR="0064071F" w:rsidRPr="001D105D">
        <w:t xml:space="preserve"> all ADHD medicines </w:t>
      </w:r>
      <w:r w:rsidRPr="001D105D">
        <w:t xml:space="preserve">listed </w:t>
      </w:r>
      <w:r w:rsidR="0064071F" w:rsidRPr="001D105D">
        <w:t>prior to 201</w:t>
      </w:r>
      <w:r w:rsidR="00CD2428" w:rsidRPr="001D105D">
        <w:t>8</w:t>
      </w:r>
      <w:r w:rsidR="0064071F" w:rsidRPr="001D105D">
        <w:t xml:space="preserve"> </w:t>
      </w:r>
      <w:r w:rsidRPr="001D105D">
        <w:t xml:space="preserve">are </w:t>
      </w:r>
      <w:r w:rsidR="0064071F" w:rsidRPr="001D105D">
        <w:t xml:space="preserve">provided in Appendix </w:t>
      </w:r>
      <w:r w:rsidR="00CD2428" w:rsidRPr="001D105D">
        <w:t>B</w:t>
      </w:r>
      <w:r w:rsidR="0064071F" w:rsidRPr="001D105D">
        <w:t>. Most medicines have been recommended on a cost-minimisation basis to existing therapies.</w:t>
      </w:r>
    </w:p>
    <w:p w14:paraId="7ECEAB56" w14:textId="24938C88" w:rsidR="00D074D1" w:rsidRPr="001D105D" w:rsidRDefault="0059727B" w:rsidP="00215563">
      <w:pPr>
        <w:pStyle w:val="Heading4"/>
        <w:rPr>
          <w:sz w:val="24"/>
          <w:szCs w:val="24"/>
        </w:rPr>
      </w:pPr>
      <w:r w:rsidRPr="001D105D">
        <w:rPr>
          <w:sz w:val="24"/>
          <w:szCs w:val="24"/>
        </w:rPr>
        <w:t>Guanfacine</w:t>
      </w:r>
      <w:r w:rsidR="00D074D1" w:rsidRPr="001D105D">
        <w:rPr>
          <w:sz w:val="24"/>
          <w:szCs w:val="24"/>
        </w:rPr>
        <w:t xml:space="preserve"> (</w:t>
      </w:r>
      <w:proofErr w:type="spellStart"/>
      <w:r w:rsidRPr="001D105D">
        <w:rPr>
          <w:sz w:val="24"/>
          <w:szCs w:val="24"/>
        </w:rPr>
        <w:t>Intuniv</w:t>
      </w:r>
      <w:proofErr w:type="spellEnd"/>
      <w:r w:rsidR="00D074D1" w:rsidRPr="001D105D">
        <w:rPr>
          <w:sz w:val="24"/>
          <w:szCs w:val="24"/>
        </w:rPr>
        <w:t>®)</w:t>
      </w:r>
    </w:p>
    <w:p w14:paraId="44A4FA8E" w14:textId="53FAAEC2" w:rsidR="0059727B" w:rsidRPr="001D105D" w:rsidRDefault="0059727B" w:rsidP="00215563">
      <w:r w:rsidRPr="001D105D">
        <w:t>In July 2017,</w:t>
      </w:r>
      <w:r w:rsidR="00FB0930" w:rsidRPr="001D105D">
        <w:t xml:space="preserve"> </w:t>
      </w:r>
      <w:r w:rsidRPr="001D105D">
        <w:t>the PBAC recommended the listing of gu</w:t>
      </w:r>
      <w:r w:rsidR="005E6547" w:rsidRPr="001D105D">
        <w:t>a</w:t>
      </w:r>
      <w:r w:rsidRPr="001D105D">
        <w:t xml:space="preserve">nfacine on a cost-minimisation basis with atomoxetine for the treatment of patients </w:t>
      </w:r>
      <w:r w:rsidR="009A224B" w:rsidRPr="001D105D">
        <w:t>diagnosed with ADHD between the ages of 6 and 17 years inclusive</w:t>
      </w:r>
      <w:r w:rsidRPr="001D105D">
        <w:t xml:space="preserve"> who are contraindicated or intolerant to stimulant therapy. The PBAC did not recommend the listing of guanfacine as monotherapy in patients who have failed to </w:t>
      </w:r>
      <w:r w:rsidRPr="001D105D">
        <w:lastRenderedPageBreak/>
        <w:t>achieve an adequate response to stimulants as the evidence presented did not support a listing in that population.</w:t>
      </w:r>
    </w:p>
    <w:p w14:paraId="7157B1AB" w14:textId="3542D679" w:rsidR="0059727B" w:rsidRPr="001D105D" w:rsidRDefault="0059727B" w:rsidP="00215563">
      <w:r w:rsidRPr="001D105D">
        <w:t xml:space="preserve">The PBAC recommended that the </w:t>
      </w:r>
      <w:r w:rsidR="00FB0930" w:rsidRPr="001D105D">
        <w:t xml:space="preserve">indications </w:t>
      </w:r>
      <w:r w:rsidRPr="001D105D">
        <w:t xml:space="preserve">for guanfacine </w:t>
      </w:r>
      <w:r w:rsidR="00FB0930" w:rsidRPr="001D105D">
        <w:t xml:space="preserve">should be the same as those of </w:t>
      </w:r>
      <w:r w:rsidRPr="001D105D">
        <w:t>atomoxetine</w:t>
      </w:r>
      <w:r w:rsidR="00FB0930" w:rsidRPr="001D105D">
        <w:t xml:space="preserve"> and</w:t>
      </w:r>
      <w:r w:rsidR="000C0F86" w:rsidRPr="001D105D">
        <w:t xml:space="preserve"> that guanfacine</w:t>
      </w:r>
      <w:r w:rsidR="00FB0930" w:rsidRPr="001D105D">
        <w:t xml:space="preserve"> </w:t>
      </w:r>
      <w:r w:rsidRPr="001D105D">
        <w:t>should be a streamlined authority.</w:t>
      </w:r>
    </w:p>
    <w:p w14:paraId="123A29E6" w14:textId="66EAF8AF" w:rsidR="00FB0930" w:rsidRPr="001D105D" w:rsidRDefault="00FB0930" w:rsidP="00215563">
      <w:r w:rsidRPr="001D105D">
        <w:t>The PBAC advised that gu</w:t>
      </w:r>
      <w:r w:rsidR="00820F93" w:rsidRPr="001D105D">
        <w:t>a</w:t>
      </w:r>
      <w:r w:rsidRPr="001D105D">
        <w:t>nfacine should not be treated as interchangeable on an individual basis with any other drugs and that it is not suitable for prescribing by nurse practitioners.</w:t>
      </w:r>
      <w:r w:rsidRPr="001D105D">
        <w:rPr>
          <w:rStyle w:val="FootnoteReference"/>
        </w:rPr>
        <w:footnoteReference w:id="21"/>
      </w:r>
    </w:p>
    <w:p w14:paraId="1134929C" w14:textId="694FB2C3" w:rsidR="00FB0930" w:rsidRPr="001D105D" w:rsidRDefault="00FB0930" w:rsidP="00215563">
      <w:r w:rsidRPr="001D105D">
        <w:rPr>
          <w:shd w:val="clear" w:color="auto" w:fill="FFFFFF"/>
        </w:rPr>
        <w:t xml:space="preserve">In July 2018, the PBAC recommended the </w:t>
      </w:r>
      <w:r w:rsidRPr="001D105D">
        <w:t>listing of guanfacine, as a General Schedule Authority Required (Streamlined) benefit, as add-on therapy in conjunction with optimised stimulant therapy, for ADHD in patients experiencing residual moderate to severe ADHD symptoms. The PBAC was satisfied that guanfacine (as add-on therapy) provides, for some patients, a significant improvement in efficacy over placebo in patients receiving optimised stimulant therapy and who are experiencing residual symptoms.</w:t>
      </w:r>
    </w:p>
    <w:p w14:paraId="377DC23F" w14:textId="59576DE2" w:rsidR="00FB0930" w:rsidRPr="001D105D" w:rsidRDefault="00FB0930" w:rsidP="00215563">
      <w:r w:rsidRPr="001D105D">
        <w:t xml:space="preserve">The PBAC noted the requested restriction and sponsor comments in its Pre-PBAC </w:t>
      </w:r>
      <w:proofErr w:type="gramStart"/>
      <w:r w:rsidRPr="001D105D">
        <w:t>response, and</w:t>
      </w:r>
      <w:proofErr w:type="gramEnd"/>
      <w:r w:rsidRPr="001D105D">
        <w:t xml:space="preserve"> considered it would be appropriate for the restriction to allow some flexibility for clinicians to individually evaluate patient responses to stimulant therapy and determine whether they may benefit from guanfacine add-on therapy. Therefore, the PBAC considered the proposed criteria defining ADHD symptoms was appropriate as requested.</w:t>
      </w:r>
    </w:p>
    <w:p w14:paraId="0A1F57B0" w14:textId="5FB8E1B3" w:rsidR="00FB0930" w:rsidRPr="001D105D" w:rsidRDefault="00FB0930" w:rsidP="00215563">
      <w:r w:rsidRPr="001D105D">
        <w:t xml:space="preserve">The PBAC noted the resubmission offered a lower price for the add-on setting, which resulted in a lower ICER of $15,000/QALY - $45,000/QALY. The PBAC considered the ICER was high for this population; </w:t>
      </w:r>
      <w:proofErr w:type="gramStart"/>
      <w:r w:rsidRPr="001D105D">
        <w:t>however</w:t>
      </w:r>
      <w:proofErr w:type="gramEnd"/>
      <w:r w:rsidRPr="001D105D">
        <w:t xml:space="preserve"> was acceptable based on the clinical need for additional therapies in patients who experience residual symptoms whilst on optimised stimulant therapy.</w:t>
      </w:r>
    </w:p>
    <w:p w14:paraId="52B77FA9" w14:textId="047C7D0A" w:rsidR="000C0F86" w:rsidRPr="001D105D" w:rsidRDefault="000C0F86" w:rsidP="00215563">
      <w:pPr>
        <w:rPr>
          <w:shd w:val="clear" w:color="auto" w:fill="FFFFFF"/>
        </w:rPr>
      </w:pPr>
      <w:r w:rsidRPr="001D105D">
        <w:t xml:space="preserve">The PBAC considered there was some uncertainty in the utilisation and financial estimates, </w:t>
      </w:r>
      <w:proofErr w:type="gramStart"/>
      <w:r w:rsidRPr="001D105D">
        <w:t>in particular concerning</w:t>
      </w:r>
      <w:proofErr w:type="gramEnd"/>
      <w:r w:rsidRPr="001D105D">
        <w:t xml:space="preserve"> the off-label use of clonidine in ADHD and of the extent of potential substitution. The PBAC agreed a risk share arrangement (RSA) with a hard cap on PBS expenditure based on the submission estimates would be a reasonable method to mitigate the risk of higher than expected use of guanfacine.</w:t>
      </w:r>
      <w:r w:rsidRPr="001D105D">
        <w:rPr>
          <w:rStyle w:val="FootnoteReference"/>
        </w:rPr>
        <w:footnoteReference w:id="22"/>
      </w:r>
    </w:p>
    <w:p w14:paraId="6B40D8E2" w14:textId="55A176A7" w:rsidR="00614464" w:rsidRPr="001D105D" w:rsidRDefault="002E7B52" w:rsidP="00215563">
      <w:r w:rsidRPr="001D105D">
        <w:t xml:space="preserve">In February 2021, the DUSC noted that guanfacine has been ATC classified as a cardiovascular drug but is TGA registered only for ADHD. DUSC also noted that utilisation of guanfacine has been higher than predicted. </w:t>
      </w:r>
    </w:p>
    <w:p w14:paraId="58E214D8" w14:textId="5CCACDAA" w:rsidR="00D074D1" w:rsidRPr="001D105D" w:rsidRDefault="00D074D1" w:rsidP="00215563">
      <w:r w:rsidRPr="001D105D">
        <w:t xml:space="preserve">Copies of the PBAC Meeting Outcomes and Public Summary Documents are available on the </w:t>
      </w:r>
      <w:hyperlink r:id="rId11" w:history="1">
        <w:r w:rsidRPr="001D105D">
          <w:rPr>
            <w:rStyle w:val="Hyperlink"/>
          </w:rPr>
          <w:t>PBAC Meetings</w:t>
        </w:r>
      </w:hyperlink>
      <w:r w:rsidRPr="001D105D">
        <w:t xml:space="preserve"> website.</w:t>
      </w:r>
    </w:p>
    <w:p w14:paraId="5182D8B2" w14:textId="1FA29DB5" w:rsidR="00094DCF" w:rsidRPr="001D105D" w:rsidRDefault="00ED633B" w:rsidP="00215563">
      <w:pPr>
        <w:pStyle w:val="Heading2"/>
      </w:pPr>
      <w:r w:rsidRPr="001D105D">
        <w:t xml:space="preserve">Previous reviews by </w:t>
      </w:r>
      <w:r w:rsidR="00F82BB0">
        <w:t xml:space="preserve">the </w:t>
      </w:r>
      <w:r w:rsidRPr="001D105D">
        <w:t>DUSC</w:t>
      </w:r>
    </w:p>
    <w:p w14:paraId="23BFFE81" w14:textId="77777777" w:rsidR="00D074D1" w:rsidRPr="001D105D" w:rsidRDefault="00D074D1" w:rsidP="00215563">
      <w:pPr>
        <w:pStyle w:val="Heading2"/>
        <w:rPr>
          <w:b w:val="0"/>
          <w:sz w:val="24"/>
        </w:rPr>
      </w:pPr>
      <w:r w:rsidRPr="001D105D">
        <w:rPr>
          <w:b w:val="0"/>
          <w:sz w:val="24"/>
        </w:rPr>
        <w:t>DUSC reviewed this therapeutic area in October 2010, as part of the 24 month Predicted versus Actual (</w:t>
      </w:r>
      <w:proofErr w:type="spellStart"/>
      <w:r w:rsidRPr="001D105D">
        <w:rPr>
          <w:b w:val="0"/>
          <w:sz w:val="24"/>
        </w:rPr>
        <w:t>PvA</w:t>
      </w:r>
      <w:proofErr w:type="spellEnd"/>
      <w:r w:rsidRPr="001D105D">
        <w:rPr>
          <w:b w:val="0"/>
          <w:sz w:val="24"/>
        </w:rPr>
        <w:t xml:space="preserve">) review of atomoxetine. DUSC noted that there was lower than expected utilisation of atomoxetine, which may have been influenced by the listing of </w:t>
      </w:r>
      <w:proofErr w:type="spellStart"/>
      <w:r w:rsidRPr="001D105D">
        <w:rPr>
          <w:b w:val="0"/>
          <w:sz w:val="24"/>
        </w:rPr>
        <w:t>Concerta</w:t>
      </w:r>
      <w:proofErr w:type="spellEnd"/>
      <w:r w:rsidRPr="001D105D">
        <w:rPr>
          <w:b w:val="0"/>
          <w:sz w:val="24"/>
        </w:rPr>
        <w:t xml:space="preserve">® three </w:t>
      </w:r>
      <w:r w:rsidRPr="001D105D">
        <w:rPr>
          <w:b w:val="0"/>
          <w:sz w:val="24"/>
        </w:rPr>
        <w:lastRenderedPageBreak/>
        <w:t>months before the listing of atomoxetine and possible over-estimation of the number of patients with the required contraindications to stimulants to meet the restriction</w:t>
      </w:r>
      <w:r w:rsidR="00B66678" w:rsidRPr="001D105D">
        <w:rPr>
          <w:b w:val="0"/>
          <w:sz w:val="24"/>
        </w:rPr>
        <w:t>.</w:t>
      </w:r>
      <w:r w:rsidRPr="001D105D">
        <w:rPr>
          <w:rStyle w:val="FootnoteReference"/>
          <w:b w:val="0"/>
          <w:sz w:val="24"/>
        </w:rPr>
        <w:footnoteReference w:id="23"/>
      </w:r>
      <w:r w:rsidRPr="001D105D">
        <w:rPr>
          <w:b w:val="0"/>
          <w:sz w:val="24"/>
        </w:rPr>
        <w:t xml:space="preserve"> </w:t>
      </w:r>
    </w:p>
    <w:p w14:paraId="17936C8A" w14:textId="77777777" w:rsidR="00CA3E24" w:rsidRPr="001D105D" w:rsidRDefault="00D074D1" w:rsidP="00215563">
      <w:pPr>
        <w:spacing w:after="0"/>
      </w:pPr>
      <w:r w:rsidRPr="001D105D">
        <w:t>DUSC reviewed ADHD medicines in June 2012, with further analyses requeste</w:t>
      </w:r>
      <w:r w:rsidR="00B0501C" w:rsidRPr="001D105D">
        <w:t xml:space="preserve">d by </w:t>
      </w:r>
      <w:r w:rsidRPr="001D105D">
        <w:t>DUSC considered in October 2012</w:t>
      </w:r>
      <w:r w:rsidR="00B66678" w:rsidRPr="001D105D">
        <w:t>.</w:t>
      </w:r>
      <w:r w:rsidRPr="001D105D">
        <w:rPr>
          <w:rStyle w:val="FootnoteReference"/>
        </w:rPr>
        <w:footnoteReference w:id="24"/>
      </w:r>
      <w:r w:rsidRPr="001D105D">
        <w:rPr>
          <w:lang w:val="en-US" w:eastAsia="en-US"/>
        </w:rPr>
        <w:t xml:space="preserve"> </w:t>
      </w:r>
      <w:r w:rsidRPr="001D105D">
        <w:t xml:space="preserve">When considering all people treated with ADHD medicines, highest use was in children aged 10 years. DUSC noted that there </w:t>
      </w:r>
      <w:r w:rsidR="004E016E" w:rsidRPr="001D105D">
        <w:t xml:space="preserve">was </w:t>
      </w:r>
      <w:r w:rsidRPr="001D105D">
        <w:t xml:space="preserve">steady growth in the utilisation of ADHD medicines between January 2005 and October 2011. PBS benefits paid for ADHD medicines in November 2010–October 2011 totalled around $24.6 million, up 4.2% from the previous year. The highest cost medicine to the PBS was </w:t>
      </w:r>
      <w:proofErr w:type="spellStart"/>
      <w:r w:rsidRPr="001D105D">
        <w:t>Concerta</w:t>
      </w:r>
      <w:proofErr w:type="spellEnd"/>
      <w:r w:rsidRPr="001D105D">
        <w:t>® at $11.2</w:t>
      </w:r>
      <w:r w:rsidR="00710419" w:rsidRPr="001D105D">
        <w:t> </w:t>
      </w:r>
      <w:r w:rsidRPr="001D105D">
        <w:t>million, followed by atomoxetine at $6.2</w:t>
      </w:r>
      <w:r w:rsidR="00B56299" w:rsidRPr="001D105D">
        <w:t> </w:t>
      </w:r>
      <w:r w:rsidRPr="001D105D">
        <w:t>million, despite its low utilisation</w:t>
      </w:r>
      <w:r w:rsidR="00B66678" w:rsidRPr="001D105D">
        <w:t>.</w:t>
      </w:r>
      <w:r w:rsidR="003E2FB6" w:rsidRPr="001D105D">
        <w:rPr>
          <w:vertAlign w:val="superscript"/>
        </w:rPr>
        <w:t>18</w:t>
      </w:r>
    </w:p>
    <w:p w14:paraId="0DB79D2A" w14:textId="77777777" w:rsidR="00CA3E24" w:rsidRPr="001D105D" w:rsidRDefault="00CA3E24" w:rsidP="00215563">
      <w:pPr>
        <w:spacing w:after="0"/>
      </w:pPr>
    </w:p>
    <w:p w14:paraId="71B9DCFC" w14:textId="0D462249" w:rsidR="00D074D1" w:rsidRPr="001D105D" w:rsidRDefault="000C291F" w:rsidP="00215563">
      <w:pPr>
        <w:spacing w:after="0"/>
      </w:pPr>
      <w:r w:rsidRPr="001D105D">
        <w:t>The DUSC reviewed ADHD medicines in June 2015</w:t>
      </w:r>
      <w:r w:rsidR="00215563">
        <w:t>,</w:t>
      </w:r>
      <w:r w:rsidR="009D78DB" w:rsidRPr="001D105D">
        <w:rPr>
          <w:rStyle w:val="FootnoteReference"/>
        </w:rPr>
        <w:footnoteReference w:id="25"/>
      </w:r>
      <w:r w:rsidR="009D78DB" w:rsidRPr="001D105D">
        <w:t xml:space="preserve"> finding that t</w:t>
      </w:r>
      <w:r w:rsidR="00C86B68" w:rsidRPr="001D105D">
        <w:t xml:space="preserve">here was steady growth </w:t>
      </w:r>
      <w:r w:rsidR="00D074D1" w:rsidRPr="001D105D">
        <w:t xml:space="preserve">in the utilisation of ADHD medicines between 2010 and 2014. </w:t>
      </w:r>
      <w:r w:rsidR="009D78DB" w:rsidRPr="001D105D">
        <w:t>O</w:t>
      </w:r>
      <w:r w:rsidR="00D074D1" w:rsidRPr="001D105D">
        <w:t>ver 875,000 prescriptions were dispensed at a cost to the PBS of approximately $30 million in 2014</w:t>
      </w:r>
      <w:r w:rsidR="009D78DB" w:rsidRPr="001D105D">
        <w:t xml:space="preserve">, with methylphenidate being the </w:t>
      </w:r>
      <w:proofErr w:type="gramStart"/>
      <w:r w:rsidR="00D074D1" w:rsidRPr="001D105D">
        <w:t>most commonly used</w:t>
      </w:r>
      <w:proofErr w:type="gramEnd"/>
      <w:r w:rsidR="00D074D1" w:rsidRPr="001D105D">
        <w:t xml:space="preserve"> medic</w:t>
      </w:r>
      <w:r w:rsidR="009D78DB" w:rsidRPr="001D105D">
        <w:t>ation</w:t>
      </w:r>
      <w:r w:rsidR="00D074D1" w:rsidRPr="001D105D">
        <w:t xml:space="preserve">. </w:t>
      </w:r>
      <w:r w:rsidR="009D78DB" w:rsidRPr="001D105D">
        <w:t xml:space="preserve">Rates of prescribing varied across states and territories, with rates of treatment in school-aged children being highest in the ACT, </w:t>
      </w:r>
      <w:proofErr w:type="gramStart"/>
      <w:r w:rsidR="009D78DB" w:rsidRPr="001D105D">
        <w:t>NSW</w:t>
      </w:r>
      <w:proofErr w:type="gramEnd"/>
      <w:r w:rsidR="009D78DB" w:rsidRPr="001D105D">
        <w:t xml:space="preserve"> and Queensland. Rates of treatment in adults were highest in Western Australia. </w:t>
      </w:r>
      <w:proofErr w:type="gramStart"/>
      <w:r w:rsidR="00D074D1" w:rsidRPr="001D105D">
        <w:t>The majority of</w:t>
      </w:r>
      <w:proofErr w:type="gramEnd"/>
      <w:r w:rsidR="00D074D1" w:rsidRPr="001D105D">
        <w:t xml:space="preserve"> prescriptions </w:t>
      </w:r>
      <w:r w:rsidR="00A65BC6" w:rsidRPr="001D105D">
        <w:t>we</w:t>
      </w:r>
      <w:r w:rsidR="00D074D1" w:rsidRPr="001D105D">
        <w:t>re written by a specialist, usually a paediatrician or psychiatrist</w:t>
      </w:r>
      <w:r w:rsidR="009D78DB" w:rsidRPr="001D105D">
        <w:t xml:space="preserve"> as m</w:t>
      </w:r>
      <w:r w:rsidR="00D074D1" w:rsidRPr="001D105D">
        <w:t>ost Australian states and territories restrict the prescribin</w:t>
      </w:r>
      <w:r w:rsidR="00E56C55" w:rsidRPr="001D105D">
        <w:t xml:space="preserve">g of methylphenidate and </w:t>
      </w:r>
      <w:proofErr w:type="spellStart"/>
      <w:r w:rsidR="00E56C55" w:rsidRPr="001D105D">
        <w:t>dexamf</w:t>
      </w:r>
      <w:r w:rsidR="00D074D1" w:rsidRPr="001D105D">
        <w:t>etamine</w:t>
      </w:r>
      <w:proofErr w:type="spellEnd"/>
      <w:r w:rsidR="00D074D1" w:rsidRPr="001D105D">
        <w:t xml:space="preserve"> for the treatment of ADHD to specialist medical prescribers.</w:t>
      </w:r>
    </w:p>
    <w:p w14:paraId="0A91216B" w14:textId="77777777" w:rsidR="009D78DB" w:rsidRPr="001D105D" w:rsidRDefault="009D78DB" w:rsidP="00215563">
      <w:pPr>
        <w:spacing w:after="0"/>
      </w:pPr>
    </w:p>
    <w:p w14:paraId="32214868" w14:textId="002E951C" w:rsidR="00D2758C" w:rsidRPr="001D105D" w:rsidRDefault="00D2758C" w:rsidP="00215563">
      <w:pPr>
        <w:spacing w:after="0"/>
      </w:pPr>
      <w:r w:rsidRPr="001D105D">
        <w:t xml:space="preserve">The DUSC </w:t>
      </w:r>
      <w:r w:rsidR="009F166B">
        <w:t>r</w:t>
      </w:r>
      <w:r w:rsidRPr="001D105D">
        <w:t xml:space="preserve">eviewed ADHD medicines again in </w:t>
      </w:r>
      <w:r w:rsidR="00C86B68" w:rsidRPr="001D105D">
        <w:t>May 2018</w:t>
      </w:r>
      <w:r w:rsidR="00215563">
        <w:t>.</w:t>
      </w:r>
      <w:r w:rsidR="006B1C6A" w:rsidRPr="001D105D">
        <w:rPr>
          <w:rStyle w:val="FootnoteReference"/>
        </w:rPr>
        <w:footnoteReference w:id="26"/>
      </w:r>
      <w:r w:rsidR="00C86B68" w:rsidRPr="001D105D">
        <w:t xml:space="preserve"> Key findings over the five year period </w:t>
      </w:r>
      <w:r w:rsidR="009D78DB" w:rsidRPr="001D105D">
        <w:t xml:space="preserve">of </w:t>
      </w:r>
      <w:r w:rsidR="00C86B68" w:rsidRPr="001D105D">
        <w:t>2013-2017 were:</w:t>
      </w:r>
    </w:p>
    <w:p w14:paraId="3E09AC73" w14:textId="06B9FFE6" w:rsidR="00C86B68" w:rsidRPr="001D105D" w:rsidRDefault="00C86B68" w:rsidP="00215563">
      <w:pPr>
        <w:pStyle w:val="ListParagraph"/>
        <w:numPr>
          <w:ilvl w:val="0"/>
          <w:numId w:val="15"/>
        </w:numPr>
      </w:pPr>
      <w:r w:rsidRPr="001D105D">
        <w:t xml:space="preserve">The number of patients treated with R/PBS medicines for ADHD </w:t>
      </w:r>
      <w:r w:rsidR="009D78DB" w:rsidRPr="001D105D">
        <w:t xml:space="preserve">increased </w:t>
      </w:r>
      <w:r w:rsidRPr="001D105D">
        <w:t>at a yearly average growth rate of 9.9%</w:t>
      </w:r>
      <w:r w:rsidR="009D78DB" w:rsidRPr="001D105D">
        <w:t>, with t</w:t>
      </w:r>
      <w:r w:rsidRPr="001D105D">
        <w:t>he number of prescriptions increas</w:t>
      </w:r>
      <w:r w:rsidR="009D78DB" w:rsidRPr="001D105D">
        <w:t>ing</w:t>
      </w:r>
      <w:r w:rsidRPr="001D105D">
        <w:t xml:space="preserve"> at similar rates.</w:t>
      </w:r>
    </w:p>
    <w:p w14:paraId="1429839C" w14:textId="77777777" w:rsidR="00C86B68" w:rsidRPr="001D105D" w:rsidRDefault="00C86B68" w:rsidP="00215563">
      <w:pPr>
        <w:pStyle w:val="ListParagraph"/>
        <w:numPr>
          <w:ilvl w:val="0"/>
          <w:numId w:val="15"/>
        </w:numPr>
      </w:pPr>
      <w:r w:rsidRPr="001D105D">
        <w:t xml:space="preserve">The </w:t>
      </w:r>
      <w:proofErr w:type="gramStart"/>
      <w:r w:rsidRPr="001D105D">
        <w:t>most commonly used</w:t>
      </w:r>
      <w:proofErr w:type="gramEnd"/>
      <w:r w:rsidRPr="001D105D">
        <w:t xml:space="preserve"> medicine in terms of prevalent patients is the modified-release formulation of methylphenidate.</w:t>
      </w:r>
    </w:p>
    <w:p w14:paraId="17AAA442" w14:textId="77777777" w:rsidR="00C86B68" w:rsidRPr="001D105D" w:rsidRDefault="00C86B68" w:rsidP="00215563">
      <w:pPr>
        <w:pStyle w:val="ListParagraph"/>
        <w:numPr>
          <w:ilvl w:val="0"/>
          <w:numId w:val="15"/>
        </w:numPr>
      </w:pPr>
      <w:r w:rsidRPr="001D105D">
        <w:t>More males than females were treated, although the ratio is decreasing over time.</w:t>
      </w:r>
    </w:p>
    <w:p w14:paraId="086C2E61" w14:textId="77777777" w:rsidR="00C86B68" w:rsidRPr="001D105D" w:rsidRDefault="00C86B68" w:rsidP="00215563">
      <w:pPr>
        <w:pStyle w:val="ListParagraph"/>
        <w:numPr>
          <w:ilvl w:val="0"/>
          <w:numId w:val="15"/>
        </w:numPr>
      </w:pPr>
      <w:r w:rsidRPr="001D105D">
        <w:t>Children aged 6-12 years old account for over 40% of R/PBS ADHD medicines supplied.</w:t>
      </w:r>
    </w:p>
    <w:p w14:paraId="393BEDC5" w14:textId="3E698854" w:rsidR="00C86B68" w:rsidRPr="001D105D" w:rsidRDefault="00C86B68" w:rsidP="00215563">
      <w:pPr>
        <w:spacing w:line="276" w:lineRule="auto"/>
      </w:pPr>
      <w:r w:rsidRPr="001D105D">
        <w:t>A snapshot of medicine use in 2017 shows</w:t>
      </w:r>
      <w:r w:rsidR="006B1C6A" w:rsidRPr="001D105D">
        <w:t xml:space="preserve"> the same picture as the June 2015 review with</w:t>
      </w:r>
      <w:r w:rsidRPr="001D105D">
        <w:t>:</w:t>
      </w:r>
    </w:p>
    <w:p w14:paraId="71C9D200" w14:textId="2ED59B38" w:rsidR="006B1C6A" w:rsidRPr="001D105D" w:rsidRDefault="006B1C6A" w:rsidP="00215563">
      <w:pPr>
        <w:pStyle w:val="ListParagraph"/>
        <w:numPr>
          <w:ilvl w:val="0"/>
          <w:numId w:val="15"/>
        </w:numPr>
      </w:pPr>
      <w:r w:rsidRPr="001D105D">
        <w:t xml:space="preserve">Rates of prescribing varying across states and territories, with rates of treatment in school-aged children being highest in the ACT, </w:t>
      </w:r>
      <w:proofErr w:type="gramStart"/>
      <w:r w:rsidRPr="001D105D">
        <w:t>NSW</w:t>
      </w:r>
      <w:proofErr w:type="gramEnd"/>
      <w:r w:rsidRPr="001D105D">
        <w:t xml:space="preserve"> and Queensland. Rates of treatment in adults were highest in Western Australia.</w:t>
      </w:r>
    </w:p>
    <w:p w14:paraId="4B1D70B0" w14:textId="2A5E0DF8" w:rsidR="00C86B68" w:rsidRPr="001D105D" w:rsidRDefault="00C86B68" w:rsidP="00215563">
      <w:pPr>
        <w:pStyle w:val="ListParagraph"/>
        <w:numPr>
          <w:ilvl w:val="0"/>
          <w:numId w:val="15"/>
        </w:numPr>
      </w:pPr>
      <w:proofErr w:type="gramStart"/>
      <w:r w:rsidRPr="001D105D">
        <w:lastRenderedPageBreak/>
        <w:t>The majority of</w:t>
      </w:r>
      <w:proofErr w:type="gramEnd"/>
      <w:r w:rsidRPr="001D105D">
        <w:t xml:space="preserve"> prescriptions were written by paediatricians or psychiatrists</w:t>
      </w:r>
      <w:r w:rsidR="006B1C6A" w:rsidRPr="001D105D">
        <w:t xml:space="preserve"> as m</w:t>
      </w:r>
      <w:r w:rsidRPr="001D105D">
        <w:t xml:space="preserve">ost Australian states and territories restrict the prescribing of methylphenidate, </w:t>
      </w:r>
      <w:proofErr w:type="spellStart"/>
      <w:r w:rsidRPr="001D105D">
        <w:t>lisdexamfetamine</w:t>
      </w:r>
      <w:proofErr w:type="spellEnd"/>
      <w:r w:rsidRPr="001D105D">
        <w:t xml:space="preserve"> and </w:t>
      </w:r>
      <w:proofErr w:type="spellStart"/>
      <w:r w:rsidRPr="001D105D">
        <w:t>dexamfetamine</w:t>
      </w:r>
      <w:proofErr w:type="spellEnd"/>
      <w:r w:rsidRPr="001D105D">
        <w:t xml:space="preserve"> for the treatment of ADHD to specialists.</w:t>
      </w:r>
    </w:p>
    <w:p w14:paraId="7635BE17" w14:textId="126E5394" w:rsidR="006B1C6A" w:rsidRPr="001D105D" w:rsidRDefault="006B1C6A" w:rsidP="00215563">
      <w:pPr>
        <w:pStyle w:val="Heading1"/>
        <w:spacing w:after="200"/>
      </w:pPr>
      <w:bookmarkStart w:id="0" w:name="_Toc517874482"/>
      <w:r w:rsidRPr="001D105D">
        <w:t>Methods</w:t>
      </w:r>
      <w:bookmarkEnd w:id="0"/>
    </w:p>
    <w:p w14:paraId="2609F086" w14:textId="77777777" w:rsidR="00687A11" w:rsidRPr="001D105D" w:rsidRDefault="00687A11" w:rsidP="00215563">
      <w:r w:rsidRPr="001D105D">
        <w:t>PBS and RPBS (R/PBS) prescription data for PBS-listed ADHD medicines (</w:t>
      </w:r>
      <w:proofErr w:type="spellStart"/>
      <w:r w:rsidRPr="001D105D">
        <w:t>dexamfetamine</w:t>
      </w:r>
      <w:proofErr w:type="spellEnd"/>
      <w:r w:rsidRPr="001D105D">
        <w:t xml:space="preserve">, methylphenidate, atomoxetine, </w:t>
      </w:r>
      <w:proofErr w:type="spellStart"/>
      <w:r w:rsidRPr="001D105D">
        <w:t>lisdexamfetamine</w:t>
      </w:r>
      <w:proofErr w:type="spellEnd"/>
      <w:r w:rsidRPr="001D105D">
        <w:t xml:space="preserve"> and guanfacine) and clonidine (Unrestricted PBS listing) were extracted from the Services Australia prescription database for the period April 2012 to February 2021 inclusive, based on the date that the prescription was supplied. Data for this period includes all R/PBS supplies regardless of whether a subsidy was </w:t>
      </w:r>
      <w:proofErr w:type="gramStart"/>
      <w:r w:rsidRPr="001D105D">
        <w:t>paid;</w:t>
      </w:r>
      <w:proofErr w:type="gramEnd"/>
      <w:r w:rsidRPr="001D105D">
        <w:t xml:space="preserve"> i.e. both over co-payment and under co-payment. As </w:t>
      </w:r>
      <w:proofErr w:type="spellStart"/>
      <w:r w:rsidRPr="001D105D">
        <w:t>dexamfetamine</w:t>
      </w:r>
      <w:proofErr w:type="spellEnd"/>
      <w:r w:rsidRPr="001D105D">
        <w:t xml:space="preserve"> is PBS-listed for both ADHD and narcolepsy, the prescription data for </w:t>
      </w:r>
      <w:proofErr w:type="spellStart"/>
      <w:r w:rsidRPr="001D105D">
        <w:t>dexamfetamine</w:t>
      </w:r>
      <w:proofErr w:type="spellEnd"/>
      <w:r w:rsidRPr="001D105D">
        <w:t xml:space="preserve"> was merged with the authority approvals database and limited by the ADHD authority restriction number to obtain only the supplies related to ADHD.</w:t>
      </w:r>
    </w:p>
    <w:p w14:paraId="665D17B3" w14:textId="77777777" w:rsidR="00687A11" w:rsidRPr="001D105D" w:rsidRDefault="00687A11" w:rsidP="00215563">
      <w:r w:rsidRPr="001D105D">
        <w:t xml:space="preserve">The R/PBS prescription data were used to determine the number of prescriptions supplied, R/PBS expenditure, age, sex, state/territory of residence and prescriber type. These prescription data were also used to count the number of patients, both incident (new to pharmacological treatment) and prevalent (number treated) in each </w:t>
      </w:r>
      <w:proofErr w:type="gramStart"/>
      <w:r w:rsidRPr="001D105D">
        <w:t>time period</w:t>
      </w:r>
      <w:proofErr w:type="gramEnd"/>
      <w:r w:rsidRPr="001D105D">
        <w:t>. The number of prevalent patients was determined by counting the number of people supplied at least one PBS prescription using person</w:t>
      </w:r>
      <w:r w:rsidRPr="001D105D">
        <w:noBreakHyphen/>
        <w:t>specific numbers (non-identifying) in the data for the specified time periods. Patient initiation date was defined as the date of supply of the first PBS or RPBS prescription of the ADHD medicine (since April 2012).</w:t>
      </w:r>
    </w:p>
    <w:p w14:paraId="1C6311C2" w14:textId="77777777" w:rsidR="00687A11" w:rsidRPr="001D105D" w:rsidRDefault="00687A11" w:rsidP="00215563">
      <w:r w:rsidRPr="001D105D">
        <w:t>An analysis of scripts per patient in the 12 months after initiation of PBS guanfacine was also performed. This analysis was limited to patients that initiated from September 2018 to the end of February 2020, as this cohort of patients had at least 12 months of follow-up data after initiation.</w:t>
      </w:r>
    </w:p>
    <w:p w14:paraId="1FAD1040" w14:textId="59E5D840" w:rsidR="00687A11" w:rsidRPr="001D105D" w:rsidRDefault="00687A11" w:rsidP="00215563">
      <w:r w:rsidRPr="001D105D">
        <w:t>Clonidine was included in the data extract to examine if it was being used</w:t>
      </w:r>
      <w:r w:rsidR="00C95D58" w:rsidRPr="001D105D">
        <w:t xml:space="preserve"> </w:t>
      </w:r>
      <w:r w:rsidRPr="001D105D">
        <w:t>to treat ADHD.</w:t>
      </w:r>
    </w:p>
    <w:p w14:paraId="4D5539BF" w14:textId="77777777" w:rsidR="00687A11" w:rsidRPr="001D105D" w:rsidRDefault="00687A11" w:rsidP="00215563">
      <w:pPr>
        <w:rPr>
          <w:rFonts w:ascii="Times New Roman" w:hAnsi="Times New Roman" w:cs="Times New Roman"/>
        </w:rPr>
      </w:pPr>
      <w:r w:rsidRPr="001D105D">
        <w:t xml:space="preserve">As these analyses use date of supply prescription data, there may be small differences compared with publicly available Services Australia Medicare date of processing data. These data only include subsidised R/PBS prescriptions with prescriptions under the patient co-payment not included.  </w:t>
      </w:r>
      <w:r w:rsidRPr="001D105D">
        <w:rPr>
          <w:rFonts w:ascii="Times New Roman" w:hAnsi="Times New Roman" w:cs="Times New Roman"/>
        </w:rPr>
        <w:t> </w:t>
      </w:r>
    </w:p>
    <w:p w14:paraId="7EA2E7C1" w14:textId="77777777" w:rsidR="00215563" w:rsidRDefault="00215563">
      <w:pPr>
        <w:spacing w:line="276" w:lineRule="auto"/>
        <w:rPr>
          <w:rFonts w:eastAsiaTheme="majorEastAsia" w:cstheme="majorBidi"/>
          <w:b/>
          <w:bCs/>
          <w:sz w:val="32"/>
          <w:szCs w:val="32"/>
        </w:rPr>
      </w:pPr>
      <w:r>
        <w:br w:type="page"/>
      </w:r>
    </w:p>
    <w:p w14:paraId="45179AA7" w14:textId="7BDA3EAA" w:rsidR="00C714D0" w:rsidRPr="001D105D" w:rsidRDefault="00C714D0" w:rsidP="00215563">
      <w:pPr>
        <w:pStyle w:val="Heading1"/>
      </w:pPr>
      <w:r w:rsidRPr="001D105D">
        <w:lastRenderedPageBreak/>
        <w:t>Results</w:t>
      </w:r>
    </w:p>
    <w:p w14:paraId="3594CAB7" w14:textId="77777777" w:rsidR="008C30DC" w:rsidRPr="001D105D" w:rsidRDefault="008C30DC" w:rsidP="00215563">
      <w:pPr>
        <w:pStyle w:val="Heading2"/>
      </w:pPr>
      <w:r w:rsidRPr="001D105D">
        <w:t>Analysis of drug utilisation</w:t>
      </w:r>
    </w:p>
    <w:p w14:paraId="2831A45A" w14:textId="77777777" w:rsidR="008C30DC" w:rsidRPr="001D105D" w:rsidRDefault="008C30DC" w:rsidP="00215563">
      <w:pPr>
        <w:pStyle w:val="Heading3"/>
      </w:pPr>
      <w:r w:rsidRPr="001D105D">
        <w:t>Overall utilisation</w:t>
      </w:r>
    </w:p>
    <w:p w14:paraId="137ACA51" w14:textId="0CB11EDE" w:rsidR="008C30DC" w:rsidRPr="001D105D" w:rsidRDefault="00146474" w:rsidP="00215563">
      <w:r w:rsidRPr="001D105D">
        <w:t xml:space="preserve">The number of </w:t>
      </w:r>
      <w:r w:rsidR="008C30DC" w:rsidRPr="001D105D">
        <w:t>R</w:t>
      </w:r>
      <w:r w:rsidRPr="001D105D">
        <w:t>/</w:t>
      </w:r>
      <w:r w:rsidR="008C30DC" w:rsidRPr="001D105D">
        <w:t xml:space="preserve">PBS prescriptions for ADHD </w:t>
      </w:r>
      <w:r w:rsidRPr="001D105D">
        <w:t xml:space="preserve">medications </w:t>
      </w:r>
      <w:r w:rsidR="008C30DC" w:rsidRPr="001D105D">
        <w:t xml:space="preserve">supplied per </w:t>
      </w:r>
      <w:r w:rsidR="007838A0" w:rsidRPr="001D105D">
        <w:t xml:space="preserve">calendar </w:t>
      </w:r>
      <w:r w:rsidR="00910EDB" w:rsidRPr="001D105D">
        <w:t>year</w:t>
      </w:r>
      <w:r w:rsidR="002965E3" w:rsidRPr="001D105D">
        <w:t xml:space="preserve"> since 2013 is shown in F</w:t>
      </w:r>
      <w:r w:rsidR="00852352" w:rsidRPr="001D105D">
        <w:t>igure 1.</w:t>
      </w:r>
    </w:p>
    <w:p w14:paraId="51452153" w14:textId="511F299B" w:rsidR="00A84107" w:rsidRPr="001D105D" w:rsidRDefault="00A84107" w:rsidP="00215563">
      <w:pPr>
        <w:rPr>
          <w:b/>
        </w:rPr>
      </w:pPr>
      <w:r w:rsidRPr="001D105D">
        <w:rPr>
          <w:noProof/>
        </w:rPr>
        <w:drawing>
          <wp:inline distT="0" distB="0" distL="0" distR="0" wp14:anchorId="67D9164F" wp14:editId="68E57DE3">
            <wp:extent cx="5687695" cy="3703320"/>
            <wp:effectExtent l="0" t="0" r="8255" b="1143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F6EFA74" w14:textId="623C6053" w:rsidR="009F74A4" w:rsidRPr="001D105D" w:rsidRDefault="008C30DC" w:rsidP="00215563">
      <w:pPr>
        <w:pStyle w:val="Figurecaption"/>
        <w:spacing w:after="200"/>
      </w:pPr>
      <w:r w:rsidRPr="001D105D">
        <w:rPr>
          <w:rStyle w:val="FiguretitleChar"/>
        </w:rPr>
        <w:t>Figure 1: Number of PBS/RPBS ADHD prescriptions supplied</w:t>
      </w:r>
      <w:r w:rsidR="00066BED" w:rsidRPr="001D105D">
        <w:rPr>
          <w:rStyle w:val="FiguretitleChar"/>
        </w:rPr>
        <w:t xml:space="preserve"> per </w:t>
      </w:r>
      <w:r w:rsidR="00910EDB" w:rsidRPr="001D105D">
        <w:rPr>
          <w:rStyle w:val="FiguretitleChar"/>
        </w:rPr>
        <w:t>year</w:t>
      </w:r>
      <w:r w:rsidR="00A32A0C" w:rsidRPr="001D105D">
        <w:br/>
      </w:r>
      <w:r w:rsidRPr="001D105D">
        <w:t xml:space="preserve">Source: </w:t>
      </w:r>
      <w:r w:rsidR="00E1502D" w:rsidRPr="001D105D">
        <w:t xml:space="preserve">Services Australia </w:t>
      </w:r>
      <w:r w:rsidRPr="001D105D">
        <w:t>prescriptions da</w:t>
      </w:r>
      <w:r w:rsidR="00910EDB" w:rsidRPr="001D105D">
        <w:t xml:space="preserve">tabase, extracted </w:t>
      </w:r>
      <w:r w:rsidR="00E1502D" w:rsidRPr="001D105D">
        <w:t>March 2021</w:t>
      </w:r>
      <w:r w:rsidR="009F74A4" w:rsidRPr="001D105D">
        <w:br/>
        <w:t xml:space="preserve">*MPH-MR </w:t>
      </w:r>
      <w:r w:rsidR="00BD03ED" w:rsidRPr="001D105D">
        <w:t>c</w:t>
      </w:r>
      <w:r w:rsidR="009F74A4" w:rsidRPr="001D105D">
        <w:t xml:space="preserve">onsists of both </w:t>
      </w:r>
      <w:proofErr w:type="spellStart"/>
      <w:r w:rsidR="009F74A4" w:rsidRPr="001D105D">
        <w:t>Concerta</w:t>
      </w:r>
      <w:proofErr w:type="spellEnd"/>
      <w:r w:rsidR="009F74A4" w:rsidRPr="001D105D">
        <w:t>® and Ritalin LA®</w:t>
      </w:r>
    </w:p>
    <w:p w14:paraId="763D7A97" w14:textId="3F444598" w:rsidR="00215BA6" w:rsidRPr="001D105D" w:rsidRDefault="00F03D48" w:rsidP="00215563">
      <w:r w:rsidRPr="001D105D">
        <w:t>Figure 1 shows</w:t>
      </w:r>
      <w:r w:rsidR="004215F9" w:rsidRPr="001D105D">
        <w:t xml:space="preserve"> an overall increase in the </w:t>
      </w:r>
      <w:r w:rsidR="007838A0" w:rsidRPr="001D105D">
        <w:t xml:space="preserve">rate of growth </w:t>
      </w:r>
      <w:r w:rsidR="00F93E95" w:rsidRPr="001D105D">
        <w:t>in</w:t>
      </w:r>
      <w:r w:rsidR="007838A0" w:rsidRPr="001D105D">
        <w:t xml:space="preserve"> </w:t>
      </w:r>
      <w:r w:rsidR="004100AB" w:rsidRPr="001D105D">
        <w:t>R/</w:t>
      </w:r>
      <w:r w:rsidR="007838A0" w:rsidRPr="001D105D">
        <w:t>PBS ADHD prescriptions supplied</w:t>
      </w:r>
      <w:r w:rsidR="004215F9" w:rsidRPr="001D105D">
        <w:t xml:space="preserve"> during 2013 to 20</w:t>
      </w:r>
      <w:r w:rsidR="00E1502D" w:rsidRPr="001D105D">
        <w:t>20</w:t>
      </w:r>
      <w:r w:rsidR="00A06C9B" w:rsidRPr="001D105D">
        <w:t>.</w:t>
      </w:r>
      <w:r w:rsidR="004215F9" w:rsidRPr="001D105D">
        <w:t xml:space="preserve"> </w:t>
      </w:r>
      <w:r w:rsidR="00460FBA" w:rsidRPr="001D105D">
        <w:t>The average annual growth rate durin</w:t>
      </w:r>
      <w:r w:rsidR="009E3176" w:rsidRPr="001D105D">
        <w:t xml:space="preserve">g </w:t>
      </w:r>
      <w:r w:rsidR="004215F9" w:rsidRPr="001D105D">
        <w:t>this period</w:t>
      </w:r>
      <w:r w:rsidR="000C26C1" w:rsidRPr="001D105D">
        <w:t xml:space="preserve"> </w:t>
      </w:r>
      <w:r w:rsidR="00AC5A5E" w:rsidRPr="001D105D">
        <w:t>was</w:t>
      </w:r>
      <w:r w:rsidR="000C26C1" w:rsidRPr="001D105D">
        <w:t xml:space="preserve"> 1</w:t>
      </w:r>
      <w:r w:rsidR="00181277" w:rsidRPr="001D105D">
        <w:t>4</w:t>
      </w:r>
      <w:r w:rsidR="00F93E95" w:rsidRPr="001D105D">
        <w:t>%</w:t>
      </w:r>
      <w:r w:rsidR="00FE0F65" w:rsidRPr="001D105D">
        <w:t>, however the growth rate from 2018-2019 and 2019-2020 increased to 20% (Table 1)</w:t>
      </w:r>
      <w:r w:rsidR="00F62794" w:rsidRPr="001D105D">
        <w:t>. T</w:t>
      </w:r>
      <w:r w:rsidR="00FE0F65" w:rsidRPr="001D105D">
        <w:t xml:space="preserve">his </w:t>
      </w:r>
      <w:r w:rsidR="00F62794" w:rsidRPr="001D105D">
        <w:t xml:space="preserve">substantial increase </w:t>
      </w:r>
      <w:r w:rsidR="00FE0F65" w:rsidRPr="001D105D">
        <w:t>might be due to the addition of gu</w:t>
      </w:r>
      <w:r w:rsidR="00C95D58" w:rsidRPr="001D105D">
        <w:t>a</w:t>
      </w:r>
      <w:r w:rsidR="00FE0F65" w:rsidRPr="001D105D">
        <w:t xml:space="preserve">nfacine on the </w:t>
      </w:r>
      <w:r w:rsidR="004100AB" w:rsidRPr="001D105D">
        <w:t>R/</w:t>
      </w:r>
      <w:r w:rsidR="00FE0F65" w:rsidRPr="001D105D">
        <w:t>PBS in September 2018</w:t>
      </w:r>
      <w:r w:rsidR="00F93E95" w:rsidRPr="001D105D">
        <w:t>.</w:t>
      </w:r>
      <w:r w:rsidR="00FE0F65" w:rsidRPr="001D105D">
        <w:t xml:space="preserve"> </w:t>
      </w:r>
      <w:r w:rsidR="00E067D0" w:rsidRPr="001D105D">
        <w:t xml:space="preserve">Figure 1 </w:t>
      </w:r>
      <w:r w:rsidR="005452A3" w:rsidRPr="001D105D">
        <w:t xml:space="preserve">includes </w:t>
      </w:r>
      <w:r w:rsidR="00E067D0" w:rsidRPr="001D105D">
        <w:t>the prescription</w:t>
      </w:r>
      <w:r w:rsidR="005452A3" w:rsidRPr="001D105D">
        <w:t xml:space="preserve"> count</w:t>
      </w:r>
      <w:r w:rsidR="00E067D0" w:rsidRPr="001D105D">
        <w:t xml:space="preserve"> of clonidine</w:t>
      </w:r>
      <w:r w:rsidR="005452A3" w:rsidRPr="001D105D">
        <w:t xml:space="preserve"> </w:t>
      </w:r>
      <w:r w:rsidR="00E067D0" w:rsidRPr="001D105D">
        <w:t>however the</w:t>
      </w:r>
      <w:r w:rsidR="005452A3" w:rsidRPr="001D105D">
        <w:t xml:space="preserve"> prescription count</w:t>
      </w:r>
      <w:r w:rsidR="00AA02AF" w:rsidRPr="001D105D">
        <w:t xml:space="preserve"> of clonidine</w:t>
      </w:r>
      <w:r w:rsidR="005452A3" w:rsidRPr="001D105D">
        <w:t xml:space="preserve"> includes </w:t>
      </w:r>
      <w:r w:rsidR="00E067D0" w:rsidRPr="001D105D">
        <w:t xml:space="preserve">prescriptions for non-ADHD related </w:t>
      </w:r>
      <w:r w:rsidR="005452A3" w:rsidRPr="001D105D">
        <w:t xml:space="preserve">indications. </w:t>
      </w:r>
    </w:p>
    <w:p w14:paraId="5C23E60C" w14:textId="681D4A16" w:rsidR="00B21A5E" w:rsidRPr="001D105D" w:rsidRDefault="00B21A5E" w:rsidP="00215563">
      <w:pPr>
        <w:rPr>
          <w:b/>
          <w:i/>
        </w:rPr>
      </w:pPr>
      <w:r w:rsidRPr="001D105D">
        <w:rPr>
          <w:b/>
          <w:i/>
        </w:rPr>
        <w:t xml:space="preserve">Estimated use of clonidine for ADHD </w:t>
      </w:r>
    </w:p>
    <w:p w14:paraId="3BCBF675" w14:textId="5A74D9DD" w:rsidR="00215BA6" w:rsidRPr="001D105D" w:rsidRDefault="00215BA6" w:rsidP="00215563">
      <w:r w:rsidRPr="001D105D">
        <w:t xml:space="preserve">In 2019, 50,814 patients initiated ADHD </w:t>
      </w:r>
      <w:r w:rsidR="005A70D4" w:rsidRPr="001D105D">
        <w:t>medication therapy</w:t>
      </w:r>
      <w:r w:rsidR="00B21A5E" w:rsidRPr="001D105D">
        <w:t xml:space="preserve">. Of these patients, </w:t>
      </w:r>
      <w:r w:rsidRPr="001D105D">
        <w:t xml:space="preserve">7,325 (14.4%) also initiated clonidine at some time up until the end of February 2021 (either as the first medication or subsequently). In </w:t>
      </w:r>
      <w:proofErr w:type="gramStart"/>
      <w:r w:rsidRPr="001D105D">
        <w:t>addition</w:t>
      </w:r>
      <w:proofErr w:type="gramEnd"/>
      <w:r w:rsidRPr="001D105D">
        <w:t xml:space="preserve"> there were 20,497 patients that initiated clonidine in 2019 and had no ADHD medicines up until the end of February 2021. Of these patients, 4,079 were</w:t>
      </w:r>
      <w:r w:rsidR="005000BB" w:rsidRPr="001D105D">
        <w:t xml:space="preserve"> </w:t>
      </w:r>
      <w:r w:rsidR="005000BB" w:rsidRPr="001D105D">
        <w:rPr>
          <w:rStyle w:val="FiguretitleChar"/>
        </w:rPr>
        <w:t>≤</w:t>
      </w:r>
      <w:r w:rsidRPr="001D105D">
        <w:t xml:space="preserve">19 years and so likely to be ADHD patients even though they were not on any medicines that were </w:t>
      </w:r>
      <w:r w:rsidR="004100AB" w:rsidRPr="001D105D">
        <w:t>R/</w:t>
      </w:r>
      <w:r w:rsidRPr="001D105D">
        <w:t>PBS-listed for ADHD.</w:t>
      </w:r>
    </w:p>
    <w:p w14:paraId="2100CC5F" w14:textId="767A978A" w:rsidR="009F2DD4" w:rsidRPr="00215563" w:rsidRDefault="00B21A5E" w:rsidP="00215563">
      <w:r w:rsidRPr="001D105D">
        <w:lastRenderedPageBreak/>
        <w:t>It appears that clonidine is being used in significant</w:t>
      </w:r>
      <w:r w:rsidR="00215563">
        <w:t xml:space="preserve"> numbers as an ADHD medication.</w:t>
      </w:r>
    </w:p>
    <w:p w14:paraId="0C7F7671" w14:textId="2F9FD024" w:rsidR="00FE0F65" w:rsidRPr="001D105D" w:rsidRDefault="00FE0F65" w:rsidP="00215563">
      <w:pPr>
        <w:pStyle w:val="Figuretitle"/>
        <w:ind w:left="-284"/>
      </w:pPr>
      <w:r w:rsidRPr="001D105D">
        <w:t>Table 1: ADHD drug prescription count by year.</w:t>
      </w:r>
    </w:p>
    <w:tbl>
      <w:tblPr>
        <w:tblW w:w="986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3"/>
        <w:gridCol w:w="810"/>
        <w:gridCol w:w="810"/>
        <w:gridCol w:w="810"/>
        <w:gridCol w:w="948"/>
        <w:gridCol w:w="948"/>
        <w:gridCol w:w="948"/>
        <w:gridCol w:w="948"/>
        <w:gridCol w:w="948"/>
        <w:gridCol w:w="948"/>
      </w:tblGrid>
      <w:tr w:rsidR="00735033" w:rsidRPr="001D105D" w14:paraId="3C8F28FE" w14:textId="77777777" w:rsidTr="00511D6E">
        <w:trPr>
          <w:trHeight w:val="289"/>
        </w:trPr>
        <w:tc>
          <w:tcPr>
            <w:tcW w:w="1743" w:type="dxa"/>
            <w:shd w:val="clear" w:color="auto" w:fill="BFBFBF" w:themeFill="background1" w:themeFillShade="BF"/>
            <w:noWrap/>
            <w:vAlign w:val="center"/>
            <w:hideMark/>
          </w:tcPr>
          <w:p w14:paraId="07602DD1" w14:textId="319FEE0A" w:rsidR="00181277" w:rsidRPr="001D105D" w:rsidRDefault="00181277" w:rsidP="00215563">
            <w:pPr>
              <w:spacing w:after="0"/>
              <w:rPr>
                <w:rFonts w:ascii="Calibri" w:eastAsia="Times New Roman" w:hAnsi="Calibri" w:cs="Calibri"/>
                <w:b/>
                <w:bCs/>
                <w:color w:val="000000"/>
                <w:sz w:val="20"/>
                <w:szCs w:val="20"/>
              </w:rPr>
            </w:pPr>
            <w:r w:rsidRPr="001D105D">
              <w:rPr>
                <w:rFonts w:ascii="Calibri" w:eastAsia="Times New Roman" w:hAnsi="Calibri" w:cs="Calibri"/>
                <w:b/>
                <w:bCs/>
                <w:color w:val="000000"/>
                <w:sz w:val="20"/>
                <w:szCs w:val="20"/>
              </w:rPr>
              <w:t> </w:t>
            </w:r>
            <w:r w:rsidR="001E0A8C" w:rsidRPr="001D105D">
              <w:rPr>
                <w:rFonts w:ascii="Calibri" w:eastAsia="Times New Roman" w:hAnsi="Calibri" w:cs="Calibri"/>
                <w:b/>
                <w:bCs/>
                <w:color w:val="000000"/>
                <w:sz w:val="20"/>
                <w:szCs w:val="20"/>
              </w:rPr>
              <w:t xml:space="preserve">Drug </w:t>
            </w:r>
            <w:proofErr w:type="gramStart"/>
            <w:r w:rsidR="001E0A8C" w:rsidRPr="001D105D">
              <w:rPr>
                <w:rFonts w:ascii="Calibri" w:eastAsia="Times New Roman" w:hAnsi="Calibri" w:cs="Calibri"/>
                <w:b/>
                <w:bCs/>
                <w:color w:val="000000"/>
                <w:sz w:val="20"/>
                <w:szCs w:val="20"/>
              </w:rPr>
              <w:t>Name  /</w:t>
            </w:r>
            <w:proofErr w:type="gramEnd"/>
            <w:r w:rsidR="001E0A8C" w:rsidRPr="001D105D">
              <w:rPr>
                <w:rFonts w:ascii="Calibri" w:eastAsia="Times New Roman" w:hAnsi="Calibri" w:cs="Calibri"/>
                <w:b/>
                <w:bCs/>
                <w:color w:val="000000"/>
                <w:sz w:val="20"/>
                <w:szCs w:val="20"/>
              </w:rPr>
              <w:t xml:space="preserve"> </w:t>
            </w:r>
            <w:r w:rsidR="001E0A8C" w:rsidRPr="001D105D">
              <w:rPr>
                <w:rFonts w:ascii="Calibri" w:eastAsia="Times New Roman" w:hAnsi="Calibri" w:cs="Calibri"/>
                <w:b/>
                <w:bCs/>
                <w:color w:val="000000"/>
                <w:sz w:val="20"/>
                <w:szCs w:val="20"/>
              </w:rPr>
              <w:br/>
              <w:t>Prescription Count</w:t>
            </w:r>
          </w:p>
        </w:tc>
        <w:tc>
          <w:tcPr>
            <w:tcW w:w="810" w:type="dxa"/>
            <w:shd w:val="clear" w:color="auto" w:fill="BFBFBF" w:themeFill="background1" w:themeFillShade="BF"/>
            <w:noWrap/>
            <w:vAlign w:val="center"/>
            <w:hideMark/>
          </w:tcPr>
          <w:p w14:paraId="0FCA5650" w14:textId="77777777" w:rsidR="00181277" w:rsidRPr="001D105D" w:rsidRDefault="00181277" w:rsidP="00215563">
            <w:pPr>
              <w:spacing w:after="0"/>
              <w:jc w:val="center"/>
              <w:rPr>
                <w:rFonts w:ascii="Calibri" w:eastAsia="Times New Roman" w:hAnsi="Calibri" w:cs="Calibri"/>
                <w:b/>
                <w:bCs/>
                <w:color w:val="000000"/>
                <w:sz w:val="20"/>
                <w:szCs w:val="20"/>
              </w:rPr>
            </w:pPr>
            <w:r w:rsidRPr="001D105D">
              <w:rPr>
                <w:rFonts w:ascii="Calibri" w:eastAsia="Times New Roman" w:hAnsi="Calibri" w:cs="Calibri"/>
                <w:b/>
                <w:bCs/>
                <w:color w:val="000000"/>
                <w:sz w:val="20"/>
                <w:szCs w:val="20"/>
              </w:rPr>
              <w:t>2013</w:t>
            </w:r>
          </w:p>
        </w:tc>
        <w:tc>
          <w:tcPr>
            <w:tcW w:w="810" w:type="dxa"/>
            <w:shd w:val="clear" w:color="auto" w:fill="BFBFBF" w:themeFill="background1" w:themeFillShade="BF"/>
            <w:noWrap/>
            <w:vAlign w:val="center"/>
            <w:hideMark/>
          </w:tcPr>
          <w:p w14:paraId="605DF50E" w14:textId="77777777" w:rsidR="00181277" w:rsidRPr="001D105D" w:rsidRDefault="00181277" w:rsidP="00215563">
            <w:pPr>
              <w:spacing w:after="0"/>
              <w:jc w:val="center"/>
              <w:rPr>
                <w:rFonts w:ascii="Calibri" w:eastAsia="Times New Roman" w:hAnsi="Calibri" w:cs="Calibri"/>
                <w:b/>
                <w:bCs/>
                <w:color w:val="000000"/>
                <w:sz w:val="20"/>
                <w:szCs w:val="20"/>
              </w:rPr>
            </w:pPr>
            <w:r w:rsidRPr="001D105D">
              <w:rPr>
                <w:rFonts w:ascii="Calibri" w:eastAsia="Times New Roman" w:hAnsi="Calibri" w:cs="Calibri"/>
                <w:b/>
                <w:bCs/>
                <w:color w:val="000000"/>
                <w:sz w:val="20"/>
                <w:szCs w:val="20"/>
              </w:rPr>
              <w:t>2014</w:t>
            </w:r>
          </w:p>
        </w:tc>
        <w:tc>
          <w:tcPr>
            <w:tcW w:w="810" w:type="dxa"/>
            <w:shd w:val="clear" w:color="auto" w:fill="BFBFBF" w:themeFill="background1" w:themeFillShade="BF"/>
            <w:noWrap/>
            <w:vAlign w:val="center"/>
            <w:hideMark/>
          </w:tcPr>
          <w:p w14:paraId="0F8F0A8E" w14:textId="77777777" w:rsidR="00181277" w:rsidRPr="001D105D" w:rsidRDefault="00181277" w:rsidP="00215563">
            <w:pPr>
              <w:spacing w:after="0"/>
              <w:jc w:val="center"/>
              <w:rPr>
                <w:rFonts w:ascii="Calibri" w:eastAsia="Times New Roman" w:hAnsi="Calibri" w:cs="Calibri"/>
                <w:b/>
                <w:bCs/>
                <w:color w:val="000000"/>
                <w:sz w:val="20"/>
                <w:szCs w:val="20"/>
              </w:rPr>
            </w:pPr>
            <w:r w:rsidRPr="001D105D">
              <w:rPr>
                <w:rFonts w:ascii="Calibri" w:eastAsia="Times New Roman" w:hAnsi="Calibri" w:cs="Calibri"/>
                <w:b/>
                <w:bCs/>
                <w:color w:val="000000"/>
                <w:sz w:val="20"/>
                <w:szCs w:val="20"/>
              </w:rPr>
              <w:t>2015</w:t>
            </w:r>
          </w:p>
        </w:tc>
        <w:tc>
          <w:tcPr>
            <w:tcW w:w="948" w:type="dxa"/>
            <w:shd w:val="clear" w:color="auto" w:fill="BFBFBF" w:themeFill="background1" w:themeFillShade="BF"/>
            <w:noWrap/>
            <w:vAlign w:val="center"/>
            <w:hideMark/>
          </w:tcPr>
          <w:p w14:paraId="7D94B5B6" w14:textId="77777777" w:rsidR="00181277" w:rsidRPr="001D105D" w:rsidRDefault="00181277" w:rsidP="00215563">
            <w:pPr>
              <w:spacing w:after="0"/>
              <w:jc w:val="center"/>
              <w:rPr>
                <w:rFonts w:ascii="Calibri" w:eastAsia="Times New Roman" w:hAnsi="Calibri" w:cs="Calibri"/>
                <w:b/>
                <w:bCs/>
                <w:color w:val="000000"/>
                <w:sz w:val="20"/>
                <w:szCs w:val="20"/>
              </w:rPr>
            </w:pPr>
            <w:r w:rsidRPr="001D105D">
              <w:rPr>
                <w:rFonts w:ascii="Calibri" w:eastAsia="Times New Roman" w:hAnsi="Calibri" w:cs="Calibri"/>
                <w:b/>
                <w:bCs/>
                <w:color w:val="000000"/>
                <w:sz w:val="20"/>
                <w:szCs w:val="20"/>
              </w:rPr>
              <w:t>2016</w:t>
            </w:r>
          </w:p>
        </w:tc>
        <w:tc>
          <w:tcPr>
            <w:tcW w:w="948" w:type="dxa"/>
            <w:shd w:val="clear" w:color="auto" w:fill="BFBFBF" w:themeFill="background1" w:themeFillShade="BF"/>
            <w:noWrap/>
            <w:vAlign w:val="center"/>
            <w:hideMark/>
          </w:tcPr>
          <w:p w14:paraId="4D0BF5F0" w14:textId="77777777" w:rsidR="00181277" w:rsidRPr="001D105D" w:rsidRDefault="00181277" w:rsidP="00215563">
            <w:pPr>
              <w:spacing w:after="0"/>
              <w:jc w:val="center"/>
              <w:rPr>
                <w:rFonts w:ascii="Calibri" w:eastAsia="Times New Roman" w:hAnsi="Calibri" w:cs="Calibri"/>
                <w:b/>
                <w:bCs/>
                <w:color w:val="000000"/>
                <w:sz w:val="20"/>
                <w:szCs w:val="20"/>
              </w:rPr>
            </w:pPr>
            <w:r w:rsidRPr="001D105D">
              <w:rPr>
                <w:rFonts w:ascii="Calibri" w:eastAsia="Times New Roman" w:hAnsi="Calibri" w:cs="Calibri"/>
                <w:b/>
                <w:bCs/>
                <w:color w:val="000000"/>
                <w:sz w:val="20"/>
                <w:szCs w:val="20"/>
              </w:rPr>
              <w:t>2017</w:t>
            </w:r>
          </w:p>
        </w:tc>
        <w:tc>
          <w:tcPr>
            <w:tcW w:w="948" w:type="dxa"/>
            <w:shd w:val="clear" w:color="auto" w:fill="BFBFBF" w:themeFill="background1" w:themeFillShade="BF"/>
            <w:noWrap/>
            <w:vAlign w:val="center"/>
            <w:hideMark/>
          </w:tcPr>
          <w:p w14:paraId="5EE6C48A" w14:textId="77777777" w:rsidR="00181277" w:rsidRPr="001D105D" w:rsidRDefault="00181277" w:rsidP="00215563">
            <w:pPr>
              <w:spacing w:after="0"/>
              <w:jc w:val="center"/>
              <w:rPr>
                <w:rFonts w:ascii="Calibri" w:eastAsia="Times New Roman" w:hAnsi="Calibri" w:cs="Calibri"/>
                <w:b/>
                <w:bCs/>
                <w:color w:val="000000"/>
                <w:sz w:val="20"/>
                <w:szCs w:val="20"/>
              </w:rPr>
            </w:pPr>
            <w:r w:rsidRPr="001D105D">
              <w:rPr>
                <w:rFonts w:ascii="Calibri" w:eastAsia="Times New Roman" w:hAnsi="Calibri" w:cs="Calibri"/>
                <w:b/>
                <w:bCs/>
                <w:color w:val="000000"/>
                <w:sz w:val="20"/>
                <w:szCs w:val="20"/>
              </w:rPr>
              <w:t>2018</w:t>
            </w:r>
          </w:p>
        </w:tc>
        <w:tc>
          <w:tcPr>
            <w:tcW w:w="948" w:type="dxa"/>
            <w:shd w:val="clear" w:color="auto" w:fill="BFBFBF" w:themeFill="background1" w:themeFillShade="BF"/>
            <w:noWrap/>
            <w:vAlign w:val="center"/>
            <w:hideMark/>
          </w:tcPr>
          <w:p w14:paraId="560EBF7E" w14:textId="77777777" w:rsidR="00181277" w:rsidRPr="001D105D" w:rsidRDefault="00181277" w:rsidP="00215563">
            <w:pPr>
              <w:spacing w:after="0"/>
              <w:jc w:val="center"/>
              <w:rPr>
                <w:rFonts w:ascii="Calibri" w:eastAsia="Times New Roman" w:hAnsi="Calibri" w:cs="Calibri"/>
                <w:b/>
                <w:bCs/>
                <w:color w:val="000000"/>
                <w:sz w:val="20"/>
                <w:szCs w:val="20"/>
              </w:rPr>
            </w:pPr>
            <w:r w:rsidRPr="001D105D">
              <w:rPr>
                <w:rFonts w:ascii="Calibri" w:eastAsia="Times New Roman" w:hAnsi="Calibri" w:cs="Calibri"/>
                <w:b/>
                <w:bCs/>
                <w:color w:val="000000"/>
                <w:sz w:val="20"/>
                <w:szCs w:val="20"/>
              </w:rPr>
              <w:t>2019</w:t>
            </w:r>
          </w:p>
        </w:tc>
        <w:tc>
          <w:tcPr>
            <w:tcW w:w="948" w:type="dxa"/>
            <w:shd w:val="clear" w:color="auto" w:fill="BFBFBF" w:themeFill="background1" w:themeFillShade="BF"/>
            <w:noWrap/>
            <w:vAlign w:val="center"/>
            <w:hideMark/>
          </w:tcPr>
          <w:p w14:paraId="0ED52B0E" w14:textId="77777777" w:rsidR="00181277" w:rsidRPr="001D105D" w:rsidRDefault="00181277" w:rsidP="00215563">
            <w:pPr>
              <w:spacing w:after="0"/>
              <w:jc w:val="center"/>
              <w:rPr>
                <w:rFonts w:ascii="Calibri" w:eastAsia="Times New Roman" w:hAnsi="Calibri" w:cs="Calibri"/>
                <w:b/>
                <w:bCs/>
                <w:color w:val="000000"/>
                <w:sz w:val="20"/>
                <w:szCs w:val="20"/>
              </w:rPr>
            </w:pPr>
            <w:r w:rsidRPr="001D105D">
              <w:rPr>
                <w:rFonts w:ascii="Calibri" w:eastAsia="Times New Roman" w:hAnsi="Calibri" w:cs="Calibri"/>
                <w:b/>
                <w:bCs/>
                <w:color w:val="000000"/>
                <w:sz w:val="20"/>
                <w:szCs w:val="20"/>
              </w:rPr>
              <w:t>2020</w:t>
            </w:r>
          </w:p>
        </w:tc>
        <w:tc>
          <w:tcPr>
            <w:tcW w:w="948" w:type="dxa"/>
            <w:shd w:val="clear" w:color="auto" w:fill="BFBFBF" w:themeFill="background1" w:themeFillShade="BF"/>
            <w:noWrap/>
            <w:vAlign w:val="center"/>
            <w:hideMark/>
          </w:tcPr>
          <w:p w14:paraId="22E1693E" w14:textId="77777777" w:rsidR="00181277" w:rsidRPr="001D105D" w:rsidRDefault="00181277" w:rsidP="00215563">
            <w:pPr>
              <w:spacing w:after="0"/>
              <w:jc w:val="center"/>
              <w:rPr>
                <w:rFonts w:ascii="Calibri" w:eastAsia="Times New Roman" w:hAnsi="Calibri" w:cs="Calibri"/>
                <w:b/>
                <w:bCs/>
                <w:color w:val="000000"/>
                <w:sz w:val="20"/>
                <w:szCs w:val="20"/>
              </w:rPr>
            </w:pPr>
            <w:r w:rsidRPr="001D105D">
              <w:rPr>
                <w:rFonts w:ascii="Calibri" w:eastAsia="Times New Roman" w:hAnsi="Calibri" w:cs="Calibri"/>
                <w:b/>
                <w:bCs/>
                <w:color w:val="000000"/>
                <w:sz w:val="20"/>
                <w:szCs w:val="20"/>
              </w:rPr>
              <w:t>Total</w:t>
            </w:r>
          </w:p>
        </w:tc>
      </w:tr>
      <w:tr w:rsidR="00735033" w:rsidRPr="001D105D" w14:paraId="4F72231A" w14:textId="77777777" w:rsidTr="00511D6E">
        <w:trPr>
          <w:trHeight w:val="289"/>
        </w:trPr>
        <w:tc>
          <w:tcPr>
            <w:tcW w:w="1743" w:type="dxa"/>
            <w:shd w:val="clear" w:color="auto" w:fill="FFFFFF" w:themeFill="background1"/>
            <w:noWrap/>
            <w:vAlign w:val="center"/>
            <w:hideMark/>
          </w:tcPr>
          <w:p w14:paraId="5B247E53" w14:textId="77777777" w:rsidR="00181277" w:rsidRPr="001D105D" w:rsidRDefault="00181277" w:rsidP="00215563">
            <w:pPr>
              <w:spacing w:after="0"/>
              <w:rPr>
                <w:rFonts w:ascii="Calibri" w:eastAsia="Times New Roman" w:hAnsi="Calibri" w:cs="Calibri"/>
                <w:b/>
                <w:bCs/>
                <w:color w:val="000000"/>
                <w:sz w:val="20"/>
                <w:szCs w:val="20"/>
              </w:rPr>
            </w:pPr>
            <w:r w:rsidRPr="001D105D">
              <w:rPr>
                <w:rFonts w:ascii="Calibri" w:eastAsia="Times New Roman" w:hAnsi="Calibri" w:cs="Calibri"/>
                <w:b/>
                <w:bCs/>
                <w:color w:val="000000"/>
                <w:sz w:val="20"/>
                <w:szCs w:val="20"/>
              </w:rPr>
              <w:t>Guanfacine</w:t>
            </w:r>
          </w:p>
        </w:tc>
        <w:tc>
          <w:tcPr>
            <w:tcW w:w="810" w:type="dxa"/>
            <w:shd w:val="clear" w:color="auto" w:fill="FFFFFF" w:themeFill="background1"/>
            <w:noWrap/>
            <w:vAlign w:val="bottom"/>
          </w:tcPr>
          <w:p w14:paraId="220F1F21" w14:textId="0D976A8D" w:rsidR="00181277" w:rsidRPr="001D105D" w:rsidRDefault="00181277" w:rsidP="00215563">
            <w:pPr>
              <w:spacing w:after="0"/>
              <w:jc w:val="center"/>
              <w:rPr>
                <w:rFonts w:ascii="Calibri" w:eastAsia="Times New Roman" w:hAnsi="Calibri" w:cs="Calibri"/>
                <w:color w:val="000000"/>
                <w:sz w:val="18"/>
                <w:szCs w:val="18"/>
              </w:rPr>
            </w:pPr>
          </w:p>
        </w:tc>
        <w:tc>
          <w:tcPr>
            <w:tcW w:w="810" w:type="dxa"/>
            <w:shd w:val="clear" w:color="auto" w:fill="FFFFFF" w:themeFill="background1"/>
            <w:noWrap/>
            <w:vAlign w:val="bottom"/>
          </w:tcPr>
          <w:p w14:paraId="3929FAD2" w14:textId="1E250758" w:rsidR="00181277" w:rsidRPr="001D105D" w:rsidRDefault="00181277" w:rsidP="00215563">
            <w:pPr>
              <w:spacing w:after="0"/>
              <w:jc w:val="center"/>
              <w:rPr>
                <w:rFonts w:ascii="Calibri" w:eastAsia="Times New Roman" w:hAnsi="Calibri" w:cs="Calibri"/>
                <w:color w:val="000000"/>
                <w:sz w:val="18"/>
                <w:szCs w:val="18"/>
              </w:rPr>
            </w:pPr>
          </w:p>
        </w:tc>
        <w:tc>
          <w:tcPr>
            <w:tcW w:w="810" w:type="dxa"/>
            <w:shd w:val="clear" w:color="auto" w:fill="FFFFFF" w:themeFill="background1"/>
            <w:noWrap/>
            <w:vAlign w:val="bottom"/>
          </w:tcPr>
          <w:p w14:paraId="1A882F38" w14:textId="2741B0B6" w:rsidR="00181277" w:rsidRPr="001D105D" w:rsidRDefault="00181277" w:rsidP="00215563">
            <w:pPr>
              <w:spacing w:after="0"/>
              <w:jc w:val="center"/>
              <w:rPr>
                <w:rFonts w:ascii="Calibri" w:eastAsia="Times New Roman" w:hAnsi="Calibri" w:cs="Calibri"/>
                <w:color w:val="000000"/>
                <w:sz w:val="18"/>
                <w:szCs w:val="18"/>
              </w:rPr>
            </w:pPr>
          </w:p>
        </w:tc>
        <w:tc>
          <w:tcPr>
            <w:tcW w:w="948" w:type="dxa"/>
            <w:shd w:val="clear" w:color="auto" w:fill="FFFFFF" w:themeFill="background1"/>
            <w:noWrap/>
            <w:vAlign w:val="bottom"/>
          </w:tcPr>
          <w:p w14:paraId="75884484" w14:textId="201380D2" w:rsidR="00181277" w:rsidRPr="001D105D" w:rsidRDefault="00181277" w:rsidP="00215563">
            <w:pPr>
              <w:spacing w:after="0"/>
              <w:jc w:val="center"/>
              <w:rPr>
                <w:rFonts w:ascii="Calibri" w:eastAsia="Times New Roman" w:hAnsi="Calibri" w:cs="Calibri"/>
                <w:color w:val="000000"/>
                <w:sz w:val="18"/>
                <w:szCs w:val="18"/>
              </w:rPr>
            </w:pPr>
          </w:p>
        </w:tc>
        <w:tc>
          <w:tcPr>
            <w:tcW w:w="948" w:type="dxa"/>
            <w:shd w:val="clear" w:color="auto" w:fill="FFFFFF" w:themeFill="background1"/>
            <w:noWrap/>
            <w:vAlign w:val="bottom"/>
          </w:tcPr>
          <w:p w14:paraId="07B97F9B" w14:textId="66E9529F" w:rsidR="00181277" w:rsidRPr="001D105D" w:rsidRDefault="00181277" w:rsidP="00215563">
            <w:pPr>
              <w:spacing w:after="0"/>
              <w:jc w:val="center"/>
              <w:rPr>
                <w:rFonts w:ascii="Calibri" w:eastAsia="Times New Roman" w:hAnsi="Calibri" w:cs="Calibri"/>
                <w:color w:val="000000"/>
                <w:sz w:val="18"/>
                <w:szCs w:val="18"/>
              </w:rPr>
            </w:pPr>
          </w:p>
        </w:tc>
        <w:tc>
          <w:tcPr>
            <w:tcW w:w="948" w:type="dxa"/>
            <w:shd w:val="clear" w:color="auto" w:fill="FFFFFF" w:themeFill="background1"/>
            <w:noWrap/>
            <w:vAlign w:val="center"/>
            <w:hideMark/>
          </w:tcPr>
          <w:p w14:paraId="72611654" w14:textId="77777777" w:rsidR="00181277" w:rsidRPr="001D105D" w:rsidRDefault="00181277" w:rsidP="00215563">
            <w:pPr>
              <w:spacing w:after="0"/>
              <w:jc w:val="center"/>
              <w:rPr>
                <w:rFonts w:ascii="Calibri" w:eastAsia="Times New Roman" w:hAnsi="Calibri" w:cs="Calibri"/>
                <w:color w:val="000000"/>
                <w:sz w:val="18"/>
                <w:szCs w:val="18"/>
              </w:rPr>
            </w:pPr>
            <w:r w:rsidRPr="001D105D">
              <w:rPr>
                <w:rFonts w:ascii="Calibri" w:eastAsia="Times New Roman" w:hAnsi="Calibri" w:cs="Calibri"/>
                <w:color w:val="000000"/>
                <w:sz w:val="18"/>
                <w:szCs w:val="18"/>
              </w:rPr>
              <w:t>10,490</w:t>
            </w:r>
          </w:p>
        </w:tc>
        <w:tc>
          <w:tcPr>
            <w:tcW w:w="948" w:type="dxa"/>
            <w:shd w:val="clear" w:color="auto" w:fill="FFFFFF" w:themeFill="background1"/>
            <w:noWrap/>
            <w:vAlign w:val="center"/>
            <w:hideMark/>
          </w:tcPr>
          <w:p w14:paraId="11A27720" w14:textId="77777777" w:rsidR="00181277" w:rsidRPr="001D105D" w:rsidRDefault="00181277" w:rsidP="00215563">
            <w:pPr>
              <w:spacing w:after="0"/>
              <w:jc w:val="center"/>
              <w:rPr>
                <w:rFonts w:ascii="Calibri" w:eastAsia="Times New Roman" w:hAnsi="Calibri" w:cs="Calibri"/>
                <w:color w:val="000000"/>
                <w:sz w:val="18"/>
                <w:szCs w:val="18"/>
              </w:rPr>
            </w:pPr>
            <w:r w:rsidRPr="001D105D">
              <w:rPr>
                <w:rFonts w:ascii="Calibri" w:eastAsia="Times New Roman" w:hAnsi="Calibri" w:cs="Calibri"/>
                <w:color w:val="000000"/>
                <w:sz w:val="18"/>
                <w:szCs w:val="18"/>
              </w:rPr>
              <w:t>117,409</w:t>
            </w:r>
          </w:p>
        </w:tc>
        <w:tc>
          <w:tcPr>
            <w:tcW w:w="948" w:type="dxa"/>
            <w:shd w:val="clear" w:color="auto" w:fill="FFFFFF" w:themeFill="background1"/>
            <w:noWrap/>
            <w:vAlign w:val="center"/>
            <w:hideMark/>
          </w:tcPr>
          <w:p w14:paraId="20C0BB9A" w14:textId="77777777" w:rsidR="00181277" w:rsidRPr="001D105D" w:rsidRDefault="00181277" w:rsidP="00215563">
            <w:pPr>
              <w:spacing w:after="0"/>
              <w:jc w:val="center"/>
              <w:rPr>
                <w:rFonts w:ascii="Calibri" w:eastAsia="Times New Roman" w:hAnsi="Calibri" w:cs="Calibri"/>
                <w:color w:val="000000"/>
                <w:sz w:val="18"/>
                <w:szCs w:val="18"/>
              </w:rPr>
            </w:pPr>
            <w:r w:rsidRPr="001D105D">
              <w:rPr>
                <w:rFonts w:ascii="Calibri" w:eastAsia="Times New Roman" w:hAnsi="Calibri" w:cs="Calibri"/>
                <w:color w:val="000000"/>
                <w:sz w:val="18"/>
                <w:szCs w:val="18"/>
              </w:rPr>
              <w:t>201,200</w:t>
            </w:r>
          </w:p>
        </w:tc>
        <w:tc>
          <w:tcPr>
            <w:tcW w:w="948" w:type="dxa"/>
            <w:shd w:val="clear" w:color="auto" w:fill="FFFFFF" w:themeFill="background1"/>
            <w:noWrap/>
            <w:vAlign w:val="bottom"/>
            <w:hideMark/>
          </w:tcPr>
          <w:p w14:paraId="1CE9C688" w14:textId="77777777" w:rsidR="00181277" w:rsidRPr="001D105D" w:rsidRDefault="00181277" w:rsidP="00215563">
            <w:pPr>
              <w:spacing w:after="0"/>
              <w:jc w:val="center"/>
              <w:rPr>
                <w:rFonts w:ascii="Calibri" w:eastAsia="Times New Roman" w:hAnsi="Calibri" w:cs="Calibri"/>
                <w:color w:val="000000"/>
                <w:sz w:val="18"/>
                <w:szCs w:val="18"/>
              </w:rPr>
            </w:pPr>
            <w:r w:rsidRPr="001D105D">
              <w:rPr>
                <w:rFonts w:ascii="Calibri" w:eastAsia="Times New Roman" w:hAnsi="Calibri" w:cs="Calibri"/>
                <w:color w:val="000000"/>
                <w:sz w:val="18"/>
                <w:szCs w:val="18"/>
              </w:rPr>
              <w:t>329,099</w:t>
            </w:r>
          </w:p>
        </w:tc>
      </w:tr>
      <w:tr w:rsidR="00735033" w:rsidRPr="001D105D" w14:paraId="1DC6FD81" w14:textId="77777777" w:rsidTr="00511D6E">
        <w:trPr>
          <w:trHeight w:val="289"/>
        </w:trPr>
        <w:tc>
          <w:tcPr>
            <w:tcW w:w="1743" w:type="dxa"/>
            <w:shd w:val="clear" w:color="auto" w:fill="FFFFFF" w:themeFill="background1"/>
            <w:noWrap/>
            <w:vAlign w:val="center"/>
            <w:hideMark/>
          </w:tcPr>
          <w:p w14:paraId="68B97229" w14:textId="77777777" w:rsidR="00181277" w:rsidRPr="001D105D" w:rsidRDefault="00181277" w:rsidP="00215563">
            <w:pPr>
              <w:spacing w:after="0"/>
              <w:rPr>
                <w:rFonts w:ascii="Calibri" w:eastAsia="Times New Roman" w:hAnsi="Calibri" w:cs="Calibri"/>
                <w:b/>
                <w:bCs/>
                <w:color w:val="000000"/>
                <w:sz w:val="20"/>
                <w:szCs w:val="20"/>
              </w:rPr>
            </w:pPr>
            <w:r w:rsidRPr="001D105D">
              <w:rPr>
                <w:rFonts w:ascii="Calibri" w:eastAsia="Times New Roman" w:hAnsi="Calibri" w:cs="Calibri"/>
                <w:b/>
                <w:bCs/>
                <w:color w:val="000000"/>
                <w:sz w:val="20"/>
                <w:szCs w:val="20"/>
              </w:rPr>
              <w:t>Atomoxetine</w:t>
            </w:r>
          </w:p>
        </w:tc>
        <w:tc>
          <w:tcPr>
            <w:tcW w:w="810" w:type="dxa"/>
            <w:shd w:val="clear" w:color="auto" w:fill="FFFFFF" w:themeFill="background1"/>
            <w:noWrap/>
            <w:vAlign w:val="center"/>
            <w:hideMark/>
          </w:tcPr>
          <w:p w14:paraId="2D5D874E" w14:textId="77777777" w:rsidR="00181277" w:rsidRPr="001D105D" w:rsidRDefault="00181277" w:rsidP="00215563">
            <w:pPr>
              <w:spacing w:after="0"/>
              <w:jc w:val="center"/>
              <w:rPr>
                <w:rFonts w:ascii="Calibri" w:eastAsia="Times New Roman" w:hAnsi="Calibri" w:cs="Calibri"/>
                <w:color w:val="000000"/>
                <w:sz w:val="18"/>
                <w:szCs w:val="18"/>
              </w:rPr>
            </w:pPr>
            <w:r w:rsidRPr="001D105D">
              <w:rPr>
                <w:rFonts w:ascii="Calibri" w:eastAsia="Times New Roman" w:hAnsi="Calibri" w:cs="Calibri"/>
                <w:color w:val="000000"/>
                <w:sz w:val="18"/>
                <w:szCs w:val="18"/>
              </w:rPr>
              <w:t>38,010</w:t>
            </w:r>
          </w:p>
        </w:tc>
        <w:tc>
          <w:tcPr>
            <w:tcW w:w="810" w:type="dxa"/>
            <w:shd w:val="clear" w:color="auto" w:fill="FFFFFF" w:themeFill="background1"/>
            <w:noWrap/>
            <w:vAlign w:val="center"/>
            <w:hideMark/>
          </w:tcPr>
          <w:p w14:paraId="781C9133" w14:textId="77777777" w:rsidR="00181277" w:rsidRPr="001D105D" w:rsidRDefault="00181277" w:rsidP="00215563">
            <w:pPr>
              <w:spacing w:after="0"/>
              <w:jc w:val="center"/>
              <w:rPr>
                <w:rFonts w:ascii="Calibri" w:eastAsia="Times New Roman" w:hAnsi="Calibri" w:cs="Calibri"/>
                <w:color w:val="000000"/>
                <w:sz w:val="18"/>
                <w:szCs w:val="18"/>
              </w:rPr>
            </w:pPr>
            <w:r w:rsidRPr="001D105D">
              <w:rPr>
                <w:rFonts w:ascii="Calibri" w:eastAsia="Times New Roman" w:hAnsi="Calibri" w:cs="Calibri"/>
                <w:color w:val="000000"/>
                <w:sz w:val="18"/>
                <w:szCs w:val="18"/>
              </w:rPr>
              <w:t>39,169</w:t>
            </w:r>
          </w:p>
        </w:tc>
        <w:tc>
          <w:tcPr>
            <w:tcW w:w="810" w:type="dxa"/>
            <w:shd w:val="clear" w:color="auto" w:fill="FFFFFF" w:themeFill="background1"/>
            <w:noWrap/>
            <w:vAlign w:val="center"/>
            <w:hideMark/>
          </w:tcPr>
          <w:p w14:paraId="7AFB57DF" w14:textId="77777777" w:rsidR="00181277" w:rsidRPr="001D105D" w:rsidRDefault="00181277" w:rsidP="00215563">
            <w:pPr>
              <w:spacing w:after="0"/>
              <w:jc w:val="center"/>
              <w:rPr>
                <w:rFonts w:ascii="Calibri" w:eastAsia="Times New Roman" w:hAnsi="Calibri" w:cs="Calibri"/>
                <w:color w:val="000000"/>
                <w:sz w:val="18"/>
                <w:szCs w:val="18"/>
              </w:rPr>
            </w:pPr>
            <w:r w:rsidRPr="001D105D">
              <w:rPr>
                <w:rFonts w:ascii="Calibri" w:eastAsia="Times New Roman" w:hAnsi="Calibri" w:cs="Calibri"/>
                <w:color w:val="000000"/>
                <w:sz w:val="18"/>
                <w:szCs w:val="18"/>
              </w:rPr>
              <w:t>43,404</w:t>
            </w:r>
          </w:p>
        </w:tc>
        <w:tc>
          <w:tcPr>
            <w:tcW w:w="948" w:type="dxa"/>
            <w:shd w:val="clear" w:color="auto" w:fill="FFFFFF" w:themeFill="background1"/>
            <w:noWrap/>
            <w:vAlign w:val="center"/>
            <w:hideMark/>
          </w:tcPr>
          <w:p w14:paraId="1766FA14" w14:textId="77777777" w:rsidR="00181277" w:rsidRPr="001D105D" w:rsidRDefault="00181277" w:rsidP="00215563">
            <w:pPr>
              <w:spacing w:after="0"/>
              <w:jc w:val="center"/>
              <w:rPr>
                <w:rFonts w:ascii="Calibri" w:eastAsia="Times New Roman" w:hAnsi="Calibri" w:cs="Calibri"/>
                <w:color w:val="000000"/>
                <w:sz w:val="18"/>
                <w:szCs w:val="18"/>
              </w:rPr>
            </w:pPr>
            <w:r w:rsidRPr="001D105D">
              <w:rPr>
                <w:rFonts w:ascii="Calibri" w:eastAsia="Times New Roman" w:hAnsi="Calibri" w:cs="Calibri"/>
                <w:color w:val="000000"/>
                <w:sz w:val="18"/>
                <w:szCs w:val="18"/>
              </w:rPr>
              <w:t>46,811</w:t>
            </w:r>
          </w:p>
        </w:tc>
        <w:tc>
          <w:tcPr>
            <w:tcW w:w="948" w:type="dxa"/>
            <w:shd w:val="clear" w:color="auto" w:fill="FFFFFF" w:themeFill="background1"/>
            <w:noWrap/>
            <w:vAlign w:val="center"/>
            <w:hideMark/>
          </w:tcPr>
          <w:p w14:paraId="649492AD" w14:textId="77777777" w:rsidR="00181277" w:rsidRPr="001D105D" w:rsidRDefault="00181277" w:rsidP="00215563">
            <w:pPr>
              <w:spacing w:after="0"/>
              <w:jc w:val="center"/>
              <w:rPr>
                <w:rFonts w:ascii="Calibri" w:eastAsia="Times New Roman" w:hAnsi="Calibri" w:cs="Calibri"/>
                <w:color w:val="000000"/>
                <w:sz w:val="18"/>
                <w:szCs w:val="18"/>
              </w:rPr>
            </w:pPr>
            <w:r w:rsidRPr="001D105D">
              <w:rPr>
                <w:rFonts w:ascii="Calibri" w:eastAsia="Times New Roman" w:hAnsi="Calibri" w:cs="Calibri"/>
                <w:color w:val="000000"/>
                <w:sz w:val="18"/>
                <w:szCs w:val="18"/>
              </w:rPr>
              <w:t>51,697</w:t>
            </w:r>
          </w:p>
        </w:tc>
        <w:tc>
          <w:tcPr>
            <w:tcW w:w="948" w:type="dxa"/>
            <w:shd w:val="clear" w:color="auto" w:fill="FFFFFF" w:themeFill="background1"/>
            <w:noWrap/>
            <w:vAlign w:val="center"/>
            <w:hideMark/>
          </w:tcPr>
          <w:p w14:paraId="32CBE6A4" w14:textId="77777777" w:rsidR="00181277" w:rsidRPr="001D105D" w:rsidRDefault="00181277" w:rsidP="00215563">
            <w:pPr>
              <w:spacing w:after="0"/>
              <w:jc w:val="center"/>
              <w:rPr>
                <w:rFonts w:ascii="Calibri" w:eastAsia="Times New Roman" w:hAnsi="Calibri" w:cs="Calibri"/>
                <w:color w:val="000000"/>
                <w:sz w:val="18"/>
                <w:szCs w:val="18"/>
              </w:rPr>
            </w:pPr>
            <w:r w:rsidRPr="001D105D">
              <w:rPr>
                <w:rFonts w:ascii="Calibri" w:eastAsia="Times New Roman" w:hAnsi="Calibri" w:cs="Calibri"/>
                <w:color w:val="000000"/>
                <w:sz w:val="18"/>
                <w:szCs w:val="18"/>
              </w:rPr>
              <w:t>54,779</w:t>
            </w:r>
          </w:p>
        </w:tc>
        <w:tc>
          <w:tcPr>
            <w:tcW w:w="948" w:type="dxa"/>
            <w:shd w:val="clear" w:color="auto" w:fill="FFFFFF" w:themeFill="background1"/>
            <w:noWrap/>
            <w:vAlign w:val="center"/>
            <w:hideMark/>
          </w:tcPr>
          <w:p w14:paraId="535BFBB7" w14:textId="77777777" w:rsidR="00181277" w:rsidRPr="001D105D" w:rsidRDefault="00181277" w:rsidP="00215563">
            <w:pPr>
              <w:spacing w:after="0"/>
              <w:jc w:val="center"/>
              <w:rPr>
                <w:rFonts w:ascii="Calibri" w:eastAsia="Times New Roman" w:hAnsi="Calibri" w:cs="Calibri"/>
                <w:color w:val="000000"/>
                <w:sz w:val="18"/>
                <w:szCs w:val="18"/>
              </w:rPr>
            </w:pPr>
            <w:r w:rsidRPr="001D105D">
              <w:rPr>
                <w:rFonts w:ascii="Calibri" w:eastAsia="Times New Roman" w:hAnsi="Calibri" w:cs="Calibri"/>
                <w:color w:val="000000"/>
                <w:sz w:val="18"/>
                <w:szCs w:val="18"/>
              </w:rPr>
              <w:t>55,524</w:t>
            </w:r>
          </w:p>
        </w:tc>
        <w:tc>
          <w:tcPr>
            <w:tcW w:w="948" w:type="dxa"/>
            <w:shd w:val="clear" w:color="auto" w:fill="FFFFFF" w:themeFill="background1"/>
            <w:noWrap/>
            <w:vAlign w:val="center"/>
            <w:hideMark/>
          </w:tcPr>
          <w:p w14:paraId="0AD48907" w14:textId="77777777" w:rsidR="00181277" w:rsidRPr="001D105D" w:rsidRDefault="00181277" w:rsidP="00215563">
            <w:pPr>
              <w:spacing w:after="0"/>
              <w:jc w:val="center"/>
              <w:rPr>
                <w:rFonts w:ascii="Calibri" w:eastAsia="Times New Roman" w:hAnsi="Calibri" w:cs="Calibri"/>
                <w:color w:val="000000"/>
                <w:sz w:val="18"/>
                <w:szCs w:val="18"/>
              </w:rPr>
            </w:pPr>
            <w:r w:rsidRPr="001D105D">
              <w:rPr>
                <w:rFonts w:ascii="Calibri" w:eastAsia="Times New Roman" w:hAnsi="Calibri" w:cs="Calibri"/>
                <w:color w:val="000000"/>
                <w:sz w:val="18"/>
                <w:szCs w:val="18"/>
              </w:rPr>
              <w:t>59,649</w:t>
            </w:r>
          </w:p>
        </w:tc>
        <w:tc>
          <w:tcPr>
            <w:tcW w:w="948" w:type="dxa"/>
            <w:shd w:val="clear" w:color="auto" w:fill="FFFFFF" w:themeFill="background1"/>
            <w:noWrap/>
            <w:vAlign w:val="bottom"/>
            <w:hideMark/>
          </w:tcPr>
          <w:p w14:paraId="16999A73" w14:textId="77777777" w:rsidR="00181277" w:rsidRPr="001D105D" w:rsidRDefault="00181277" w:rsidP="00215563">
            <w:pPr>
              <w:spacing w:after="0"/>
              <w:jc w:val="center"/>
              <w:rPr>
                <w:rFonts w:ascii="Calibri" w:eastAsia="Times New Roman" w:hAnsi="Calibri" w:cs="Calibri"/>
                <w:color w:val="000000"/>
                <w:sz w:val="18"/>
                <w:szCs w:val="18"/>
              </w:rPr>
            </w:pPr>
            <w:r w:rsidRPr="001D105D">
              <w:rPr>
                <w:rFonts w:ascii="Calibri" w:eastAsia="Times New Roman" w:hAnsi="Calibri" w:cs="Calibri"/>
                <w:color w:val="000000"/>
                <w:sz w:val="18"/>
                <w:szCs w:val="18"/>
              </w:rPr>
              <w:t>389,043</w:t>
            </w:r>
          </w:p>
        </w:tc>
      </w:tr>
      <w:tr w:rsidR="00735033" w:rsidRPr="001D105D" w14:paraId="1A13F0F4" w14:textId="77777777" w:rsidTr="00511D6E">
        <w:trPr>
          <w:trHeight w:val="289"/>
        </w:trPr>
        <w:tc>
          <w:tcPr>
            <w:tcW w:w="1743" w:type="dxa"/>
            <w:shd w:val="clear" w:color="auto" w:fill="FFFFFF" w:themeFill="background1"/>
            <w:noWrap/>
            <w:vAlign w:val="center"/>
            <w:hideMark/>
          </w:tcPr>
          <w:p w14:paraId="75F7FB87" w14:textId="77777777" w:rsidR="00181277" w:rsidRPr="001D105D" w:rsidRDefault="00181277" w:rsidP="00215563">
            <w:pPr>
              <w:spacing w:after="0"/>
              <w:rPr>
                <w:rFonts w:ascii="Calibri" w:eastAsia="Times New Roman" w:hAnsi="Calibri" w:cs="Calibri"/>
                <w:b/>
                <w:bCs/>
                <w:color w:val="000000"/>
                <w:sz w:val="20"/>
                <w:szCs w:val="20"/>
              </w:rPr>
            </w:pPr>
            <w:proofErr w:type="spellStart"/>
            <w:r w:rsidRPr="001D105D">
              <w:rPr>
                <w:rFonts w:ascii="Calibri" w:eastAsia="Times New Roman" w:hAnsi="Calibri" w:cs="Calibri"/>
                <w:b/>
                <w:bCs/>
                <w:color w:val="000000"/>
                <w:sz w:val="20"/>
                <w:szCs w:val="20"/>
              </w:rPr>
              <w:t>Lisdexamfetamine</w:t>
            </w:r>
            <w:proofErr w:type="spellEnd"/>
          </w:p>
        </w:tc>
        <w:tc>
          <w:tcPr>
            <w:tcW w:w="810" w:type="dxa"/>
            <w:shd w:val="clear" w:color="auto" w:fill="FFFFFF" w:themeFill="background1"/>
            <w:noWrap/>
            <w:vAlign w:val="bottom"/>
          </w:tcPr>
          <w:p w14:paraId="457956B0" w14:textId="666F877C" w:rsidR="00181277" w:rsidRPr="001D105D" w:rsidRDefault="00181277" w:rsidP="00215563">
            <w:pPr>
              <w:spacing w:after="0"/>
              <w:jc w:val="center"/>
              <w:rPr>
                <w:rFonts w:ascii="Calibri" w:eastAsia="Times New Roman" w:hAnsi="Calibri" w:cs="Calibri"/>
                <w:color w:val="000000"/>
                <w:sz w:val="18"/>
                <w:szCs w:val="18"/>
              </w:rPr>
            </w:pPr>
          </w:p>
        </w:tc>
        <w:tc>
          <w:tcPr>
            <w:tcW w:w="810" w:type="dxa"/>
            <w:shd w:val="clear" w:color="auto" w:fill="FFFFFF" w:themeFill="background1"/>
            <w:noWrap/>
            <w:vAlign w:val="bottom"/>
          </w:tcPr>
          <w:p w14:paraId="5AFF8676" w14:textId="21FF9E7B" w:rsidR="00181277" w:rsidRPr="001D105D" w:rsidRDefault="00181277" w:rsidP="00215563">
            <w:pPr>
              <w:spacing w:after="0"/>
              <w:jc w:val="center"/>
              <w:rPr>
                <w:rFonts w:ascii="Calibri" w:eastAsia="Times New Roman" w:hAnsi="Calibri" w:cs="Calibri"/>
                <w:color w:val="000000"/>
                <w:sz w:val="18"/>
                <w:szCs w:val="18"/>
              </w:rPr>
            </w:pPr>
          </w:p>
        </w:tc>
        <w:tc>
          <w:tcPr>
            <w:tcW w:w="810" w:type="dxa"/>
            <w:shd w:val="clear" w:color="auto" w:fill="FFFFFF" w:themeFill="background1"/>
            <w:noWrap/>
            <w:vAlign w:val="center"/>
            <w:hideMark/>
          </w:tcPr>
          <w:p w14:paraId="17D6459F" w14:textId="77777777" w:rsidR="00181277" w:rsidRPr="001D105D" w:rsidRDefault="00181277" w:rsidP="00215563">
            <w:pPr>
              <w:spacing w:after="0"/>
              <w:jc w:val="center"/>
              <w:rPr>
                <w:rFonts w:ascii="Calibri" w:eastAsia="Times New Roman" w:hAnsi="Calibri" w:cs="Calibri"/>
                <w:color w:val="000000"/>
                <w:sz w:val="18"/>
                <w:szCs w:val="18"/>
              </w:rPr>
            </w:pPr>
            <w:r w:rsidRPr="001D105D">
              <w:rPr>
                <w:rFonts w:ascii="Calibri" w:eastAsia="Times New Roman" w:hAnsi="Calibri" w:cs="Calibri"/>
                <w:color w:val="000000"/>
                <w:sz w:val="18"/>
                <w:szCs w:val="18"/>
              </w:rPr>
              <w:t>17,635</w:t>
            </w:r>
          </w:p>
        </w:tc>
        <w:tc>
          <w:tcPr>
            <w:tcW w:w="948" w:type="dxa"/>
            <w:shd w:val="clear" w:color="auto" w:fill="FFFFFF" w:themeFill="background1"/>
            <w:noWrap/>
            <w:vAlign w:val="center"/>
            <w:hideMark/>
          </w:tcPr>
          <w:p w14:paraId="123995B1" w14:textId="77777777" w:rsidR="00181277" w:rsidRPr="001D105D" w:rsidRDefault="00181277" w:rsidP="00215563">
            <w:pPr>
              <w:spacing w:after="0"/>
              <w:jc w:val="center"/>
              <w:rPr>
                <w:rFonts w:ascii="Calibri" w:eastAsia="Times New Roman" w:hAnsi="Calibri" w:cs="Calibri"/>
                <w:color w:val="000000"/>
                <w:sz w:val="18"/>
                <w:szCs w:val="18"/>
              </w:rPr>
            </w:pPr>
            <w:r w:rsidRPr="001D105D">
              <w:rPr>
                <w:rFonts w:ascii="Calibri" w:eastAsia="Times New Roman" w:hAnsi="Calibri" w:cs="Calibri"/>
                <w:color w:val="000000"/>
                <w:sz w:val="18"/>
                <w:szCs w:val="18"/>
              </w:rPr>
              <w:t>111,438</w:t>
            </w:r>
          </w:p>
        </w:tc>
        <w:tc>
          <w:tcPr>
            <w:tcW w:w="948" w:type="dxa"/>
            <w:shd w:val="clear" w:color="auto" w:fill="FFFFFF" w:themeFill="background1"/>
            <w:noWrap/>
            <w:vAlign w:val="center"/>
            <w:hideMark/>
          </w:tcPr>
          <w:p w14:paraId="4630723B" w14:textId="77777777" w:rsidR="00181277" w:rsidRPr="001D105D" w:rsidRDefault="00181277" w:rsidP="00215563">
            <w:pPr>
              <w:spacing w:after="0"/>
              <w:jc w:val="center"/>
              <w:rPr>
                <w:rFonts w:ascii="Calibri" w:eastAsia="Times New Roman" w:hAnsi="Calibri" w:cs="Calibri"/>
                <w:color w:val="000000"/>
                <w:sz w:val="18"/>
                <w:szCs w:val="18"/>
              </w:rPr>
            </w:pPr>
            <w:r w:rsidRPr="001D105D">
              <w:rPr>
                <w:rFonts w:ascii="Calibri" w:eastAsia="Times New Roman" w:hAnsi="Calibri" w:cs="Calibri"/>
                <w:color w:val="000000"/>
                <w:sz w:val="18"/>
                <w:szCs w:val="18"/>
              </w:rPr>
              <w:t>178,853</w:t>
            </w:r>
          </w:p>
        </w:tc>
        <w:tc>
          <w:tcPr>
            <w:tcW w:w="948" w:type="dxa"/>
            <w:shd w:val="clear" w:color="auto" w:fill="FFFFFF" w:themeFill="background1"/>
            <w:noWrap/>
            <w:vAlign w:val="center"/>
            <w:hideMark/>
          </w:tcPr>
          <w:p w14:paraId="4B9B0D7C" w14:textId="77777777" w:rsidR="00181277" w:rsidRPr="001D105D" w:rsidRDefault="00181277" w:rsidP="00215563">
            <w:pPr>
              <w:spacing w:after="0"/>
              <w:jc w:val="center"/>
              <w:rPr>
                <w:rFonts w:ascii="Calibri" w:eastAsia="Times New Roman" w:hAnsi="Calibri" w:cs="Calibri"/>
                <w:color w:val="000000"/>
                <w:sz w:val="18"/>
                <w:szCs w:val="18"/>
              </w:rPr>
            </w:pPr>
            <w:r w:rsidRPr="001D105D">
              <w:rPr>
                <w:rFonts w:ascii="Calibri" w:eastAsia="Times New Roman" w:hAnsi="Calibri" w:cs="Calibri"/>
                <w:color w:val="000000"/>
                <w:sz w:val="18"/>
                <w:szCs w:val="18"/>
              </w:rPr>
              <w:t>243,491</w:t>
            </w:r>
          </w:p>
        </w:tc>
        <w:tc>
          <w:tcPr>
            <w:tcW w:w="948" w:type="dxa"/>
            <w:shd w:val="clear" w:color="auto" w:fill="FFFFFF" w:themeFill="background1"/>
            <w:noWrap/>
            <w:vAlign w:val="center"/>
            <w:hideMark/>
          </w:tcPr>
          <w:p w14:paraId="166135E6" w14:textId="77777777" w:rsidR="00181277" w:rsidRPr="001D105D" w:rsidRDefault="00181277" w:rsidP="00215563">
            <w:pPr>
              <w:spacing w:after="0"/>
              <w:jc w:val="center"/>
              <w:rPr>
                <w:rFonts w:ascii="Calibri" w:eastAsia="Times New Roman" w:hAnsi="Calibri" w:cs="Calibri"/>
                <w:color w:val="000000"/>
                <w:sz w:val="18"/>
                <w:szCs w:val="18"/>
              </w:rPr>
            </w:pPr>
            <w:r w:rsidRPr="001D105D">
              <w:rPr>
                <w:rFonts w:ascii="Calibri" w:eastAsia="Times New Roman" w:hAnsi="Calibri" w:cs="Calibri"/>
                <w:color w:val="000000"/>
                <w:sz w:val="18"/>
                <w:szCs w:val="18"/>
              </w:rPr>
              <w:t>303,277</w:t>
            </w:r>
          </w:p>
        </w:tc>
        <w:tc>
          <w:tcPr>
            <w:tcW w:w="948" w:type="dxa"/>
            <w:shd w:val="clear" w:color="auto" w:fill="FFFFFF" w:themeFill="background1"/>
            <w:noWrap/>
            <w:vAlign w:val="center"/>
            <w:hideMark/>
          </w:tcPr>
          <w:p w14:paraId="2A5D88F4" w14:textId="77777777" w:rsidR="00181277" w:rsidRPr="001D105D" w:rsidRDefault="00181277" w:rsidP="00215563">
            <w:pPr>
              <w:spacing w:after="0"/>
              <w:jc w:val="center"/>
              <w:rPr>
                <w:rFonts w:ascii="Calibri" w:eastAsia="Times New Roman" w:hAnsi="Calibri" w:cs="Calibri"/>
                <w:color w:val="000000"/>
                <w:sz w:val="18"/>
                <w:szCs w:val="18"/>
              </w:rPr>
            </w:pPr>
            <w:r w:rsidRPr="001D105D">
              <w:rPr>
                <w:rFonts w:ascii="Calibri" w:eastAsia="Times New Roman" w:hAnsi="Calibri" w:cs="Calibri"/>
                <w:color w:val="000000"/>
                <w:sz w:val="18"/>
                <w:szCs w:val="18"/>
              </w:rPr>
              <w:t>378,237</w:t>
            </w:r>
          </w:p>
        </w:tc>
        <w:tc>
          <w:tcPr>
            <w:tcW w:w="948" w:type="dxa"/>
            <w:shd w:val="clear" w:color="auto" w:fill="FFFFFF" w:themeFill="background1"/>
            <w:noWrap/>
            <w:vAlign w:val="bottom"/>
            <w:hideMark/>
          </w:tcPr>
          <w:p w14:paraId="615BCEA8" w14:textId="77777777" w:rsidR="00181277" w:rsidRPr="001D105D" w:rsidRDefault="00181277" w:rsidP="00215563">
            <w:pPr>
              <w:spacing w:after="0"/>
              <w:jc w:val="center"/>
              <w:rPr>
                <w:rFonts w:ascii="Calibri" w:eastAsia="Times New Roman" w:hAnsi="Calibri" w:cs="Calibri"/>
                <w:color w:val="000000"/>
                <w:sz w:val="18"/>
                <w:szCs w:val="18"/>
              </w:rPr>
            </w:pPr>
            <w:r w:rsidRPr="001D105D">
              <w:rPr>
                <w:rFonts w:ascii="Calibri" w:eastAsia="Times New Roman" w:hAnsi="Calibri" w:cs="Calibri"/>
                <w:color w:val="000000"/>
                <w:sz w:val="18"/>
                <w:szCs w:val="18"/>
              </w:rPr>
              <w:t>1,232,931</w:t>
            </w:r>
          </w:p>
        </w:tc>
      </w:tr>
      <w:tr w:rsidR="00735033" w:rsidRPr="001D105D" w14:paraId="24F27D9C" w14:textId="77777777" w:rsidTr="00511D6E">
        <w:trPr>
          <w:trHeight w:val="289"/>
        </w:trPr>
        <w:tc>
          <w:tcPr>
            <w:tcW w:w="1743" w:type="dxa"/>
            <w:shd w:val="clear" w:color="auto" w:fill="FFFFFF" w:themeFill="background1"/>
            <w:noWrap/>
            <w:vAlign w:val="center"/>
            <w:hideMark/>
          </w:tcPr>
          <w:p w14:paraId="0A0F8607" w14:textId="77777777" w:rsidR="00181277" w:rsidRPr="001D105D" w:rsidRDefault="00181277" w:rsidP="00215563">
            <w:pPr>
              <w:spacing w:after="0"/>
              <w:rPr>
                <w:rFonts w:ascii="Calibri" w:eastAsia="Times New Roman" w:hAnsi="Calibri" w:cs="Calibri"/>
                <w:b/>
                <w:bCs/>
                <w:color w:val="000000"/>
                <w:sz w:val="20"/>
                <w:szCs w:val="20"/>
              </w:rPr>
            </w:pPr>
            <w:r w:rsidRPr="001D105D">
              <w:rPr>
                <w:rFonts w:ascii="Calibri" w:eastAsia="Times New Roman" w:hAnsi="Calibri" w:cs="Calibri"/>
                <w:b/>
                <w:bCs/>
                <w:color w:val="000000"/>
                <w:sz w:val="20"/>
                <w:szCs w:val="20"/>
              </w:rPr>
              <w:t>MPH-IR</w:t>
            </w:r>
          </w:p>
        </w:tc>
        <w:tc>
          <w:tcPr>
            <w:tcW w:w="810" w:type="dxa"/>
            <w:shd w:val="clear" w:color="auto" w:fill="FFFFFF" w:themeFill="background1"/>
            <w:noWrap/>
            <w:vAlign w:val="center"/>
            <w:hideMark/>
          </w:tcPr>
          <w:p w14:paraId="109575AA" w14:textId="77777777" w:rsidR="00181277" w:rsidRPr="001D105D" w:rsidRDefault="00181277" w:rsidP="00215563">
            <w:pPr>
              <w:spacing w:after="0"/>
              <w:jc w:val="center"/>
              <w:rPr>
                <w:rFonts w:ascii="Calibri" w:eastAsia="Times New Roman" w:hAnsi="Calibri" w:cs="Calibri"/>
                <w:color w:val="000000"/>
                <w:sz w:val="18"/>
                <w:szCs w:val="18"/>
              </w:rPr>
            </w:pPr>
            <w:r w:rsidRPr="001D105D">
              <w:rPr>
                <w:rFonts w:ascii="Calibri" w:eastAsia="Times New Roman" w:hAnsi="Calibri" w:cs="Calibri"/>
                <w:color w:val="000000"/>
                <w:sz w:val="18"/>
                <w:szCs w:val="18"/>
              </w:rPr>
              <w:t>145,479</w:t>
            </w:r>
          </w:p>
        </w:tc>
        <w:tc>
          <w:tcPr>
            <w:tcW w:w="810" w:type="dxa"/>
            <w:shd w:val="clear" w:color="auto" w:fill="FFFFFF" w:themeFill="background1"/>
            <w:noWrap/>
            <w:vAlign w:val="center"/>
            <w:hideMark/>
          </w:tcPr>
          <w:p w14:paraId="50CFBA4C" w14:textId="77777777" w:rsidR="00181277" w:rsidRPr="001D105D" w:rsidRDefault="00181277" w:rsidP="00215563">
            <w:pPr>
              <w:spacing w:after="0"/>
              <w:jc w:val="center"/>
              <w:rPr>
                <w:rFonts w:ascii="Calibri" w:eastAsia="Times New Roman" w:hAnsi="Calibri" w:cs="Calibri"/>
                <w:color w:val="000000"/>
                <w:sz w:val="18"/>
                <w:szCs w:val="18"/>
              </w:rPr>
            </w:pPr>
            <w:r w:rsidRPr="001D105D">
              <w:rPr>
                <w:rFonts w:ascii="Calibri" w:eastAsia="Times New Roman" w:hAnsi="Calibri" w:cs="Calibri"/>
                <w:color w:val="000000"/>
                <w:sz w:val="18"/>
                <w:szCs w:val="18"/>
              </w:rPr>
              <w:t>158,092</w:t>
            </w:r>
          </w:p>
        </w:tc>
        <w:tc>
          <w:tcPr>
            <w:tcW w:w="810" w:type="dxa"/>
            <w:shd w:val="clear" w:color="auto" w:fill="FFFFFF" w:themeFill="background1"/>
            <w:noWrap/>
            <w:vAlign w:val="center"/>
            <w:hideMark/>
          </w:tcPr>
          <w:p w14:paraId="4C2AD0A6" w14:textId="77777777" w:rsidR="00181277" w:rsidRPr="001D105D" w:rsidRDefault="00181277" w:rsidP="00215563">
            <w:pPr>
              <w:spacing w:after="0"/>
              <w:jc w:val="center"/>
              <w:rPr>
                <w:rFonts w:ascii="Calibri" w:eastAsia="Times New Roman" w:hAnsi="Calibri" w:cs="Calibri"/>
                <w:color w:val="000000"/>
                <w:sz w:val="18"/>
                <w:szCs w:val="18"/>
              </w:rPr>
            </w:pPr>
            <w:r w:rsidRPr="001D105D">
              <w:rPr>
                <w:rFonts w:ascii="Calibri" w:eastAsia="Times New Roman" w:hAnsi="Calibri" w:cs="Calibri"/>
                <w:color w:val="000000"/>
                <w:sz w:val="18"/>
                <w:szCs w:val="18"/>
              </w:rPr>
              <w:t>172,920</w:t>
            </w:r>
          </w:p>
        </w:tc>
        <w:tc>
          <w:tcPr>
            <w:tcW w:w="948" w:type="dxa"/>
            <w:shd w:val="clear" w:color="auto" w:fill="FFFFFF" w:themeFill="background1"/>
            <w:noWrap/>
            <w:vAlign w:val="center"/>
            <w:hideMark/>
          </w:tcPr>
          <w:p w14:paraId="21933E62" w14:textId="77777777" w:rsidR="00181277" w:rsidRPr="001D105D" w:rsidRDefault="00181277" w:rsidP="00215563">
            <w:pPr>
              <w:spacing w:after="0"/>
              <w:jc w:val="center"/>
              <w:rPr>
                <w:rFonts w:ascii="Calibri" w:eastAsia="Times New Roman" w:hAnsi="Calibri" w:cs="Calibri"/>
                <w:color w:val="000000"/>
                <w:sz w:val="18"/>
                <w:szCs w:val="18"/>
              </w:rPr>
            </w:pPr>
            <w:r w:rsidRPr="001D105D">
              <w:rPr>
                <w:rFonts w:ascii="Calibri" w:eastAsia="Times New Roman" w:hAnsi="Calibri" w:cs="Calibri"/>
                <w:color w:val="000000"/>
                <w:sz w:val="18"/>
                <w:szCs w:val="18"/>
              </w:rPr>
              <w:t>182,395</w:t>
            </w:r>
          </w:p>
        </w:tc>
        <w:tc>
          <w:tcPr>
            <w:tcW w:w="948" w:type="dxa"/>
            <w:shd w:val="clear" w:color="auto" w:fill="FFFFFF" w:themeFill="background1"/>
            <w:noWrap/>
            <w:vAlign w:val="center"/>
            <w:hideMark/>
          </w:tcPr>
          <w:p w14:paraId="28CCF36B" w14:textId="77777777" w:rsidR="00181277" w:rsidRPr="001D105D" w:rsidRDefault="00181277" w:rsidP="00215563">
            <w:pPr>
              <w:spacing w:after="0"/>
              <w:jc w:val="center"/>
              <w:rPr>
                <w:rFonts w:ascii="Calibri" w:eastAsia="Times New Roman" w:hAnsi="Calibri" w:cs="Calibri"/>
                <w:color w:val="000000"/>
                <w:sz w:val="18"/>
                <w:szCs w:val="18"/>
              </w:rPr>
            </w:pPr>
            <w:r w:rsidRPr="001D105D">
              <w:rPr>
                <w:rFonts w:ascii="Calibri" w:eastAsia="Times New Roman" w:hAnsi="Calibri" w:cs="Calibri"/>
                <w:color w:val="000000"/>
                <w:sz w:val="18"/>
                <w:szCs w:val="18"/>
              </w:rPr>
              <w:t>194,836</w:t>
            </w:r>
          </w:p>
        </w:tc>
        <w:tc>
          <w:tcPr>
            <w:tcW w:w="948" w:type="dxa"/>
            <w:shd w:val="clear" w:color="auto" w:fill="FFFFFF" w:themeFill="background1"/>
            <w:noWrap/>
            <w:vAlign w:val="center"/>
            <w:hideMark/>
          </w:tcPr>
          <w:p w14:paraId="59A32417" w14:textId="77777777" w:rsidR="00181277" w:rsidRPr="001D105D" w:rsidRDefault="00181277" w:rsidP="00215563">
            <w:pPr>
              <w:spacing w:after="0"/>
              <w:jc w:val="center"/>
              <w:rPr>
                <w:rFonts w:ascii="Calibri" w:eastAsia="Times New Roman" w:hAnsi="Calibri" w:cs="Calibri"/>
                <w:color w:val="000000"/>
                <w:sz w:val="18"/>
                <w:szCs w:val="18"/>
              </w:rPr>
            </w:pPr>
            <w:r w:rsidRPr="001D105D">
              <w:rPr>
                <w:rFonts w:ascii="Calibri" w:eastAsia="Times New Roman" w:hAnsi="Calibri" w:cs="Calibri"/>
                <w:color w:val="000000"/>
                <w:sz w:val="18"/>
                <w:szCs w:val="18"/>
              </w:rPr>
              <w:t>217,797</w:t>
            </w:r>
          </w:p>
        </w:tc>
        <w:tc>
          <w:tcPr>
            <w:tcW w:w="948" w:type="dxa"/>
            <w:shd w:val="clear" w:color="auto" w:fill="FFFFFF" w:themeFill="background1"/>
            <w:noWrap/>
            <w:vAlign w:val="center"/>
            <w:hideMark/>
          </w:tcPr>
          <w:p w14:paraId="62AC667D" w14:textId="77777777" w:rsidR="00181277" w:rsidRPr="001D105D" w:rsidRDefault="00181277" w:rsidP="00215563">
            <w:pPr>
              <w:spacing w:after="0"/>
              <w:jc w:val="center"/>
              <w:rPr>
                <w:rFonts w:ascii="Calibri" w:eastAsia="Times New Roman" w:hAnsi="Calibri" w:cs="Calibri"/>
                <w:color w:val="000000"/>
                <w:sz w:val="18"/>
                <w:szCs w:val="18"/>
              </w:rPr>
            </w:pPr>
            <w:r w:rsidRPr="001D105D">
              <w:rPr>
                <w:rFonts w:ascii="Calibri" w:eastAsia="Times New Roman" w:hAnsi="Calibri" w:cs="Calibri"/>
                <w:color w:val="000000"/>
                <w:sz w:val="18"/>
                <w:szCs w:val="18"/>
              </w:rPr>
              <w:t>245,912</w:t>
            </w:r>
          </w:p>
        </w:tc>
        <w:tc>
          <w:tcPr>
            <w:tcW w:w="948" w:type="dxa"/>
            <w:shd w:val="clear" w:color="auto" w:fill="FFFFFF" w:themeFill="background1"/>
            <w:noWrap/>
            <w:vAlign w:val="center"/>
            <w:hideMark/>
          </w:tcPr>
          <w:p w14:paraId="0AE4A4FA" w14:textId="77777777" w:rsidR="00181277" w:rsidRPr="001D105D" w:rsidRDefault="00181277" w:rsidP="00215563">
            <w:pPr>
              <w:spacing w:after="0"/>
              <w:jc w:val="center"/>
              <w:rPr>
                <w:rFonts w:ascii="Calibri" w:eastAsia="Times New Roman" w:hAnsi="Calibri" w:cs="Calibri"/>
                <w:color w:val="000000"/>
                <w:sz w:val="18"/>
                <w:szCs w:val="18"/>
              </w:rPr>
            </w:pPr>
            <w:r w:rsidRPr="001D105D">
              <w:rPr>
                <w:rFonts w:ascii="Calibri" w:eastAsia="Times New Roman" w:hAnsi="Calibri" w:cs="Calibri"/>
                <w:color w:val="000000"/>
                <w:sz w:val="18"/>
                <w:szCs w:val="18"/>
              </w:rPr>
              <w:t>286,698</w:t>
            </w:r>
          </w:p>
        </w:tc>
        <w:tc>
          <w:tcPr>
            <w:tcW w:w="948" w:type="dxa"/>
            <w:shd w:val="clear" w:color="auto" w:fill="FFFFFF" w:themeFill="background1"/>
            <w:noWrap/>
            <w:vAlign w:val="bottom"/>
            <w:hideMark/>
          </w:tcPr>
          <w:p w14:paraId="0099BCF4" w14:textId="77777777" w:rsidR="00181277" w:rsidRPr="001D105D" w:rsidRDefault="00181277" w:rsidP="00215563">
            <w:pPr>
              <w:spacing w:after="0"/>
              <w:jc w:val="center"/>
              <w:rPr>
                <w:rFonts w:ascii="Calibri" w:eastAsia="Times New Roman" w:hAnsi="Calibri" w:cs="Calibri"/>
                <w:color w:val="000000"/>
                <w:sz w:val="18"/>
                <w:szCs w:val="18"/>
              </w:rPr>
            </w:pPr>
            <w:r w:rsidRPr="001D105D">
              <w:rPr>
                <w:rFonts w:ascii="Calibri" w:eastAsia="Times New Roman" w:hAnsi="Calibri" w:cs="Calibri"/>
                <w:color w:val="000000"/>
                <w:sz w:val="18"/>
                <w:szCs w:val="18"/>
              </w:rPr>
              <w:t>1,604,129</w:t>
            </w:r>
          </w:p>
        </w:tc>
      </w:tr>
      <w:tr w:rsidR="00735033" w:rsidRPr="001D105D" w14:paraId="6A335728" w14:textId="77777777" w:rsidTr="00511D6E">
        <w:trPr>
          <w:trHeight w:val="289"/>
        </w:trPr>
        <w:tc>
          <w:tcPr>
            <w:tcW w:w="1743" w:type="dxa"/>
            <w:shd w:val="clear" w:color="auto" w:fill="FFFFFF" w:themeFill="background1"/>
            <w:noWrap/>
            <w:vAlign w:val="center"/>
            <w:hideMark/>
          </w:tcPr>
          <w:p w14:paraId="05C9A085" w14:textId="77777777" w:rsidR="00181277" w:rsidRPr="001D105D" w:rsidRDefault="00181277" w:rsidP="00215563">
            <w:pPr>
              <w:spacing w:after="0"/>
              <w:rPr>
                <w:rFonts w:ascii="Calibri" w:eastAsia="Times New Roman" w:hAnsi="Calibri" w:cs="Calibri"/>
                <w:b/>
                <w:bCs/>
                <w:color w:val="000000"/>
                <w:sz w:val="20"/>
                <w:szCs w:val="20"/>
              </w:rPr>
            </w:pPr>
            <w:proofErr w:type="spellStart"/>
            <w:r w:rsidRPr="001D105D">
              <w:rPr>
                <w:rFonts w:ascii="Calibri" w:eastAsia="Times New Roman" w:hAnsi="Calibri" w:cs="Calibri"/>
                <w:b/>
                <w:bCs/>
                <w:color w:val="000000"/>
                <w:sz w:val="20"/>
                <w:szCs w:val="20"/>
              </w:rPr>
              <w:t>Dexamfetamine</w:t>
            </w:r>
            <w:proofErr w:type="spellEnd"/>
          </w:p>
        </w:tc>
        <w:tc>
          <w:tcPr>
            <w:tcW w:w="810" w:type="dxa"/>
            <w:shd w:val="clear" w:color="auto" w:fill="FFFFFF" w:themeFill="background1"/>
            <w:noWrap/>
            <w:vAlign w:val="center"/>
            <w:hideMark/>
          </w:tcPr>
          <w:p w14:paraId="231FBAF0" w14:textId="77777777" w:rsidR="00181277" w:rsidRPr="001D105D" w:rsidRDefault="00181277" w:rsidP="00215563">
            <w:pPr>
              <w:spacing w:after="0"/>
              <w:jc w:val="center"/>
              <w:rPr>
                <w:rFonts w:ascii="Calibri" w:eastAsia="Times New Roman" w:hAnsi="Calibri" w:cs="Calibri"/>
                <w:color w:val="000000"/>
                <w:sz w:val="18"/>
                <w:szCs w:val="18"/>
              </w:rPr>
            </w:pPr>
            <w:r w:rsidRPr="001D105D">
              <w:rPr>
                <w:rFonts w:ascii="Calibri" w:eastAsia="Times New Roman" w:hAnsi="Calibri" w:cs="Calibri"/>
                <w:color w:val="000000"/>
                <w:sz w:val="18"/>
                <w:szCs w:val="18"/>
              </w:rPr>
              <w:t>215,548</w:t>
            </w:r>
          </w:p>
        </w:tc>
        <w:tc>
          <w:tcPr>
            <w:tcW w:w="810" w:type="dxa"/>
            <w:shd w:val="clear" w:color="auto" w:fill="FFFFFF" w:themeFill="background1"/>
            <w:noWrap/>
            <w:vAlign w:val="center"/>
            <w:hideMark/>
          </w:tcPr>
          <w:p w14:paraId="13535641" w14:textId="77777777" w:rsidR="00181277" w:rsidRPr="001D105D" w:rsidRDefault="00181277" w:rsidP="00215563">
            <w:pPr>
              <w:spacing w:after="0"/>
              <w:jc w:val="center"/>
              <w:rPr>
                <w:rFonts w:ascii="Calibri" w:eastAsia="Times New Roman" w:hAnsi="Calibri" w:cs="Calibri"/>
                <w:color w:val="000000"/>
                <w:sz w:val="18"/>
                <w:szCs w:val="18"/>
              </w:rPr>
            </w:pPr>
            <w:r w:rsidRPr="001D105D">
              <w:rPr>
                <w:rFonts w:ascii="Calibri" w:eastAsia="Times New Roman" w:hAnsi="Calibri" w:cs="Calibri"/>
                <w:color w:val="000000"/>
                <w:sz w:val="18"/>
                <w:szCs w:val="18"/>
              </w:rPr>
              <w:t>220,287</w:t>
            </w:r>
          </w:p>
        </w:tc>
        <w:tc>
          <w:tcPr>
            <w:tcW w:w="810" w:type="dxa"/>
            <w:shd w:val="clear" w:color="auto" w:fill="FFFFFF" w:themeFill="background1"/>
            <w:noWrap/>
            <w:vAlign w:val="center"/>
            <w:hideMark/>
          </w:tcPr>
          <w:p w14:paraId="7F20BB43" w14:textId="77777777" w:rsidR="00181277" w:rsidRPr="001D105D" w:rsidRDefault="00181277" w:rsidP="00215563">
            <w:pPr>
              <w:spacing w:after="0"/>
              <w:jc w:val="center"/>
              <w:rPr>
                <w:rFonts w:ascii="Calibri" w:eastAsia="Times New Roman" w:hAnsi="Calibri" w:cs="Calibri"/>
                <w:color w:val="000000"/>
                <w:sz w:val="18"/>
                <w:szCs w:val="18"/>
              </w:rPr>
            </w:pPr>
            <w:r w:rsidRPr="001D105D">
              <w:rPr>
                <w:rFonts w:ascii="Calibri" w:eastAsia="Times New Roman" w:hAnsi="Calibri" w:cs="Calibri"/>
                <w:color w:val="000000"/>
                <w:sz w:val="18"/>
                <w:szCs w:val="18"/>
              </w:rPr>
              <w:t>233,804</w:t>
            </w:r>
          </w:p>
        </w:tc>
        <w:tc>
          <w:tcPr>
            <w:tcW w:w="948" w:type="dxa"/>
            <w:shd w:val="clear" w:color="auto" w:fill="FFFFFF" w:themeFill="background1"/>
            <w:noWrap/>
            <w:vAlign w:val="center"/>
            <w:hideMark/>
          </w:tcPr>
          <w:p w14:paraId="25BCF204" w14:textId="77777777" w:rsidR="00181277" w:rsidRPr="001D105D" w:rsidRDefault="00181277" w:rsidP="00215563">
            <w:pPr>
              <w:spacing w:after="0"/>
              <w:jc w:val="center"/>
              <w:rPr>
                <w:rFonts w:ascii="Calibri" w:eastAsia="Times New Roman" w:hAnsi="Calibri" w:cs="Calibri"/>
                <w:color w:val="000000"/>
                <w:sz w:val="18"/>
                <w:szCs w:val="18"/>
              </w:rPr>
            </w:pPr>
            <w:r w:rsidRPr="001D105D">
              <w:rPr>
                <w:rFonts w:ascii="Calibri" w:eastAsia="Times New Roman" w:hAnsi="Calibri" w:cs="Calibri"/>
                <w:color w:val="000000"/>
                <w:sz w:val="18"/>
                <w:szCs w:val="18"/>
              </w:rPr>
              <w:t>241,615</w:t>
            </w:r>
          </w:p>
        </w:tc>
        <w:tc>
          <w:tcPr>
            <w:tcW w:w="948" w:type="dxa"/>
            <w:shd w:val="clear" w:color="auto" w:fill="FFFFFF" w:themeFill="background1"/>
            <w:noWrap/>
            <w:vAlign w:val="center"/>
            <w:hideMark/>
          </w:tcPr>
          <w:p w14:paraId="5C9D3847" w14:textId="77777777" w:rsidR="00181277" w:rsidRPr="001D105D" w:rsidRDefault="00181277" w:rsidP="00215563">
            <w:pPr>
              <w:spacing w:after="0"/>
              <w:jc w:val="center"/>
              <w:rPr>
                <w:rFonts w:ascii="Calibri" w:eastAsia="Times New Roman" w:hAnsi="Calibri" w:cs="Calibri"/>
                <w:color w:val="000000"/>
                <w:sz w:val="18"/>
                <w:szCs w:val="18"/>
              </w:rPr>
            </w:pPr>
            <w:r w:rsidRPr="001D105D">
              <w:rPr>
                <w:rFonts w:ascii="Calibri" w:eastAsia="Times New Roman" w:hAnsi="Calibri" w:cs="Calibri"/>
                <w:color w:val="000000"/>
                <w:sz w:val="18"/>
                <w:szCs w:val="18"/>
              </w:rPr>
              <w:t>255,218</w:t>
            </w:r>
          </w:p>
        </w:tc>
        <w:tc>
          <w:tcPr>
            <w:tcW w:w="948" w:type="dxa"/>
            <w:shd w:val="clear" w:color="auto" w:fill="FFFFFF" w:themeFill="background1"/>
            <w:noWrap/>
            <w:vAlign w:val="center"/>
            <w:hideMark/>
          </w:tcPr>
          <w:p w14:paraId="1684D7CF" w14:textId="77777777" w:rsidR="00181277" w:rsidRPr="001D105D" w:rsidRDefault="00181277" w:rsidP="00215563">
            <w:pPr>
              <w:spacing w:after="0"/>
              <w:jc w:val="center"/>
              <w:rPr>
                <w:rFonts w:ascii="Calibri" w:eastAsia="Times New Roman" w:hAnsi="Calibri" w:cs="Calibri"/>
                <w:color w:val="000000"/>
                <w:sz w:val="18"/>
                <w:szCs w:val="18"/>
              </w:rPr>
            </w:pPr>
            <w:r w:rsidRPr="001D105D">
              <w:rPr>
                <w:rFonts w:ascii="Calibri" w:eastAsia="Times New Roman" w:hAnsi="Calibri" w:cs="Calibri"/>
                <w:color w:val="000000"/>
                <w:sz w:val="18"/>
                <w:szCs w:val="18"/>
              </w:rPr>
              <w:t>277,246</w:t>
            </w:r>
          </w:p>
        </w:tc>
        <w:tc>
          <w:tcPr>
            <w:tcW w:w="948" w:type="dxa"/>
            <w:shd w:val="clear" w:color="auto" w:fill="FFFFFF" w:themeFill="background1"/>
            <w:noWrap/>
            <w:vAlign w:val="center"/>
            <w:hideMark/>
          </w:tcPr>
          <w:p w14:paraId="0157D5C7" w14:textId="77777777" w:rsidR="00181277" w:rsidRPr="001D105D" w:rsidRDefault="00181277" w:rsidP="00215563">
            <w:pPr>
              <w:spacing w:after="0"/>
              <w:jc w:val="center"/>
              <w:rPr>
                <w:rFonts w:ascii="Calibri" w:eastAsia="Times New Roman" w:hAnsi="Calibri" w:cs="Calibri"/>
                <w:color w:val="000000"/>
                <w:sz w:val="18"/>
                <w:szCs w:val="18"/>
              </w:rPr>
            </w:pPr>
            <w:r w:rsidRPr="001D105D">
              <w:rPr>
                <w:rFonts w:ascii="Calibri" w:eastAsia="Times New Roman" w:hAnsi="Calibri" w:cs="Calibri"/>
                <w:color w:val="000000"/>
                <w:sz w:val="18"/>
                <w:szCs w:val="18"/>
              </w:rPr>
              <w:t>305,920</w:t>
            </w:r>
          </w:p>
        </w:tc>
        <w:tc>
          <w:tcPr>
            <w:tcW w:w="948" w:type="dxa"/>
            <w:shd w:val="clear" w:color="auto" w:fill="FFFFFF" w:themeFill="background1"/>
            <w:noWrap/>
            <w:vAlign w:val="center"/>
            <w:hideMark/>
          </w:tcPr>
          <w:p w14:paraId="21B0E1E7" w14:textId="77777777" w:rsidR="00181277" w:rsidRPr="001D105D" w:rsidRDefault="00181277" w:rsidP="00215563">
            <w:pPr>
              <w:spacing w:after="0"/>
              <w:jc w:val="center"/>
              <w:rPr>
                <w:rFonts w:ascii="Calibri" w:eastAsia="Times New Roman" w:hAnsi="Calibri" w:cs="Calibri"/>
                <w:color w:val="000000"/>
                <w:sz w:val="18"/>
                <w:szCs w:val="18"/>
              </w:rPr>
            </w:pPr>
            <w:r w:rsidRPr="001D105D">
              <w:rPr>
                <w:rFonts w:ascii="Calibri" w:eastAsia="Times New Roman" w:hAnsi="Calibri" w:cs="Calibri"/>
                <w:color w:val="000000"/>
                <w:sz w:val="18"/>
                <w:szCs w:val="18"/>
              </w:rPr>
              <w:t>354,139</w:t>
            </w:r>
          </w:p>
        </w:tc>
        <w:tc>
          <w:tcPr>
            <w:tcW w:w="948" w:type="dxa"/>
            <w:shd w:val="clear" w:color="auto" w:fill="FFFFFF" w:themeFill="background1"/>
            <w:noWrap/>
            <w:vAlign w:val="bottom"/>
            <w:hideMark/>
          </w:tcPr>
          <w:p w14:paraId="19D70DA6" w14:textId="77777777" w:rsidR="00181277" w:rsidRPr="001D105D" w:rsidRDefault="00181277" w:rsidP="00215563">
            <w:pPr>
              <w:spacing w:after="0"/>
              <w:jc w:val="center"/>
              <w:rPr>
                <w:rFonts w:ascii="Calibri" w:eastAsia="Times New Roman" w:hAnsi="Calibri" w:cs="Calibri"/>
                <w:color w:val="000000"/>
                <w:sz w:val="18"/>
                <w:szCs w:val="18"/>
              </w:rPr>
            </w:pPr>
            <w:r w:rsidRPr="001D105D">
              <w:rPr>
                <w:rFonts w:ascii="Calibri" w:eastAsia="Times New Roman" w:hAnsi="Calibri" w:cs="Calibri"/>
                <w:color w:val="000000"/>
                <w:sz w:val="18"/>
                <w:szCs w:val="18"/>
              </w:rPr>
              <w:t>2,103,777</w:t>
            </w:r>
          </w:p>
        </w:tc>
      </w:tr>
      <w:tr w:rsidR="00735033" w:rsidRPr="001D105D" w14:paraId="139A3C25" w14:textId="77777777" w:rsidTr="00511D6E">
        <w:trPr>
          <w:trHeight w:val="289"/>
        </w:trPr>
        <w:tc>
          <w:tcPr>
            <w:tcW w:w="1743" w:type="dxa"/>
            <w:shd w:val="clear" w:color="auto" w:fill="FFFFFF" w:themeFill="background1"/>
            <w:noWrap/>
            <w:vAlign w:val="center"/>
            <w:hideMark/>
          </w:tcPr>
          <w:p w14:paraId="4EA3846A" w14:textId="77777777" w:rsidR="00181277" w:rsidRPr="001D105D" w:rsidRDefault="00181277" w:rsidP="00215563">
            <w:pPr>
              <w:spacing w:after="0"/>
              <w:rPr>
                <w:rFonts w:ascii="Calibri" w:eastAsia="Times New Roman" w:hAnsi="Calibri" w:cs="Calibri"/>
                <w:b/>
                <w:bCs/>
                <w:color w:val="000000"/>
                <w:sz w:val="20"/>
                <w:szCs w:val="20"/>
              </w:rPr>
            </w:pPr>
            <w:r w:rsidRPr="001D105D">
              <w:rPr>
                <w:rFonts w:ascii="Calibri" w:eastAsia="Times New Roman" w:hAnsi="Calibri" w:cs="Calibri"/>
                <w:b/>
                <w:bCs/>
                <w:color w:val="000000"/>
                <w:sz w:val="20"/>
                <w:szCs w:val="20"/>
              </w:rPr>
              <w:t>MPH-MR</w:t>
            </w:r>
          </w:p>
        </w:tc>
        <w:tc>
          <w:tcPr>
            <w:tcW w:w="810" w:type="dxa"/>
            <w:shd w:val="clear" w:color="auto" w:fill="FFFFFF" w:themeFill="background1"/>
            <w:noWrap/>
            <w:vAlign w:val="center"/>
            <w:hideMark/>
          </w:tcPr>
          <w:p w14:paraId="721BC7CC" w14:textId="77777777" w:rsidR="00181277" w:rsidRPr="001D105D" w:rsidRDefault="00181277" w:rsidP="00215563">
            <w:pPr>
              <w:spacing w:after="0"/>
              <w:jc w:val="center"/>
              <w:rPr>
                <w:rFonts w:ascii="Calibri" w:eastAsia="Times New Roman" w:hAnsi="Calibri" w:cs="Calibri"/>
                <w:color w:val="000000"/>
                <w:sz w:val="18"/>
                <w:szCs w:val="18"/>
              </w:rPr>
            </w:pPr>
            <w:r w:rsidRPr="001D105D">
              <w:rPr>
                <w:rFonts w:ascii="Calibri" w:eastAsia="Times New Roman" w:hAnsi="Calibri" w:cs="Calibri"/>
                <w:color w:val="000000"/>
                <w:sz w:val="18"/>
                <w:szCs w:val="18"/>
              </w:rPr>
              <w:t>407,798</w:t>
            </w:r>
          </w:p>
        </w:tc>
        <w:tc>
          <w:tcPr>
            <w:tcW w:w="810" w:type="dxa"/>
            <w:shd w:val="clear" w:color="auto" w:fill="FFFFFF" w:themeFill="background1"/>
            <w:noWrap/>
            <w:vAlign w:val="center"/>
            <w:hideMark/>
          </w:tcPr>
          <w:p w14:paraId="2ECCCF87" w14:textId="77777777" w:rsidR="00181277" w:rsidRPr="001D105D" w:rsidRDefault="00181277" w:rsidP="00215563">
            <w:pPr>
              <w:spacing w:after="0"/>
              <w:jc w:val="center"/>
              <w:rPr>
                <w:rFonts w:ascii="Calibri" w:eastAsia="Times New Roman" w:hAnsi="Calibri" w:cs="Calibri"/>
                <w:color w:val="000000"/>
                <w:sz w:val="18"/>
                <w:szCs w:val="18"/>
              </w:rPr>
            </w:pPr>
            <w:r w:rsidRPr="001D105D">
              <w:rPr>
                <w:rFonts w:ascii="Calibri" w:eastAsia="Times New Roman" w:hAnsi="Calibri" w:cs="Calibri"/>
                <w:color w:val="000000"/>
                <w:sz w:val="18"/>
                <w:szCs w:val="18"/>
              </w:rPr>
              <w:t>438,178</w:t>
            </w:r>
          </w:p>
        </w:tc>
        <w:tc>
          <w:tcPr>
            <w:tcW w:w="810" w:type="dxa"/>
            <w:shd w:val="clear" w:color="auto" w:fill="FFFFFF" w:themeFill="background1"/>
            <w:noWrap/>
            <w:vAlign w:val="center"/>
            <w:hideMark/>
          </w:tcPr>
          <w:p w14:paraId="02422F9C" w14:textId="77777777" w:rsidR="00181277" w:rsidRPr="001D105D" w:rsidRDefault="00181277" w:rsidP="00215563">
            <w:pPr>
              <w:spacing w:after="0"/>
              <w:jc w:val="center"/>
              <w:rPr>
                <w:rFonts w:ascii="Calibri" w:eastAsia="Times New Roman" w:hAnsi="Calibri" w:cs="Calibri"/>
                <w:color w:val="000000"/>
                <w:sz w:val="18"/>
                <w:szCs w:val="18"/>
              </w:rPr>
            </w:pPr>
            <w:r w:rsidRPr="001D105D">
              <w:rPr>
                <w:rFonts w:ascii="Calibri" w:eastAsia="Times New Roman" w:hAnsi="Calibri" w:cs="Calibri"/>
                <w:color w:val="000000"/>
                <w:sz w:val="18"/>
                <w:szCs w:val="18"/>
              </w:rPr>
              <w:t>472,911</w:t>
            </w:r>
          </w:p>
        </w:tc>
        <w:tc>
          <w:tcPr>
            <w:tcW w:w="948" w:type="dxa"/>
            <w:shd w:val="clear" w:color="auto" w:fill="FFFFFF" w:themeFill="background1"/>
            <w:noWrap/>
            <w:vAlign w:val="center"/>
            <w:hideMark/>
          </w:tcPr>
          <w:p w14:paraId="402924AD" w14:textId="77777777" w:rsidR="00181277" w:rsidRPr="001D105D" w:rsidRDefault="00181277" w:rsidP="00215563">
            <w:pPr>
              <w:spacing w:after="0"/>
              <w:jc w:val="center"/>
              <w:rPr>
                <w:rFonts w:ascii="Calibri" w:eastAsia="Times New Roman" w:hAnsi="Calibri" w:cs="Calibri"/>
                <w:color w:val="000000"/>
                <w:sz w:val="18"/>
                <w:szCs w:val="18"/>
              </w:rPr>
            </w:pPr>
            <w:r w:rsidRPr="001D105D">
              <w:rPr>
                <w:rFonts w:ascii="Calibri" w:eastAsia="Times New Roman" w:hAnsi="Calibri" w:cs="Calibri"/>
                <w:color w:val="000000"/>
                <w:sz w:val="18"/>
                <w:szCs w:val="18"/>
              </w:rPr>
              <w:t>492,472</w:t>
            </w:r>
          </w:p>
        </w:tc>
        <w:tc>
          <w:tcPr>
            <w:tcW w:w="948" w:type="dxa"/>
            <w:shd w:val="clear" w:color="auto" w:fill="FFFFFF" w:themeFill="background1"/>
            <w:noWrap/>
            <w:vAlign w:val="center"/>
            <w:hideMark/>
          </w:tcPr>
          <w:p w14:paraId="0570D2C0" w14:textId="77777777" w:rsidR="00181277" w:rsidRPr="001D105D" w:rsidRDefault="00181277" w:rsidP="00215563">
            <w:pPr>
              <w:spacing w:after="0"/>
              <w:jc w:val="center"/>
              <w:rPr>
                <w:rFonts w:ascii="Calibri" w:eastAsia="Times New Roman" w:hAnsi="Calibri" w:cs="Calibri"/>
                <w:color w:val="000000"/>
                <w:sz w:val="18"/>
                <w:szCs w:val="18"/>
              </w:rPr>
            </w:pPr>
            <w:r w:rsidRPr="001D105D">
              <w:rPr>
                <w:rFonts w:ascii="Calibri" w:eastAsia="Times New Roman" w:hAnsi="Calibri" w:cs="Calibri"/>
                <w:color w:val="000000"/>
                <w:sz w:val="18"/>
                <w:szCs w:val="18"/>
              </w:rPr>
              <w:t>515,290</w:t>
            </w:r>
          </w:p>
        </w:tc>
        <w:tc>
          <w:tcPr>
            <w:tcW w:w="948" w:type="dxa"/>
            <w:shd w:val="clear" w:color="auto" w:fill="FFFFFF" w:themeFill="background1"/>
            <w:noWrap/>
            <w:vAlign w:val="center"/>
            <w:hideMark/>
          </w:tcPr>
          <w:p w14:paraId="5451C852" w14:textId="77777777" w:rsidR="00181277" w:rsidRPr="001D105D" w:rsidRDefault="00181277" w:rsidP="00215563">
            <w:pPr>
              <w:spacing w:after="0"/>
              <w:jc w:val="center"/>
              <w:rPr>
                <w:rFonts w:ascii="Calibri" w:eastAsia="Times New Roman" w:hAnsi="Calibri" w:cs="Calibri"/>
                <w:color w:val="000000"/>
                <w:sz w:val="18"/>
                <w:szCs w:val="18"/>
              </w:rPr>
            </w:pPr>
            <w:r w:rsidRPr="001D105D">
              <w:rPr>
                <w:rFonts w:ascii="Calibri" w:eastAsia="Times New Roman" w:hAnsi="Calibri" w:cs="Calibri"/>
                <w:color w:val="000000"/>
                <w:sz w:val="18"/>
                <w:szCs w:val="18"/>
              </w:rPr>
              <w:t>548,959</w:t>
            </w:r>
          </w:p>
        </w:tc>
        <w:tc>
          <w:tcPr>
            <w:tcW w:w="948" w:type="dxa"/>
            <w:shd w:val="clear" w:color="auto" w:fill="FFFFFF" w:themeFill="background1"/>
            <w:noWrap/>
            <w:vAlign w:val="center"/>
            <w:hideMark/>
          </w:tcPr>
          <w:p w14:paraId="607ED0F2" w14:textId="77777777" w:rsidR="00181277" w:rsidRPr="001D105D" w:rsidRDefault="00181277" w:rsidP="00215563">
            <w:pPr>
              <w:spacing w:after="0"/>
              <w:jc w:val="center"/>
              <w:rPr>
                <w:rFonts w:ascii="Calibri" w:eastAsia="Times New Roman" w:hAnsi="Calibri" w:cs="Calibri"/>
                <w:color w:val="000000"/>
                <w:sz w:val="18"/>
                <w:szCs w:val="18"/>
              </w:rPr>
            </w:pPr>
            <w:r w:rsidRPr="001D105D">
              <w:rPr>
                <w:rFonts w:ascii="Calibri" w:eastAsia="Times New Roman" w:hAnsi="Calibri" w:cs="Calibri"/>
                <w:color w:val="000000"/>
                <w:sz w:val="18"/>
                <w:szCs w:val="18"/>
              </w:rPr>
              <w:t>595,728</w:t>
            </w:r>
          </w:p>
        </w:tc>
        <w:tc>
          <w:tcPr>
            <w:tcW w:w="948" w:type="dxa"/>
            <w:shd w:val="clear" w:color="auto" w:fill="FFFFFF" w:themeFill="background1"/>
            <w:noWrap/>
            <w:vAlign w:val="center"/>
            <w:hideMark/>
          </w:tcPr>
          <w:p w14:paraId="7C22C7FA" w14:textId="77777777" w:rsidR="00181277" w:rsidRPr="001D105D" w:rsidRDefault="00181277" w:rsidP="00215563">
            <w:pPr>
              <w:spacing w:after="0"/>
              <w:jc w:val="center"/>
              <w:rPr>
                <w:rFonts w:ascii="Calibri" w:eastAsia="Times New Roman" w:hAnsi="Calibri" w:cs="Calibri"/>
                <w:color w:val="000000"/>
                <w:sz w:val="18"/>
                <w:szCs w:val="18"/>
              </w:rPr>
            </w:pPr>
            <w:r w:rsidRPr="001D105D">
              <w:rPr>
                <w:rFonts w:ascii="Calibri" w:eastAsia="Times New Roman" w:hAnsi="Calibri" w:cs="Calibri"/>
                <w:color w:val="000000"/>
                <w:sz w:val="18"/>
                <w:szCs w:val="18"/>
              </w:rPr>
              <w:t>667,803</w:t>
            </w:r>
          </w:p>
        </w:tc>
        <w:tc>
          <w:tcPr>
            <w:tcW w:w="948" w:type="dxa"/>
            <w:shd w:val="clear" w:color="auto" w:fill="FFFFFF" w:themeFill="background1"/>
            <w:noWrap/>
            <w:vAlign w:val="bottom"/>
            <w:hideMark/>
          </w:tcPr>
          <w:p w14:paraId="5D5EA985" w14:textId="77777777" w:rsidR="00181277" w:rsidRPr="001D105D" w:rsidRDefault="00181277" w:rsidP="00215563">
            <w:pPr>
              <w:spacing w:after="0"/>
              <w:jc w:val="center"/>
              <w:rPr>
                <w:rFonts w:ascii="Calibri" w:eastAsia="Times New Roman" w:hAnsi="Calibri" w:cs="Calibri"/>
                <w:color w:val="000000"/>
                <w:sz w:val="18"/>
                <w:szCs w:val="18"/>
              </w:rPr>
            </w:pPr>
            <w:r w:rsidRPr="001D105D">
              <w:rPr>
                <w:rFonts w:ascii="Calibri" w:eastAsia="Times New Roman" w:hAnsi="Calibri" w:cs="Calibri"/>
                <w:color w:val="000000"/>
                <w:sz w:val="18"/>
                <w:szCs w:val="18"/>
              </w:rPr>
              <w:t>4,139,139</w:t>
            </w:r>
          </w:p>
        </w:tc>
      </w:tr>
      <w:tr w:rsidR="00735033" w:rsidRPr="001D105D" w14:paraId="063A1955" w14:textId="77777777" w:rsidTr="00511D6E">
        <w:trPr>
          <w:trHeight w:val="289"/>
        </w:trPr>
        <w:tc>
          <w:tcPr>
            <w:tcW w:w="1743" w:type="dxa"/>
            <w:shd w:val="clear" w:color="auto" w:fill="FFFFFF" w:themeFill="background1"/>
            <w:noWrap/>
            <w:vAlign w:val="center"/>
            <w:hideMark/>
          </w:tcPr>
          <w:p w14:paraId="1F020F57" w14:textId="77777777" w:rsidR="00181277" w:rsidRPr="001D105D" w:rsidRDefault="00181277" w:rsidP="00215563">
            <w:pPr>
              <w:spacing w:after="0"/>
              <w:rPr>
                <w:rFonts w:ascii="Calibri" w:eastAsia="Times New Roman" w:hAnsi="Calibri" w:cs="Calibri"/>
                <w:b/>
                <w:bCs/>
                <w:color w:val="000000"/>
                <w:sz w:val="20"/>
                <w:szCs w:val="20"/>
              </w:rPr>
            </w:pPr>
            <w:r w:rsidRPr="001D105D">
              <w:rPr>
                <w:rFonts w:ascii="Calibri" w:eastAsia="Times New Roman" w:hAnsi="Calibri" w:cs="Calibri"/>
                <w:b/>
                <w:bCs/>
                <w:color w:val="000000"/>
                <w:sz w:val="20"/>
                <w:szCs w:val="20"/>
              </w:rPr>
              <w:t>Total</w:t>
            </w:r>
          </w:p>
        </w:tc>
        <w:tc>
          <w:tcPr>
            <w:tcW w:w="810" w:type="dxa"/>
            <w:shd w:val="clear" w:color="auto" w:fill="FFFFFF" w:themeFill="background1"/>
            <w:noWrap/>
            <w:vAlign w:val="bottom"/>
            <w:hideMark/>
          </w:tcPr>
          <w:p w14:paraId="2D13436A" w14:textId="77777777" w:rsidR="00181277" w:rsidRPr="001D105D" w:rsidRDefault="00181277" w:rsidP="00215563">
            <w:pPr>
              <w:spacing w:after="0"/>
              <w:jc w:val="center"/>
              <w:rPr>
                <w:rFonts w:ascii="Calibri" w:eastAsia="Times New Roman" w:hAnsi="Calibri" w:cs="Calibri"/>
                <w:b/>
                <w:color w:val="000000"/>
                <w:sz w:val="18"/>
                <w:szCs w:val="18"/>
              </w:rPr>
            </w:pPr>
            <w:r w:rsidRPr="001D105D">
              <w:rPr>
                <w:rFonts w:ascii="Calibri" w:eastAsia="Times New Roman" w:hAnsi="Calibri" w:cs="Calibri"/>
                <w:b/>
                <w:color w:val="000000"/>
                <w:sz w:val="18"/>
                <w:szCs w:val="18"/>
              </w:rPr>
              <w:t>806,835</w:t>
            </w:r>
          </w:p>
        </w:tc>
        <w:tc>
          <w:tcPr>
            <w:tcW w:w="810" w:type="dxa"/>
            <w:shd w:val="clear" w:color="auto" w:fill="FFFFFF" w:themeFill="background1"/>
            <w:noWrap/>
            <w:vAlign w:val="bottom"/>
            <w:hideMark/>
          </w:tcPr>
          <w:p w14:paraId="570E05EF" w14:textId="77777777" w:rsidR="00181277" w:rsidRPr="001D105D" w:rsidRDefault="00181277" w:rsidP="00215563">
            <w:pPr>
              <w:spacing w:after="0"/>
              <w:jc w:val="center"/>
              <w:rPr>
                <w:rFonts w:ascii="Calibri" w:eastAsia="Times New Roman" w:hAnsi="Calibri" w:cs="Calibri"/>
                <w:b/>
                <w:color w:val="000000"/>
                <w:sz w:val="18"/>
                <w:szCs w:val="18"/>
              </w:rPr>
            </w:pPr>
            <w:r w:rsidRPr="001D105D">
              <w:rPr>
                <w:rFonts w:ascii="Calibri" w:eastAsia="Times New Roman" w:hAnsi="Calibri" w:cs="Calibri"/>
                <w:b/>
                <w:color w:val="000000"/>
                <w:sz w:val="18"/>
                <w:szCs w:val="18"/>
              </w:rPr>
              <w:t>855,726</w:t>
            </w:r>
          </w:p>
        </w:tc>
        <w:tc>
          <w:tcPr>
            <w:tcW w:w="810" w:type="dxa"/>
            <w:shd w:val="clear" w:color="auto" w:fill="FFFFFF" w:themeFill="background1"/>
            <w:noWrap/>
            <w:vAlign w:val="bottom"/>
            <w:hideMark/>
          </w:tcPr>
          <w:p w14:paraId="50068627" w14:textId="77777777" w:rsidR="00181277" w:rsidRPr="001D105D" w:rsidRDefault="00181277" w:rsidP="00215563">
            <w:pPr>
              <w:spacing w:after="0"/>
              <w:jc w:val="center"/>
              <w:rPr>
                <w:rFonts w:ascii="Calibri" w:eastAsia="Times New Roman" w:hAnsi="Calibri" w:cs="Calibri"/>
                <w:b/>
                <w:color w:val="000000"/>
                <w:sz w:val="18"/>
                <w:szCs w:val="18"/>
              </w:rPr>
            </w:pPr>
            <w:r w:rsidRPr="001D105D">
              <w:rPr>
                <w:rFonts w:ascii="Calibri" w:eastAsia="Times New Roman" w:hAnsi="Calibri" w:cs="Calibri"/>
                <w:b/>
                <w:color w:val="000000"/>
                <w:sz w:val="18"/>
                <w:szCs w:val="18"/>
              </w:rPr>
              <w:t>940,674</w:t>
            </w:r>
          </w:p>
        </w:tc>
        <w:tc>
          <w:tcPr>
            <w:tcW w:w="948" w:type="dxa"/>
            <w:shd w:val="clear" w:color="auto" w:fill="FFFFFF" w:themeFill="background1"/>
            <w:noWrap/>
            <w:vAlign w:val="bottom"/>
            <w:hideMark/>
          </w:tcPr>
          <w:p w14:paraId="25556853" w14:textId="77777777" w:rsidR="00181277" w:rsidRPr="001D105D" w:rsidRDefault="00181277" w:rsidP="00215563">
            <w:pPr>
              <w:spacing w:after="0"/>
              <w:jc w:val="center"/>
              <w:rPr>
                <w:rFonts w:ascii="Calibri" w:eastAsia="Times New Roman" w:hAnsi="Calibri" w:cs="Calibri"/>
                <w:b/>
                <w:color w:val="000000"/>
                <w:sz w:val="18"/>
                <w:szCs w:val="18"/>
              </w:rPr>
            </w:pPr>
            <w:r w:rsidRPr="001D105D">
              <w:rPr>
                <w:rFonts w:ascii="Calibri" w:eastAsia="Times New Roman" w:hAnsi="Calibri" w:cs="Calibri"/>
                <w:b/>
                <w:color w:val="000000"/>
                <w:sz w:val="18"/>
                <w:szCs w:val="18"/>
              </w:rPr>
              <w:t>1,074,731</w:t>
            </w:r>
          </w:p>
        </w:tc>
        <w:tc>
          <w:tcPr>
            <w:tcW w:w="948" w:type="dxa"/>
            <w:shd w:val="clear" w:color="auto" w:fill="FFFFFF" w:themeFill="background1"/>
            <w:noWrap/>
            <w:vAlign w:val="bottom"/>
            <w:hideMark/>
          </w:tcPr>
          <w:p w14:paraId="5890100B" w14:textId="77777777" w:rsidR="00181277" w:rsidRPr="001D105D" w:rsidRDefault="00181277" w:rsidP="00215563">
            <w:pPr>
              <w:spacing w:after="0"/>
              <w:jc w:val="center"/>
              <w:rPr>
                <w:rFonts w:ascii="Calibri" w:eastAsia="Times New Roman" w:hAnsi="Calibri" w:cs="Calibri"/>
                <w:b/>
                <w:color w:val="000000"/>
                <w:sz w:val="18"/>
                <w:szCs w:val="18"/>
              </w:rPr>
            </w:pPr>
            <w:r w:rsidRPr="001D105D">
              <w:rPr>
                <w:rFonts w:ascii="Calibri" w:eastAsia="Times New Roman" w:hAnsi="Calibri" w:cs="Calibri"/>
                <w:b/>
                <w:color w:val="000000"/>
                <w:sz w:val="18"/>
                <w:szCs w:val="18"/>
              </w:rPr>
              <w:t>1,195,894</w:t>
            </w:r>
          </w:p>
        </w:tc>
        <w:tc>
          <w:tcPr>
            <w:tcW w:w="948" w:type="dxa"/>
            <w:shd w:val="clear" w:color="auto" w:fill="FFFFFF" w:themeFill="background1"/>
            <w:noWrap/>
            <w:vAlign w:val="bottom"/>
            <w:hideMark/>
          </w:tcPr>
          <w:p w14:paraId="29C4524F" w14:textId="77777777" w:rsidR="00181277" w:rsidRPr="001D105D" w:rsidRDefault="00181277" w:rsidP="00215563">
            <w:pPr>
              <w:spacing w:after="0"/>
              <w:jc w:val="center"/>
              <w:rPr>
                <w:rFonts w:ascii="Calibri" w:eastAsia="Times New Roman" w:hAnsi="Calibri" w:cs="Calibri"/>
                <w:b/>
                <w:color w:val="000000"/>
                <w:sz w:val="18"/>
                <w:szCs w:val="18"/>
              </w:rPr>
            </w:pPr>
            <w:r w:rsidRPr="001D105D">
              <w:rPr>
                <w:rFonts w:ascii="Calibri" w:eastAsia="Times New Roman" w:hAnsi="Calibri" w:cs="Calibri"/>
                <w:b/>
                <w:color w:val="000000"/>
                <w:sz w:val="18"/>
                <w:szCs w:val="18"/>
              </w:rPr>
              <w:t>1,352,762</w:t>
            </w:r>
          </w:p>
        </w:tc>
        <w:tc>
          <w:tcPr>
            <w:tcW w:w="948" w:type="dxa"/>
            <w:shd w:val="clear" w:color="auto" w:fill="FFFFFF" w:themeFill="background1"/>
            <w:noWrap/>
            <w:vAlign w:val="bottom"/>
            <w:hideMark/>
          </w:tcPr>
          <w:p w14:paraId="6B967225" w14:textId="77777777" w:rsidR="00181277" w:rsidRPr="001D105D" w:rsidRDefault="00181277" w:rsidP="00215563">
            <w:pPr>
              <w:spacing w:after="0"/>
              <w:jc w:val="center"/>
              <w:rPr>
                <w:rFonts w:ascii="Calibri" w:eastAsia="Times New Roman" w:hAnsi="Calibri" w:cs="Calibri"/>
                <w:b/>
                <w:color w:val="000000"/>
                <w:sz w:val="18"/>
                <w:szCs w:val="18"/>
              </w:rPr>
            </w:pPr>
            <w:r w:rsidRPr="001D105D">
              <w:rPr>
                <w:rFonts w:ascii="Calibri" w:eastAsia="Times New Roman" w:hAnsi="Calibri" w:cs="Calibri"/>
                <w:b/>
                <w:color w:val="000000"/>
                <w:sz w:val="18"/>
                <w:szCs w:val="18"/>
              </w:rPr>
              <w:t>1,623,770</w:t>
            </w:r>
          </w:p>
        </w:tc>
        <w:tc>
          <w:tcPr>
            <w:tcW w:w="948" w:type="dxa"/>
            <w:shd w:val="clear" w:color="auto" w:fill="FFFFFF" w:themeFill="background1"/>
            <w:noWrap/>
            <w:vAlign w:val="bottom"/>
            <w:hideMark/>
          </w:tcPr>
          <w:p w14:paraId="05A5E04B" w14:textId="77777777" w:rsidR="00181277" w:rsidRPr="001D105D" w:rsidRDefault="00181277" w:rsidP="00215563">
            <w:pPr>
              <w:spacing w:after="0"/>
              <w:jc w:val="center"/>
              <w:rPr>
                <w:rFonts w:ascii="Calibri" w:eastAsia="Times New Roman" w:hAnsi="Calibri" w:cs="Calibri"/>
                <w:b/>
                <w:color w:val="000000"/>
                <w:sz w:val="18"/>
                <w:szCs w:val="18"/>
              </w:rPr>
            </w:pPr>
            <w:r w:rsidRPr="001D105D">
              <w:rPr>
                <w:rFonts w:ascii="Calibri" w:eastAsia="Times New Roman" w:hAnsi="Calibri" w:cs="Calibri"/>
                <w:b/>
                <w:color w:val="000000"/>
                <w:sz w:val="18"/>
                <w:szCs w:val="18"/>
              </w:rPr>
              <w:t>1,947,726</w:t>
            </w:r>
          </w:p>
        </w:tc>
        <w:tc>
          <w:tcPr>
            <w:tcW w:w="948" w:type="dxa"/>
            <w:shd w:val="clear" w:color="auto" w:fill="FFFFFF" w:themeFill="background1"/>
            <w:noWrap/>
            <w:vAlign w:val="bottom"/>
            <w:hideMark/>
          </w:tcPr>
          <w:p w14:paraId="479A519F" w14:textId="77777777" w:rsidR="00181277" w:rsidRPr="001D105D" w:rsidRDefault="00181277" w:rsidP="00215563">
            <w:pPr>
              <w:spacing w:after="0"/>
              <w:jc w:val="center"/>
              <w:rPr>
                <w:rFonts w:ascii="Calibri" w:eastAsia="Times New Roman" w:hAnsi="Calibri" w:cs="Calibri"/>
                <w:b/>
                <w:color w:val="000000"/>
                <w:sz w:val="18"/>
                <w:szCs w:val="18"/>
              </w:rPr>
            </w:pPr>
            <w:r w:rsidRPr="001D105D">
              <w:rPr>
                <w:rFonts w:ascii="Calibri" w:eastAsia="Times New Roman" w:hAnsi="Calibri" w:cs="Calibri"/>
                <w:b/>
                <w:color w:val="000000"/>
                <w:sz w:val="18"/>
                <w:szCs w:val="18"/>
              </w:rPr>
              <w:t>9,798,118</w:t>
            </w:r>
          </w:p>
        </w:tc>
      </w:tr>
      <w:tr w:rsidR="00735033" w:rsidRPr="001D105D" w14:paraId="448DD337" w14:textId="77777777" w:rsidTr="00511D6E">
        <w:trPr>
          <w:trHeight w:val="579"/>
        </w:trPr>
        <w:tc>
          <w:tcPr>
            <w:tcW w:w="1743" w:type="dxa"/>
            <w:shd w:val="clear" w:color="auto" w:fill="FFFFFF" w:themeFill="background1"/>
            <w:vAlign w:val="center"/>
            <w:hideMark/>
          </w:tcPr>
          <w:p w14:paraId="7A5E077B" w14:textId="77777777" w:rsidR="00FE0F65" w:rsidRPr="001D105D" w:rsidRDefault="00181277" w:rsidP="00215563">
            <w:pPr>
              <w:spacing w:after="0"/>
              <w:rPr>
                <w:rFonts w:ascii="Calibri" w:eastAsia="Times New Roman" w:hAnsi="Calibri" w:cs="Calibri"/>
                <w:b/>
                <w:bCs/>
                <w:color w:val="000000"/>
                <w:sz w:val="20"/>
                <w:szCs w:val="20"/>
              </w:rPr>
            </w:pPr>
            <w:r w:rsidRPr="001D105D">
              <w:rPr>
                <w:rFonts w:ascii="Calibri" w:eastAsia="Times New Roman" w:hAnsi="Calibri" w:cs="Calibri"/>
                <w:b/>
                <w:bCs/>
                <w:color w:val="000000"/>
                <w:sz w:val="20"/>
                <w:szCs w:val="20"/>
              </w:rPr>
              <w:t xml:space="preserve">Growth from </w:t>
            </w:r>
          </w:p>
          <w:p w14:paraId="7DEA79D0" w14:textId="7DD1F2D6" w:rsidR="00181277" w:rsidRPr="001D105D" w:rsidRDefault="00181277" w:rsidP="00215563">
            <w:pPr>
              <w:spacing w:after="0"/>
              <w:rPr>
                <w:rFonts w:ascii="Calibri" w:eastAsia="Times New Roman" w:hAnsi="Calibri" w:cs="Calibri"/>
                <w:b/>
                <w:bCs/>
                <w:color w:val="000000"/>
                <w:sz w:val="20"/>
                <w:szCs w:val="20"/>
              </w:rPr>
            </w:pPr>
            <w:r w:rsidRPr="001D105D">
              <w:rPr>
                <w:rFonts w:ascii="Calibri" w:eastAsia="Times New Roman" w:hAnsi="Calibri" w:cs="Calibri"/>
                <w:b/>
                <w:bCs/>
                <w:color w:val="000000"/>
                <w:sz w:val="20"/>
                <w:szCs w:val="20"/>
              </w:rPr>
              <w:t>previous year (%)</w:t>
            </w:r>
          </w:p>
        </w:tc>
        <w:tc>
          <w:tcPr>
            <w:tcW w:w="810" w:type="dxa"/>
            <w:shd w:val="clear" w:color="auto" w:fill="FFFFFF" w:themeFill="background1"/>
            <w:noWrap/>
            <w:vAlign w:val="bottom"/>
            <w:hideMark/>
          </w:tcPr>
          <w:p w14:paraId="275019A6" w14:textId="04F06D76" w:rsidR="00181277" w:rsidRPr="001D105D" w:rsidRDefault="00181277" w:rsidP="00215563">
            <w:pPr>
              <w:spacing w:after="0"/>
              <w:jc w:val="center"/>
              <w:rPr>
                <w:rFonts w:ascii="Calibri" w:eastAsia="Times New Roman" w:hAnsi="Calibri" w:cs="Calibri"/>
                <w:b/>
                <w:color w:val="000000"/>
                <w:sz w:val="18"/>
                <w:szCs w:val="18"/>
              </w:rPr>
            </w:pPr>
          </w:p>
        </w:tc>
        <w:tc>
          <w:tcPr>
            <w:tcW w:w="810" w:type="dxa"/>
            <w:shd w:val="clear" w:color="auto" w:fill="FFFFFF" w:themeFill="background1"/>
            <w:noWrap/>
            <w:vAlign w:val="bottom"/>
            <w:hideMark/>
          </w:tcPr>
          <w:p w14:paraId="46F4BD29" w14:textId="77777777" w:rsidR="00181277" w:rsidRPr="001D105D" w:rsidRDefault="00181277" w:rsidP="00215563">
            <w:pPr>
              <w:spacing w:after="0"/>
              <w:jc w:val="center"/>
              <w:rPr>
                <w:rFonts w:ascii="Calibri" w:eastAsia="Times New Roman" w:hAnsi="Calibri" w:cs="Calibri"/>
                <w:b/>
                <w:color w:val="000000"/>
                <w:sz w:val="18"/>
                <w:szCs w:val="18"/>
              </w:rPr>
            </w:pPr>
            <w:r w:rsidRPr="001D105D">
              <w:rPr>
                <w:rFonts w:ascii="Calibri" w:eastAsia="Times New Roman" w:hAnsi="Calibri" w:cs="Calibri"/>
                <w:b/>
                <w:color w:val="000000"/>
                <w:sz w:val="18"/>
                <w:szCs w:val="18"/>
              </w:rPr>
              <w:t>6%</w:t>
            </w:r>
          </w:p>
        </w:tc>
        <w:tc>
          <w:tcPr>
            <w:tcW w:w="810" w:type="dxa"/>
            <w:shd w:val="clear" w:color="auto" w:fill="FFFFFF" w:themeFill="background1"/>
            <w:noWrap/>
            <w:vAlign w:val="bottom"/>
            <w:hideMark/>
          </w:tcPr>
          <w:p w14:paraId="3609AF27" w14:textId="77777777" w:rsidR="00181277" w:rsidRPr="001D105D" w:rsidRDefault="00181277" w:rsidP="00215563">
            <w:pPr>
              <w:spacing w:after="0"/>
              <w:jc w:val="center"/>
              <w:rPr>
                <w:rFonts w:ascii="Calibri" w:eastAsia="Times New Roman" w:hAnsi="Calibri" w:cs="Calibri"/>
                <w:b/>
                <w:color w:val="000000"/>
                <w:sz w:val="18"/>
                <w:szCs w:val="18"/>
              </w:rPr>
            </w:pPr>
            <w:r w:rsidRPr="001D105D">
              <w:rPr>
                <w:rFonts w:ascii="Calibri" w:eastAsia="Times New Roman" w:hAnsi="Calibri" w:cs="Calibri"/>
                <w:b/>
                <w:color w:val="000000"/>
                <w:sz w:val="18"/>
                <w:szCs w:val="18"/>
              </w:rPr>
              <w:t>10%</w:t>
            </w:r>
          </w:p>
        </w:tc>
        <w:tc>
          <w:tcPr>
            <w:tcW w:w="948" w:type="dxa"/>
            <w:shd w:val="clear" w:color="auto" w:fill="FFFFFF" w:themeFill="background1"/>
            <w:noWrap/>
            <w:vAlign w:val="bottom"/>
            <w:hideMark/>
          </w:tcPr>
          <w:p w14:paraId="2C913C2B" w14:textId="77777777" w:rsidR="00181277" w:rsidRPr="001D105D" w:rsidRDefault="00181277" w:rsidP="00215563">
            <w:pPr>
              <w:spacing w:after="0"/>
              <w:jc w:val="center"/>
              <w:rPr>
                <w:rFonts w:ascii="Calibri" w:eastAsia="Times New Roman" w:hAnsi="Calibri" w:cs="Calibri"/>
                <w:b/>
                <w:color w:val="000000"/>
                <w:sz w:val="18"/>
                <w:szCs w:val="18"/>
              </w:rPr>
            </w:pPr>
            <w:r w:rsidRPr="001D105D">
              <w:rPr>
                <w:rFonts w:ascii="Calibri" w:eastAsia="Times New Roman" w:hAnsi="Calibri" w:cs="Calibri"/>
                <w:b/>
                <w:color w:val="000000"/>
                <w:sz w:val="18"/>
                <w:szCs w:val="18"/>
              </w:rPr>
              <w:t>14%</w:t>
            </w:r>
          </w:p>
        </w:tc>
        <w:tc>
          <w:tcPr>
            <w:tcW w:w="948" w:type="dxa"/>
            <w:shd w:val="clear" w:color="auto" w:fill="FFFFFF" w:themeFill="background1"/>
            <w:noWrap/>
            <w:vAlign w:val="bottom"/>
            <w:hideMark/>
          </w:tcPr>
          <w:p w14:paraId="5ABDFEA8" w14:textId="77777777" w:rsidR="00181277" w:rsidRPr="001D105D" w:rsidRDefault="00181277" w:rsidP="00215563">
            <w:pPr>
              <w:spacing w:after="0"/>
              <w:jc w:val="center"/>
              <w:rPr>
                <w:rFonts w:ascii="Calibri" w:eastAsia="Times New Roman" w:hAnsi="Calibri" w:cs="Calibri"/>
                <w:b/>
                <w:color w:val="000000"/>
                <w:sz w:val="18"/>
                <w:szCs w:val="18"/>
              </w:rPr>
            </w:pPr>
            <w:r w:rsidRPr="001D105D">
              <w:rPr>
                <w:rFonts w:ascii="Calibri" w:eastAsia="Times New Roman" w:hAnsi="Calibri" w:cs="Calibri"/>
                <w:b/>
                <w:color w:val="000000"/>
                <w:sz w:val="18"/>
                <w:szCs w:val="18"/>
              </w:rPr>
              <w:t>11%</w:t>
            </w:r>
          </w:p>
        </w:tc>
        <w:tc>
          <w:tcPr>
            <w:tcW w:w="948" w:type="dxa"/>
            <w:shd w:val="clear" w:color="auto" w:fill="FFFFFF" w:themeFill="background1"/>
            <w:noWrap/>
            <w:vAlign w:val="bottom"/>
            <w:hideMark/>
          </w:tcPr>
          <w:p w14:paraId="45DF6659" w14:textId="77777777" w:rsidR="00181277" w:rsidRPr="001D105D" w:rsidRDefault="00181277" w:rsidP="00215563">
            <w:pPr>
              <w:spacing w:after="0"/>
              <w:jc w:val="center"/>
              <w:rPr>
                <w:rFonts w:ascii="Calibri" w:eastAsia="Times New Roman" w:hAnsi="Calibri" w:cs="Calibri"/>
                <w:b/>
                <w:color w:val="000000"/>
                <w:sz w:val="18"/>
                <w:szCs w:val="18"/>
              </w:rPr>
            </w:pPr>
            <w:r w:rsidRPr="001D105D">
              <w:rPr>
                <w:rFonts w:ascii="Calibri" w:eastAsia="Times New Roman" w:hAnsi="Calibri" w:cs="Calibri"/>
                <w:b/>
                <w:color w:val="000000"/>
                <w:sz w:val="18"/>
                <w:szCs w:val="18"/>
              </w:rPr>
              <w:t>13%</w:t>
            </w:r>
          </w:p>
        </w:tc>
        <w:tc>
          <w:tcPr>
            <w:tcW w:w="948" w:type="dxa"/>
            <w:shd w:val="clear" w:color="auto" w:fill="FFFFFF" w:themeFill="background1"/>
            <w:noWrap/>
            <w:vAlign w:val="bottom"/>
            <w:hideMark/>
          </w:tcPr>
          <w:p w14:paraId="26662CB7" w14:textId="77777777" w:rsidR="00181277" w:rsidRPr="001D105D" w:rsidRDefault="00181277" w:rsidP="00215563">
            <w:pPr>
              <w:spacing w:after="0"/>
              <w:jc w:val="center"/>
              <w:rPr>
                <w:rFonts w:ascii="Calibri" w:eastAsia="Times New Roman" w:hAnsi="Calibri" w:cs="Calibri"/>
                <w:b/>
                <w:color w:val="000000"/>
                <w:sz w:val="18"/>
                <w:szCs w:val="18"/>
              </w:rPr>
            </w:pPr>
            <w:r w:rsidRPr="001D105D">
              <w:rPr>
                <w:rFonts w:ascii="Calibri" w:eastAsia="Times New Roman" w:hAnsi="Calibri" w:cs="Calibri"/>
                <w:b/>
                <w:color w:val="000000"/>
                <w:sz w:val="18"/>
                <w:szCs w:val="18"/>
              </w:rPr>
              <w:t>20%</w:t>
            </w:r>
          </w:p>
        </w:tc>
        <w:tc>
          <w:tcPr>
            <w:tcW w:w="948" w:type="dxa"/>
            <w:shd w:val="clear" w:color="auto" w:fill="FFFFFF" w:themeFill="background1"/>
            <w:noWrap/>
            <w:vAlign w:val="bottom"/>
            <w:hideMark/>
          </w:tcPr>
          <w:p w14:paraId="38CE2DCA" w14:textId="77777777" w:rsidR="00181277" w:rsidRPr="001D105D" w:rsidRDefault="00181277" w:rsidP="00215563">
            <w:pPr>
              <w:spacing w:after="0"/>
              <w:jc w:val="center"/>
              <w:rPr>
                <w:rFonts w:ascii="Calibri" w:eastAsia="Times New Roman" w:hAnsi="Calibri" w:cs="Calibri"/>
                <w:b/>
                <w:color w:val="000000"/>
                <w:sz w:val="18"/>
                <w:szCs w:val="18"/>
              </w:rPr>
            </w:pPr>
            <w:r w:rsidRPr="001D105D">
              <w:rPr>
                <w:rFonts w:ascii="Calibri" w:eastAsia="Times New Roman" w:hAnsi="Calibri" w:cs="Calibri"/>
                <w:b/>
                <w:color w:val="000000"/>
                <w:sz w:val="18"/>
                <w:szCs w:val="18"/>
              </w:rPr>
              <w:t>20%</w:t>
            </w:r>
          </w:p>
        </w:tc>
        <w:tc>
          <w:tcPr>
            <w:tcW w:w="948" w:type="dxa"/>
            <w:shd w:val="clear" w:color="auto" w:fill="FFFFFF" w:themeFill="background1"/>
            <w:noWrap/>
            <w:vAlign w:val="bottom"/>
            <w:hideMark/>
          </w:tcPr>
          <w:p w14:paraId="58BF78E5" w14:textId="24C1B550" w:rsidR="00181277" w:rsidRPr="001D105D" w:rsidRDefault="00181277" w:rsidP="00215563">
            <w:pPr>
              <w:spacing w:after="0"/>
              <w:jc w:val="center"/>
              <w:rPr>
                <w:rFonts w:ascii="Calibri" w:eastAsia="Times New Roman" w:hAnsi="Calibri" w:cs="Calibri"/>
                <w:b/>
                <w:color w:val="000000"/>
                <w:sz w:val="18"/>
                <w:szCs w:val="18"/>
              </w:rPr>
            </w:pPr>
          </w:p>
        </w:tc>
      </w:tr>
    </w:tbl>
    <w:p w14:paraId="3BF1748E" w14:textId="77777777" w:rsidR="00B21A5E" w:rsidRPr="001D105D" w:rsidRDefault="00FE0F65" w:rsidP="00215563">
      <w:pPr>
        <w:spacing w:line="276" w:lineRule="auto"/>
        <w:ind w:left="-284"/>
      </w:pPr>
      <w:r w:rsidRPr="001D105D">
        <w:rPr>
          <w:sz w:val="20"/>
          <w:szCs w:val="20"/>
        </w:rPr>
        <w:t>Source: Services Australia prescriptions database, extracted March 2021</w:t>
      </w:r>
      <w:r w:rsidR="00BF4386" w:rsidRPr="001D105D">
        <w:t xml:space="preserve"> </w:t>
      </w:r>
    </w:p>
    <w:p w14:paraId="39B85D14" w14:textId="7006477D" w:rsidR="008C30DC" w:rsidRPr="001D105D" w:rsidRDefault="008C30DC" w:rsidP="00215563">
      <w:pPr>
        <w:spacing w:line="276" w:lineRule="auto"/>
        <w:rPr>
          <w:b/>
          <w:i/>
        </w:rPr>
      </w:pPr>
      <w:r w:rsidRPr="001D105D">
        <w:rPr>
          <w:b/>
          <w:i/>
        </w:rPr>
        <w:t>Patients initiating and prevalent to ADHD therapy</w:t>
      </w:r>
    </w:p>
    <w:p w14:paraId="70D7A699" w14:textId="366387D3" w:rsidR="008F1992" w:rsidRPr="001D105D" w:rsidRDefault="008F1992" w:rsidP="00215563">
      <w:pPr>
        <w:spacing w:before="240"/>
      </w:pPr>
      <w:r w:rsidRPr="001D105D">
        <w:t xml:space="preserve">The total </w:t>
      </w:r>
      <w:r w:rsidR="00B76BE7" w:rsidRPr="001D105D">
        <w:t xml:space="preserve">number of new patients starting ADHD medicines (initiating) </w:t>
      </w:r>
      <w:r w:rsidRPr="001D105D">
        <w:t xml:space="preserve">and the </w:t>
      </w:r>
      <w:r w:rsidR="00B76BE7" w:rsidRPr="001D105D">
        <w:t xml:space="preserve">number of patients treated with </w:t>
      </w:r>
      <w:r w:rsidR="004100AB" w:rsidRPr="001D105D">
        <w:t>R/</w:t>
      </w:r>
      <w:r w:rsidR="00B76BE7" w:rsidRPr="001D105D">
        <w:t xml:space="preserve">PBS-listed ADHD medicines each quarter (prevalent) </w:t>
      </w:r>
      <w:r w:rsidR="00583C89" w:rsidRPr="001D105D">
        <w:t xml:space="preserve">are </w:t>
      </w:r>
      <w:r w:rsidRPr="001D105D">
        <w:t xml:space="preserve">shown in Figure </w:t>
      </w:r>
      <w:r w:rsidR="009E3176" w:rsidRPr="001D105D">
        <w:t>2</w:t>
      </w:r>
      <w:r w:rsidR="001B6A59" w:rsidRPr="001D105D">
        <w:t>.</w:t>
      </w:r>
      <w:r w:rsidR="00A464B4" w:rsidRPr="001D105D">
        <w:t xml:space="preserve"> </w:t>
      </w:r>
    </w:p>
    <w:p w14:paraId="7599DFEA" w14:textId="55BB7A6E" w:rsidR="00E1502D" w:rsidRPr="001D105D" w:rsidRDefault="0065385A" w:rsidP="00215563">
      <w:pPr>
        <w:spacing w:before="240"/>
      </w:pPr>
      <w:r w:rsidRPr="001D105D">
        <w:rPr>
          <w:noProof/>
        </w:rPr>
        <w:drawing>
          <wp:inline distT="0" distB="0" distL="0" distR="0" wp14:anchorId="1454C480" wp14:editId="4BB6FE76">
            <wp:extent cx="5687695" cy="3706495"/>
            <wp:effectExtent l="0" t="0" r="8255" b="825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37694A9" w14:textId="320E0DBD" w:rsidR="0081671C" w:rsidRPr="001D105D" w:rsidRDefault="008C30DC" w:rsidP="00215563">
      <w:pPr>
        <w:pStyle w:val="Figuretitle"/>
      </w:pPr>
      <w:r w:rsidRPr="001D105D">
        <w:t xml:space="preserve">Figure </w:t>
      </w:r>
      <w:r w:rsidR="009E3176" w:rsidRPr="001D105D">
        <w:t>2</w:t>
      </w:r>
      <w:r w:rsidRPr="001D105D">
        <w:t xml:space="preserve">: </w:t>
      </w:r>
      <w:r w:rsidR="00F62794" w:rsidRPr="001D105D">
        <w:t xml:space="preserve">Prevalent and initiating </w:t>
      </w:r>
      <w:r w:rsidR="00562AE7" w:rsidRPr="001D105D">
        <w:t xml:space="preserve">patients receiving ADHD therapy </w:t>
      </w:r>
      <w:r w:rsidR="00066BED" w:rsidRPr="001D105D">
        <w:t>per quarter</w:t>
      </w:r>
      <w:r w:rsidR="00562AE7" w:rsidRPr="001D105D">
        <w:t xml:space="preserve"> </w:t>
      </w:r>
    </w:p>
    <w:p w14:paraId="27320A09" w14:textId="14D230EE" w:rsidR="008C30DC" w:rsidRPr="00215563" w:rsidRDefault="008C30DC" w:rsidP="00215563">
      <w:pPr>
        <w:pStyle w:val="Notes"/>
      </w:pPr>
      <w:r w:rsidRPr="00215563">
        <w:t xml:space="preserve">Source: </w:t>
      </w:r>
      <w:r w:rsidR="00562AE7" w:rsidRPr="00215563">
        <w:t xml:space="preserve">Services Australia </w:t>
      </w:r>
      <w:r w:rsidRPr="00215563">
        <w:t xml:space="preserve">prescriptions database, extracted </w:t>
      </w:r>
      <w:r w:rsidR="00562AE7" w:rsidRPr="00215563">
        <w:t>March 2021</w:t>
      </w:r>
    </w:p>
    <w:p w14:paraId="6C81500A" w14:textId="122D8516" w:rsidR="00B020AB" w:rsidRPr="001D105D" w:rsidRDefault="00B020AB" w:rsidP="00215563">
      <w:r w:rsidRPr="001D105D">
        <w:lastRenderedPageBreak/>
        <w:t>The number of new patients</w:t>
      </w:r>
      <w:r w:rsidR="00274269" w:rsidRPr="001D105D">
        <w:t xml:space="preserve"> </w:t>
      </w:r>
      <w:r w:rsidRPr="001D105D">
        <w:t>tends to increase during the year reaching a peak in the third quarter</w:t>
      </w:r>
      <w:r w:rsidR="00562AE7" w:rsidRPr="001D105D">
        <w:t xml:space="preserve"> of each year</w:t>
      </w:r>
      <w:r w:rsidRPr="001D105D">
        <w:t>.</w:t>
      </w:r>
    </w:p>
    <w:p w14:paraId="37E8912F" w14:textId="3042B387" w:rsidR="008C30DC" w:rsidRPr="001D105D" w:rsidRDefault="00182795" w:rsidP="00215563">
      <w:r w:rsidRPr="001D105D">
        <w:t>T</w:t>
      </w:r>
      <w:r w:rsidR="008C30DC" w:rsidRPr="001D105D">
        <w:t>he</w:t>
      </w:r>
      <w:r w:rsidR="00AA6DA6" w:rsidRPr="001D105D">
        <w:t xml:space="preserve"> </w:t>
      </w:r>
      <w:r w:rsidR="00D144D4" w:rsidRPr="001D105D">
        <w:t>total number of patients on ADHD medicines</w:t>
      </w:r>
      <w:r w:rsidR="00AA6DA6" w:rsidRPr="001D105D">
        <w:t xml:space="preserve"> has increased </w:t>
      </w:r>
      <w:r w:rsidR="00274269" w:rsidRPr="001D105D">
        <w:t>over time</w:t>
      </w:r>
      <w:r w:rsidR="00AA6DA6" w:rsidRPr="001D105D">
        <w:t xml:space="preserve">. </w:t>
      </w:r>
      <w:r w:rsidR="00A52B96" w:rsidRPr="001D105D">
        <w:t xml:space="preserve">The </w:t>
      </w:r>
      <w:r w:rsidR="003759EE" w:rsidRPr="001D105D">
        <w:t>average annual growth rate</w:t>
      </w:r>
      <w:r w:rsidR="00B76BE7" w:rsidRPr="001D105D">
        <w:t xml:space="preserve"> from </w:t>
      </w:r>
      <w:r w:rsidR="00D144D4" w:rsidRPr="001D105D">
        <w:t>201</w:t>
      </w:r>
      <w:r w:rsidR="009E3176" w:rsidRPr="001D105D">
        <w:t>3</w:t>
      </w:r>
      <w:r w:rsidR="00B76BE7" w:rsidRPr="001D105D">
        <w:t xml:space="preserve"> to 20</w:t>
      </w:r>
      <w:r w:rsidR="00562AE7" w:rsidRPr="001D105D">
        <w:t>20</w:t>
      </w:r>
      <w:r w:rsidR="003759EE" w:rsidRPr="001D105D">
        <w:t xml:space="preserve"> </w:t>
      </w:r>
      <w:r w:rsidR="00B76BE7" w:rsidRPr="001D105D">
        <w:t>was</w:t>
      </w:r>
      <w:r w:rsidR="003759EE" w:rsidRPr="001D105D">
        <w:t xml:space="preserve"> </w:t>
      </w:r>
      <w:r w:rsidR="00181277" w:rsidRPr="001D105D">
        <w:t>12.6</w:t>
      </w:r>
      <w:r w:rsidR="004B2371" w:rsidRPr="001D105D">
        <w:t>%</w:t>
      </w:r>
      <w:r w:rsidR="001A1208" w:rsidRPr="001D105D">
        <w:t xml:space="preserve">, while </w:t>
      </w:r>
      <w:r w:rsidR="003759EE" w:rsidRPr="001D105D">
        <w:t>t</w:t>
      </w:r>
      <w:r w:rsidR="008C30DC" w:rsidRPr="001D105D">
        <w:t>he number</w:t>
      </w:r>
      <w:r w:rsidR="003759EE" w:rsidRPr="001D105D">
        <w:t xml:space="preserve"> of initiating pa</w:t>
      </w:r>
      <w:r w:rsidR="006049B6" w:rsidRPr="001D105D">
        <w:t xml:space="preserve">tients </w:t>
      </w:r>
      <w:r w:rsidR="009E3176" w:rsidRPr="001D105D">
        <w:t>had an</w:t>
      </w:r>
      <w:r w:rsidR="00A52B96" w:rsidRPr="001D105D">
        <w:t xml:space="preserve"> </w:t>
      </w:r>
      <w:r w:rsidR="003759EE" w:rsidRPr="001D105D">
        <w:t>av</w:t>
      </w:r>
      <w:r w:rsidR="00600959" w:rsidRPr="001D105D">
        <w:t xml:space="preserve">erage annual growth rate of </w:t>
      </w:r>
      <w:r w:rsidR="005F16DF" w:rsidRPr="001D105D">
        <w:t>15</w:t>
      </w:r>
      <w:r w:rsidR="00FE0F65" w:rsidRPr="001D105D">
        <w:t>.5</w:t>
      </w:r>
      <w:r w:rsidR="003759EE" w:rsidRPr="001D105D">
        <w:t>%</w:t>
      </w:r>
      <w:r w:rsidR="005D5586" w:rsidRPr="001D105D">
        <w:t xml:space="preserve"> </w:t>
      </w:r>
      <w:r w:rsidR="00B76BE7" w:rsidRPr="001D105D">
        <w:t xml:space="preserve">over </w:t>
      </w:r>
      <w:r w:rsidR="009E3176" w:rsidRPr="001D105D">
        <w:t>201</w:t>
      </w:r>
      <w:r w:rsidR="005F16DF" w:rsidRPr="001D105D">
        <w:t>4</w:t>
      </w:r>
      <w:r w:rsidR="009E3176" w:rsidRPr="001D105D">
        <w:t xml:space="preserve"> to 20</w:t>
      </w:r>
      <w:r w:rsidR="005F16DF" w:rsidRPr="001D105D">
        <w:t>20</w:t>
      </w:r>
      <w:r w:rsidR="008C30DC" w:rsidRPr="001D105D">
        <w:t>.</w:t>
      </w:r>
    </w:p>
    <w:p w14:paraId="70169429" w14:textId="1B7D5C3B" w:rsidR="008C30DC" w:rsidRPr="001D105D" w:rsidRDefault="009E3176" w:rsidP="00215563">
      <w:pPr>
        <w:rPr>
          <w:rFonts w:eastAsia="MS Mincho" w:cs="Times New Roman"/>
        </w:rPr>
      </w:pPr>
      <w:r w:rsidRPr="001D105D">
        <w:rPr>
          <w:rFonts w:eastAsia="MS Mincho" w:cs="Times New Roman"/>
        </w:rPr>
        <w:t xml:space="preserve">Figure </w:t>
      </w:r>
      <w:r w:rsidR="00533BDE" w:rsidRPr="001D105D">
        <w:rPr>
          <w:rFonts w:eastAsia="MS Mincho" w:cs="Times New Roman"/>
        </w:rPr>
        <w:t>3</w:t>
      </w:r>
      <w:r w:rsidR="008C30DC" w:rsidRPr="001D105D">
        <w:rPr>
          <w:rFonts w:eastAsia="MS Mincho" w:cs="Times New Roman"/>
        </w:rPr>
        <w:t xml:space="preserve"> </w:t>
      </w:r>
      <w:r w:rsidR="00D07B7A" w:rsidRPr="001D105D">
        <w:rPr>
          <w:rFonts w:eastAsia="MS Mincho" w:cs="Times New Roman"/>
        </w:rPr>
        <w:t>shows</w:t>
      </w:r>
      <w:r w:rsidR="008C30DC" w:rsidRPr="001D105D">
        <w:rPr>
          <w:rFonts w:eastAsia="MS Mincho" w:cs="Times New Roman"/>
        </w:rPr>
        <w:t xml:space="preserve"> </w:t>
      </w:r>
      <w:r w:rsidR="0060654B" w:rsidRPr="001D105D">
        <w:rPr>
          <w:rFonts w:eastAsia="MS Mincho" w:cs="Times New Roman"/>
        </w:rPr>
        <w:t xml:space="preserve">the </w:t>
      </w:r>
      <w:r w:rsidR="005A70D4" w:rsidRPr="001D105D">
        <w:rPr>
          <w:rFonts w:eastAsia="MS Mincho" w:cs="Times New Roman"/>
        </w:rPr>
        <w:t xml:space="preserve">number </w:t>
      </w:r>
      <w:r w:rsidR="0060654B" w:rsidRPr="001D105D">
        <w:rPr>
          <w:rFonts w:eastAsia="MS Mincho" w:cs="Times New Roman"/>
        </w:rPr>
        <w:t xml:space="preserve">of </w:t>
      </w:r>
      <w:r w:rsidR="005A70D4" w:rsidRPr="001D105D">
        <w:rPr>
          <w:rFonts w:eastAsia="MS Mincho" w:cs="Times New Roman"/>
        </w:rPr>
        <w:t>init</w:t>
      </w:r>
      <w:r w:rsidR="002D59AD" w:rsidRPr="001D105D">
        <w:rPr>
          <w:rFonts w:eastAsia="MS Mincho" w:cs="Times New Roman"/>
        </w:rPr>
        <w:t>i</w:t>
      </w:r>
      <w:r w:rsidR="005A70D4" w:rsidRPr="001D105D">
        <w:rPr>
          <w:rFonts w:eastAsia="MS Mincho" w:cs="Times New Roman"/>
        </w:rPr>
        <w:t xml:space="preserve">ating </w:t>
      </w:r>
      <w:r w:rsidR="0060654B" w:rsidRPr="001D105D">
        <w:rPr>
          <w:rFonts w:eastAsia="MS Mincho" w:cs="Times New Roman"/>
        </w:rPr>
        <w:t xml:space="preserve">patients per quarter by their first ever </w:t>
      </w:r>
      <w:r w:rsidR="004100AB" w:rsidRPr="001D105D">
        <w:rPr>
          <w:rFonts w:eastAsia="MS Mincho" w:cs="Times New Roman"/>
        </w:rPr>
        <w:t>R/</w:t>
      </w:r>
      <w:r w:rsidR="0060654B" w:rsidRPr="001D105D">
        <w:rPr>
          <w:rFonts w:eastAsia="MS Mincho" w:cs="Times New Roman"/>
        </w:rPr>
        <w:t>PBS-subsidised ADHD medicine supplied</w:t>
      </w:r>
      <w:r w:rsidR="007D350E" w:rsidRPr="001D105D">
        <w:rPr>
          <w:rFonts w:eastAsia="MS Mincho" w:cs="Times New Roman"/>
        </w:rPr>
        <w:t xml:space="preserve"> in 201</w:t>
      </w:r>
      <w:r w:rsidR="00562AE7" w:rsidRPr="001D105D">
        <w:rPr>
          <w:rFonts w:eastAsia="MS Mincho" w:cs="Times New Roman"/>
        </w:rPr>
        <w:t>4</w:t>
      </w:r>
      <w:r w:rsidR="007D350E" w:rsidRPr="001D105D">
        <w:rPr>
          <w:rFonts w:eastAsia="MS Mincho" w:cs="Times New Roman"/>
        </w:rPr>
        <w:t xml:space="preserve"> to 20</w:t>
      </w:r>
      <w:r w:rsidR="00562AE7" w:rsidRPr="001D105D">
        <w:rPr>
          <w:rFonts w:eastAsia="MS Mincho" w:cs="Times New Roman"/>
        </w:rPr>
        <w:t>20</w:t>
      </w:r>
      <w:r w:rsidRPr="001D105D">
        <w:rPr>
          <w:rFonts w:eastAsia="MS Mincho" w:cs="Times New Roman"/>
        </w:rPr>
        <w:t xml:space="preserve">. </w:t>
      </w:r>
    </w:p>
    <w:p w14:paraId="2D3ECBCD" w14:textId="15E6704A" w:rsidR="008C30DC" w:rsidRPr="001D105D" w:rsidRDefault="00533BDE" w:rsidP="00215563">
      <w:r w:rsidRPr="001D105D">
        <w:rPr>
          <w:noProof/>
        </w:rPr>
        <w:drawing>
          <wp:inline distT="0" distB="0" distL="0" distR="0" wp14:anchorId="446E8B84" wp14:editId="7921DF4E">
            <wp:extent cx="5687695" cy="3706495"/>
            <wp:effectExtent l="0" t="0" r="8255" b="825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D1D4852" w14:textId="4D75E4C9" w:rsidR="008C30DC" w:rsidRPr="001D105D" w:rsidRDefault="008C30DC" w:rsidP="00215563">
      <w:pPr>
        <w:pStyle w:val="Figuretitle"/>
      </w:pPr>
      <w:r w:rsidRPr="001D105D">
        <w:t xml:space="preserve">Figure </w:t>
      </w:r>
      <w:r w:rsidR="00533BDE" w:rsidRPr="001D105D">
        <w:t>3</w:t>
      </w:r>
      <w:r w:rsidRPr="001D105D">
        <w:t xml:space="preserve">: Number of patients </w:t>
      </w:r>
      <w:r w:rsidR="005A70D4" w:rsidRPr="001D105D">
        <w:t xml:space="preserve">initiating ADHD therapy </w:t>
      </w:r>
      <w:r w:rsidR="00E866DE" w:rsidRPr="001D105D">
        <w:t xml:space="preserve">by </w:t>
      </w:r>
      <w:r w:rsidR="00226940" w:rsidRPr="001D105D">
        <w:t xml:space="preserve">initiating </w:t>
      </w:r>
      <w:r w:rsidR="00E866DE" w:rsidRPr="001D105D">
        <w:t>medicine</w:t>
      </w:r>
      <w:r w:rsidR="00835A39" w:rsidRPr="001D105D">
        <w:t xml:space="preserve"> (</w:t>
      </w:r>
      <w:r w:rsidR="005A70D4" w:rsidRPr="001D105D">
        <w:t xml:space="preserve">i.e. </w:t>
      </w:r>
      <w:r w:rsidR="00835A39" w:rsidRPr="001D105D">
        <w:t>first</w:t>
      </w:r>
      <w:r w:rsidR="00E866DE" w:rsidRPr="001D105D">
        <w:t xml:space="preserve"> ever prescription for </w:t>
      </w:r>
      <w:r w:rsidR="005A70D4" w:rsidRPr="001D105D">
        <w:t xml:space="preserve">an </w:t>
      </w:r>
      <w:r w:rsidR="00E866DE" w:rsidRPr="001D105D">
        <w:t>ADHD</w:t>
      </w:r>
      <w:r w:rsidR="005A70D4" w:rsidRPr="001D105D">
        <w:t xml:space="preserve"> medicine, not including clonidine</w:t>
      </w:r>
      <w:r w:rsidR="00835A39" w:rsidRPr="001D105D">
        <w:t>)</w:t>
      </w:r>
    </w:p>
    <w:p w14:paraId="476C4B41" w14:textId="35505694" w:rsidR="008C30DC" w:rsidRPr="001D105D" w:rsidRDefault="008C30DC" w:rsidP="00215563">
      <w:pPr>
        <w:pStyle w:val="Notes"/>
      </w:pPr>
      <w:r w:rsidRPr="001D105D">
        <w:t xml:space="preserve">Source: </w:t>
      </w:r>
      <w:r w:rsidR="002C3959" w:rsidRPr="001D105D">
        <w:t xml:space="preserve">Services Australia </w:t>
      </w:r>
      <w:r w:rsidRPr="001D105D">
        <w:t xml:space="preserve">prescriptions database, extracted </w:t>
      </w:r>
      <w:r w:rsidR="002C3959" w:rsidRPr="001D105D">
        <w:t>March 2021</w:t>
      </w:r>
      <w:r w:rsidR="00533BDE" w:rsidRPr="001D105D">
        <w:t xml:space="preserve">. Initiating patients are determined </w:t>
      </w:r>
      <w:r w:rsidR="00365F26" w:rsidRPr="001D105D">
        <w:t>as</w:t>
      </w:r>
      <w:r w:rsidR="00533BDE" w:rsidRPr="001D105D">
        <w:t xml:space="preserve"> having no ADHD prescriptions since April 2012.</w:t>
      </w:r>
      <w:r w:rsidR="009F74A4" w:rsidRPr="001D105D">
        <w:br/>
        <w:t xml:space="preserve">*MPH-MR Consists of both </w:t>
      </w:r>
      <w:proofErr w:type="spellStart"/>
      <w:r w:rsidR="009F74A4" w:rsidRPr="001D105D">
        <w:t>Concerta</w:t>
      </w:r>
      <w:proofErr w:type="spellEnd"/>
      <w:r w:rsidR="009F74A4" w:rsidRPr="001D105D">
        <w:t>® and Ritalin LA®</w:t>
      </w:r>
    </w:p>
    <w:p w14:paraId="208FD1CF" w14:textId="63519DC7" w:rsidR="00C72ACB" w:rsidRPr="001D105D" w:rsidRDefault="001029CA" w:rsidP="00215563">
      <w:pPr>
        <w:rPr>
          <w:rFonts w:eastAsia="MS Mincho" w:cs="Times New Roman"/>
        </w:rPr>
      </w:pPr>
      <w:proofErr w:type="gramStart"/>
      <w:r w:rsidRPr="001D105D">
        <w:rPr>
          <w:rFonts w:eastAsia="MS Mincho" w:cs="Times New Roman"/>
        </w:rPr>
        <w:t>The majority of</w:t>
      </w:r>
      <w:proofErr w:type="gramEnd"/>
      <w:r w:rsidRPr="001D105D">
        <w:rPr>
          <w:rFonts w:eastAsia="MS Mincho" w:cs="Times New Roman"/>
        </w:rPr>
        <w:t xml:space="preserve"> </w:t>
      </w:r>
      <w:r w:rsidR="005A70D4" w:rsidRPr="001D105D">
        <w:rPr>
          <w:rFonts w:eastAsia="MS Mincho" w:cs="Times New Roman"/>
        </w:rPr>
        <w:t xml:space="preserve">initiating </w:t>
      </w:r>
      <w:r w:rsidRPr="001D105D">
        <w:rPr>
          <w:rFonts w:eastAsia="MS Mincho" w:cs="Times New Roman"/>
        </w:rPr>
        <w:t xml:space="preserve">patients </w:t>
      </w:r>
      <w:r w:rsidR="00E8795E" w:rsidRPr="001D105D">
        <w:rPr>
          <w:rFonts w:eastAsia="MS Mincho" w:cs="Times New Roman"/>
        </w:rPr>
        <w:t xml:space="preserve">(Figure </w:t>
      </w:r>
      <w:r w:rsidR="00533BDE" w:rsidRPr="001D105D">
        <w:rPr>
          <w:rFonts w:eastAsia="MS Mincho" w:cs="Times New Roman"/>
        </w:rPr>
        <w:t>3</w:t>
      </w:r>
      <w:r w:rsidR="00E8795E" w:rsidRPr="001D105D">
        <w:rPr>
          <w:rFonts w:eastAsia="MS Mincho" w:cs="Times New Roman"/>
        </w:rPr>
        <w:t xml:space="preserve">) </w:t>
      </w:r>
      <w:r w:rsidRPr="001D105D">
        <w:rPr>
          <w:rFonts w:eastAsia="MS Mincho" w:cs="Times New Roman"/>
        </w:rPr>
        <w:t>commence</w:t>
      </w:r>
      <w:r w:rsidR="008C30DC" w:rsidRPr="001D105D">
        <w:rPr>
          <w:rFonts w:eastAsia="MS Mincho" w:cs="Times New Roman"/>
        </w:rPr>
        <w:t xml:space="preserve"> </w:t>
      </w:r>
      <w:r w:rsidR="004100AB" w:rsidRPr="001D105D">
        <w:rPr>
          <w:rFonts w:eastAsia="MS Mincho" w:cs="Times New Roman"/>
        </w:rPr>
        <w:t>R/</w:t>
      </w:r>
      <w:r w:rsidR="008C30DC" w:rsidRPr="001D105D">
        <w:rPr>
          <w:rFonts w:eastAsia="MS Mincho" w:cs="Times New Roman"/>
        </w:rPr>
        <w:t xml:space="preserve">PBS </w:t>
      </w:r>
      <w:r w:rsidR="00583C89" w:rsidRPr="001D105D">
        <w:rPr>
          <w:rFonts w:eastAsia="MS Mincho" w:cs="Times New Roman"/>
        </w:rPr>
        <w:t xml:space="preserve">ADHD </w:t>
      </w:r>
      <w:r w:rsidR="008C30DC" w:rsidRPr="001D105D">
        <w:rPr>
          <w:rFonts w:eastAsia="MS Mincho" w:cs="Times New Roman"/>
        </w:rPr>
        <w:t xml:space="preserve">therapy </w:t>
      </w:r>
      <w:r w:rsidR="004834C3" w:rsidRPr="001D105D">
        <w:rPr>
          <w:rFonts w:eastAsia="MS Mincho" w:cs="Times New Roman"/>
        </w:rPr>
        <w:t>with short-</w:t>
      </w:r>
      <w:r w:rsidRPr="001D105D">
        <w:rPr>
          <w:rFonts w:eastAsia="MS Mincho" w:cs="Times New Roman"/>
        </w:rPr>
        <w:t>acting medicines</w:t>
      </w:r>
      <w:r w:rsidR="002F2B5A" w:rsidRPr="001D105D">
        <w:rPr>
          <w:rFonts w:eastAsia="MS Mincho" w:cs="Times New Roman"/>
        </w:rPr>
        <w:t xml:space="preserve">, particularly </w:t>
      </w:r>
      <w:r w:rsidR="00174C83" w:rsidRPr="001D105D">
        <w:rPr>
          <w:rFonts w:eastAsia="MS Mincho" w:cs="Times New Roman"/>
        </w:rPr>
        <w:t>short-acting methylphenidate</w:t>
      </w:r>
      <w:r w:rsidR="002F2B5A" w:rsidRPr="001D105D">
        <w:rPr>
          <w:rFonts w:eastAsia="MS Mincho" w:cs="Times New Roman"/>
        </w:rPr>
        <w:t xml:space="preserve">. </w:t>
      </w:r>
      <w:r w:rsidR="00C72ACB" w:rsidRPr="001D105D">
        <w:rPr>
          <w:rFonts w:eastAsia="MS Mincho" w:cs="Times New Roman"/>
        </w:rPr>
        <w:t>T</w:t>
      </w:r>
      <w:r w:rsidR="00E82365" w:rsidRPr="001D105D">
        <w:rPr>
          <w:rFonts w:eastAsia="MS Mincho" w:cs="Times New Roman"/>
        </w:rPr>
        <w:t xml:space="preserve">here has been </w:t>
      </w:r>
      <w:r w:rsidR="008F346D" w:rsidRPr="001D105D">
        <w:rPr>
          <w:rFonts w:eastAsia="MS Mincho" w:cs="Times New Roman"/>
        </w:rPr>
        <w:t>considerable</w:t>
      </w:r>
      <w:r w:rsidR="00E82365" w:rsidRPr="001D105D">
        <w:rPr>
          <w:rFonts w:eastAsia="MS Mincho" w:cs="Times New Roman"/>
        </w:rPr>
        <w:t xml:space="preserve"> uptake in </w:t>
      </w:r>
      <w:proofErr w:type="spellStart"/>
      <w:r w:rsidR="00E82365" w:rsidRPr="001D105D">
        <w:rPr>
          <w:rFonts w:eastAsia="MS Mincho" w:cs="Times New Roman"/>
        </w:rPr>
        <w:t>lisdexamfetamine</w:t>
      </w:r>
      <w:proofErr w:type="spellEnd"/>
      <w:r w:rsidR="00E82365" w:rsidRPr="001D105D">
        <w:rPr>
          <w:rFonts w:eastAsia="MS Mincho" w:cs="Times New Roman"/>
        </w:rPr>
        <w:t xml:space="preserve"> </w:t>
      </w:r>
      <w:r w:rsidR="00C72ACB" w:rsidRPr="001D105D">
        <w:rPr>
          <w:rFonts w:eastAsia="MS Mincho" w:cs="Times New Roman"/>
        </w:rPr>
        <w:t xml:space="preserve">since its </w:t>
      </w:r>
      <w:r w:rsidR="004100AB" w:rsidRPr="001D105D">
        <w:rPr>
          <w:rFonts w:eastAsia="MS Mincho" w:cs="Times New Roman"/>
        </w:rPr>
        <w:t>R/</w:t>
      </w:r>
      <w:r w:rsidR="00C72ACB" w:rsidRPr="001D105D">
        <w:rPr>
          <w:rFonts w:eastAsia="MS Mincho" w:cs="Times New Roman"/>
        </w:rPr>
        <w:t xml:space="preserve">PBS listing in </w:t>
      </w:r>
      <w:r w:rsidR="002F2B5A" w:rsidRPr="001D105D">
        <w:rPr>
          <w:rFonts w:eastAsia="MS Mincho" w:cs="Times New Roman"/>
        </w:rPr>
        <w:t xml:space="preserve">September </w:t>
      </w:r>
      <w:r w:rsidR="00C72ACB" w:rsidRPr="001D105D">
        <w:rPr>
          <w:rFonts w:eastAsia="MS Mincho" w:cs="Times New Roman"/>
        </w:rPr>
        <w:t>2015</w:t>
      </w:r>
      <w:r w:rsidR="00F62794" w:rsidRPr="001D105D">
        <w:rPr>
          <w:rFonts w:eastAsia="MS Mincho" w:cs="Times New Roman"/>
        </w:rPr>
        <w:t>.</w:t>
      </w:r>
      <w:r w:rsidR="002F2B5A" w:rsidRPr="001D105D">
        <w:rPr>
          <w:rFonts w:eastAsia="MS Mincho" w:cs="Times New Roman"/>
        </w:rPr>
        <w:t xml:space="preserve"> </w:t>
      </w:r>
      <w:r w:rsidR="00F62794" w:rsidRPr="001D105D">
        <w:rPr>
          <w:rFonts w:eastAsia="MS Mincho" w:cs="Times New Roman"/>
        </w:rPr>
        <w:t>G</w:t>
      </w:r>
      <w:r w:rsidR="002F2B5A" w:rsidRPr="001D105D">
        <w:rPr>
          <w:rFonts w:eastAsia="MS Mincho" w:cs="Times New Roman"/>
        </w:rPr>
        <w:t xml:space="preserve">uanfacine has overtaken atomoxetine as the </w:t>
      </w:r>
      <w:r w:rsidR="003A14D3" w:rsidRPr="001D105D">
        <w:rPr>
          <w:rFonts w:eastAsia="MS Mincho" w:cs="Times New Roman"/>
        </w:rPr>
        <w:t>first initiated</w:t>
      </w:r>
      <w:r w:rsidR="002F2B5A" w:rsidRPr="001D105D">
        <w:rPr>
          <w:rFonts w:eastAsia="MS Mincho" w:cs="Times New Roman"/>
        </w:rPr>
        <w:t xml:space="preserve"> non-stimulant </w:t>
      </w:r>
      <w:r w:rsidR="00DB2F6D" w:rsidRPr="001D105D">
        <w:rPr>
          <w:rFonts w:eastAsia="MS Mincho" w:cs="Times New Roman"/>
        </w:rPr>
        <w:t xml:space="preserve">initial </w:t>
      </w:r>
      <w:r w:rsidR="002F2B5A" w:rsidRPr="001D105D">
        <w:rPr>
          <w:rFonts w:eastAsia="MS Mincho" w:cs="Times New Roman"/>
        </w:rPr>
        <w:t xml:space="preserve">ADHD medication. </w:t>
      </w:r>
      <w:r w:rsidR="00E067D0" w:rsidRPr="001D105D">
        <w:rPr>
          <w:rFonts w:eastAsia="MS Mincho" w:cs="Times New Roman"/>
        </w:rPr>
        <w:t xml:space="preserve">In 2019 and 2020, </w:t>
      </w:r>
      <w:r w:rsidR="002C36E0" w:rsidRPr="001D105D">
        <w:rPr>
          <w:rFonts w:eastAsia="MS Mincho" w:cs="Times New Roman"/>
        </w:rPr>
        <w:t>g</w:t>
      </w:r>
      <w:r w:rsidR="002F2B5A" w:rsidRPr="001D105D">
        <w:rPr>
          <w:rFonts w:eastAsia="MS Mincho" w:cs="Times New Roman"/>
        </w:rPr>
        <w:t>uanfacine account</w:t>
      </w:r>
      <w:r w:rsidR="001A1208" w:rsidRPr="001D105D">
        <w:rPr>
          <w:rFonts w:eastAsia="MS Mincho" w:cs="Times New Roman"/>
        </w:rPr>
        <w:t xml:space="preserve">ed for </w:t>
      </w:r>
      <w:r w:rsidR="00C72ACB" w:rsidRPr="001D105D">
        <w:rPr>
          <w:rFonts w:eastAsia="MS Mincho" w:cs="Times New Roman"/>
        </w:rPr>
        <w:t xml:space="preserve">approximately </w:t>
      </w:r>
      <w:r w:rsidR="001A1208" w:rsidRPr="001D105D">
        <w:rPr>
          <w:rFonts w:eastAsia="MS Mincho" w:cs="Times New Roman"/>
        </w:rPr>
        <w:t xml:space="preserve">14% and 11% </w:t>
      </w:r>
      <w:r w:rsidR="00C72ACB" w:rsidRPr="001D105D">
        <w:rPr>
          <w:rFonts w:eastAsia="MS Mincho" w:cs="Times New Roman"/>
        </w:rPr>
        <w:t xml:space="preserve">of </w:t>
      </w:r>
      <w:r w:rsidR="00DB2F6D" w:rsidRPr="001D105D">
        <w:rPr>
          <w:rFonts w:eastAsia="MS Mincho" w:cs="Times New Roman"/>
        </w:rPr>
        <w:t xml:space="preserve">initial </w:t>
      </w:r>
      <w:r w:rsidR="00C72ACB" w:rsidRPr="001D105D">
        <w:rPr>
          <w:rFonts w:eastAsia="MS Mincho" w:cs="Times New Roman"/>
        </w:rPr>
        <w:t>ADHD medicine</w:t>
      </w:r>
      <w:r w:rsidR="00DB2F6D" w:rsidRPr="001D105D">
        <w:rPr>
          <w:rFonts w:eastAsia="MS Mincho" w:cs="Times New Roman"/>
        </w:rPr>
        <w:t xml:space="preserve">s </w:t>
      </w:r>
      <w:r w:rsidR="00C72ACB" w:rsidRPr="001D105D">
        <w:rPr>
          <w:rFonts w:eastAsia="MS Mincho" w:cs="Times New Roman"/>
        </w:rPr>
        <w:t xml:space="preserve">supplied to new patients </w:t>
      </w:r>
      <w:r w:rsidR="00E067D0" w:rsidRPr="001D105D">
        <w:rPr>
          <w:rFonts w:eastAsia="MS Mincho" w:cs="Times New Roman"/>
        </w:rPr>
        <w:t>respectively</w:t>
      </w:r>
      <w:r w:rsidR="00C72ACB" w:rsidRPr="001D105D">
        <w:rPr>
          <w:rFonts w:eastAsia="MS Mincho" w:cs="Times New Roman"/>
        </w:rPr>
        <w:t>.</w:t>
      </w:r>
    </w:p>
    <w:p w14:paraId="4870B9D5" w14:textId="5AD04CCA" w:rsidR="00A64AF7" w:rsidRPr="001D105D" w:rsidRDefault="00A64AF7" w:rsidP="00215563">
      <w:pPr>
        <w:rPr>
          <w:rFonts w:eastAsia="MS Mincho" w:cs="Times New Roman"/>
        </w:rPr>
      </w:pPr>
      <w:r w:rsidRPr="001D105D">
        <w:rPr>
          <w:rFonts w:eastAsia="MS Mincho" w:cs="Times New Roman"/>
        </w:rPr>
        <w:t xml:space="preserve">Figure </w:t>
      </w:r>
      <w:r w:rsidR="00533BDE" w:rsidRPr="001D105D">
        <w:rPr>
          <w:rFonts w:eastAsia="MS Mincho" w:cs="Times New Roman"/>
        </w:rPr>
        <w:t>4</w:t>
      </w:r>
      <w:r w:rsidRPr="001D105D">
        <w:rPr>
          <w:rFonts w:eastAsia="MS Mincho" w:cs="Times New Roman"/>
        </w:rPr>
        <w:t xml:space="preserve"> depicts the </w:t>
      </w:r>
      <w:r w:rsidR="005A70D4" w:rsidRPr="001D105D">
        <w:rPr>
          <w:rFonts w:eastAsia="MS Mincho" w:cs="Times New Roman"/>
        </w:rPr>
        <w:t xml:space="preserve">number </w:t>
      </w:r>
      <w:r w:rsidRPr="001D105D">
        <w:rPr>
          <w:rFonts w:eastAsia="MS Mincho" w:cs="Times New Roman"/>
        </w:rPr>
        <w:t xml:space="preserve">of </w:t>
      </w:r>
      <w:r w:rsidR="005A70D4" w:rsidRPr="001D105D">
        <w:rPr>
          <w:rFonts w:eastAsia="MS Mincho" w:cs="Times New Roman"/>
        </w:rPr>
        <w:t xml:space="preserve">prevalent </w:t>
      </w:r>
      <w:r w:rsidRPr="001D105D">
        <w:rPr>
          <w:rFonts w:eastAsia="MS Mincho" w:cs="Times New Roman"/>
        </w:rPr>
        <w:t xml:space="preserve">patients per quarter </w:t>
      </w:r>
      <w:r w:rsidR="005A70D4" w:rsidRPr="001D105D">
        <w:rPr>
          <w:rFonts w:eastAsia="MS Mincho" w:cs="Times New Roman"/>
        </w:rPr>
        <w:t xml:space="preserve">for </w:t>
      </w:r>
      <w:r w:rsidRPr="001D105D">
        <w:rPr>
          <w:rFonts w:eastAsia="MS Mincho" w:cs="Times New Roman"/>
        </w:rPr>
        <w:t xml:space="preserve">each ADHD medicine supplied </w:t>
      </w:r>
      <w:r w:rsidR="00DB2F6D" w:rsidRPr="001D105D">
        <w:rPr>
          <w:rFonts w:eastAsia="MS Mincho" w:cs="Times New Roman"/>
        </w:rPr>
        <w:t>from</w:t>
      </w:r>
      <w:r w:rsidRPr="001D105D">
        <w:rPr>
          <w:rFonts w:eastAsia="MS Mincho" w:cs="Times New Roman"/>
        </w:rPr>
        <w:t xml:space="preserve"> 201</w:t>
      </w:r>
      <w:r w:rsidR="00E067D0" w:rsidRPr="001D105D">
        <w:rPr>
          <w:rFonts w:eastAsia="MS Mincho" w:cs="Times New Roman"/>
        </w:rPr>
        <w:t>2</w:t>
      </w:r>
      <w:r w:rsidRPr="001D105D">
        <w:rPr>
          <w:rFonts w:eastAsia="MS Mincho" w:cs="Times New Roman"/>
        </w:rPr>
        <w:t xml:space="preserve"> to 20</w:t>
      </w:r>
      <w:r w:rsidR="00E067D0" w:rsidRPr="001D105D">
        <w:rPr>
          <w:rFonts w:eastAsia="MS Mincho" w:cs="Times New Roman"/>
        </w:rPr>
        <w:t>20</w:t>
      </w:r>
      <w:r w:rsidRPr="001D105D">
        <w:rPr>
          <w:rFonts w:eastAsia="MS Mincho" w:cs="Times New Roman"/>
        </w:rPr>
        <w:t xml:space="preserve">. In Figure </w:t>
      </w:r>
      <w:r w:rsidR="00533BDE" w:rsidRPr="001D105D">
        <w:rPr>
          <w:rFonts w:eastAsia="MS Mincho" w:cs="Times New Roman"/>
        </w:rPr>
        <w:t>4</w:t>
      </w:r>
      <w:r w:rsidRPr="001D105D">
        <w:rPr>
          <w:rFonts w:eastAsia="MS Mincho" w:cs="Times New Roman"/>
        </w:rPr>
        <w:t xml:space="preserve">, </w:t>
      </w:r>
      <w:r w:rsidR="005A70D4" w:rsidRPr="001D105D">
        <w:rPr>
          <w:rFonts w:eastAsia="MS Mincho" w:cs="Times New Roman"/>
        </w:rPr>
        <w:t xml:space="preserve">a </w:t>
      </w:r>
      <w:r w:rsidRPr="001D105D">
        <w:rPr>
          <w:rFonts w:eastAsia="MS Mincho" w:cs="Times New Roman"/>
        </w:rPr>
        <w:t>patient may be supplied more than one ADHD medicine in the same quarter.</w:t>
      </w:r>
    </w:p>
    <w:p w14:paraId="2501303F" w14:textId="7F084E86" w:rsidR="0074321A" w:rsidRPr="001D105D" w:rsidRDefault="00533BDE" w:rsidP="00215563">
      <w:pPr>
        <w:rPr>
          <w:rFonts w:eastAsia="MS Mincho" w:cs="Times New Roman"/>
        </w:rPr>
      </w:pPr>
      <w:r w:rsidRPr="001D105D">
        <w:rPr>
          <w:noProof/>
        </w:rPr>
        <w:lastRenderedPageBreak/>
        <w:drawing>
          <wp:inline distT="0" distB="0" distL="0" distR="0" wp14:anchorId="7CB958BF" wp14:editId="7E37B68B">
            <wp:extent cx="5820354" cy="4452730"/>
            <wp:effectExtent l="0" t="0" r="9525" b="508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DA79F4B" w14:textId="7912FDB1" w:rsidR="00A64AF7" w:rsidRPr="001D105D" w:rsidRDefault="00A64AF7" w:rsidP="00215563">
      <w:pPr>
        <w:pStyle w:val="Figuretitle"/>
      </w:pPr>
      <w:r w:rsidRPr="001D105D">
        <w:t xml:space="preserve">Figure </w:t>
      </w:r>
      <w:r w:rsidR="00533BDE" w:rsidRPr="001D105D">
        <w:t>4</w:t>
      </w:r>
      <w:r w:rsidRPr="001D105D">
        <w:t xml:space="preserve">: </w:t>
      </w:r>
      <w:r w:rsidR="00345C62" w:rsidRPr="001D105D">
        <w:t>Prevalent</w:t>
      </w:r>
      <w:r w:rsidRPr="001D105D">
        <w:t xml:space="preserve"> patients treated with each ADHD medicines per quarter</w:t>
      </w:r>
    </w:p>
    <w:p w14:paraId="6296E685" w14:textId="2D21C987" w:rsidR="00A64AF7" w:rsidRPr="001D105D" w:rsidRDefault="00A64AF7" w:rsidP="00215563">
      <w:pPr>
        <w:pStyle w:val="Notes"/>
      </w:pPr>
      <w:r w:rsidRPr="001D105D">
        <w:t xml:space="preserve">Source: </w:t>
      </w:r>
      <w:r w:rsidR="00973424" w:rsidRPr="001D105D">
        <w:t xml:space="preserve">Services Australia </w:t>
      </w:r>
      <w:r w:rsidRPr="001D105D">
        <w:t xml:space="preserve">prescriptions database, extracted </w:t>
      </w:r>
      <w:r w:rsidR="00973424" w:rsidRPr="001D105D">
        <w:t>March 2021</w:t>
      </w:r>
      <w:r w:rsidRPr="001D105D">
        <w:br/>
        <w:t xml:space="preserve">*MPH-MR Consists of both </w:t>
      </w:r>
      <w:proofErr w:type="spellStart"/>
      <w:r w:rsidRPr="001D105D">
        <w:t>Concerta</w:t>
      </w:r>
      <w:proofErr w:type="spellEnd"/>
      <w:r w:rsidRPr="001D105D">
        <w:t>® and Ritalin LA®</w:t>
      </w:r>
    </w:p>
    <w:p w14:paraId="4573EA76" w14:textId="2C4B1004" w:rsidR="00AA02AF" w:rsidRPr="00215563" w:rsidRDefault="00E21F8D" w:rsidP="00215563">
      <w:pPr>
        <w:rPr>
          <w:rFonts w:eastAsia="MS Mincho" w:cs="Times New Roman"/>
        </w:rPr>
      </w:pPr>
      <w:r w:rsidRPr="001D105D">
        <w:rPr>
          <w:rFonts w:eastAsia="MS Mincho" w:cs="Times New Roman"/>
        </w:rPr>
        <w:t xml:space="preserve">When considering the </w:t>
      </w:r>
      <w:r w:rsidR="000B4E5F" w:rsidRPr="001D105D">
        <w:rPr>
          <w:rFonts w:eastAsia="MS Mincho" w:cs="Times New Roman"/>
        </w:rPr>
        <w:t>number</w:t>
      </w:r>
      <w:r w:rsidRPr="001D105D">
        <w:rPr>
          <w:rFonts w:eastAsia="MS Mincho" w:cs="Times New Roman"/>
        </w:rPr>
        <w:t xml:space="preserve"> of </w:t>
      </w:r>
      <w:r w:rsidR="000B4E5F" w:rsidRPr="001D105D">
        <w:rPr>
          <w:rFonts w:eastAsia="MS Mincho" w:cs="Times New Roman"/>
        </w:rPr>
        <w:t xml:space="preserve">prevalent </w:t>
      </w:r>
      <w:r w:rsidRPr="001D105D">
        <w:rPr>
          <w:rFonts w:eastAsia="MS Mincho" w:cs="Times New Roman"/>
        </w:rPr>
        <w:t>patients treated</w:t>
      </w:r>
      <w:r w:rsidR="008C30DC" w:rsidRPr="001D105D">
        <w:rPr>
          <w:rFonts w:eastAsia="MS Mincho" w:cs="Times New Roman"/>
        </w:rPr>
        <w:t xml:space="preserve"> acro</w:t>
      </w:r>
      <w:r w:rsidRPr="001D105D">
        <w:rPr>
          <w:rFonts w:eastAsia="MS Mincho" w:cs="Times New Roman"/>
        </w:rPr>
        <w:t>ss all years</w:t>
      </w:r>
      <w:r w:rsidR="00E8795E" w:rsidRPr="001D105D">
        <w:rPr>
          <w:rFonts w:eastAsia="MS Mincho" w:cs="Times New Roman"/>
        </w:rPr>
        <w:t xml:space="preserve"> (Figure </w:t>
      </w:r>
      <w:r w:rsidR="00533BDE" w:rsidRPr="001D105D">
        <w:rPr>
          <w:rFonts w:eastAsia="MS Mincho" w:cs="Times New Roman"/>
        </w:rPr>
        <w:t>4</w:t>
      </w:r>
      <w:r w:rsidR="00973424" w:rsidRPr="001D105D">
        <w:rPr>
          <w:rFonts w:eastAsia="MS Mincho" w:cs="Times New Roman"/>
        </w:rPr>
        <w:t xml:space="preserve"> and Table 2</w:t>
      </w:r>
      <w:r w:rsidR="00E8795E" w:rsidRPr="001D105D">
        <w:rPr>
          <w:rFonts w:eastAsia="MS Mincho" w:cs="Times New Roman"/>
        </w:rPr>
        <w:t>)</w:t>
      </w:r>
      <w:r w:rsidRPr="001D105D">
        <w:rPr>
          <w:rFonts w:eastAsia="MS Mincho" w:cs="Times New Roman"/>
        </w:rPr>
        <w:t>, long-acting methylphenidate</w:t>
      </w:r>
      <w:r w:rsidR="007A4262" w:rsidRPr="001D105D">
        <w:rPr>
          <w:rFonts w:eastAsia="MS Mincho" w:cs="Times New Roman"/>
        </w:rPr>
        <w:t xml:space="preserve"> </w:t>
      </w:r>
      <w:r w:rsidR="00635E23" w:rsidRPr="001D105D">
        <w:rPr>
          <w:rFonts w:eastAsia="MS Mincho" w:cs="Times New Roman"/>
        </w:rPr>
        <w:t xml:space="preserve">was the </w:t>
      </w:r>
      <w:proofErr w:type="gramStart"/>
      <w:r w:rsidR="00B81928" w:rsidRPr="001D105D">
        <w:rPr>
          <w:rFonts w:eastAsia="MS Mincho" w:cs="Times New Roman"/>
        </w:rPr>
        <w:t>most</w:t>
      </w:r>
      <w:r w:rsidR="00A07F17" w:rsidRPr="001D105D">
        <w:rPr>
          <w:rFonts w:eastAsia="MS Mincho" w:cs="Times New Roman"/>
        </w:rPr>
        <w:t xml:space="preserve"> commonly used</w:t>
      </w:r>
      <w:proofErr w:type="gramEnd"/>
      <w:r w:rsidR="00635E23" w:rsidRPr="001D105D">
        <w:rPr>
          <w:rFonts w:eastAsia="MS Mincho" w:cs="Times New Roman"/>
        </w:rPr>
        <w:t xml:space="preserve"> ADHD medicine</w:t>
      </w:r>
      <w:r w:rsidR="008C30DC" w:rsidRPr="001D105D">
        <w:rPr>
          <w:rFonts w:eastAsia="MS Mincho" w:cs="Times New Roman"/>
        </w:rPr>
        <w:t xml:space="preserve">. </w:t>
      </w:r>
      <w:r w:rsidR="007A4262" w:rsidRPr="001D105D">
        <w:rPr>
          <w:rFonts w:eastAsia="MS Mincho" w:cs="Times New Roman"/>
        </w:rPr>
        <w:t xml:space="preserve">Atomoxetine is used in a </w:t>
      </w:r>
      <w:r w:rsidR="008C30DC" w:rsidRPr="001D105D">
        <w:rPr>
          <w:rFonts w:eastAsia="MS Mincho" w:cs="Times New Roman"/>
        </w:rPr>
        <w:t>small proportion of patients</w:t>
      </w:r>
      <w:r w:rsidR="00973424" w:rsidRPr="001D105D">
        <w:rPr>
          <w:rFonts w:eastAsia="MS Mincho" w:cs="Times New Roman"/>
        </w:rPr>
        <w:t xml:space="preserve"> and has shown very low growth, which is </w:t>
      </w:r>
      <w:r w:rsidR="00533BDE" w:rsidRPr="001D105D">
        <w:rPr>
          <w:rFonts w:eastAsia="MS Mincho" w:cs="Times New Roman"/>
        </w:rPr>
        <w:t>surprising</w:t>
      </w:r>
      <w:r w:rsidR="00973424" w:rsidRPr="001D105D">
        <w:rPr>
          <w:rFonts w:eastAsia="MS Mincho" w:cs="Times New Roman"/>
        </w:rPr>
        <w:t xml:space="preserve"> considering the substantial uptake of guanfacine since its </w:t>
      </w:r>
      <w:r w:rsidR="004100AB" w:rsidRPr="001D105D">
        <w:rPr>
          <w:rFonts w:eastAsia="MS Mincho" w:cs="Times New Roman"/>
        </w:rPr>
        <w:t>R/</w:t>
      </w:r>
      <w:r w:rsidR="00973424" w:rsidRPr="001D105D">
        <w:rPr>
          <w:rFonts w:eastAsia="MS Mincho" w:cs="Times New Roman"/>
        </w:rPr>
        <w:t>PBS listing in September 2018</w:t>
      </w:r>
      <w:r w:rsidR="008C30DC" w:rsidRPr="001D105D">
        <w:rPr>
          <w:rFonts w:eastAsia="MS Mincho" w:cs="Times New Roman"/>
        </w:rPr>
        <w:t xml:space="preserve">. </w:t>
      </w:r>
      <w:r w:rsidR="00973424" w:rsidRPr="001D105D">
        <w:rPr>
          <w:rFonts w:eastAsia="MS Mincho" w:cs="Times New Roman"/>
        </w:rPr>
        <w:t>Overall, the data shows a steady increase in the number of ADHD patients</w:t>
      </w:r>
      <w:r w:rsidR="00817E40" w:rsidRPr="001D105D">
        <w:rPr>
          <w:rFonts w:eastAsia="MS Mincho" w:cs="Times New Roman"/>
        </w:rPr>
        <w:t>,</w:t>
      </w:r>
      <w:r w:rsidR="00B7122A" w:rsidRPr="001D105D">
        <w:rPr>
          <w:rFonts w:eastAsia="MS Mincho" w:cs="Times New Roman"/>
        </w:rPr>
        <w:t xml:space="preserve"> with a much higher increase starting from 2019</w:t>
      </w:r>
      <w:r w:rsidR="001E0A8C" w:rsidRPr="001D105D">
        <w:rPr>
          <w:rFonts w:eastAsia="MS Mincho" w:cs="Times New Roman"/>
        </w:rPr>
        <w:t>, with a growth rate of 19% over 2019 and 2020</w:t>
      </w:r>
      <w:r w:rsidR="00B7122A" w:rsidRPr="001D105D">
        <w:rPr>
          <w:rFonts w:eastAsia="MS Mincho" w:cs="Times New Roman"/>
        </w:rPr>
        <w:t xml:space="preserve">. </w:t>
      </w:r>
      <w:r w:rsidR="0076328B" w:rsidRPr="001D105D">
        <w:rPr>
          <w:rFonts w:eastAsia="MS Mincho" w:cs="Times New Roman"/>
        </w:rPr>
        <w:t xml:space="preserve">This indicates that the listing of guanfacine on the R/PBS has added to the use of ADHD medications and not substituted for prescribed medications. </w:t>
      </w:r>
      <w:r w:rsidR="001E0A8C" w:rsidRPr="001D105D">
        <w:rPr>
          <w:rFonts w:eastAsia="MS Mincho" w:cs="Times New Roman"/>
        </w:rPr>
        <w:t>As expected, t</w:t>
      </w:r>
      <w:r w:rsidR="00B7122A" w:rsidRPr="001D105D">
        <w:rPr>
          <w:rFonts w:eastAsia="MS Mincho" w:cs="Times New Roman"/>
        </w:rPr>
        <w:t>h</w:t>
      </w:r>
      <w:r w:rsidR="001E0A8C" w:rsidRPr="001D105D">
        <w:rPr>
          <w:rFonts w:eastAsia="MS Mincho" w:cs="Times New Roman"/>
        </w:rPr>
        <w:t xml:space="preserve">e patient growth rates </w:t>
      </w:r>
      <w:proofErr w:type="gramStart"/>
      <w:r w:rsidR="00B7122A" w:rsidRPr="001D105D">
        <w:rPr>
          <w:rFonts w:eastAsia="MS Mincho" w:cs="Times New Roman"/>
        </w:rPr>
        <w:t>correlates</w:t>
      </w:r>
      <w:proofErr w:type="gramEnd"/>
      <w:r w:rsidR="00B7122A" w:rsidRPr="001D105D">
        <w:rPr>
          <w:rFonts w:eastAsia="MS Mincho" w:cs="Times New Roman"/>
        </w:rPr>
        <w:t xml:space="preserve"> to the prescriptions</w:t>
      </w:r>
      <w:r w:rsidR="001E0A8C" w:rsidRPr="001D105D">
        <w:rPr>
          <w:rFonts w:eastAsia="MS Mincho" w:cs="Times New Roman"/>
        </w:rPr>
        <w:t xml:space="preserve"> growth rate (Table 1)</w:t>
      </w:r>
      <w:r w:rsidR="008C30DC" w:rsidRPr="001D105D">
        <w:rPr>
          <w:rFonts w:eastAsia="MS Mincho" w:cs="Times New Roman"/>
        </w:rPr>
        <w:t>.</w:t>
      </w:r>
      <w:r w:rsidR="00B7122A" w:rsidRPr="001D105D">
        <w:rPr>
          <w:rFonts w:eastAsia="MS Mincho" w:cs="Times New Roman"/>
        </w:rPr>
        <w:t xml:space="preserve"> </w:t>
      </w:r>
      <w:r w:rsidR="00215563">
        <w:rPr>
          <w:rFonts w:eastAsia="MS Mincho" w:cs="Times New Roman"/>
        </w:rPr>
        <w:t xml:space="preserve"> </w:t>
      </w:r>
    </w:p>
    <w:p w14:paraId="34418F0B" w14:textId="77777777" w:rsidR="009F2DD4" w:rsidRPr="001D105D" w:rsidRDefault="009F2DD4" w:rsidP="00215563">
      <w:pPr>
        <w:spacing w:line="276" w:lineRule="auto"/>
        <w:rPr>
          <w:b/>
          <w:lang w:val="en-US"/>
        </w:rPr>
      </w:pPr>
      <w:r w:rsidRPr="001D105D">
        <w:br w:type="page"/>
      </w:r>
    </w:p>
    <w:p w14:paraId="2CC22F8A" w14:textId="593DD5D7" w:rsidR="00DB2F6D" w:rsidRPr="001D105D" w:rsidRDefault="00DB2F6D" w:rsidP="00215563">
      <w:pPr>
        <w:pStyle w:val="Figuretitle"/>
        <w:ind w:left="-142"/>
      </w:pPr>
      <w:r w:rsidRPr="001D105D">
        <w:lastRenderedPageBreak/>
        <w:t xml:space="preserve">Table 2: </w:t>
      </w:r>
      <w:r w:rsidR="000B4E5F" w:rsidRPr="001D105D">
        <w:t>Prevalent</w:t>
      </w:r>
      <w:r w:rsidR="00D44F6C" w:rsidRPr="001D105D">
        <w:t xml:space="preserve"> patients treated with each ADHD medicines per year</w:t>
      </w:r>
    </w:p>
    <w:tbl>
      <w:tblPr>
        <w:tblW w:w="9086"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3"/>
        <w:gridCol w:w="876"/>
        <w:gridCol w:w="958"/>
        <w:gridCol w:w="876"/>
        <w:gridCol w:w="967"/>
        <w:gridCol w:w="876"/>
        <w:gridCol w:w="876"/>
        <w:gridCol w:w="941"/>
        <w:gridCol w:w="973"/>
      </w:tblGrid>
      <w:tr w:rsidR="00345C62" w:rsidRPr="001D105D" w14:paraId="4E172BF2" w14:textId="77777777" w:rsidTr="00511D6E">
        <w:trPr>
          <w:trHeight w:val="290"/>
        </w:trPr>
        <w:tc>
          <w:tcPr>
            <w:tcW w:w="1743" w:type="dxa"/>
            <w:tcBorders>
              <w:bottom w:val="single" w:sz="4" w:space="0" w:color="auto"/>
            </w:tcBorders>
            <w:shd w:val="clear" w:color="auto" w:fill="BFBFBF" w:themeFill="background1" w:themeFillShade="BF"/>
            <w:noWrap/>
            <w:vAlign w:val="bottom"/>
            <w:hideMark/>
          </w:tcPr>
          <w:p w14:paraId="1EF5B6CC" w14:textId="483E4A6A" w:rsidR="00345C62" w:rsidRPr="001D105D" w:rsidRDefault="00345C62" w:rsidP="00215563">
            <w:pPr>
              <w:spacing w:after="0"/>
              <w:rPr>
                <w:rFonts w:ascii="Times New Roman" w:eastAsia="Times New Roman" w:hAnsi="Times New Roman" w:cs="Times New Roman"/>
                <w:sz w:val="20"/>
                <w:szCs w:val="20"/>
              </w:rPr>
            </w:pPr>
            <w:r w:rsidRPr="001D105D">
              <w:rPr>
                <w:rFonts w:ascii="Calibri" w:eastAsia="Times New Roman" w:hAnsi="Calibri" w:cs="Calibri"/>
                <w:b/>
                <w:bCs/>
                <w:color w:val="000000"/>
                <w:sz w:val="20"/>
                <w:szCs w:val="20"/>
              </w:rPr>
              <w:t xml:space="preserve">Drug </w:t>
            </w:r>
            <w:proofErr w:type="gramStart"/>
            <w:r w:rsidRPr="001D105D">
              <w:rPr>
                <w:rFonts w:ascii="Calibri" w:eastAsia="Times New Roman" w:hAnsi="Calibri" w:cs="Calibri"/>
                <w:b/>
                <w:bCs/>
                <w:color w:val="000000"/>
                <w:sz w:val="20"/>
                <w:szCs w:val="20"/>
              </w:rPr>
              <w:t>Name  /</w:t>
            </w:r>
            <w:proofErr w:type="gramEnd"/>
            <w:r w:rsidRPr="001D105D">
              <w:rPr>
                <w:rFonts w:ascii="Calibri" w:eastAsia="Times New Roman" w:hAnsi="Calibri" w:cs="Calibri"/>
                <w:b/>
                <w:bCs/>
                <w:color w:val="000000"/>
                <w:sz w:val="20"/>
                <w:szCs w:val="20"/>
              </w:rPr>
              <w:t xml:space="preserve"> </w:t>
            </w:r>
            <w:r w:rsidRPr="001D105D">
              <w:rPr>
                <w:rFonts w:ascii="Calibri" w:eastAsia="Times New Roman" w:hAnsi="Calibri" w:cs="Calibri"/>
                <w:b/>
                <w:bCs/>
                <w:color w:val="000000"/>
                <w:sz w:val="20"/>
                <w:szCs w:val="20"/>
              </w:rPr>
              <w:br/>
              <w:t>Patient Count</w:t>
            </w:r>
          </w:p>
        </w:tc>
        <w:tc>
          <w:tcPr>
            <w:tcW w:w="876" w:type="dxa"/>
            <w:shd w:val="clear" w:color="auto" w:fill="BFBFBF" w:themeFill="background1" w:themeFillShade="BF"/>
            <w:noWrap/>
            <w:vAlign w:val="bottom"/>
            <w:hideMark/>
          </w:tcPr>
          <w:p w14:paraId="53728082" w14:textId="77777777" w:rsidR="00345C62" w:rsidRPr="001D105D" w:rsidRDefault="00345C62" w:rsidP="00215563">
            <w:pPr>
              <w:spacing w:after="0"/>
              <w:jc w:val="center"/>
              <w:rPr>
                <w:rFonts w:ascii="Calibri" w:eastAsia="Times New Roman" w:hAnsi="Calibri" w:cs="Calibri"/>
                <w:b/>
                <w:bCs/>
                <w:color w:val="000000"/>
                <w:sz w:val="20"/>
                <w:szCs w:val="20"/>
              </w:rPr>
            </w:pPr>
            <w:r w:rsidRPr="001D105D">
              <w:rPr>
                <w:rFonts w:ascii="Calibri" w:eastAsia="Times New Roman" w:hAnsi="Calibri" w:cs="Calibri"/>
                <w:b/>
                <w:bCs/>
                <w:color w:val="000000"/>
                <w:sz w:val="20"/>
                <w:szCs w:val="20"/>
              </w:rPr>
              <w:t>2013</w:t>
            </w:r>
          </w:p>
        </w:tc>
        <w:tc>
          <w:tcPr>
            <w:tcW w:w="958" w:type="dxa"/>
            <w:shd w:val="clear" w:color="auto" w:fill="BFBFBF" w:themeFill="background1" w:themeFillShade="BF"/>
            <w:noWrap/>
            <w:vAlign w:val="bottom"/>
            <w:hideMark/>
          </w:tcPr>
          <w:p w14:paraId="6AB8D13E" w14:textId="77777777" w:rsidR="00345C62" w:rsidRPr="001D105D" w:rsidRDefault="00345C62" w:rsidP="00215563">
            <w:pPr>
              <w:spacing w:after="0"/>
              <w:jc w:val="center"/>
              <w:rPr>
                <w:rFonts w:ascii="Calibri" w:eastAsia="Times New Roman" w:hAnsi="Calibri" w:cs="Calibri"/>
                <w:b/>
                <w:bCs/>
                <w:color w:val="000000"/>
                <w:sz w:val="20"/>
                <w:szCs w:val="20"/>
              </w:rPr>
            </w:pPr>
            <w:r w:rsidRPr="001D105D">
              <w:rPr>
                <w:rFonts w:ascii="Calibri" w:eastAsia="Times New Roman" w:hAnsi="Calibri" w:cs="Calibri"/>
                <w:b/>
                <w:bCs/>
                <w:color w:val="000000"/>
                <w:sz w:val="20"/>
                <w:szCs w:val="20"/>
              </w:rPr>
              <w:t>2014</w:t>
            </w:r>
          </w:p>
        </w:tc>
        <w:tc>
          <w:tcPr>
            <w:tcW w:w="876" w:type="dxa"/>
            <w:shd w:val="clear" w:color="auto" w:fill="BFBFBF" w:themeFill="background1" w:themeFillShade="BF"/>
            <w:noWrap/>
            <w:vAlign w:val="bottom"/>
            <w:hideMark/>
          </w:tcPr>
          <w:p w14:paraId="4F402571" w14:textId="77777777" w:rsidR="00345C62" w:rsidRPr="001D105D" w:rsidRDefault="00345C62" w:rsidP="00215563">
            <w:pPr>
              <w:spacing w:after="0"/>
              <w:jc w:val="center"/>
              <w:rPr>
                <w:rFonts w:ascii="Calibri" w:eastAsia="Times New Roman" w:hAnsi="Calibri" w:cs="Calibri"/>
                <w:b/>
                <w:bCs/>
                <w:color w:val="000000"/>
                <w:sz w:val="20"/>
                <w:szCs w:val="20"/>
              </w:rPr>
            </w:pPr>
            <w:r w:rsidRPr="001D105D">
              <w:rPr>
                <w:rFonts w:ascii="Calibri" w:eastAsia="Times New Roman" w:hAnsi="Calibri" w:cs="Calibri"/>
                <w:b/>
                <w:bCs/>
                <w:color w:val="000000"/>
                <w:sz w:val="20"/>
                <w:szCs w:val="20"/>
              </w:rPr>
              <w:t>2015</w:t>
            </w:r>
          </w:p>
        </w:tc>
        <w:tc>
          <w:tcPr>
            <w:tcW w:w="967" w:type="dxa"/>
            <w:shd w:val="clear" w:color="auto" w:fill="BFBFBF" w:themeFill="background1" w:themeFillShade="BF"/>
            <w:noWrap/>
            <w:vAlign w:val="bottom"/>
            <w:hideMark/>
          </w:tcPr>
          <w:p w14:paraId="6AE94BCC" w14:textId="77777777" w:rsidR="00345C62" w:rsidRPr="001D105D" w:rsidRDefault="00345C62" w:rsidP="00215563">
            <w:pPr>
              <w:spacing w:after="0"/>
              <w:jc w:val="center"/>
              <w:rPr>
                <w:rFonts w:ascii="Calibri" w:eastAsia="Times New Roman" w:hAnsi="Calibri" w:cs="Calibri"/>
                <w:b/>
                <w:bCs/>
                <w:color w:val="000000"/>
                <w:sz w:val="20"/>
                <w:szCs w:val="20"/>
              </w:rPr>
            </w:pPr>
            <w:r w:rsidRPr="001D105D">
              <w:rPr>
                <w:rFonts w:ascii="Calibri" w:eastAsia="Times New Roman" w:hAnsi="Calibri" w:cs="Calibri"/>
                <w:b/>
                <w:bCs/>
                <w:color w:val="000000"/>
                <w:sz w:val="20"/>
                <w:szCs w:val="20"/>
              </w:rPr>
              <w:t>2016</w:t>
            </w:r>
          </w:p>
        </w:tc>
        <w:tc>
          <w:tcPr>
            <w:tcW w:w="876" w:type="dxa"/>
            <w:shd w:val="clear" w:color="auto" w:fill="BFBFBF" w:themeFill="background1" w:themeFillShade="BF"/>
            <w:noWrap/>
            <w:vAlign w:val="bottom"/>
            <w:hideMark/>
          </w:tcPr>
          <w:p w14:paraId="130DB298" w14:textId="77777777" w:rsidR="00345C62" w:rsidRPr="001D105D" w:rsidRDefault="00345C62" w:rsidP="00215563">
            <w:pPr>
              <w:spacing w:after="0"/>
              <w:jc w:val="center"/>
              <w:rPr>
                <w:rFonts w:ascii="Calibri" w:eastAsia="Times New Roman" w:hAnsi="Calibri" w:cs="Calibri"/>
                <w:b/>
                <w:bCs/>
                <w:color w:val="000000"/>
                <w:sz w:val="20"/>
                <w:szCs w:val="20"/>
              </w:rPr>
            </w:pPr>
            <w:r w:rsidRPr="001D105D">
              <w:rPr>
                <w:rFonts w:ascii="Calibri" w:eastAsia="Times New Roman" w:hAnsi="Calibri" w:cs="Calibri"/>
                <w:b/>
                <w:bCs/>
                <w:color w:val="000000"/>
                <w:sz w:val="20"/>
                <w:szCs w:val="20"/>
              </w:rPr>
              <w:t>2017</w:t>
            </w:r>
          </w:p>
        </w:tc>
        <w:tc>
          <w:tcPr>
            <w:tcW w:w="876" w:type="dxa"/>
            <w:shd w:val="clear" w:color="auto" w:fill="BFBFBF" w:themeFill="background1" w:themeFillShade="BF"/>
            <w:noWrap/>
            <w:vAlign w:val="bottom"/>
            <w:hideMark/>
          </w:tcPr>
          <w:p w14:paraId="0F8930D6" w14:textId="77777777" w:rsidR="00345C62" w:rsidRPr="001D105D" w:rsidRDefault="00345C62" w:rsidP="00215563">
            <w:pPr>
              <w:spacing w:after="0"/>
              <w:jc w:val="center"/>
              <w:rPr>
                <w:rFonts w:ascii="Calibri" w:eastAsia="Times New Roman" w:hAnsi="Calibri" w:cs="Calibri"/>
                <w:b/>
                <w:bCs/>
                <w:color w:val="000000"/>
                <w:sz w:val="20"/>
                <w:szCs w:val="20"/>
              </w:rPr>
            </w:pPr>
            <w:r w:rsidRPr="001D105D">
              <w:rPr>
                <w:rFonts w:ascii="Calibri" w:eastAsia="Times New Roman" w:hAnsi="Calibri" w:cs="Calibri"/>
                <w:b/>
                <w:bCs/>
                <w:color w:val="000000"/>
                <w:sz w:val="20"/>
                <w:szCs w:val="20"/>
              </w:rPr>
              <w:t>2018</w:t>
            </w:r>
          </w:p>
        </w:tc>
        <w:tc>
          <w:tcPr>
            <w:tcW w:w="941" w:type="dxa"/>
            <w:shd w:val="clear" w:color="auto" w:fill="BFBFBF" w:themeFill="background1" w:themeFillShade="BF"/>
            <w:noWrap/>
            <w:vAlign w:val="bottom"/>
            <w:hideMark/>
          </w:tcPr>
          <w:p w14:paraId="1D233D63" w14:textId="77777777" w:rsidR="00345C62" w:rsidRPr="001D105D" w:rsidRDefault="00345C62" w:rsidP="00215563">
            <w:pPr>
              <w:spacing w:after="0"/>
              <w:jc w:val="center"/>
              <w:rPr>
                <w:rFonts w:ascii="Calibri" w:eastAsia="Times New Roman" w:hAnsi="Calibri" w:cs="Calibri"/>
                <w:b/>
                <w:bCs/>
                <w:color w:val="000000"/>
                <w:sz w:val="20"/>
                <w:szCs w:val="20"/>
              </w:rPr>
            </w:pPr>
            <w:r w:rsidRPr="001D105D">
              <w:rPr>
                <w:rFonts w:ascii="Calibri" w:eastAsia="Times New Roman" w:hAnsi="Calibri" w:cs="Calibri"/>
                <w:b/>
                <w:bCs/>
                <w:color w:val="000000"/>
                <w:sz w:val="20"/>
                <w:szCs w:val="20"/>
              </w:rPr>
              <w:t>2019</w:t>
            </w:r>
          </w:p>
        </w:tc>
        <w:tc>
          <w:tcPr>
            <w:tcW w:w="973" w:type="dxa"/>
            <w:shd w:val="clear" w:color="auto" w:fill="BFBFBF" w:themeFill="background1" w:themeFillShade="BF"/>
            <w:noWrap/>
            <w:vAlign w:val="bottom"/>
            <w:hideMark/>
          </w:tcPr>
          <w:p w14:paraId="6BF6C8EB" w14:textId="77777777" w:rsidR="00345C62" w:rsidRPr="001D105D" w:rsidRDefault="00345C62" w:rsidP="00215563">
            <w:pPr>
              <w:spacing w:after="0"/>
              <w:jc w:val="center"/>
              <w:rPr>
                <w:rFonts w:ascii="Calibri" w:eastAsia="Times New Roman" w:hAnsi="Calibri" w:cs="Calibri"/>
                <w:b/>
                <w:bCs/>
                <w:color w:val="000000"/>
                <w:sz w:val="20"/>
                <w:szCs w:val="20"/>
              </w:rPr>
            </w:pPr>
            <w:r w:rsidRPr="001D105D">
              <w:rPr>
                <w:rFonts w:ascii="Calibri" w:eastAsia="Times New Roman" w:hAnsi="Calibri" w:cs="Calibri"/>
                <w:b/>
                <w:bCs/>
                <w:color w:val="000000"/>
                <w:sz w:val="20"/>
                <w:szCs w:val="20"/>
              </w:rPr>
              <w:t>2020</w:t>
            </w:r>
          </w:p>
        </w:tc>
      </w:tr>
      <w:tr w:rsidR="00345C62" w:rsidRPr="001D105D" w14:paraId="56AD08AC" w14:textId="77777777" w:rsidTr="00511D6E">
        <w:trPr>
          <w:trHeight w:val="290"/>
        </w:trPr>
        <w:tc>
          <w:tcPr>
            <w:tcW w:w="1743" w:type="dxa"/>
            <w:shd w:val="clear" w:color="auto" w:fill="FFFFFF" w:themeFill="background1"/>
            <w:noWrap/>
            <w:vAlign w:val="bottom"/>
            <w:hideMark/>
          </w:tcPr>
          <w:p w14:paraId="01B9F059" w14:textId="77777777" w:rsidR="00345C62" w:rsidRPr="001D105D" w:rsidRDefault="00345C62" w:rsidP="00215563">
            <w:pPr>
              <w:spacing w:after="0"/>
              <w:rPr>
                <w:rFonts w:ascii="Calibri" w:eastAsia="Times New Roman" w:hAnsi="Calibri" w:cs="Calibri"/>
                <w:b/>
                <w:bCs/>
                <w:color w:val="000000"/>
                <w:sz w:val="20"/>
                <w:szCs w:val="20"/>
              </w:rPr>
            </w:pPr>
            <w:r w:rsidRPr="001D105D">
              <w:rPr>
                <w:rFonts w:ascii="Calibri" w:eastAsia="Times New Roman" w:hAnsi="Calibri" w:cs="Calibri"/>
                <w:b/>
                <w:bCs/>
                <w:color w:val="000000"/>
                <w:sz w:val="20"/>
                <w:szCs w:val="20"/>
              </w:rPr>
              <w:t>MPH-MR</w:t>
            </w:r>
          </w:p>
        </w:tc>
        <w:tc>
          <w:tcPr>
            <w:tcW w:w="876" w:type="dxa"/>
            <w:shd w:val="clear" w:color="auto" w:fill="FFFFFF" w:themeFill="background1"/>
            <w:noWrap/>
            <w:vAlign w:val="bottom"/>
            <w:hideMark/>
          </w:tcPr>
          <w:p w14:paraId="5546475E" w14:textId="089C2954" w:rsidR="00345C62" w:rsidRPr="001D105D" w:rsidRDefault="00345C62" w:rsidP="00215563">
            <w:pPr>
              <w:spacing w:after="0"/>
              <w:jc w:val="center"/>
              <w:rPr>
                <w:rFonts w:ascii="Calibri" w:eastAsia="Times New Roman" w:hAnsi="Calibri" w:cs="Calibri"/>
                <w:sz w:val="18"/>
                <w:szCs w:val="18"/>
              </w:rPr>
            </w:pPr>
            <w:r w:rsidRPr="001D105D">
              <w:rPr>
                <w:rFonts w:ascii="Calibri" w:hAnsi="Calibri" w:cs="Calibri"/>
                <w:sz w:val="18"/>
                <w:szCs w:val="18"/>
              </w:rPr>
              <w:t xml:space="preserve">         54,395 </w:t>
            </w:r>
          </w:p>
        </w:tc>
        <w:tc>
          <w:tcPr>
            <w:tcW w:w="958" w:type="dxa"/>
            <w:shd w:val="clear" w:color="auto" w:fill="FFFFFF" w:themeFill="background1"/>
            <w:noWrap/>
            <w:vAlign w:val="bottom"/>
            <w:hideMark/>
          </w:tcPr>
          <w:p w14:paraId="042CD478" w14:textId="00802F67" w:rsidR="00345C62" w:rsidRPr="001D105D" w:rsidRDefault="00345C62" w:rsidP="00215563">
            <w:pPr>
              <w:spacing w:after="0"/>
              <w:jc w:val="center"/>
              <w:rPr>
                <w:rFonts w:ascii="Calibri" w:eastAsia="Times New Roman" w:hAnsi="Calibri" w:cs="Calibri"/>
                <w:sz w:val="18"/>
                <w:szCs w:val="18"/>
              </w:rPr>
            </w:pPr>
            <w:r w:rsidRPr="001D105D">
              <w:rPr>
                <w:rFonts w:ascii="Calibri" w:hAnsi="Calibri" w:cs="Calibri"/>
                <w:sz w:val="18"/>
                <w:szCs w:val="18"/>
              </w:rPr>
              <w:t xml:space="preserve">         58,059 </w:t>
            </w:r>
          </w:p>
        </w:tc>
        <w:tc>
          <w:tcPr>
            <w:tcW w:w="876" w:type="dxa"/>
            <w:shd w:val="clear" w:color="auto" w:fill="FFFFFF" w:themeFill="background1"/>
            <w:noWrap/>
            <w:vAlign w:val="bottom"/>
            <w:hideMark/>
          </w:tcPr>
          <w:p w14:paraId="46DFB89D" w14:textId="3F0AD2C3" w:rsidR="00345C62" w:rsidRPr="001D105D" w:rsidRDefault="00345C62" w:rsidP="00215563">
            <w:pPr>
              <w:spacing w:after="0"/>
              <w:jc w:val="center"/>
              <w:rPr>
                <w:rFonts w:ascii="Calibri" w:eastAsia="Times New Roman" w:hAnsi="Calibri" w:cs="Calibri"/>
                <w:sz w:val="18"/>
                <w:szCs w:val="18"/>
              </w:rPr>
            </w:pPr>
            <w:r w:rsidRPr="001D105D">
              <w:rPr>
                <w:rFonts w:ascii="Calibri" w:hAnsi="Calibri" w:cs="Calibri"/>
                <w:sz w:val="18"/>
                <w:szCs w:val="18"/>
              </w:rPr>
              <w:t xml:space="preserve">         62,694 </w:t>
            </w:r>
          </w:p>
        </w:tc>
        <w:tc>
          <w:tcPr>
            <w:tcW w:w="967" w:type="dxa"/>
            <w:shd w:val="clear" w:color="auto" w:fill="FFFFFF" w:themeFill="background1"/>
            <w:noWrap/>
            <w:vAlign w:val="bottom"/>
            <w:hideMark/>
          </w:tcPr>
          <w:p w14:paraId="0FBA41A5" w14:textId="32ECCECB" w:rsidR="00345C62" w:rsidRPr="001D105D" w:rsidRDefault="00345C62" w:rsidP="00215563">
            <w:pPr>
              <w:spacing w:after="0"/>
              <w:jc w:val="center"/>
              <w:rPr>
                <w:rFonts w:ascii="Calibri" w:eastAsia="Times New Roman" w:hAnsi="Calibri" w:cs="Calibri"/>
                <w:sz w:val="18"/>
                <w:szCs w:val="18"/>
              </w:rPr>
            </w:pPr>
            <w:r w:rsidRPr="001D105D">
              <w:rPr>
                <w:rFonts w:ascii="Calibri" w:hAnsi="Calibri" w:cs="Calibri"/>
                <w:sz w:val="18"/>
                <w:szCs w:val="18"/>
              </w:rPr>
              <w:t xml:space="preserve">         65,395 </w:t>
            </w:r>
          </w:p>
        </w:tc>
        <w:tc>
          <w:tcPr>
            <w:tcW w:w="876" w:type="dxa"/>
            <w:shd w:val="clear" w:color="auto" w:fill="FFFFFF" w:themeFill="background1"/>
            <w:noWrap/>
            <w:vAlign w:val="bottom"/>
            <w:hideMark/>
          </w:tcPr>
          <w:p w14:paraId="77750BEA" w14:textId="6DDE0699" w:rsidR="00345C62" w:rsidRPr="001D105D" w:rsidRDefault="00345C62" w:rsidP="00215563">
            <w:pPr>
              <w:spacing w:after="0"/>
              <w:jc w:val="center"/>
              <w:rPr>
                <w:rFonts w:ascii="Calibri" w:eastAsia="Times New Roman" w:hAnsi="Calibri" w:cs="Calibri"/>
                <w:sz w:val="18"/>
                <w:szCs w:val="18"/>
              </w:rPr>
            </w:pPr>
            <w:r w:rsidRPr="001D105D">
              <w:rPr>
                <w:rFonts w:ascii="Calibri" w:hAnsi="Calibri" w:cs="Calibri"/>
                <w:sz w:val="18"/>
                <w:szCs w:val="18"/>
              </w:rPr>
              <w:t xml:space="preserve">         68,101 </w:t>
            </w:r>
          </w:p>
        </w:tc>
        <w:tc>
          <w:tcPr>
            <w:tcW w:w="876" w:type="dxa"/>
            <w:shd w:val="clear" w:color="auto" w:fill="FFFFFF" w:themeFill="background1"/>
            <w:noWrap/>
            <w:vAlign w:val="bottom"/>
            <w:hideMark/>
          </w:tcPr>
          <w:p w14:paraId="6056F9F4" w14:textId="0C979597" w:rsidR="00345C62" w:rsidRPr="001D105D" w:rsidRDefault="00345C62" w:rsidP="00215563">
            <w:pPr>
              <w:spacing w:after="0"/>
              <w:jc w:val="center"/>
              <w:rPr>
                <w:rFonts w:ascii="Calibri" w:eastAsia="Times New Roman" w:hAnsi="Calibri" w:cs="Calibri"/>
                <w:sz w:val="18"/>
                <w:szCs w:val="18"/>
              </w:rPr>
            </w:pPr>
            <w:r w:rsidRPr="001D105D">
              <w:rPr>
                <w:rFonts w:ascii="Calibri" w:hAnsi="Calibri" w:cs="Calibri"/>
                <w:sz w:val="18"/>
                <w:szCs w:val="18"/>
              </w:rPr>
              <w:t xml:space="preserve">         72,930 </w:t>
            </w:r>
          </w:p>
        </w:tc>
        <w:tc>
          <w:tcPr>
            <w:tcW w:w="941" w:type="dxa"/>
            <w:shd w:val="clear" w:color="auto" w:fill="FFFFFF" w:themeFill="background1"/>
            <w:noWrap/>
            <w:vAlign w:val="bottom"/>
            <w:hideMark/>
          </w:tcPr>
          <w:p w14:paraId="03BFFFDA" w14:textId="492603CD" w:rsidR="00345C62" w:rsidRPr="001D105D" w:rsidRDefault="00345C62" w:rsidP="00215563">
            <w:pPr>
              <w:spacing w:after="0"/>
              <w:jc w:val="center"/>
              <w:rPr>
                <w:rFonts w:ascii="Calibri" w:eastAsia="Times New Roman" w:hAnsi="Calibri" w:cs="Calibri"/>
                <w:sz w:val="18"/>
                <w:szCs w:val="18"/>
              </w:rPr>
            </w:pPr>
            <w:r w:rsidRPr="001D105D">
              <w:rPr>
                <w:rFonts w:ascii="Calibri" w:hAnsi="Calibri" w:cs="Calibri"/>
                <w:sz w:val="18"/>
                <w:szCs w:val="18"/>
              </w:rPr>
              <w:t xml:space="preserve">         79,821 </w:t>
            </w:r>
          </w:p>
        </w:tc>
        <w:tc>
          <w:tcPr>
            <w:tcW w:w="973" w:type="dxa"/>
            <w:shd w:val="clear" w:color="auto" w:fill="FFFFFF" w:themeFill="background1"/>
            <w:noWrap/>
            <w:vAlign w:val="bottom"/>
            <w:hideMark/>
          </w:tcPr>
          <w:p w14:paraId="77C70B7C" w14:textId="37B696E5" w:rsidR="00345C62" w:rsidRPr="001D105D" w:rsidRDefault="00345C62" w:rsidP="00215563">
            <w:pPr>
              <w:spacing w:after="0"/>
              <w:jc w:val="center"/>
              <w:rPr>
                <w:rFonts w:ascii="Calibri" w:eastAsia="Times New Roman" w:hAnsi="Calibri" w:cs="Calibri"/>
                <w:sz w:val="18"/>
                <w:szCs w:val="18"/>
              </w:rPr>
            </w:pPr>
            <w:r w:rsidRPr="001D105D">
              <w:rPr>
                <w:rFonts w:ascii="Calibri" w:hAnsi="Calibri" w:cs="Calibri"/>
                <w:sz w:val="18"/>
                <w:szCs w:val="18"/>
              </w:rPr>
              <w:t xml:space="preserve">         90,253 </w:t>
            </w:r>
          </w:p>
        </w:tc>
      </w:tr>
      <w:tr w:rsidR="00345C62" w:rsidRPr="001D105D" w14:paraId="440C0812" w14:textId="77777777" w:rsidTr="00511D6E">
        <w:trPr>
          <w:trHeight w:val="290"/>
        </w:trPr>
        <w:tc>
          <w:tcPr>
            <w:tcW w:w="1743" w:type="dxa"/>
            <w:shd w:val="clear" w:color="auto" w:fill="FFFFFF" w:themeFill="background1"/>
            <w:noWrap/>
            <w:vAlign w:val="bottom"/>
            <w:hideMark/>
          </w:tcPr>
          <w:p w14:paraId="47328E64" w14:textId="77777777" w:rsidR="00345C62" w:rsidRPr="001D105D" w:rsidRDefault="00345C62" w:rsidP="00215563">
            <w:pPr>
              <w:spacing w:after="0"/>
              <w:rPr>
                <w:rFonts w:ascii="Calibri" w:eastAsia="Times New Roman" w:hAnsi="Calibri" w:cs="Calibri"/>
                <w:b/>
                <w:bCs/>
                <w:color w:val="000000"/>
                <w:sz w:val="20"/>
                <w:szCs w:val="20"/>
              </w:rPr>
            </w:pPr>
            <w:r w:rsidRPr="001D105D">
              <w:rPr>
                <w:rFonts w:ascii="Calibri" w:eastAsia="Times New Roman" w:hAnsi="Calibri" w:cs="Calibri"/>
                <w:b/>
                <w:bCs/>
                <w:color w:val="000000"/>
                <w:sz w:val="20"/>
                <w:szCs w:val="20"/>
              </w:rPr>
              <w:t>MPH-IR</w:t>
            </w:r>
          </w:p>
        </w:tc>
        <w:tc>
          <w:tcPr>
            <w:tcW w:w="876" w:type="dxa"/>
            <w:shd w:val="clear" w:color="auto" w:fill="FFFFFF" w:themeFill="background1"/>
            <w:noWrap/>
            <w:vAlign w:val="bottom"/>
            <w:hideMark/>
          </w:tcPr>
          <w:p w14:paraId="798D7F58" w14:textId="47DA37CE" w:rsidR="00345C62" w:rsidRPr="001D105D" w:rsidRDefault="00345C62" w:rsidP="00215563">
            <w:pPr>
              <w:spacing w:after="0"/>
              <w:jc w:val="center"/>
              <w:rPr>
                <w:rFonts w:ascii="Calibri" w:eastAsia="Times New Roman" w:hAnsi="Calibri" w:cs="Calibri"/>
                <w:sz w:val="18"/>
                <w:szCs w:val="18"/>
              </w:rPr>
            </w:pPr>
            <w:r w:rsidRPr="001D105D">
              <w:rPr>
                <w:rFonts w:ascii="Calibri" w:hAnsi="Calibri" w:cs="Calibri"/>
                <w:sz w:val="18"/>
                <w:szCs w:val="18"/>
              </w:rPr>
              <w:t xml:space="preserve">         42,343 </w:t>
            </w:r>
          </w:p>
        </w:tc>
        <w:tc>
          <w:tcPr>
            <w:tcW w:w="958" w:type="dxa"/>
            <w:shd w:val="clear" w:color="auto" w:fill="FFFFFF" w:themeFill="background1"/>
            <w:noWrap/>
            <w:vAlign w:val="bottom"/>
            <w:hideMark/>
          </w:tcPr>
          <w:p w14:paraId="445B5E30" w14:textId="53BB6660" w:rsidR="00345C62" w:rsidRPr="001D105D" w:rsidRDefault="00345C62" w:rsidP="00215563">
            <w:pPr>
              <w:spacing w:after="0"/>
              <w:jc w:val="center"/>
              <w:rPr>
                <w:rFonts w:ascii="Calibri" w:eastAsia="Times New Roman" w:hAnsi="Calibri" w:cs="Calibri"/>
                <w:sz w:val="18"/>
                <w:szCs w:val="18"/>
              </w:rPr>
            </w:pPr>
            <w:r w:rsidRPr="001D105D">
              <w:rPr>
                <w:rFonts w:ascii="Calibri" w:hAnsi="Calibri" w:cs="Calibri"/>
                <w:sz w:val="18"/>
                <w:szCs w:val="18"/>
              </w:rPr>
              <w:t xml:space="preserve">         45,583 </w:t>
            </w:r>
          </w:p>
        </w:tc>
        <w:tc>
          <w:tcPr>
            <w:tcW w:w="876" w:type="dxa"/>
            <w:shd w:val="clear" w:color="auto" w:fill="FFFFFF" w:themeFill="background1"/>
            <w:noWrap/>
            <w:vAlign w:val="bottom"/>
            <w:hideMark/>
          </w:tcPr>
          <w:p w14:paraId="00391DCD" w14:textId="01EDCEB5" w:rsidR="00345C62" w:rsidRPr="001D105D" w:rsidRDefault="00345C62" w:rsidP="00215563">
            <w:pPr>
              <w:spacing w:after="0"/>
              <w:jc w:val="center"/>
              <w:rPr>
                <w:rFonts w:ascii="Calibri" w:eastAsia="Times New Roman" w:hAnsi="Calibri" w:cs="Calibri"/>
                <w:sz w:val="18"/>
                <w:szCs w:val="18"/>
              </w:rPr>
            </w:pPr>
            <w:r w:rsidRPr="001D105D">
              <w:rPr>
                <w:rFonts w:ascii="Calibri" w:hAnsi="Calibri" w:cs="Calibri"/>
                <w:sz w:val="18"/>
                <w:szCs w:val="18"/>
              </w:rPr>
              <w:t xml:space="preserve">         50,233 </w:t>
            </w:r>
          </w:p>
        </w:tc>
        <w:tc>
          <w:tcPr>
            <w:tcW w:w="967" w:type="dxa"/>
            <w:shd w:val="clear" w:color="auto" w:fill="FFFFFF" w:themeFill="background1"/>
            <w:noWrap/>
            <w:vAlign w:val="bottom"/>
            <w:hideMark/>
          </w:tcPr>
          <w:p w14:paraId="2A38E417" w14:textId="64869361" w:rsidR="00345C62" w:rsidRPr="001D105D" w:rsidRDefault="00345C62" w:rsidP="00215563">
            <w:pPr>
              <w:spacing w:after="0"/>
              <w:jc w:val="center"/>
              <w:rPr>
                <w:rFonts w:ascii="Calibri" w:eastAsia="Times New Roman" w:hAnsi="Calibri" w:cs="Calibri"/>
                <w:sz w:val="18"/>
                <w:szCs w:val="18"/>
              </w:rPr>
            </w:pPr>
            <w:r w:rsidRPr="001D105D">
              <w:rPr>
                <w:rFonts w:ascii="Calibri" w:hAnsi="Calibri" w:cs="Calibri"/>
                <w:sz w:val="18"/>
                <w:szCs w:val="18"/>
              </w:rPr>
              <w:t xml:space="preserve">         52,584 </w:t>
            </w:r>
          </w:p>
        </w:tc>
        <w:tc>
          <w:tcPr>
            <w:tcW w:w="876" w:type="dxa"/>
            <w:shd w:val="clear" w:color="auto" w:fill="FFFFFF" w:themeFill="background1"/>
            <w:noWrap/>
            <w:vAlign w:val="bottom"/>
            <w:hideMark/>
          </w:tcPr>
          <w:p w14:paraId="63931D0C" w14:textId="1701846E" w:rsidR="00345C62" w:rsidRPr="001D105D" w:rsidRDefault="00345C62" w:rsidP="00215563">
            <w:pPr>
              <w:spacing w:after="0"/>
              <w:jc w:val="center"/>
              <w:rPr>
                <w:rFonts w:ascii="Calibri" w:eastAsia="Times New Roman" w:hAnsi="Calibri" w:cs="Calibri"/>
                <w:sz w:val="18"/>
                <w:szCs w:val="18"/>
              </w:rPr>
            </w:pPr>
            <w:r w:rsidRPr="001D105D">
              <w:rPr>
                <w:rFonts w:ascii="Calibri" w:hAnsi="Calibri" w:cs="Calibri"/>
                <w:sz w:val="18"/>
                <w:szCs w:val="18"/>
              </w:rPr>
              <w:t xml:space="preserve">         56,535 </w:t>
            </w:r>
          </w:p>
        </w:tc>
        <w:tc>
          <w:tcPr>
            <w:tcW w:w="876" w:type="dxa"/>
            <w:shd w:val="clear" w:color="auto" w:fill="FFFFFF" w:themeFill="background1"/>
            <w:noWrap/>
            <w:vAlign w:val="bottom"/>
            <w:hideMark/>
          </w:tcPr>
          <w:p w14:paraId="1DCE43A8" w14:textId="02344402" w:rsidR="00345C62" w:rsidRPr="001D105D" w:rsidRDefault="00345C62" w:rsidP="00215563">
            <w:pPr>
              <w:spacing w:after="0"/>
              <w:jc w:val="center"/>
              <w:rPr>
                <w:rFonts w:ascii="Calibri" w:eastAsia="Times New Roman" w:hAnsi="Calibri" w:cs="Calibri"/>
                <w:sz w:val="18"/>
                <w:szCs w:val="18"/>
              </w:rPr>
            </w:pPr>
            <w:r w:rsidRPr="001D105D">
              <w:rPr>
                <w:rFonts w:ascii="Calibri" w:hAnsi="Calibri" w:cs="Calibri"/>
                <w:sz w:val="18"/>
                <w:szCs w:val="18"/>
              </w:rPr>
              <w:t xml:space="preserve">         64,412 </w:t>
            </w:r>
          </w:p>
        </w:tc>
        <w:tc>
          <w:tcPr>
            <w:tcW w:w="941" w:type="dxa"/>
            <w:shd w:val="clear" w:color="auto" w:fill="FFFFFF" w:themeFill="background1"/>
            <w:noWrap/>
            <w:vAlign w:val="bottom"/>
            <w:hideMark/>
          </w:tcPr>
          <w:p w14:paraId="0D0645E6" w14:textId="39258541" w:rsidR="00345C62" w:rsidRPr="001D105D" w:rsidRDefault="00345C62" w:rsidP="00215563">
            <w:pPr>
              <w:spacing w:after="0"/>
              <w:jc w:val="center"/>
              <w:rPr>
                <w:rFonts w:ascii="Calibri" w:eastAsia="Times New Roman" w:hAnsi="Calibri" w:cs="Calibri"/>
                <w:sz w:val="18"/>
                <w:szCs w:val="18"/>
              </w:rPr>
            </w:pPr>
            <w:r w:rsidRPr="001D105D">
              <w:rPr>
                <w:rFonts w:ascii="Calibri" w:hAnsi="Calibri" w:cs="Calibri"/>
                <w:sz w:val="18"/>
                <w:szCs w:val="18"/>
              </w:rPr>
              <w:t xml:space="preserve">         73,997 </w:t>
            </w:r>
          </w:p>
        </w:tc>
        <w:tc>
          <w:tcPr>
            <w:tcW w:w="973" w:type="dxa"/>
            <w:shd w:val="clear" w:color="auto" w:fill="FFFFFF" w:themeFill="background1"/>
            <w:noWrap/>
            <w:vAlign w:val="bottom"/>
            <w:hideMark/>
          </w:tcPr>
          <w:p w14:paraId="44B42F11" w14:textId="66E6C08A" w:rsidR="00345C62" w:rsidRPr="001D105D" w:rsidRDefault="00345C62" w:rsidP="00215563">
            <w:pPr>
              <w:spacing w:after="0"/>
              <w:jc w:val="center"/>
              <w:rPr>
                <w:rFonts w:ascii="Calibri" w:eastAsia="Times New Roman" w:hAnsi="Calibri" w:cs="Calibri"/>
                <w:sz w:val="18"/>
                <w:szCs w:val="18"/>
              </w:rPr>
            </w:pPr>
            <w:r w:rsidRPr="001D105D">
              <w:rPr>
                <w:rFonts w:ascii="Calibri" w:hAnsi="Calibri" w:cs="Calibri"/>
                <w:sz w:val="18"/>
                <w:szCs w:val="18"/>
              </w:rPr>
              <w:t xml:space="preserve">         87,735 </w:t>
            </w:r>
          </w:p>
        </w:tc>
      </w:tr>
      <w:tr w:rsidR="00345C62" w:rsidRPr="001D105D" w14:paraId="0F815D85" w14:textId="77777777" w:rsidTr="00511D6E">
        <w:trPr>
          <w:trHeight w:val="290"/>
        </w:trPr>
        <w:tc>
          <w:tcPr>
            <w:tcW w:w="1743" w:type="dxa"/>
            <w:tcBorders>
              <w:bottom w:val="single" w:sz="4" w:space="0" w:color="auto"/>
            </w:tcBorders>
            <w:shd w:val="clear" w:color="auto" w:fill="FFFFFF" w:themeFill="background1"/>
            <w:noWrap/>
            <w:vAlign w:val="bottom"/>
            <w:hideMark/>
          </w:tcPr>
          <w:p w14:paraId="1C9E74AE" w14:textId="77777777" w:rsidR="00345C62" w:rsidRPr="001D105D" w:rsidRDefault="00345C62" w:rsidP="00215563">
            <w:pPr>
              <w:spacing w:after="0"/>
              <w:rPr>
                <w:rFonts w:ascii="Calibri" w:eastAsia="Times New Roman" w:hAnsi="Calibri" w:cs="Calibri"/>
                <w:b/>
                <w:bCs/>
                <w:color w:val="000000"/>
                <w:sz w:val="20"/>
                <w:szCs w:val="20"/>
              </w:rPr>
            </w:pPr>
            <w:proofErr w:type="spellStart"/>
            <w:r w:rsidRPr="001D105D">
              <w:rPr>
                <w:rFonts w:ascii="Calibri" w:eastAsia="Times New Roman" w:hAnsi="Calibri" w:cs="Calibri"/>
                <w:b/>
                <w:bCs/>
                <w:color w:val="000000"/>
                <w:sz w:val="20"/>
                <w:szCs w:val="20"/>
              </w:rPr>
              <w:t>Dexamfetamine</w:t>
            </w:r>
            <w:proofErr w:type="spellEnd"/>
          </w:p>
        </w:tc>
        <w:tc>
          <w:tcPr>
            <w:tcW w:w="876" w:type="dxa"/>
            <w:shd w:val="clear" w:color="auto" w:fill="FFFFFF" w:themeFill="background1"/>
            <w:noWrap/>
            <w:vAlign w:val="bottom"/>
            <w:hideMark/>
          </w:tcPr>
          <w:p w14:paraId="05EEFE66" w14:textId="3BE70E66" w:rsidR="00345C62" w:rsidRPr="001D105D" w:rsidRDefault="00345C62" w:rsidP="00215563">
            <w:pPr>
              <w:spacing w:after="0"/>
              <w:jc w:val="center"/>
              <w:rPr>
                <w:rFonts w:ascii="Calibri" w:eastAsia="Times New Roman" w:hAnsi="Calibri" w:cs="Calibri"/>
                <w:sz w:val="18"/>
                <w:szCs w:val="18"/>
              </w:rPr>
            </w:pPr>
            <w:r w:rsidRPr="001D105D">
              <w:rPr>
                <w:rFonts w:ascii="Calibri" w:hAnsi="Calibri" w:cs="Calibri"/>
                <w:sz w:val="18"/>
                <w:szCs w:val="18"/>
              </w:rPr>
              <w:t xml:space="preserve">         32,003 </w:t>
            </w:r>
          </w:p>
        </w:tc>
        <w:tc>
          <w:tcPr>
            <w:tcW w:w="958" w:type="dxa"/>
            <w:shd w:val="clear" w:color="auto" w:fill="FFFFFF" w:themeFill="background1"/>
            <w:noWrap/>
            <w:vAlign w:val="bottom"/>
            <w:hideMark/>
          </w:tcPr>
          <w:p w14:paraId="3CA23199" w14:textId="15761A0A" w:rsidR="00345C62" w:rsidRPr="001D105D" w:rsidRDefault="00345C62" w:rsidP="00215563">
            <w:pPr>
              <w:spacing w:after="0"/>
              <w:jc w:val="center"/>
              <w:rPr>
                <w:rFonts w:ascii="Calibri" w:eastAsia="Times New Roman" w:hAnsi="Calibri" w:cs="Calibri"/>
                <w:sz w:val="18"/>
                <w:szCs w:val="18"/>
              </w:rPr>
            </w:pPr>
            <w:r w:rsidRPr="001D105D">
              <w:rPr>
                <w:rFonts w:ascii="Calibri" w:hAnsi="Calibri" w:cs="Calibri"/>
                <w:sz w:val="18"/>
                <w:szCs w:val="18"/>
              </w:rPr>
              <w:t xml:space="preserve">         33,200 </w:t>
            </w:r>
          </w:p>
        </w:tc>
        <w:tc>
          <w:tcPr>
            <w:tcW w:w="876" w:type="dxa"/>
            <w:shd w:val="clear" w:color="auto" w:fill="FFFFFF" w:themeFill="background1"/>
            <w:noWrap/>
            <w:vAlign w:val="bottom"/>
            <w:hideMark/>
          </w:tcPr>
          <w:p w14:paraId="35558A4F" w14:textId="4B241D5C" w:rsidR="00345C62" w:rsidRPr="001D105D" w:rsidRDefault="00345C62" w:rsidP="00215563">
            <w:pPr>
              <w:spacing w:after="0"/>
              <w:jc w:val="center"/>
              <w:rPr>
                <w:rFonts w:ascii="Calibri" w:eastAsia="Times New Roman" w:hAnsi="Calibri" w:cs="Calibri"/>
                <w:sz w:val="18"/>
                <w:szCs w:val="18"/>
              </w:rPr>
            </w:pPr>
            <w:r w:rsidRPr="001D105D">
              <w:rPr>
                <w:rFonts w:ascii="Calibri" w:hAnsi="Calibri" w:cs="Calibri"/>
                <w:sz w:val="18"/>
                <w:szCs w:val="18"/>
              </w:rPr>
              <w:t xml:space="preserve">         35,704 </w:t>
            </w:r>
          </w:p>
        </w:tc>
        <w:tc>
          <w:tcPr>
            <w:tcW w:w="967" w:type="dxa"/>
            <w:shd w:val="clear" w:color="auto" w:fill="FFFFFF" w:themeFill="background1"/>
            <w:noWrap/>
            <w:vAlign w:val="bottom"/>
            <w:hideMark/>
          </w:tcPr>
          <w:p w14:paraId="2DA7B65E" w14:textId="2ACFABD9" w:rsidR="00345C62" w:rsidRPr="001D105D" w:rsidRDefault="00345C62" w:rsidP="00215563">
            <w:pPr>
              <w:spacing w:after="0"/>
              <w:jc w:val="center"/>
              <w:rPr>
                <w:rFonts w:ascii="Calibri" w:eastAsia="Times New Roman" w:hAnsi="Calibri" w:cs="Calibri"/>
                <w:sz w:val="18"/>
                <w:szCs w:val="18"/>
              </w:rPr>
            </w:pPr>
            <w:r w:rsidRPr="001D105D">
              <w:rPr>
                <w:rFonts w:ascii="Calibri" w:hAnsi="Calibri" w:cs="Calibri"/>
                <w:sz w:val="18"/>
                <w:szCs w:val="18"/>
              </w:rPr>
              <w:t xml:space="preserve">         37,634 </w:t>
            </w:r>
          </w:p>
        </w:tc>
        <w:tc>
          <w:tcPr>
            <w:tcW w:w="876" w:type="dxa"/>
            <w:shd w:val="clear" w:color="auto" w:fill="FFFFFF" w:themeFill="background1"/>
            <w:noWrap/>
            <w:vAlign w:val="bottom"/>
            <w:hideMark/>
          </w:tcPr>
          <w:p w14:paraId="160BFA6F" w14:textId="328D1C4A" w:rsidR="00345C62" w:rsidRPr="001D105D" w:rsidRDefault="00345C62" w:rsidP="00215563">
            <w:pPr>
              <w:spacing w:after="0"/>
              <w:jc w:val="center"/>
              <w:rPr>
                <w:rFonts w:ascii="Calibri" w:eastAsia="Times New Roman" w:hAnsi="Calibri" w:cs="Calibri"/>
                <w:sz w:val="18"/>
                <w:szCs w:val="18"/>
              </w:rPr>
            </w:pPr>
            <w:r w:rsidRPr="001D105D">
              <w:rPr>
                <w:rFonts w:ascii="Calibri" w:hAnsi="Calibri" w:cs="Calibri"/>
                <w:sz w:val="18"/>
                <w:szCs w:val="18"/>
              </w:rPr>
              <w:t xml:space="preserve">         40,620 </w:t>
            </w:r>
          </w:p>
        </w:tc>
        <w:tc>
          <w:tcPr>
            <w:tcW w:w="876" w:type="dxa"/>
            <w:shd w:val="clear" w:color="auto" w:fill="FFFFFF" w:themeFill="background1"/>
            <w:noWrap/>
            <w:vAlign w:val="bottom"/>
            <w:hideMark/>
          </w:tcPr>
          <w:p w14:paraId="64933656" w14:textId="2D54E69A" w:rsidR="00345C62" w:rsidRPr="001D105D" w:rsidRDefault="00345C62" w:rsidP="00215563">
            <w:pPr>
              <w:spacing w:after="0"/>
              <w:jc w:val="center"/>
              <w:rPr>
                <w:rFonts w:ascii="Calibri" w:eastAsia="Times New Roman" w:hAnsi="Calibri" w:cs="Calibri"/>
                <w:sz w:val="18"/>
                <w:szCs w:val="18"/>
              </w:rPr>
            </w:pPr>
            <w:r w:rsidRPr="001D105D">
              <w:rPr>
                <w:rFonts w:ascii="Calibri" w:hAnsi="Calibri" w:cs="Calibri"/>
                <w:sz w:val="18"/>
                <w:szCs w:val="18"/>
              </w:rPr>
              <w:t xml:space="preserve">         45,358 </w:t>
            </w:r>
          </w:p>
        </w:tc>
        <w:tc>
          <w:tcPr>
            <w:tcW w:w="941" w:type="dxa"/>
            <w:shd w:val="clear" w:color="auto" w:fill="FFFFFF" w:themeFill="background1"/>
            <w:noWrap/>
            <w:vAlign w:val="bottom"/>
            <w:hideMark/>
          </w:tcPr>
          <w:p w14:paraId="7E985C0D" w14:textId="3E9EB030" w:rsidR="00345C62" w:rsidRPr="001D105D" w:rsidRDefault="00345C62" w:rsidP="00215563">
            <w:pPr>
              <w:spacing w:after="0"/>
              <w:jc w:val="center"/>
              <w:rPr>
                <w:rFonts w:ascii="Calibri" w:eastAsia="Times New Roman" w:hAnsi="Calibri" w:cs="Calibri"/>
                <w:sz w:val="18"/>
                <w:szCs w:val="18"/>
              </w:rPr>
            </w:pPr>
            <w:r w:rsidRPr="001D105D">
              <w:rPr>
                <w:rFonts w:ascii="Calibri" w:hAnsi="Calibri" w:cs="Calibri"/>
                <w:sz w:val="18"/>
                <w:szCs w:val="18"/>
              </w:rPr>
              <w:t xml:space="preserve">         51,567 </w:t>
            </w:r>
          </w:p>
        </w:tc>
        <w:tc>
          <w:tcPr>
            <w:tcW w:w="973" w:type="dxa"/>
            <w:shd w:val="clear" w:color="auto" w:fill="FFFFFF" w:themeFill="background1"/>
            <w:noWrap/>
            <w:vAlign w:val="bottom"/>
            <w:hideMark/>
          </w:tcPr>
          <w:p w14:paraId="3610649F" w14:textId="2E2EBEF4" w:rsidR="00345C62" w:rsidRPr="001D105D" w:rsidRDefault="00345C62" w:rsidP="00215563">
            <w:pPr>
              <w:spacing w:after="0"/>
              <w:jc w:val="center"/>
              <w:rPr>
                <w:rFonts w:ascii="Calibri" w:eastAsia="Times New Roman" w:hAnsi="Calibri" w:cs="Calibri"/>
                <w:sz w:val="18"/>
                <w:szCs w:val="18"/>
              </w:rPr>
            </w:pPr>
            <w:r w:rsidRPr="001D105D">
              <w:rPr>
                <w:rFonts w:ascii="Calibri" w:hAnsi="Calibri" w:cs="Calibri"/>
                <w:sz w:val="18"/>
                <w:szCs w:val="18"/>
              </w:rPr>
              <w:t xml:space="preserve">         61,784 </w:t>
            </w:r>
          </w:p>
        </w:tc>
      </w:tr>
      <w:tr w:rsidR="00345C62" w:rsidRPr="001D105D" w14:paraId="1B503459" w14:textId="77777777" w:rsidTr="00511D6E">
        <w:trPr>
          <w:trHeight w:val="290"/>
        </w:trPr>
        <w:tc>
          <w:tcPr>
            <w:tcW w:w="1743" w:type="dxa"/>
            <w:shd w:val="clear" w:color="auto" w:fill="FFFFFF" w:themeFill="background1"/>
            <w:noWrap/>
            <w:vAlign w:val="bottom"/>
            <w:hideMark/>
          </w:tcPr>
          <w:p w14:paraId="70ED7787" w14:textId="77777777" w:rsidR="00345C62" w:rsidRPr="001D105D" w:rsidRDefault="00345C62" w:rsidP="00215563">
            <w:pPr>
              <w:spacing w:after="0"/>
              <w:rPr>
                <w:rFonts w:ascii="Calibri" w:eastAsia="Times New Roman" w:hAnsi="Calibri" w:cs="Calibri"/>
                <w:b/>
                <w:bCs/>
                <w:color w:val="000000"/>
                <w:sz w:val="20"/>
                <w:szCs w:val="20"/>
              </w:rPr>
            </w:pPr>
            <w:proofErr w:type="spellStart"/>
            <w:r w:rsidRPr="001D105D">
              <w:rPr>
                <w:rFonts w:ascii="Calibri" w:eastAsia="Times New Roman" w:hAnsi="Calibri" w:cs="Calibri"/>
                <w:b/>
                <w:bCs/>
                <w:color w:val="000000"/>
                <w:sz w:val="20"/>
                <w:szCs w:val="20"/>
              </w:rPr>
              <w:t>Lisdexamfetamine</w:t>
            </w:r>
            <w:proofErr w:type="spellEnd"/>
          </w:p>
        </w:tc>
        <w:tc>
          <w:tcPr>
            <w:tcW w:w="876" w:type="dxa"/>
            <w:shd w:val="clear" w:color="auto" w:fill="FFFFFF" w:themeFill="background1"/>
            <w:noWrap/>
            <w:vAlign w:val="bottom"/>
            <w:hideMark/>
          </w:tcPr>
          <w:p w14:paraId="610F696E" w14:textId="2B166E90" w:rsidR="00345C62" w:rsidRPr="001D105D" w:rsidRDefault="00345C62" w:rsidP="00215563">
            <w:pPr>
              <w:spacing w:after="0"/>
              <w:jc w:val="center"/>
              <w:rPr>
                <w:rFonts w:ascii="Calibri" w:eastAsia="Times New Roman" w:hAnsi="Calibri" w:cs="Calibri"/>
                <w:sz w:val="18"/>
                <w:szCs w:val="18"/>
              </w:rPr>
            </w:pPr>
          </w:p>
        </w:tc>
        <w:tc>
          <w:tcPr>
            <w:tcW w:w="958" w:type="dxa"/>
            <w:shd w:val="clear" w:color="auto" w:fill="FFFFFF" w:themeFill="background1"/>
            <w:noWrap/>
            <w:vAlign w:val="bottom"/>
            <w:hideMark/>
          </w:tcPr>
          <w:p w14:paraId="274C96AD" w14:textId="7452970D" w:rsidR="00345C62" w:rsidRPr="001D105D" w:rsidRDefault="00345C62" w:rsidP="00215563">
            <w:pPr>
              <w:spacing w:after="0"/>
              <w:jc w:val="center"/>
              <w:rPr>
                <w:rFonts w:ascii="Calibri" w:eastAsia="Times New Roman" w:hAnsi="Calibri" w:cs="Calibri"/>
                <w:sz w:val="18"/>
                <w:szCs w:val="18"/>
              </w:rPr>
            </w:pPr>
          </w:p>
        </w:tc>
        <w:tc>
          <w:tcPr>
            <w:tcW w:w="876" w:type="dxa"/>
            <w:shd w:val="clear" w:color="auto" w:fill="FFFFFF" w:themeFill="background1"/>
            <w:noWrap/>
            <w:vAlign w:val="bottom"/>
            <w:hideMark/>
          </w:tcPr>
          <w:p w14:paraId="403D2C09" w14:textId="5085AB6B" w:rsidR="00345C62" w:rsidRPr="001D105D" w:rsidRDefault="00345C62" w:rsidP="00215563">
            <w:pPr>
              <w:spacing w:after="0"/>
              <w:jc w:val="center"/>
              <w:rPr>
                <w:rFonts w:ascii="Calibri" w:eastAsia="Times New Roman" w:hAnsi="Calibri" w:cs="Calibri"/>
                <w:sz w:val="18"/>
                <w:szCs w:val="18"/>
              </w:rPr>
            </w:pPr>
            <w:r w:rsidRPr="001D105D">
              <w:rPr>
                <w:rFonts w:ascii="Calibri" w:hAnsi="Calibri" w:cs="Calibri"/>
                <w:sz w:val="18"/>
                <w:szCs w:val="18"/>
              </w:rPr>
              <w:t xml:space="preserve">           7,424 </w:t>
            </w:r>
          </w:p>
        </w:tc>
        <w:tc>
          <w:tcPr>
            <w:tcW w:w="967" w:type="dxa"/>
            <w:shd w:val="clear" w:color="auto" w:fill="FFFFFF" w:themeFill="background1"/>
            <w:noWrap/>
            <w:vAlign w:val="bottom"/>
            <w:hideMark/>
          </w:tcPr>
          <w:p w14:paraId="05CF3029" w14:textId="6831C55F" w:rsidR="00345C62" w:rsidRPr="001D105D" w:rsidRDefault="00345C62" w:rsidP="00215563">
            <w:pPr>
              <w:spacing w:after="0"/>
              <w:jc w:val="center"/>
              <w:rPr>
                <w:rFonts w:ascii="Calibri" w:eastAsia="Times New Roman" w:hAnsi="Calibri" w:cs="Calibri"/>
                <w:sz w:val="18"/>
                <w:szCs w:val="18"/>
              </w:rPr>
            </w:pPr>
            <w:r w:rsidRPr="001D105D">
              <w:rPr>
                <w:rFonts w:ascii="Calibri" w:hAnsi="Calibri" w:cs="Calibri"/>
                <w:sz w:val="18"/>
                <w:szCs w:val="18"/>
              </w:rPr>
              <w:t xml:space="preserve">         20,809 </w:t>
            </w:r>
          </w:p>
        </w:tc>
        <w:tc>
          <w:tcPr>
            <w:tcW w:w="876" w:type="dxa"/>
            <w:shd w:val="clear" w:color="auto" w:fill="FFFFFF" w:themeFill="background1"/>
            <w:noWrap/>
            <w:vAlign w:val="bottom"/>
            <w:hideMark/>
          </w:tcPr>
          <w:p w14:paraId="78775508" w14:textId="5C55A91E" w:rsidR="00345C62" w:rsidRPr="001D105D" w:rsidRDefault="00345C62" w:rsidP="00215563">
            <w:pPr>
              <w:spacing w:after="0"/>
              <w:jc w:val="center"/>
              <w:rPr>
                <w:rFonts w:ascii="Calibri" w:eastAsia="Times New Roman" w:hAnsi="Calibri" w:cs="Calibri"/>
                <w:sz w:val="18"/>
                <w:szCs w:val="18"/>
              </w:rPr>
            </w:pPr>
            <w:r w:rsidRPr="001D105D">
              <w:rPr>
                <w:rFonts w:ascii="Calibri" w:hAnsi="Calibri" w:cs="Calibri"/>
                <w:sz w:val="18"/>
                <w:szCs w:val="18"/>
              </w:rPr>
              <w:t xml:space="preserve">         29,230 </w:t>
            </w:r>
          </w:p>
        </w:tc>
        <w:tc>
          <w:tcPr>
            <w:tcW w:w="876" w:type="dxa"/>
            <w:shd w:val="clear" w:color="auto" w:fill="FFFFFF" w:themeFill="background1"/>
            <w:noWrap/>
            <w:vAlign w:val="bottom"/>
            <w:hideMark/>
          </w:tcPr>
          <w:p w14:paraId="15060055" w14:textId="62B5F45A" w:rsidR="00345C62" w:rsidRPr="001D105D" w:rsidRDefault="00345C62" w:rsidP="00215563">
            <w:pPr>
              <w:spacing w:after="0"/>
              <w:jc w:val="center"/>
              <w:rPr>
                <w:rFonts w:ascii="Calibri" w:eastAsia="Times New Roman" w:hAnsi="Calibri" w:cs="Calibri"/>
                <w:sz w:val="18"/>
                <w:szCs w:val="18"/>
              </w:rPr>
            </w:pPr>
            <w:r w:rsidRPr="001D105D">
              <w:rPr>
                <w:rFonts w:ascii="Calibri" w:hAnsi="Calibri" w:cs="Calibri"/>
                <w:sz w:val="18"/>
                <w:szCs w:val="18"/>
              </w:rPr>
              <w:t xml:space="preserve">         37,899 </w:t>
            </w:r>
          </w:p>
        </w:tc>
        <w:tc>
          <w:tcPr>
            <w:tcW w:w="941" w:type="dxa"/>
            <w:shd w:val="clear" w:color="auto" w:fill="FFFFFF" w:themeFill="background1"/>
            <w:noWrap/>
            <w:vAlign w:val="bottom"/>
            <w:hideMark/>
          </w:tcPr>
          <w:p w14:paraId="22476A10" w14:textId="13A36701" w:rsidR="00345C62" w:rsidRPr="001D105D" w:rsidRDefault="00345C62" w:rsidP="00215563">
            <w:pPr>
              <w:spacing w:after="0"/>
              <w:jc w:val="center"/>
              <w:rPr>
                <w:rFonts w:ascii="Calibri" w:eastAsia="Times New Roman" w:hAnsi="Calibri" w:cs="Calibri"/>
                <w:sz w:val="18"/>
                <w:szCs w:val="18"/>
              </w:rPr>
            </w:pPr>
            <w:r w:rsidRPr="001D105D">
              <w:rPr>
                <w:rFonts w:ascii="Calibri" w:hAnsi="Calibri" w:cs="Calibri"/>
                <w:sz w:val="18"/>
                <w:szCs w:val="18"/>
              </w:rPr>
              <w:t xml:space="preserve">         45,972 </w:t>
            </w:r>
          </w:p>
        </w:tc>
        <w:tc>
          <w:tcPr>
            <w:tcW w:w="973" w:type="dxa"/>
            <w:shd w:val="clear" w:color="auto" w:fill="FFFFFF" w:themeFill="background1"/>
            <w:noWrap/>
            <w:vAlign w:val="bottom"/>
            <w:hideMark/>
          </w:tcPr>
          <w:p w14:paraId="28BCAF98" w14:textId="1FB1C2C0" w:rsidR="00345C62" w:rsidRPr="001D105D" w:rsidRDefault="00345C62" w:rsidP="00215563">
            <w:pPr>
              <w:spacing w:after="0"/>
              <w:jc w:val="center"/>
              <w:rPr>
                <w:rFonts w:ascii="Calibri" w:eastAsia="Times New Roman" w:hAnsi="Calibri" w:cs="Calibri"/>
                <w:sz w:val="18"/>
                <w:szCs w:val="18"/>
              </w:rPr>
            </w:pPr>
            <w:r w:rsidRPr="001D105D">
              <w:rPr>
                <w:rFonts w:ascii="Calibri" w:hAnsi="Calibri" w:cs="Calibri"/>
                <w:sz w:val="18"/>
                <w:szCs w:val="18"/>
              </w:rPr>
              <w:t xml:space="preserve">         57,021 </w:t>
            </w:r>
          </w:p>
        </w:tc>
      </w:tr>
      <w:tr w:rsidR="00345C62" w:rsidRPr="001D105D" w14:paraId="300F9E9F" w14:textId="77777777" w:rsidTr="00511D6E">
        <w:trPr>
          <w:trHeight w:val="290"/>
        </w:trPr>
        <w:tc>
          <w:tcPr>
            <w:tcW w:w="1743" w:type="dxa"/>
            <w:shd w:val="clear" w:color="auto" w:fill="FFFFFF" w:themeFill="background1"/>
            <w:noWrap/>
            <w:vAlign w:val="bottom"/>
            <w:hideMark/>
          </w:tcPr>
          <w:p w14:paraId="6EF4FAFE" w14:textId="77777777" w:rsidR="00345C62" w:rsidRPr="001D105D" w:rsidRDefault="00345C62" w:rsidP="00215563">
            <w:pPr>
              <w:spacing w:after="0"/>
              <w:rPr>
                <w:rFonts w:ascii="Calibri" w:eastAsia="Times New Roman" w:hAnsi="Calibri" w:cs="Calibri"/>
                <w:b/>
                <w:bCs/>
                <w:color w:val="000000"/>
                <w:sz w:val="20"/>
                <w:szCs w:val="20"/>
              </w:rPr>
            </w:pPr>
            <w:r w:rsidRPr="001D105D">
              <w:rPr>
                <w:rFonts w:ascii="Calibri" w:eastAsia="Times New Roman" w:hAnsi="Calibri" w:cs="Calibri"/>
                <w:b/>
                <w:bCs/>
                <w:color w:val="000000"/>
                <w:sz w:val="20"/>
                <w:szCs w:val="20"/>
              </w:rPr>
              <w:t>Atomoxetine</w:t>
            </w:r>
          </w:p>
        </w:tc>
        <w:tc>
          <w:tcPr>
            <w:tcW w:w="876" w:type="dxa"/>
            <w:shd w:val="clear" w:color="auto" w:fill="FFFFFF" w:themeFill="background1"/>
            <w:noWrap/>
            <w:vAlign w:val="bottom"/>
            <w:hideMark/>
          </w:tcPr>
          <w:p w14:paraId="474DD91C" w14:textId="0ABD28F6" w:rsidR="00345C62" w:rsidRPr="001D105D" w:rsidRDefault="00345C62" w:rsidP="00215563">
            <w:pPr>
              <w:spacing w:after="0"/>
              <w:jc w:val="center"/>
              <w:rPr>
                <w:rFonts w:ascii="Calibri" w:eastAsia="Times New Roman" w:hAnsi="Calibri" w:cs="Calibri"/>
                <w:sz w:val="18"/>
                <w:szCs w:val="18"/>
              </w:rPr>
            </w:pPr>
            <w:r w:rsidRPr="001D105D">
              <w:rPr>
                <w:rFonts w:ascii="Calibri" w:hAnsi="Calibri" w:cs="Calibri"/>
                <w:sz w:val="18"/>
                <w:szCs w:val="18"/>
              </w:rPr>
              <w:t xml:space="preserve">           7,434 </w:t>
            </w:r>
          </w:p>
        </w:tc>
        <w:tc>
          <w:tcPr>
            <w:tcW w:w="958" w:type="dxa"/>
            <w:shd w:val="clear" w:color="auto" w:fill="FFFFFF" w:themeFill="background1"/>
            <w:noWrap/>
            <w:vAlign w:val="bottom"/>
            <w:hideMark/>
          </w:tcPr>
          <w:p w14:paraId="108EE450" w14:textId="41846ADD" w:rsidR="00345C62" w:rsidRPr="001D105D" w:rsidRDefault="00345C62" w:rsidP="00215563">
            <w:pPr>
              <w:spacing w:after="0"/>
              <w:jc w:val="center"/>
              <w:rPr>
                <w:rFonts w:ascii="Calibri" w:eastAsia="Times New Roman" w:hAnsi="Calibri" w:cs="Calibri"/>
                <w:sz w:val="18"/>
                <w:szCs w:val="18"/>
              </w:rPr>
            </w:pPr>
            <w:r w:rsidRPr="001D105D">
              <w:rPr>
                <w:rFonts w:ascii="Calibri" w:hAnsi="Calibri" w:cs="Calibri"/>
                <w:sz w:val="18"/>
                <w:szCs w:val="18"/>
              </w:rPr>
              <w:t xml:space="preserve">           7,516 </w:t>
            </w:r>
          </w:p>
        </w:tc>
        <w:tc>
          <w:tcPr>
            <w:tcW w:w="876" w:type="dxa"/>
            <w:shd w:val="clear" w:color="auto" w:fill="FFFFFF" w:themeFill="background1"/>
            <w:noWrap/>
            <w:vAlign w:val="bottom"/>
            <w:hideMark/>
          </w:tcPr>
          <w:p w14:paraId="54D97C12" w14:textId="03F9BF92" w:rsidR="00345C62" w:rsidRPr="001D105D" w:rsidRDefault="00345C62" w:rsidP="00215563">
            <w:pPr>
              <w:spacing w:after="0"/>
              <w:jc w:val="center"/>
              <w:rPr>
                <w:rFonts w:ascii="Calibri" w:eastAsia="Times New Roman" w:hAnsi="Calibri" w:cs="Calibri"/>
                <w:sz w:val="18"/>
                <w:szCs w:val="18"/>
              </w:rPr>
            </w:pPr>
            <w:r w:rsidRPr="001D105D">
              <w:rPr>
                <w:rFonts w:ascii="Calibri" w:hAnsi="Calibri" w:cs="Calibri"/>
                <w:sz w:val="18"/>
                <w:szCs w:val="18"/>
              </w:rPr>
              <w:t xml:space="preserve">           8,151 </w:t>
            </w:r>
          </w:p>
        </w:tc>
        <w:tc>
          <w:tcPr>
            <w:tcW w:w="967" w:type="dxa"/>
            <w:shd w:val="clear" w:color="auto" w:fill="FFFFFF" w:themeFill="background1"/>
            <w:noWrap/>
            <w:vAlign w:val="bottom"/>
            <w:hideMark/>
          </w:tcPr>
          <w:p w14:paraId="3679A26B" w14:textId="7AF47875" w:rsidR="00345C62" w:rsidRPr="001D105D" w:rsidRDefault="00345C62" w:rsidP="00215563">
            <w:pPr>
              <w:spacing w:after="0"/>
              <w:jc w:val="center"/>
              <w:rPr>
                <w:rFonts w:ascii="Calibri" w:eastAsia="Times New Roman" w:hAnsi="Calibri" w:cs="Calibri"/>
                <w:sz w:val="18"/>
                <w:szCs w:val="18"/>
              </w:rPr>
            </w:pPr>
            <w:r w:rsidRPr="001D105D">
              <w:rPr>
                <w:rFonts w:ascii="Calibri" w:hAnsi="Calibri" w:cs="Calibri"/>
                <w:sz w:val="18"/>
                <w:szCs w:val="18"/>
              </w:rPr>
              <w:t xml:space="preserve">           8,996 </w:t>
            </w:r>
          </w:p>
        </w:tc>
        <w:tc>
          <w:tcPr>
            <w:tcW w:w="876" w:type="dxa"/>
            <w:shd w:val="clear" w:color="auto" w:fill="FFFFFF" w:themeFill="background1"/>
            <w:noWrap/>
            <w:vAlign w:val="bottom"/>
            <w:hideMark/>
          </w:tcPr>
          <w:p w14:paraId="7358C194" w14:textId="5E87DACB" w:rsidR="00345C62" w:rsidRPr="001D105D" w:rsidRDefault="00345C62" w:rsidP="00215563">
            <w:pPr>
              <w:spacing w:after="0"/>
              <w:jc w:val="center"/>
              <w:rPr>
                <w:rFonts w:ascii="Calibri" w:eastAsia="Times New Roman" w:hAnsi="Calibri" w:cs="Calibri"/>
                <w:sz w:val="18"/>
                <w:szCs w:val="18"/>
              </w:rPr>
            </w:pPr>
            <w:r w:rsidRPr="001D105D">
              <w:rPr>
                <w:rFonts w:ascii="Calibri" w:hAnsi="Calibri" w:cs="Calibri"/>
                <w:sz w:val="18"/>
                <w:szCs w:val="18"/>
              </w:rPr>
              <w:t xml:space="preserve">           9,900 </w:t>
            </w:r>
          </w:p>
        </w:tc>
        <w:tc>
          <w:tcPr>
            <w:tcW w:w="876" w:type="dxa"/>
            <w:shd w:val="clear" w:color="auto" w:fill="FFFFFF" w:themeFill="background1"/>
            <w:noWrap/>
            <w:vAlign w:val="bottom"/>
            <w:hideMark/>
          </w:tcPr>
          <w:p w14:paraId="2F073B62" w14:textId="16207DAE" w:rsidR="00345C62" w:rsidRPr="001D105D" w:rsidRDefault="00345C62" w:rsidP="00215563">
            <w:pPr>
              <w:spacing w:after="0"/>
              <w:jc w:val="center"/>
              <w:rPr>
                <w:rFonts w:ascii="Calibri" w:eastAsia="Times New Roman" w:hAnsi="Calibri" w:cs="Calibri"/>
                <w:sz w:val="18"/>
                <w:szCs w:val="18"/>
              </w:rPr>
            </w:pPr>
            <w:r w:rsidRPr="001D105D">
              <w:rPr>
                <w:rFonts w:ascii="Calibri" w:hAnsi="Calibri" w:cs="Calibri"/>
                <w:sz w:val="18"/>
                <w:szCs w:val="18"/>
              </w:rPr>
              <w:t xml:space="preserve">         10,436 </w:t>
            </w:r>
          </w:p>
        </w:tc>
        <w:tc>
          <w:tcPr>
            <w:tcW w:w="941" w:type="dxa"/>
            <w:shd w:val="clear" w:color="auto" w:fill="FFFFFF" w:themeFill="background1"/>
            <w:noWrap/>
            <w:vAlign w:val="bottom"/>
            <w:hideMark/>
          </w:tcPr>
          <w:p w14:paraId="437DF8BE" w14:textId="38C0EB19" w:rsidR="00345C62" w:rsidRPr="001D105D" w:rsidRDefault="00345C62" w:rsidP="00215563">
            <w:pPr>
              <w:spacing w:after="0"/>
              <w:jc w:val="center"/>
              <w:rPr>
                <w:rFonts w:ascii="Calibri" w:eastAsia="Times New Roman" w:hAnsi="Calibri" w:cs="Calibri"/>
                <w:sz w:val="18"/>
                <w:szCs w:val="18"/>
              </w:rPr>
            </w:pPr>
            <w:r w:rsidRPr="001D105D">
              <w:rPr>
                <w:rFonts w:ascii="Calibri" w:hAnsi="Calibri" w:cs="Calibri"/>
                <w:sz w:val="18"/>
                <w:szCs w:val="18"/>
              </w:rPr>
              <w:t xml:space="preserve">         10,735 </w:t>
            </w:r>
          </w:p>
        </w:tc>
        <w:tc>
          <w:tcPr>
            <w:tcW w:w="973" w:type="dxa"/>
            <w:shd w:val="clear" w:color="auto" w:fill="FFFFFF" w:themeFill="background1"/>
            <w:noWrap/>
            <w:vAlign w:val="bottom"/>
            <w:hideMark/>
          </w:tcPr>
          <w:p w14:paraId="52BC5834" w14:textId="2716CB98" w:rsidR="00345C62" w:rsidRPr="001D105D" w:rsidRDefault="00345C62" w:rsidP="00215563">
            <w:pPr>
              <w:spacing w:after="0"/>
              <w:jc w:val="center"/>
              <w:rPr>
                <w:rFonts w:ascii="Calibri" w:eastAsia="Times New Roman" w:hAnsi="Calibri" w:cs="Calibri"/>
                <w:sz w:val="18"/>
                <w:szCs w:val="18"/>
              </w:rPr>
            </w:pPr>
            <w:r w:rsidRPr="001D105D">
              <w:rPr>
                <w:rFonts w:ascii="Calibri" w:hAnsi="Calibri" w:cs="Calibri"/>
                <w:sz w:val="18"/>
                <w:szCs w:val="18"/>
              </w:rPr>
              <w:t xml:space="preserve">         11,628 </w:t>
            </w:r>
          </w:p>
        </w:tc>
      </w:tr>
      <w:tr w:rsidR="00345C62" w:rsidRPr="001D105D" w14:paraId="629BA88F" w14:textId="77777777" w:rsidTr="00511D6E">
        <w:trPr>
          <w:trHeight w:val="290"/>
        </w:trPr>
        <w:tc>
          <w:tcPr>
            <w:tcW w:w="1743" w:type="dxa"/>
            <w:shd w:val="clear" w:color="auto" w:fill="FFFFFF" w:themeFill="background1"/>
            <w:noWrap/>
            <w:vAlign w:val="bottom"/>
            <w:hideMark/>
          </w:tcPr>
          <w:p w14:paraId="6244F76D" w14:textId="77777777" w:rsidR="00345C62" w:rsidRPr="001D105D" w:rsidRDefault="00345C62" w:rsidP="00215563">
            <w:pPr>
              <w:spacing w:after="0"/>
              <w:rPr>
                <w:rFonts w:ascii="Calibri" w:eastAsia="Times New Roman" w:hAnsi="Calibri" w:cs="Calibri"/>
                <w:b/>
                <w:bCs/>
                <w:color w:val="000000"/>
                <w:sz w:val="20"/>
                <w:szCs w:val="20"/>
              </w:rPr>
            </w:pPr>
            <w:r w:rsidRPr="001D105D">
              <w:rPr>
                <w:rFonts w:ascii="Calibri" w:eastAsia="Times New Roman" w:hAnsi="Calibri" w:cs="Calibri"/>
                <w:b/>
                <w:bCs/>
                <w:color w:val="000000"/>
                <w:sz w:val="20"/>
                <w:szCs w:val="20"/>
              </w:rPr>
              <w:t>Guanfacine</w:t>
            </w:r>
          </w:p>
        </w:tc>
        <w:tc>
          <w:tcPr>
            <w:tcW w:w="876" w:type="dxa"/>
            <w:tcBorders>
              <w:bottom w:val="single" w:sz="4" w:space="0" w:color="auto"/>
            </w:tcBorders>
            <w:shd w:val="clear" w:color="auto" w:fill="FFFFFF" w:themeFill="background1"/>
            <w:noWrap/>
            <w:vAlign w:val="bottom"/>
            <w:hideMark/>
          </w:tcPr>
          <w:p w14:paraId="0AD4FD3F" w14:textId="60AFEBB8" w:rsidR="00345C62" w:rsidRPr="001D105D" w:rsidRDefault="00345C62" w:rsidP="00215563">
            <w:pPr>
              <w:spacing w:after="0"/>
              <w:jc w:val="center"/>
              <w:rPr>
                <w:rFonts w:ascii="Calibri" w:eastAsia="Times New Roman" w:hAnsi="Calibri" w:cs="Calibri"/>
                <w:sz w:val="18"/>
                <w:szCs w:val="18"/>
              </w:rPr>
            </w:pPr>
          </w:p>
        </w:tc>
        <w:tc>
          <w:tcPr>
            <w:tcW w:w="958" w:type="dxa"/>
            <w:tcBorders>
              <w:bottom w:val="single" w:sz="4" w:space="0" w:color="auto"/>
            </w:tcBorders>
            <w:shd w:val="clear" w:color="auto" w:fill="FFFFFF" w:themeFill="background1"/>
            <w:noWrap/>
            <w:vAlign w:val="bottom"/>
            <w:hideMark/>
          </w:tcPr>
          <w:p w14:paraId="28041BE6" w14:textId="41FC06DE" w:rsidR="00345C62" w:rsidRPr="001D105D" w:rsidRDefault="00345C62" w:rsidP="00215563">
            <w:pPr>
              <w:spacing w:after="0"/>
              <w:jc w:val="center"/>
              <w:rPr>
                <w:rFonts w:ascii="Times New Roman" w:eastAsia="Times New Roman" w:hAnsi="Times New Roman" w:cs="Times New Roman"/>
                <w:sz w:val="18"/>
                <w:szCs w:val="18"/>
              </w:rPr>
            </w:pPr>
          </w:p>
        </w:tc>
        <w:tc>
          <w:tcPr>
            <w:tcW w:w="876" w:type="dxa"/>
            <w:tcBorders>
              <w:bottom w:val="single" w:sz="4" w:space="0" w:color="auto"/>
            </w:tcBorders>
            <w:shd w:val="clear" w:color="auto" w:fill="FFFFFF" w:themeFill="background1"/>
            <w:noWrap/>
            <w:vAlign w:val="bottom"/>
            <w:hideMark/>
          </w:tcPr>
          <w:p w14:paraId="40AF215E" w14:textId="44C94577" w:rsidR="00345C62" w:rsidRPr="001D105D" w:rsidRDefault="00345C62" w:rsidP="00215563">
            <w:pPr>
              <w:spacing w:after="0"/>
              <w:jc w:val="center"/>
              <w:rPr>
                <w:rFonts w:ascii="Times New Roman" w:eastAsia="Times New Roman" w:hAnsi="Times New Roman" w:cs="Times New Roman"/>
                <w:sz w:val="18"/>
                <w:szCs w:val="18"/>
              </w:rPr>
            </w:pPr>
          </w:p>
        </w:tc>
        <w:tc>
          <w:tcPr>
            <w:tcW w:w="967" w:type="dxa"/>
            <w:tcBorders>
              <w:bottom w:val="single" w:sz="4" w:space="0" w:color="auto"/>
            </w:tcBorders>
            <w:shd w:val="clear" w:color="auto" w:fill="FFFFFF" w:themeFill="background1"/>
            <w:noWrap/>
            <w:vAlign w:val="bottom"/>
            <w:hideMark/>
          </w:tcPr>
          <w:p w14:paraId="199FF2AF" w14:textId="45307CB3" w:rsidR="00345C62" w:rsidRPr="001D105D" w:rsidRDefault="00345C62" w:rsidP="00215563">
            <w:pPr>
              <w:spacing w:after="0"/>
              <w:jc w:val="center"/>
              <w:rPr>
                <w:rFonts w:ascii="Times New Roman" w:eastAsia="Times New Roman" w:hAnsi="Times New Roman" w:cs="Times New Roman"/>
                <w:sz w:val="18"/>
                <w:szCs w:val="18"/>
              </w:rPr>
            </w:pPr>
          </w:p>
        </w:tc>
        <w:tc>
          <w:tcPr>
            <w:tcW w:w="876" w:type="dxa"/>
            <w:tcBorders>
              <w:bottom w:val="single" w:sz="4" w:space="0" w:color="auto"/>
            </w:tcBorders>
            <w:shd w:val="clear" w:color="auto" w:fill="FFFFFF" w:themeFill="background1"/>
            <w:noWrap/>
            <w:vAlign w:val="bottom"/>
            <w:hideMark/>
          </w:tcPr>
          <w:p w14:paraId="282DEDC1" w14:textId="64FEC28B" w:rsidR="00345C62" w:rsidRPr="001D105D" w:rsidRDefault="00345C62" w:rsidP="00215563">
            <w:pPr>
              <w:spacing w:after="0"/>
              <w:jc w:val="center"/>
              <w:rPr>
                <w:rFonts w:ascii="Times New Roman" w:eastAsia="Times New Roman" w:hAnsi="Times New Roman" w:cs="Times New Roman"/>
                <w:sz w:val="18"/>
                <w:szCs w:val="18"/>
              </w:rPr>
            </w:pPr>
          </w:p>
        </w:tc>
        <w:tc>
          <w:tcPr>
            <w:tcW w:w="876" w:type="dxa"/>
            <w:tcBorders>
              <w:bottom w:val="single" w:sz="4" w:space="0" w:color="auto"/>
            </w:tcBorders>
            <w:shd w:val="clear" w:color="auto" w:fill="FFFFFF" w:themeFill="background1"/>
            <w:noWrap/>
            <w:vAlign w:val="bottom"/>
            <w:hideMark/>
          </w:tcPr>
          <w:p w14:paraId="0506D836" w14:textId="6446F5A1" w:rsidR="00345C62" w:rsidRPr="001D105D" w:rsidRDefault="00345C62" w:rsidP="00215563">
            <w:pPr>
              <w:spacing w:after="0"/>
              <w:jc w:val="center"/>
              <w:rPr>
                <w:rFonts w:ascii="Calibri" w:eastAsia="Times New Roman" w:hAnsi="Calibri" w:cs="Calibri"/>
                <w:sz w:val="18"/>
                <w:szCs w:val="18"/>
              </w:rPr>
            </w:pPr>
            <w:r w:rsidRPr="001D105D">
              <w:rPr>
                <w:rFonts w:ascii="Calibri" w:hAnsi="Calibri" w:cs="Calibri"/>
                <w:sz w:val="18"/>
                <w:szCs w:val="18"/>
              </w:rPr>
              <w:t xml:space="preserve">           3,805 </w:t>
            </w:r>
          </w:p>
        </w:tc>
        <w:tc>
          <w:tcPr>
            <w:tcW w:w="941" w:type="dxa"/>
            <w:tcBorders>
              <w:bottom w:val="single" w:sz="4" w:space="0" w:color="auto"/>
            </w:tcBorders>
            <w:shd w:val="clear" w:color="auto" w:fill="FFFFFF" w:themeFill="background1"/>
            <w:noWrap/>
            <w:vAlign w:val="bottom"/>
            <w:hideMark/>
          </w:tcPr>
          <w:p w14:paraId="72A153F3" w14:textId="6EBE61A6" w:rsidR="00345C62" w:rsidRPr="001D105D" w:rsidRDefault="00345C62" w:rsidP="00215563">
            <w:pPr>
              <w:spacing w:after="0"/>
              <w:jc w:val="center"/>
              <w:rPr>
                <w:rFonts w:ascii="Calibri" w:eastAsia="Times New Roman" w:hAnsi="Calibri" w:cs="Calibri"/>
                <w:sz w:val="18"/>
                <w:szCs w:val="18"/>
              </w:rPr>
            </w:pPr>
            <w:r w:rsidRPr="001D105D">
              <w:rPr>
                <w:rFonts w:ascii="Calibri" w:hAnsi="Calibri" w:cs="Calibri"/>
                <w:sz w:val="18"/>
                <w:szCs w:val="18"/>
              </w:rPr>
              <w:t xml:space="preserve">         18,030 </w:t>
            </w:r>
          </w:p>
        </w:tc>
        <w:tc>
          <w:tcPr>
            <w:tcW w:w="973" w:type="dxa"/>
            <w:tcBorders>
              <w:bottom w:val="single" w:sz="4" w:space="0" w:color="auto"/>
            </w:tcBorders>
            <w:shd w:val="clear" w:color="auto" w:fill="FFFFFF" w:themeFill="background1"/>
            <w:noWrap/>
            <w:vAlign w:val="bottom"/>
            <w:hideMark/>
          </w:tcPr>
          <w:p w14:paraId="321E844B" w14:textId="3FA74773" w:rsidR="00345C62" w:rsidRPr="001D105D" w:rsidRDefault="00345C62" w:rsidP="00215563">
            <w:pPr>
              <w:spacing w:after="0"/>
              <w:jc w:val="center"/>
              <w:rPr>
                <w:rFonts w:ascii="Calibri" w:eastAsia="Times New Roman" w:hAnsi="Calibri" w:cs="Calibri"/>
                <w:sz w:val="18"/>
                <w:szCs w:val="18"/>
              </w:rPr>
            </w:pPr>
            <w:r w:rsidRPr="001D105D">
              <w:rPr>
                <w:rFonts w:ascii="Calibri" w:hAnsi="Calibri" w:cs="Calibri"/>
                <w:sz w:val="18"/>
                <w:szCs w:val="18"/>
              </w:rPr>
              <w:t xml:space="preserve">         25,580 </w:t>
            </w:r>
          </w:p>
        </w:tc>
      </w:tr>
      <w:tr w:rsidR="00345C62" w:rsidRPr="001D105D" w14:paraId="19438715" w14:textId="77777777" w:rsidTr="00511D6E">
        <w:trPr>
          <w:trHeight w:val="290"/>
        </w:trPr>
        <w:tc>
          <w:tcPr>
            <w:tcW w:w="1743" w:type="dxa"/>
            <w:shd w:val="clear" w:color="auto" w:fill="FFFFFF" w:themeFill="background1"/>
            <w:noWrap/>
            <w:vAlign w:val="bottom"/>
            <w:hideMark/>
          </w:tcPr>
          <w:p w14:paraId="089E7136" w14:textId="07060096" w:rsidR="00345C62" w:rsidRPr="001D105D" w:rsidRDefault="00345C62" w:rsidP="00215563">
            <w:pPr>
              <w:spacing w:after="0"/>
              <w:rPr>
                <w:rFonts w:ascii="Calibri" w:eastAsia="Times New Roman" w:hAnsi="Calibri" w:cs="Calibri"/>
                <w:b/>
                <w:bCs/>
                <w:color w:val="000000"/>
                <w:sz w:val="20"/>
                <w:szCs w:val="20"/>
              </w:rPr>
            </w:pPr>
            <w:r w:rsidRPr="001D105D">
              <w:rPr>
                <w:rFonts w:ascii="Calibri" w:eastAsia="Times New Roman" w:hAnsi="Calibri" w:cs="Calibri"/>
                <w:b/>
                <w:bCs/>
                <w:color w:val="000000"/>
                <w:sz w:val="20"/>
                <w:szCs w:val="20"/>
              </w:rPr>
              <w:t>Therapy Total*</w:t>
            </w:r>
          </w:p>
        </w:tc>
        <w:tc>
          <w:tcPr>
            <w:tcW w:w="876" w:type="dxa"/>
            <w:shd w:val="clear" w:color="auto" w:fill="FFFFFF" w:themeFill="background1"/>
            <w:noWrap/>
            <w:vAlign w:val="bottom"/>
            <w:hideMark/>
          </w:tcPr>
          <w:p w14:paraId="4169D060" w14:textId="11BF5ACD" w:rsidR="00345C62" w:rsidRPr="001D105D" w:rsidRDefault="00345C62" w:rsidP="00215563">
            <w:pPr>
              <w:spacing w:after="0"/>
              <w:jc w:val="center"/>
              <w:rPr>
                <w:rFonts w:ascii="Calibri" w:eastAsia="Times New Roman" w:hAnsi="Calibri" w:cs="Calibri"/>
                <w:b/>
                <w:bCs/>
                <w:color w:val="000000"/>
                <w:sz w:val="18"/>
                <w:szCs w:val="18"/>
              </w:rPr>
            </w:pPr>
            <w:r w:rsidRPr="001D105D">
              <w:rPr>
                <w:rFonts w:ascii="Calibri" w:hAnsi="Calibri" w:cs="Calibri"/>
                <w:sz w:val="18"/>
                <w:szCs w:val="18"/>
              </w:rPr>
              <w:t xml:space="preserve">           112,605 </w:t>
            </w:r>
          </w:p>
        </w:tc>
        <w:tc>
          <w:tcPr>
            <w:tcW w:w="958" w:type="dxa"/>
            <w:shd w:val="clear" w:color="auto" w:fill="FFFFFF" w:themeFill="background1"/>
            <w:noWrap/>
            <w:vAlign w:val="bottom"/>
            <w:hideMark/>
          </w:tcPr>
          <w:p w14:paraId="136BCFB7" w14:textId="0BB28142" w:rsidR="00345C62" w:rsidRPr="001D105D" w:rsidRDefault="00345C62" w:rsidP="00215563">
            <w:pPr>
              <w:spacing w:after="0"/>
              <w:jc w:val="center"/>
              <w:rPr>
                <w:rFonts w:ascii="Calibri" w:eastAsia="Times New Roman" w:hAnsi="Calibri" w:cs="Calibri"/>
                <w:b/>
                <w:bCs/>
                <w:color w:val="000000"/>
                <w:sz w:val="18"/>
                <w:szCs w:val="18"/>
              </w:rPr>
            </w:pPr>
            <w:r w:rsidRPr="001D105D">
              <w:rPr>
                <w:rFonts w:ascii="Calibri" w:hAnsi="Calibri" w:cs="Calibri"/>
                <w:sz w:val="18"/>
                <w:szCs w:val="18"/>
              </w:rPr>
              <w:t xml:space="preserve">                                                                                               119,561 </w:t>
            </w:r>
          </w:p>
        </w:tc>
        <w:tc>
          <w:tcPr>
            <w:tcW w:w="876" w:type="dxa"/>
            <w:shd w:val="clear" w:color="auto" w:fill="FFFFFF" w:themeFill="background1"/>
            <w:noWrap/>
            <w:vAlign w:val="bottom"/>
            <w:hideMark/>
          </w:tcPr>
          <w:p w14:paraId="2A0C54FB" w14:textId="60023FF8" w:rsidR="00345C62" w:rsidRPr="001D105D" w:rsidRDefault="00345C62" w:rsidP="00215563">
            <w:pPr>
              <w:spacing w:after="0"/>
              <w:jc w:val="center"/>
              <w:rPr>
                <w:rFonts w:ascii="Calibri" w:eastAsia="Times New Roman" w:hAnsi="Calibri" w:cs="Calibri"/>
                <w:b/>
                <w:bCs/>
                <w:color w:val="000000"/>
                <w:sz w:val="18"/>
                <w:szCs w:val="18"/>
              </w:rPr>
            </w:pPr>
            <w:r w:rsidRPr="001D105D">
              <w:rPr>
                <w:rFonts w:ascii="Calibri" w:hAnsi="Calibri" w:cs="Calibri"/>
                <w:sz w:val="18"/>
                <w:szCs w:val="18"/>
              </w:rPr>
              <w:t xml:space="preserve">                                                                                               132,204 </w:t>
            </w:r>
          </w:p>
        </w:tc>
        <w:tc>
          <w:tcPr>
            <w:tcW w:w="967" w:type="dxa"/>
            <w:shd w:val="clear" w:color="auto" w:fill="FFFFFF" w:themeFill="background1"/>
            <w:noWrap/>
            <w:vAlign w:val="bottom"/>
            <w:hideMark/>
          </w:tcPr>
          <w:p w14:paraId="3624EF2F" w14:textId="040CE35F" w:rsidR="00345C62" w:rsidRPr="001D105D" w:rsidRDefault="00345C62" w:rsidP="00215563">
            <w:pPr>
              <w:spacing w:after="0"/>
              <w:jc w:val="center"/>
              <w:rPr>
                <w:rFonts w:ascii="Calibri" w:eastAsia="Times New Roman" w:hAnsi="Calibri" w:cs="Calibri"/>
                <w:b/>
                <w:bCs/>
                <w:color w:val="000000"/>
                <w:sz w:val="18"/>
                <w:szCs w:val="18"/>
              </w:rPr>
            </w:pPr>
            <w:r w:rsidRPr="001D105D">
              <w:rPr>
                <w:rFonts w:ascii="Calibri" w:hAnsi="Calibri" w:cs="Calibri"/>
                <w:sz w:val="18"/>
                <w:szCs w:val="18"/>
              </w:rPr>
              <w:t xml:space="preserve">        147,310 </w:t>
            </w:r>
          </w:p>
        </w:tc>
        <w:tc>
          <w:tcPr>
            <w:tcW w:w="876" w:type="dxa"/>
            <w:shd w:val="clear" w:color="auto" w:fill="FFFFFF" w:themeFill="background1"/>
            <w:noWrap/>
            <w:vAlign w:val="bottom"/>
            <w:hideMark/>
          </w:tcPr>
          <w:p w14:paraId="41F8BB49" w14:textId="2A05B72D" w:rsidR="00345C62" w:rsidRPr="001D105D" w:rsidRDefault="00345C62" w:rsidP="00215563">
            <w:pPr>
              <w:spacing w:after="0"/>
              <w:jc w:val="center"/>
              <w:rPr>
                <w:rFonts w:ascii="Calibri" w:eastAsia="Times New Roman" w:hAnsi="Calibri" w:cs="Calibri"/>
                <w:b/>
                <w:bCs/>
                <w:color w:val="000000"/>
                <w:sz w:val="18"/>
                <w:szCs w:val="18"/>
              </w:rPr>
            </w:pPr>
            <w:r w:rsidRPr="001D105D">
              <w:rPr>
                <w:rFonts w:ascii="Calibri" w:hAnsi="Calibri" w:cs="Calibri"/>
                <w:sz w:val="18"/>
                <w:szCs w:val="18"/>
              </w:rPr>
              <w:t xml:space="preserve">                                                                                                                                                   163,831 </w:t>
            </w:r>
          </w:p>
        </w:tc>
        <w:tc>
          <w:tcPr>
            <w:tcW w:w="876" w:type="dxa"/>
            <w:shd w:val="clear" w:color="auto" w:fill="FFFFFF" w:themeFill="background1"/>
            <w:noWrap/>
            <w:vAlign w:val="bottom"/>
            <w:hideMark/>
          </w:tcPr>
          <w:p w14:paraId="7E35B7DB" w14:textId="2D669F4D" w:rsidR="00345C62" w:rsidRPr="001D105D" w:rsidRDefault="00345C62" w:rsidP="00215563">
            <w:pPr>
              <w:spacing w:after="0"/>
              <w:jc w:val="center"/>
              <w:rPr>
                <w:rFonts w:ascii="Calibri" w:eastAsia="Times New Roman" w:hAnsi="Calibri" w:cs="Calibri"/>
                <w:b/>
                <w:bCs/>
                <w:color w:val="000000"/>
                <w:sz w:val="18"/>
                <w:szCs w:val="18"/>
              </w:rPr>
            </w:pPr>
            <w:r w:rsidRPr="001D105D">
              <w:rPr>
                <w:rFonts w:ascii="Calibri" w:hAnsi="Calibri" w:cs="Calibri"/>
                <w:sz w:val="18"/>
                <w:szCs w:val="18"/>
              </w:rPr>
              <w:t xml:space="preserve">                                        186,411 </w:t>
            </w:r>
          </w:p>
        </w:tc>
        <w:tc>
          <w:tcPr>
            <w:tcW w:w="941" w:type="dxa"/>
            <w:shd w:val="clear" w:color="auto" w:fill="FFFFFF" w:themeFill="background1"/>
            <w:noWrap/>
            <w:vAlign w:val="bottom"/>
            <w:hideMark/>
          </w:tcPr>
          <w:p w14:paraId="6DDB52AE" w14:textId="54A982DD" w:rsidR="00345C62" w:rsidRPr="001D105D" w:rsidRDefault="00345C62" w:rsidP="00215563">
            <w:pPr>
              <w:spacing w:after="0"/>
              <w:jc w:val="center"/>
              <w:rPr>
                <w:rFonts w:ascii="Calibri" w:eastAsia="Times New Roman" w:hAnsi="Calibri" w:cs="Calibri"/>
                <w:b/>
                <w:bCs/>
                <w:color w:val="000000"/>
                <w:sz w:val="18"/>
                <w:szCs w:val="18"/>
              </w:rPr>
            </w:pPr>
            <w:r w:rsidRPr="001D105D">
              <w:rPr>
                <w:rFonts w:ascii="Calibri" w:hAnsi="Calibri" w:cs="Calibri"/>
                <w:sz w:val="18"/>
                <w:szCs w:val="18"/>
              </w:rPr>
              <w:t xml:space="preserve">                                               215,858 </w:t>
            </w:r>
          </w:p>
        </w:tc>
        <w:tc>
          <w:tcPr>
            <w:tcW w:w="973" w:type="dxa"/>
            <w:shd w:val="clear" w:color="auto" w:fill="FFFFFF" w:themeFill="background1"/>
            <w:noWrap/>
            <w:vAlign w:val="bottom"/>
            <w:hideMark/>
          </w:tcPr>
          <w:p w14:paraId="11FFBC73" w14:textId="4616E7AB" w:rsidR="00345C62" w:rsidRPr="001D105D" w:rsidRDefault="00345C62" w:rsidP="00215563">
            <w:pPr>
              <w:spacing w:after="0"/>
              <w:jc w:val="center"/>
              <w:rPr>
                <w:rFonts w:ascii="Calibri" w:eastAsia="Times New Roman" w:hAnsi="Calibri" w:cs="Calibri"/>
                <w:b/>
                <w:bCs/>
                <w:color w:val="000000"/>
                <w:sz w:val="18"/>
                <w:szCs w:val="18"/>
              </w:rPr>
            </w:pPr>
            <w:r w:rsidRPr="001D105D">
              <w:rPr>
                <w:rFonts w:ascii="Calibri" w:hAnsi="Calibri" w:cs="Calibri"/>
                <w:sz w:val="18"/>
                <w:szCs w:val="18"/>
              </w:rPr>
              <w:t xml:space="preserve">           </w:t>
            </w:r>
            <w:r w:rsidR="002F025D" w:rsidRPr="001D105D">
              <w:rPr>
                <w:rFonts w:ascii="Calibri" w:hAnsi="Calibri" w:cs="Calibri"/>
                <w:sz w:val="18"/>
                <w:szCs w:val="18"/>
              </w:rPr>
              <w:t>334,001</w:t>
            </w:r>
            <w:r w:rsidRPr="001D105D">
              <w:rPr>
                <w:rFonts w:ascii="Calibri" w:hAnsi="Calibri" w:cs="Calibri"/>
                <w:sz w:val="18"/>
                <w:szCs w:val="18"/>
              </w:rPr>
              <w:t xml:space="preserve"> </w:t>
            </w:r>
          </w:p>
        </w:tc>
      </w:tr>
      <w:tr w:rsidR="00345C62" w:rsidRPr="001D105D" w14:paraId="28669EAC" w14:textId="77777777" w:rsidTr="00511D6E">
        <w:trPr>
          <w:trHeight w:val="290"/>
        </w:trPr>
        <w:tc>
          <w:tcPr>
            <w:tcW w:w="1743" w:type="dxa"/>
            <w:shd w:val="clear" w:color="auto" w:fill="FFFFFF" w:themeFill="background1"/>
            <w:noWrap/>
            <w:vAlign w:val="bottom"/>
          </w:tcPr>
          <w:p w14:paraId="3731A69E" w14:textId="77777777" w:rsidR="00345C62" w:rsidRPr="001D105D" w:rsidRDefault="00345C62" w:rsidP="00215563">
            <w:pPr>
              <w:spacing w:after="0"/>
              <w:rPr>
                <w:rFonts w:ascii="Calibri" w:eastAsia="Times New Roman" w:hAnsi="Calibri" w:cs="Calibri"/>
                <w:b/>
                <w:bCs/>
                <w:color w:val="000000"/>
                <w:sz w:val="20"/>
                <w:szCs w:val="20"/>
              </w:rPr>
            </w:pPr>
            <w:r w:rsidRPr="001D105D">
              <w:rPr>
                <w:rFonts w:ascii="Calibri" w:eastAsia="Times New Roman" w:hAnsi="Calibri" w:cs="Calibri"/>
                <w:b/>
                <w:bCs/>
                <w:color w:val="000000"/>
                <w:sz w:val="20"/>
                <w:szCs w:val="20"/>
              </w:rPr>
              <w:t xml:space="preserve">Growth from </w:t>
            </w:r>
          </w:p>
          <w:p w14:paraId="0F4ADC28" w14:textId="06D1DAA3" w:rsidR="00345C62" w:rsidRPr="001D105D" w:rsidDel="00D8265F" w:rsidRDefault="00345C62" w:rsidP="00215563">
            <w:pPr>
              <w:spacing w:after="0"/>
              <w:rPr>
                <w:rFonts w:ascii="Calibri" w:eastAsia="Times New Roman" w:hAnsi="Calibri" w:cs="Calibri"/>
                <w:b/>
                <w:bCs/>
                <w:color w:val="000000"/>
                <w:sz w:val="20"/>
                <w:szCs w:val="20"/>
              </w:rPr>
            </w:pPr>
            <w:r w:rsidRPr="001D105D">
              <w:rPr>
                <w:rFonts w:ascii="Calibri" w:eastAsia="Times New Roman" w:hAnsi="Calibri" w:cs="Calibri"/>
                <w:b/>
                <w:bCs/>
                <w:color w:val="000000"/>
                <w:sz w:val="20"/>
                <w:szCs w:val="20"/>
              </w:rPr>
              <w:t>previous year (%)</w:t>
            </w:r>
          </w:p>
        </w:tc>
        <w:tc>
          <w:tcPr>
            <w:tcW w:w="876" w:type="dxa"/>
            <w:shd w:val="clear" w:color="auto" w:fill="FFFFFF" w:themeFill="background1"/>
            <w:noWrap/>
            <w:vAlign w:val="bottom"/>
          </w:tcPr>
          <w:p w14:paraId="45ECA101" w14:textId="219001D7" w:rsidR="00345C62" w:rsidRPr="001D105D" w:rsidRDefault="00345C62" w:rsidP="00215563">
            <w:pPr>
              <w:spacing w:after="0"/>
              <w:jc w:val="center"/>
              <w:rPr>
                <w:rFonts w:ascii="Calibri" w:eastAsia="Times New Roman" w:hAnsi="Calibri" w:cs="Calibri"/>
                <w:b/>
                <w:bCs/>
                <w:color w:val="000000"/>
                <w:sz w:val="18"/>
                <w:szCs w:val="18"/>
              </w:rPr>
            </w:pPr>
          </w:p>
        </w:tc>
        <w:tc>
          <w:tcPr>
            <w:tcW w:w="958" w:type="dxa"/>
            <w:shd w:val="clear" w:color="auto" w:fill="FFFFFF" w:themeFill="background1"/>
            <w:noWrap/>
            <w:vAlign w:val="bottom"/>
          </w:tcPr>
          <w:p w14:paraId="21E97F3A" w14:textId="630E6FFD" w:rsidR="00345C62" w:rsidRPr="001D105D" w:rsidRDefault="00345C62" w:rsidP="00215563">
            <w:pPr>
              <w:spacing w:after="0"/>
              <w:jc w:val="center"/>
              <w:rPr>
                <w:rFonts w:ascii="Calibri" w:eastAsia="Times New Roman" w:hAnsi="Calibri" w:cs="Calibri"/>
                <w:b/>
                <w:bCs/>
                <w:color w:val="000000"/>
                <w:sz w:val="18"/>
                <w:szCs w:val="18"/>
              </w:rPr>
            </w:pPr>
            <w:r w:rsidRPr="001D105D">
              <w:rPr>
                <w:rFonts w:ascii="Calibri" w:hAnsi="Calibri" w:cs="Calibri"/>
                <w:sz w:val="18"/>
                <w:szCs w:val="18"/>
              </w:rPr>
              <w:t>6%</w:t>
            </w:r>
          </w:p>
        </w:tc>
        <w:tc>
          <w:tcPr>
            <w:tcW w:w="876" w:type="dxa"/>
            <w:shd w:val="clear" w:color="auto" w:fill="FFFFFF" w:themeFill="background1"/>
            <w:noWrap/>
            <w:vAlign w:val="bottom"/>
          </w:tcPr>
          <w:p w14:paraId="15C2A213" w14:textId="04F92B27" w:rsidR="00345C62" w:rsidRPr="001D105D" w:rsidRDefault="00345C62" w:rsidP="00215563">
            <w:pPr>
              <w:spacing w:after="0"/>
              <w:jc w:val="center"/>
              <w:rPr>
                <w:rFonts w:ascii="Calibri" w:eastAsia="Times New Roman" w:hAnsi="Calibri" w:cs="Calibri"/>
                <w:b/>
                <w:bCs/>
                <w:color w:val="000000"/>
                <w:sz w:val="18"/>
                <w:szCs w:val="18"/>
              </w:rPr>
            </w:pPr>
            <w:r w:rsidRPr="001D105D">
              <w:rPr>
                <w:rFonts w:ascii="Calibri" w:hAnsi="Calibri" w:cs="Calibri"/>
                <w:sz w:val="18"/>
                <w:szCs w:val="18"/>
              </w:rPr>
              <w:t>11%</w:t>
            </w:r>
          </w:p>
        </w:tc>
        <w:tc>
          <w:tcPr>
            <w:tcW w:w="967" w:type="dxa"/>
            <w:shd w:val="clear" w:color="auto" w:fill="FFFFFF" w:themeFill="background1"/>
            <w:noWrap/>
            <w:vAlign w:val="bottom"/>
          </w:tcPr>
          <w:p w14:paraId="66D069BF" w14:textId="38AA2F76" w:rsidR="00345C62" w:rsidRPr="001D105D" w:rsidRDefault="00345C62" w:rsidP="00215563">
            <w:pPr>
              <w:spacing w:after="0"/>
              <w:jc w:val="center"/>
              <w:rPr>
                <w:rFonts w:ascii="Calibri" w:eastAsia="Times New Roman" w:hAnsi="Calibri" w:cs="Calibri"/>
                <w:b/>
                <w:bCs/>
                <w:color w:val="000000"/>
                <w:sz w:val="18"/>
                <w:szCs w:val="18"/>
              </w:rPr>
            </w:pPr>
            <w:r w:rsidRPr="001D105D">
              <w:rPr>
                <w:rFonts w:ascii="Calibri" w:hAnsi="Calibri" w:cs="Calibri"/>
                <w:sz w:val="18"/>
                <w:szCs w:val="18"/>
              </w:rPr>
              <w:t>11%</w:t>
            </w:r>
          </w:p>
        </w:tc>
        <w:tc>
          <w:tcPr>
            <w:tcW w:w="876" w:type="dxa"/>
            <w:shd w:val="clear" w:color="auto" w:fill="FFFFFF" w:themeFill="background1"/>
            <w:noWrap/>
            <w:vAlign w:val="bottom"/>
          </w:tcPr>
          <w:p w14:paraId="6475C317" w14:textId="51822AC8" w:rsidR="00345C62" w:rsidRPr="001D105D" w:rsidRDefault="00345C62" w:rsidP="00215563">
            <w:pPr>
              <w:spacing w:after="0"/>
              <w:jc w:val="center"/>
              <w:rPr>
                <w:rFonts w:ascii="Calibri" w:eastAsia="Times New Roman" w:hAnsi="Calibri" w:cs="Calibri"/>
                <w:b/>
                <w:bCs/>
                <w:color w:val="000000"/>
                <w:sz w:val="18"/>
                <w:szCs w:val="18"/>
              </w:rPr>
            </w:pPr>
            <w:r w:rsidRPr="001D105D">
              <w:rPr>
                <w:rFonts w:ascii="Calibri" w:hAnsi="Calibri" w:cs="Calibri"/>
                <w:sz w:val="18"/>
                <w:szCs w:val="18"/>
              </w:rPr>
              <w:t>11%</w:t>
            </w:r>
          </w:p>
        </w:tc>
        <w:tc>
          <w:tcPr>
            <w:tcW w:w="876" w:type="dxa"/>
            <w:shd w:val="clear" w:color="auto" w:fill="FFFFFF" w:themeFill="background1"/>
            <w:noWrap/>
            <w:vAlign w:val="bottom"/>
          </w:tcPr>
          <w:p w14:paraId="14CA291E" w14:textId="34C9F7EF" w:rsidR="00345C62" w:rsidRPr="001D105D" w:rsidRDefault="00345C62" w:rsidP="00215563">
            <w:pPr>
              <w:spacing w:after="0"/>
              <w:jc w:val="center"/>
              <w:rPr>
                <w:rFonts w:ascii="Calibri" w:eastAsia="Times New Roman" w:hAnsi="Calibri" w:cs="Calibri"/>
                <w:b/>
                <w:bCs/>
                <w:color w:val="000000"/>
                <w:sz w:val="18"/>
                <w:szCs w:val="18"/>
              </w:rPr>
            </w:pPr>
            <w:r w:rsidRPr="001D105D">
              <w:rPr>
                <w:rFonts w:ascii="Calibri" w:hAnsi="Calibri" w:cs="Calibri"/>
                <w:sz w:val="18"/>
                <w:szCs w:val="18"/>
              </w:rPr>
              <w:t>14%</w:t>
            </w:r>
          </w:p>
        </w:tc>
        <w:tc>
          <w:tcPr>
            <w:tcW w:w="941" w:type="dxa"/>
            <w:shd w:val="clear" w:color="auto" w:fill="FFFFFF" w:themeFill="background1"/>
            <w:noWrap/>
            <w:vAlign w:val="bottom"/>
          </w:tcPr>
          <w:p w14:paraId="2A981C9F" w14:textId="6F237051" w:rsidR="00345C62" w:rsidRPr="001D105D" w:rsidRDefault="00345C62" w:rsidP="00215563">
            <w:pPr>
              <w:spacing w:after="0"/>
              <w:jc w:val="center"/>
              <w:rPr>
                <w:rFonts w:ascii="Calibri" w:eastAsia="Times New Roman" w:hAnsi="Calibri" w:cs="Calibri"/>
                <w:b/>
                <w:bCs/>
                <w:color w:val="000000"/>
                <w:sz w:val="18"/>
                <w:szCs w:val="18"/>
              </w:rPr>
            </w:pPr>
            <w:r w:rsidRPr="001D105D">
              <w:rPr>
                <w:rFonts w:ascii="Calibri" w:hAnsi="Calibri" w:cs="Calibri"/>
                <w:sz w:val="18"/>
                <w:szCs w:val="18"/>
              </w:rPr>
              <w:t>16%</w:t>
            </w:r>
          </w:p>
        </w:tc>
        <w:tc>
          <w:tcPr>
            <w:tcW w:w="973" w:type="dxa"/>
            <w:shd w:val="clear" w:color="auto" w:fill="FFFFFF" w:themeFill="background1"/>
            <w:noWrap/>
            <w:vAlign w:val="bottom"/>
          </w:tcPr>
          <w:p w14:paraId="288EC67F" w14:textId="70C31DE9" w:rsidR="00345C62" w:rsidRPr="001D105D" w:rsidRDefault="00345C62" w:rsidP="00215563">
            <w:pPr>
              <w:spacing w:after="0"/>
              <w:jc w:val="center"/>
              <w:rPr>
                <w:rFonts w:ascii="Calibri" w:eastAsia="Times New Roman" w:hAnsi="Calibri" w:cs="Calibri"/>
                <w:b/>
                <w:bCs/>
                <w:color w:val="000000"/>
                <w:sz w:val="18"/>
                <w:szCs w:val="18"/>
              </w:rPr>
            </w:pPr>
            <w:r w:rsidRPr="001D105D">
              <w:rPr>
                <w:rFonts w:ascii="Calibri" w:hAnsi="Calibri" w:cs="Calibri"/>
                <w:sz w:val="18"/>
                <w:szCs w:val="18"/>
              </w:rPr>
              <w:t>18%</w:t>
            </w:r>
          </w:p>
        </w:tc>
      </w:tr>
    </w:tbl>
    <w:p w14:paraId="3CEF0BF0" w14:textId="1C96EC85" w:rsidR="00345C62" w:rsidRPr="001D105D" w:rsidRDefault="00C74C43" w:rsidP="00215563">
      <w:pPr>
        <w:pStyle w:val="Notes"/>
      </w:pPr>
      <w:r w:rsidRPr="001D105D">
        <w:t>Source: Services Australia prescriptions database, extracted March 2021</w:t>
      </w:r>
      <w:r w:rsidR="00345C62" w:rsidRPr="001D105D">
        <w:br/>
        <w:t>* Therapy total is less than the sum of components as patients are only counted once even if they are prevalent to more than one ADHD medication.</w:t>
      </w:r>
    </w:p>
    <w:p w14:paraId="435AAFFF" w14:textId="77777777" w:rsidR="008C30DC" w:rsidRPr="001D105D" w:rsidRDefault="008C30DC" w:rsidP="00215563">
      <w:pPr>
        <w:pStyle w:val="Heading4"/>
        <w:rPr>
          <w:sz w:val="24"/>
          <w:szCs w:val="24"/>
        </w:rPr>
      </w:pPr>
      <w:r w:rsidRPr="001D105D">
        <w:rPr>
          <w:sz w:val="24"/>
          <w:szCs w:val="24"/>
        </w:rPr>
        <w:t>Numbe</w:t>
      </w:r>
      <w:r w:rsidR="00C50F14" w:rsidRPr="001D105D">
        <w:rPr>
          <w:sz w:val="24"/>
          <w:szCs w:val="24"/>
        </w:rPr>
        <w:t>r of patients by age and gender</w:t>
      </w:r>
    </w:p>
    <w:p w14:paraId="091EAFB1" w14:textId="6342226A" w:rsidR="00C72ACB" w:rsidRPr="001D105D" w:rsidRDefault="002B7FE9" w:rsidP="00215563">
      <w:r w:rsidRPr="001D105D">
        <w:t>The number</w:t>
      </w:r>
      <w:r w:rsidR="008C30DC" w:rsidRPr="001D105D">
        <w:t xml:space="preserve"> of patients treated wit</w:t>
      </w:r>
      <w:r w:rsidR="00094A29" w:rsidRPr="001D105D">
        <w:t xml:space="preserve">h </w:t>
      </w:r>
      <w:r w:rsidR="004100AB" w:rsidRPr="001D105D">
        <w:t>R/</w:t>
      </w:r>
      <w:r w:rsidR="00094A29" w:rsidRPr="001D105D">
        <w:t>PBS</w:t>
      </w:r>
      <w:r w:rsidR="007B5FFD" w:rsidRPr="001D105D">
        <w:t>-listed</w:t>
      </w:r>
      <w:r w:rsidR="007D350E" w:rsidRPr="001D105D">
        <w:t xml:space="preserve"> medicines for </w:t>
      </w:r>
      <w:r w:rsidR="00A74D82" w:rsidRPr="001D105D">
        <w:t>ADHD is</w:t>
      </w:r>
      <w:r w:rsidR="00113DF6" w:rsidRPr="001D105D">
        <w:t xml:space="preserve"> shown in </w:t>
      </w:r>
      <w:r w:rsidR="00633CED" w:rsidRPr="001D105D">
        <w:t xml:space="preserve">Figure 5 and </w:t>
      </w:r>
      <w:r w:rsidR="00113DF6" w:rsidRPr="001D105D">
        <w:t>Table</w:t>
      </w:r>
      <w:r w:rsidR="00A64AF7" w:rsidRPr="001D105D">
        <w:t>s</w:t>
      </w:r>
      <w:r w:rsidR="00113DF6" w:rsidRPr="001D105D">
        <w:t xml:space="preserve"> </w:t>
      </w:r>
      <w:r w:rsidR="00AA02AF" w:rsidRPr="001D105D">
        <w:t>2</w:t>
      </w:r>
      <w:r w:rsidR="00BA65CA" w:rsidRPr="001D105D">
        <w:t>,</w:t>
      </w:r>
      <w:r w:rsidR="00113DF6" w:rsidRPr="001D105D">
        <w:t xml:space="preserve"> </w:t>
      </w:r>
      <w:r w:rsidR="00AA02AF" w:rsidRPr="001D105D">
        <w:t>3</w:t>
      </w:r>
      <w:r w:rsidR="00BA65CA" w:rsidRPr="001D105D">
        <w:t xml:space="preserve"> and 4</w:t>
      </w:r>
      <w:r w:rsidR="008C30DC" w:rsidRPr="001D105D">
        <w:t xml:space="preserve">. The data </w:t>
      </w:r>
      <w:r w:rsidR="00CE7321" w:rsidRPr="001D105D">
        <w:t>is</w:t>
      </w:r>
      <w:r w:rsidR="00A64AF7" w:rsidRPr="001D105D">
        <w:t xml:space="preserve"> </w:t>
      </w:r>
      <w:r w:rsidR="008C30DC" w:rsidRPr="001D105D">
        <w:t xml:space="preserve">presented as the number of patients </w:t>
      </w:r>
      <w:r w:rsidR="009B49BF" w:rsidRPr="001D105D">
        <w:t xml:space="preserve">initiating </w:t>
      </w:r>
      <w:r w:rsidR="004100AB" w:rsidRPr="001D105D">
        <w:t>R/</w:t>
      </w:r>
      <w:r w:rsidR="00886157" w:rsidRPr="001D105D">
        <w:t>PBS</w:t>
      </w:r>
      <w:r w:rsidR="009B49BF" w:rsidRPr="001D105D">
        <w:t xml:space="preserve"> </w:t>
      </w:r>
      <w:r w:rsidR="00113DF6" w:rsidRPr="001D105D">
        <w:t xml:space="preserve">ADHD </w:t>
      </w:r>
      <w:r w:rsidR="009B49BF" w:rsidRPr="001D105D">
        <w:t xml:space="preserve">therapy </w:t>
      </w:r>
      <w:r w:rsidR="00113DF6" w:rsidRPr="001D105D">
        <w:t xml:space="preserve">(Table </w:t>
      </w:r>
      <w:r w:rsidR="00AA02AF" w:rsidRPr="001D105D">
        <w:t>3</w:t>
      </w:r>
      <w:r w:rsidR="008C30DC" w:rsidRPr="001D105D">
        <w:t>)</w:t>
      </w:r>
      <w:r w:rsidR="007D350E" w:rsidRPr="001D105D">
        <w:t xml:space="preserve"> from 201</w:t>
      </w:r>
      <w:r w:rsidR="00AA02AF" w:rsidRPr="001D105D">
        <w:t>4</w:t>
      </w:r>
      <w:r w:rsidR="007D350E" w:rsidRPr="001D105D">
        <w:t xml:space="preserve"> to 20</w:t>
      </w:r>
      <w:r w:rsidR="00AA02AF" w:rsidRPr="001D105D">
        <w:t>20</w:t>
      </w:r>
      <w:r w:rsidR="007D350E" w:rsidRPr="001D105D">
        <w:t xml:space="preserve"> </w:t>
      </w:r>
      <w:r w:rsidR="008C30DC" w:rsidRPr="001D105D">
        <w:t xml:space="preserve">and </w:t>
      </w:r>
      <w:r w:rsidR="009B49BF" w:rsidRPr="001D105D">
        <w:t xml:space="preserve">prevalent </w:t>
      </w:r>
      <w:r w:rsidR="00113DF6" w:rsidRPr="001D105D">
        <w:t>patients (Table</w:t>
      </w:r>
      <w:r w:rsidR="006F405E" w:rsidRPr="001D105D">
        <w:t> </w:t>
      </w:r>
      <w:r w:rsidR="00BA65CA" w:rsidRPr="001D105D">
        <w:t>4</w:t>
      </w:r>
      <w:r w:rsidR="008C30DC" w:rsidRPr="001D105D">
        <w:t>)</w:t>
      </w:r>
      <w:r w:rsidR="007D350E" w:rsidRPr="001D105D">
        <w:t xml:space="preserve"> from 2013 to 20</w:t>
      </w:r>
      <w:r w:rsidR="00AA02AF" w:rsidRPr="001D105D">
        <w:t>20</w:t>
      </w:r>
      <w:r w:rsidR="007D350E" w:rsidRPr="001D105D">
        <w:t xml:space="preserve"> </w:t>
      </w:r>
      <w:r w:rsidR="008C30DC" w:rsidRPr="001D105D">
        <w:t xml:space="preserve">by age </w:t>
      </w:r>
      <w:r w:rsidR="00F1669B" w:rsidRPr="001D105D">
        <w:t>group</w:t>
      </w:r>
      <w:r w:rsidR="00094A29" w:rsidRPr="001D105D">
        <w:t xml:space="preserve"> </w:t>
      </w:r>
      <w:r w:rsidR="0081671C" w:rsidRPr="001D105D">
        <w:t xml:space="preserve">and gender. </w:t>
      </w:r>
      <w:r w:rsidR="009C3B0B" w:rsidRPr="001D105D">
        <w:t xml:space="preserve">Figure 5 shows a snapshot of </w:t>
      </w:r>
      <w:r w:rsidR="0062035E" w:rsidRPr="001D105D">
        <w:t xml:space="preserve">the </w:t>
      </w:r>
      <w:r w:rsidR="009C3B0B" w:rsidRPr="001D105D">
        <w:t>prevalent patient distribution by age group and sex in 2020.</w:t>
      </w:r>
    </w:p>
    <w:p w14:paraId="73B9E170" w14:textId="131ED09C" w:rsidR="00633CED" w:rsidRPr="001D105D" w:rsidRDefault="00633CED" w:rsidP="00215563">
      <w:pPr>
        <w:jc w:val="center"/>
      </w:pPr>
      <w:r w:rsidRPr="001D105D">
        <w:t xml:space="preserve">                        </w:t>
      </w:r>
      <w:r w:rsidRPr="001D105D">
        <w:rPr>
          <w:noProof/>
        </w:rPr>
        <w:drawing>
          <wp:inline distT="0" distB="0" distL="0" distR="0" wp14:anchorId="4AAF9879" wp14:editId="31D34DE3">
            <wp:extent cx="3653692" cy="3097076"/>
            <wp:effectExtent l="0" t="0" r="4445"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681288" cy="3120468"/>
                    </a:xfrm>
                    <a:prstGeom prst="rect">
                      <a:avLst/>
                    </a:prstGeom>
                  </pic:spPr>
                </pic:pic>
              </a:graphicData>
            </a:graphic>
          </wp:inline>
        </w:drawing>
      </w:r>
    </w:p>
    <w:p w14:paraId="73C46DDB" w14:textId="77777777" w:rsidR="00FD7DFD" w:rsidRPr="001D105D" w:rsidRDefault="00633CED" w:rsidP="00215563">
      <w:pPr>
        <w:pStyle w:val="Figuretitle"/>
      </w:pPr>
      <w:r w:rsidRPr="001D105D">
        <w:t xml:space="preserve">Figure 5: Prevalent patients </w:t>
      </w:r>
      <w:r w:rsidR="009C3B0B" w:rsidRPr="001D105D">
        <w:t xml:space="preserve">treated with R/PBS-listed ADHD medicines </w:t>
      </w:r>
      <w:r w:rsidRPr="001D105D">
        <w:t>in 2020 by age</w:t>
      </w:r>
      <w:r w:rsidR="009C3B0B" w:rsidRPr="001D105D">
        <w:t xml:space="preserve"> group and sex</w:t>
      </w:r>
      <w:r w:rsidRPr="001D105D">
        <w:t>.</w:t>
      </w:r>
    </w:p>
    <w:p w14:paraId="0438D45E" w14:textId="3FD544FD" w:rsidR="009C3B0B" w:rsidRPr="001D105D" w:rsidRDefault="009C3B0B" w:rsidP="00215563">
      <w:pPr>
        <w:rPr>
          <w:sz w:val="20"/>
          <w:szCs w:val="20"/>
          <w:lang w:val="en-US"/>
        </w:rPr>
      </w:pPr>
      <w:r w:rsidRPr="001D105D">
        <w:rPr>
          <w:sz w:val="20"/>
          <w:szCs w:val="20"/>
          <w:lang w:val="en-US"/>
        </w:rPr>
        <w:t>Source: Services Australia prescriptions database, extracted March 2021.</w:t>
      </w:r>
    </w:p>
    <w:p w14:paraId="2E6F65D8" w14:textId="641EFB13" w:rsidR="007D350E" w:rsidRPr="001D105D" w:rsidRDefault="007D350E" w:rsidP="00215563">
      <w:pPr>
        <w:pStyle w:val="Tabletitle"/>
        <w:ind w:left="-142"/>
      </w:pPr>
      <w:r w:rsidRPr="001D105D">
        <w:lastRenderedPageBreak/>
        <w:t xml:space="preserve">Table </w:t>
      </w:r>
      <w:r w:rsidR="00AA02AF" w:rsidRPr="001D105D">
        <w:t>3</w:t>
      </w:r>
      <w:r w:rsidRPr="001D105D">
        <w:t xml:space="preserve">. Number of patients </w:t>
      </w:r>
      <w:r w:rsidR="009B49BF" w:rsidRPr="001D105D">
        <w:t xml:space="preserve">initiating </w:t>
      </w:r>
      <w:r w:rsidR="004100AB" w:rsidRPr="001D105D">
        <w:t>R/</w:t>
      </w:r>
      <w:r w:rsidRPr="001D105D">
        <w:t xml:space="preserve">PBS-listed ADHD </w:t>
      </w:r>
      <w:r w:rsidR="009B49BF" w:rsidRPr="001D105D">
        <w:t xml:space="preserve">medicine </w:t>
      </w:r>
      <w:r w:rsidR="00C24A67" w:rsidRPr="001D105D">
        <w:t>t</w:t>
      </w:r>
      <w:r w:rsidR="009B49BF" w:rsidRPr="001D105D">
        <w:t xml:space="preserve">herapy </w:t>
      </w:r>
      <w:r w:rsidRPr="001D105D">
        <w:t>by age group and gender per calendar year</w:t>
      </w:r>
    </w:p>
    <w:tbl>
      <w:tblPr>
        <w:tblStyle w:val="TableGrid1"/>
        <w:tblW w:w="9209" w:type="dxa"/>
        <w:jc w:val="center"/>
        <w:tblLayout w:type="fixed"/>
        <w:tblLook w:val="04A0" w:firstRow="1" w:lastRow="0" w:firstColumn="1" w:lastColumn="0" w:noHBand="0" w:noVBand="1"/>
        <w:tblCaption w:val="Different age brackets are listed in the first column, read across the row for the number of patients treated in the years 2010 to 2014 inclusive"/>
      </w:tblPr>
      <w:tblGrid>
        <w:gridCol w:w="1696"/>
        <w:gridCol w:w="993"/>
        <w:gridCol w:w="992"/>
        <w:gridCol w:w="1134"/>
        <w:gridCol w:w="992"/>
        <w:gridCol w:w="1134"/>
        <w:gridCol w:w="1134"/>
        <w:gridCol w:w="1134"/>
      </w:tblGrid>
      <w:tr w:rsidR="00741EA8" w:rsidRPr="001D105D" w14:paraId="2353CF41" w14:textId="556A3FE6" w:rsidTr="00511D6E">
        <w:trPr>
          <w:trHeight w:val="297"/>
          <w:tblHeader/>
          <w:jc w:val="center"/>
        </w:trPr>
        <w:tc>
          <w:tcPr>
            <w:tcW w:w="1696" w:type="dxa"/>
            <w:tcBorders>
              <w:bottom w:val="single" w:sz="4" w:space="0" w:color="auto"/>
            </w:tcBorders>
            <w:shd w:val="clear" w:color="auto" w:fill="BFBFBF" w:themeFill="background1" w:themeFillShade="BF"/>
            <w:noWrap/>
            <w:vAlign w:val="center"/>
            <w:hideMark/>
          </w:tcPr>
          <w:p w14:paraId="02A2CE0A" w14:textId="77777777" w:rsidR="00741EA8" w:rsidRPr="001D105D" w:rsidRDefault="00741EA8" w:rsidP="00215563">
            <w:pPr>
              <w:rPr>
                <w:rFonts w:eastAsia="Times New Roman" w:cs="Times New Roman"/>
                <w:b/>
                <w:sz w:val="20"/>
                <w:szCs w:val="20"/>
              </w:rPr>
            </w:pPr>
          </w:p>
        </w:tc>
        <w:tc>
          <w:tcPr>
            <w:tcW w:w="993" w:type="dxa"/>
            <w:shd w:val="clear" w:color="auto" w:fill="BFBFBF" w:themeFill="background1" w:themeFillShade="BF"/>
            <w:vAlign w:val="center"/>
          </w:tcPr>
          <w:p w14:paraId="3748A888" w14:textId="77150FB5" w:rsidR="00741EA8" w:rsidRPr="001D105D" w:rsidRDefault="00741EA8" w:rsidP="00215563">
            <w:pPr>
              <w:jc w:val="center"/>
              <w:rPr>
                <w:rFonts w:eastAsia="Times New Roman" w:cs="Times New Roman"/>
                <w:b/>
                <w:sz w:val="20"/>
                <w:szCs w:val="20"/>
              </w:rPr>
            </w:pPr>
            <w:r w:rsidRPr="001D105D">
              <w:rPr>
                <w:rFonts w:eastAsia="Times New Roman" w:cs="Times New Roman"/>
                <w:b/>
                <w:sz w:val="20"/>
                <w:szCs w:val="20"/>
              </w:rPr>
              <w:t>2014</w:t>
            </w:r>
          </w:p>
        </w:tc>
        <w:tc>
          <w:tcPr>
            <w:tcW w:w="992" w:type="dxa"/>
            <w:shd w:val="clear" w:color="auto" w:fill="BFBFBF" w:themeFill="background1" w:themeFillShade="BF"/>
            <w:noWrap/>
            <w:vAlign w:val="center"/>
          </w:tcPr>
          <w:p w14:paraId="3AC6FC72" w14:textId="2EE58C6B" w:rsidR="00741EA8" w:rsidRPr="001D105D" w:rsidRDefault="00741EA8" w:rsidP="00215563">
            <w:pPr>
              <w:jc w:val="center"/>
              <w:rPr>
                <w:rFonts w:eastAsia="Times New Roman" w:cs="Times New Roman"/>
                <w:b/>
                <w:sz w:val="20"/>
                <w:szCs w:val="20"/>
              </w:rPr>
            </w:pPr>
            <w:r w:rsidRPr="001D105D">
              <w:rPr>
                <w:rFonts w:eastAsia="Times New Roman" w:cs="Times New Roman"/>
                <w:b/>
                <w:sz w:val="20"/>
                <w:szCs w:val="20"/>
              </w:rPr>
              <w:t>2015</w:t>
            </w:r>
          </w:p>
        </w:tc>
        <w:tc>
          <w:tcPr>
            <w:tcW w:w="1134" w:type="dxa"/>
            <w:shd w:val="clear" w:color="auto" w:fill="BFBFBF" w:themeFill="background1" w:themeFillShade="BF"/>
            <w:noWrap/>
            <w:vAlign w:val="center"/>
          </w:tcPr>
          <w:p w14:paraId="7ECF7EB3" w14:textId="77777777" w:rsidR="00741EA8" w:rsidRPr="001D105D" w:rsidRDefault="00741EA8" w:rsidP="00215563">
            <w:pPr>
              <w:jc w:val="center"/>
              <w:rPr>
                <w:rFonts w:eastAsia="Times New Roman" w:cs="Times New Roman"/>
                <w:b/>
                <w:sz w:val="20"/>
                <w:szCs w:val="20"/>
              </w:rPr>
            </w:pPr>
            <w:r w:rsidRPr="001D105D">
              <w:rPr>
                <w:rFonts w:eastAsia="Times New Roman" w:cs="Times New Roman"/>
                <w:b/>
                <w:sz w:val="20"/>
                <w:szCs w:val="20"/>
              </w:rPr>
              <w:t>2016</w:t>
            </w:r>
          </w:p>
        </w:tc>
        <w:tc>
          <w:tcPr>
            <w:tcW w:w="992" w:type="dxa"/>
            <w:shd w:val="clear" w:color="auto" w:fill="BFBFBF" w:themeFill="background1" w:themeFillShade="BF"/>
            <w:vAlign w:val="center"/>
          </w:tcPr>
          <w:p w14:paraId="1BE9646F" w14:textId="02586933" w:rsidR="00741EA8" w:rsidRPr="001D105D" w:rsidRDefault="00741EA8" w:rsidP="00215563">
            <w:pPr>
              <w:jc w:val="center"/>
              <w:rPr>
                <w:rFonts w:eastAsia="Times New Roman" w:cs="Times New Roman"/>
                <w:b/>
                <w:sz w:val="20"/>
                <w:szCs w:val="20"/>
              </w:rPr>
            </w:pPr>
            <w:r w:rsidRPr="001D105D">
              <w:rPr>
                <w:rFonts w:eastAsia="Times New Roman" w:cs="Times New Roman"/>
                <w:b/>
                <w:sz w:val="20"/>
                <w:szCs w:val="20"/>
              </w:rPr>
              <w:t>2017</w:t>
            </w:r>
          </w:p>
        </w:tc>
        <w:tc>
          <w:tcPr>
            <w:tcW w:w="1134" w:type="dxa"/>
            <w:shd w:val="clear" w:color="auto" w:fill="BFBFBF" w:themeFill="background1" w:themeFillShade="BF"/>
            <w:vAlign w:val="center"/>
          </w:tcPr>
          <w:p w14:paraId="4D536CA1" w14:textId="7FFBF80A" w:rsidR="00741EA8" w:rsidRPr="001D105D" w:rsidRDefault="00741EA8" w:rsidP="00215563">
            <w:pPr>
              <w:jc w:val="center"/>
              <w:rPr>
                <w:rFonts w:eastAsia="Times New Roman" w:cs="Times New Roman"/>
                <w:b/>
                <w:sz w:val="20"/>
                <w:szCs w:val="20"/>
              </w:rPr>
            </w:pPr>
            <w:r w:rsidRPr="001D105D">
              <w:rPr>
                <w:rFonts w:eastAsia="Times New Roman" w:cs="Times New Roman"/>
                <w:b/>
                <w:sz w:val="20"/>
                <w:szCs w:val="20"/>
              </w:rPr>
              <w:t>2018</w:t>
            </w:r>
          </w:p>
        </w:tc>
        <w:tc>
          <w:tcPr>
            <w:tcW w:w="1134" w:type="dxa"/>
            <w:shd w:val="clear" w:color="auto" w:fill="BFBFBF" w:themeFill="background1" w:themeFillShade="BF"/>
            <w:noWrap/>
            <w:vAlign w:val="center"/>
          </w:tcPr>
          <w:p w14:paraId="793C8F56" w14:textId="1C506E67" w:rsidR="00741EA8" w:rsidRPr="001D105D" w:rsidRDefault="00741EA8" w:rsidP="00215563">
            <w:pPr>
              <w:jc w:val="center"/>
              <w:rPr>
                <w:rFonts w:eastAsia="Times New Roman" w:cs="Times New Roman"/>
                <w:b/>
                <w:sz w:val="20"/>
                <w:szCs w:val="20"/>
              </w:rPr>
            </w:pPr>
            <w:r w:rsidRPr="001D105D">
              <w:rPr>
                <w:rFonts w:eastAsia="Times New Roman" w:cs="Times New Roman"/>
                <w:b/>
                <w:sz w:val="20"/>
                <w:szCs w:val="20"/>
              </w:rPr>
              <w:t>2019</w:t>
            </w:r>
          </w:p>
        </w:tc>
        <w:tc>
          <w:tcPr>
            <w:tcW w:w="1134" w:type="dxa"/>
            <w:shd w:val="clear" w:color="auto" w:fill="BFBFBF" w:themeFill="background1" w:themeFillShade="BF"/>
            <w:vAlign w:val="center"/>
          </w:tcPr>
          <w:p w14:paraId="682248FF" w14:textId="70C75679" w:rsidR="00741EA8" w:rsidRPr="001D105D" w:rsidDel="00741EA8" w:rsidRDefault="0025440C" w:rsidP="00215563">
            <w:pPr>
              <w:jc w:val="center"/>
              <w:rPr>
                <w:rFonts w:eastAsia="Times New Roman" w:cs="Times New Roman"/>
                <w:b/>
                <w:sz w:val="20"/>
                <w:szCs w:val="20"/>
              </w:rPr>
            </w:pPr>
            <w:r w:rsidRPr="001D105D">
              <w:rPr>
                <w:rFonts w:eastAsia="Times New Roman" w:cs="Times New Roman"/>
                <w:b/>
                <w:sz w:val="20"/>
                <w:szCs w:val="20"/>
              </w:rPr>
              <w:t>2020</w:t>
            </w:r>
          </w:p>
        </w:tc>
      </w:tr>
      <w:tr w:rsidR="00741EA8" w:rsidRPr="001D105D" w14:paraId="3738F4E5" w14:textId="065754CD" w:rsidTr="00511D6E">
        <w:trPr>
          <w:trHeight w:val="297"/>
          <w:jc w:val="center"/>
        </w:trPr>
        <w:tc>
          <w:tcPr>
            <w:tcW w:w="1696" w:type="dxa"/>
            <w:shd w:val="clear" w:color="auto" w:fill="FFFFFF" w:themeFill="background1"/>
            <w:noWrap/>
            <w:vAlign w:val="center"/>
            <w:hideMark/>
          </w:tcPr>
          <w:p w14:paraId="6142B193" w14:textId="77777777" w:rsidR="00741EA8" w:rsidRPr="001D105D" w:rsidRDefault="00741EA8" w:rsidP="00215563">
            <w:pPr>
              <w:rPr>
                <w:rFonts w:eastAsia="Times New Roman" w:cs="Times New Roman"/>
                <w:b/>
                <w:sz w:val="20"/>
                <w:szCs w:val="20"/>
              </w:rPr>
            </w:pPr>
            <w:r w:rsidRPr="001D105D">
              <w:rPr>
                <w:rFonts w:eastAsia="Times New Roman" w:cs="Times New Roman"/>
                <w:b/>
                <w:sz w:val="20"/>
                <w:szCs w:val="20"/>
              </w:rPr>
              <w:t>&lt;6 years male</w:t>
            </w:r>
          </w:p>
        </w:tc>
        <w:tc>
          <w:tcPr>
            <w:tcW w:w="993" w:type="dxa"/>
            <w:shd w:val="clear" w:color="auto" w:fill="FFFFFF" w:themeFill="background1"/>
            <w:vAlign w:val="center"/>
          </w:tcPr>
          <w:p w14:paraId="491E3823" w14:textId="0156611E" w:rsidR="00741EA8" w:rsidRPr="001D105D" w:rsidRDefault="00EE3FDE" w:rsidP="00215563">
            <w:pPr>
              <w:jc w:val="center"/>
              <w:rPr>
                <w:rFonts w:ascii="Calibri" w:hAnsi="Calibri"/>
                <w:sz w:val="20"/>
                <w:szCs w:val="20"/>
              </w:rPr>
            </w:pPr>
            <w:r w:rsidRPr="001D105D">
              <w:rPr>
                <w:rFonts w:ascii="Calibri" w:hAnsi="Calibri"/>
                <w:sz w:val="20"/>
                <w:szCs w:val="20"/>
              </w:rPr>
              <w:t>1,603</w:t>
            </w:r>
          </w:p>
        </w:tc>
        <w:tc>
          <w:tcPr>
            <w:tcW w:w="992" w:type="dxa"/>
            <w:shd w:val="clear" w:color="auto" w:fill="FFFFFF" w:themeFill="background1"/>
            <w:noWrap/>
            <w:vAlign w:val="center"/>
          </w:tcPr>
          <w:p w14:paraId="56A340BF" w14:textId="79764411" w:rsidR="00741EA8" w:rsidRPr="001D105D" w:rsidRDefault="00741EA8" w:rsidP="00215563">
            <w:pPr>
              <w:jc w:val="center"/>
              <w:rPr>
                <w:rFonts w:ascii="Calibri" w:hAnsi="Calibri"/>
                <w:sz w:val="20"/>
                <w:szCs w:val="20"/>
              </w:rPr>
            </w:pPr>
            <w:r w:rsidRPr="001D105D">
              <w:rPr>
                <w:rFonts w:ascii="Calibri" w:hAnsi="Calibri"/>
                <w:sz w:val="20"/>
                <w:szCs w:val="20"/>
              </w:rPr>
              <w:t>1,646</w:t>
            </w:r>
          </w:p>
        </w:tc>
        <w:tc>
          <w:tcPr>
            <w:tcW w:w="1134" w:type="dxa"/>
            <w:shd w:val="clear" w:color="auto" w:fill="FFFFFF" w:themeFill="background1"/>
            <w:noWrap/>
            <w:vAlign w:val="center"/>
          </w:tcPr>
          <w:p w14:paraId="4FF7D240" w14:textId="77AD58F1" w:rsidR="00741EA8" w:rsidRPr="001D105D" w:rsidRDefault="00741EA8" w:rsidP="00215563">
            <w:pPr>
              <w:jc w:val="center"/>
              <w:rPr>
                <w:rFonts w:ascii="Calibri" w:hAnsi="Calibri"/>
                <w:sz w:val="20"/>
                <w:szCs w:val="20"/>
              </w:rPr>
            </w:pPr>
            <w:r w:rsidRPr="001D105D">
              <w:rPr>
                <w:rFonts w:ascii="Calibri" w:hAnsi="Calibri"/>
                <w:sz w:val="20"/>
                <w:szCs w:val="20"/>
              </w:rPr>
              <w:t>1,796</w:t>
            </w:r>
          </w:p>
        </w:tc>
        <w:tc>
          <w:tcPr>
            <w:tcW w:w="992" w:type="dxa"/>
            <w:shd w:val="clear" w:color="auto" w:fill="FFFFFF" w:themeFill="background1"/>
            <w:vAlign w:val="center"/>
          </w:tcPr>
          <w:p w14:paraId="27D938CD" w14:textId="55C0DDC3" w:rsidR="00741EA8" w:rsidRPr="001D105D" w:rsidRDefault="00EE3FDE" w:rsidP="00215563">
            <w:pPr>
              <w:jc w:val="center"/>
              <w:rPr>
                <w:rFonts w:ascii="Calibri" w:hAnsi="Calibri"/>
                <w:sz w:val="20"/>
                <w:szCs w:val="20"/>
              </w:rPr>
            </w:pPr>
            <w:r w:rsidRPr="001D105D">
              <w:rPr>
                <w:rFonts w:ascii="Calibri" w:hAnsi="Calibri"/>
                <w:sz w:val="20"/>
                <w:szCs w:val="20"/>
              </w:rPr>
              <w:t>1,990</w:t>
            </w:r>
          </w:p>
        </w:tc>
        <w:tc>
          <w:tcPr>
            <w:tcW w:w="1134" w:type="dxa"/>
            <w:shd w:val="clear" w:color="auto" w:fill="FFFFFF" w:themeFill="background1"/>
            <w:vAlign w:val="center"/>
          </w:tcPr>
          <w:p w14:paraId="56D45B32" w14:textId="5F51B994" w:rsidR="00741EA8" w:rsidRPr="001D105D" w:rsidRDefault="00EE3FDE" w:rsidP="00215563">
            <w:pPr>
              <w:jc w:val="center"/>
              <w:rPr>
                <w:rFonts w:ascii="Calibri" w:hAnsi="Calibri"/>
                <w:sz w:val="20"/>
                <w:szCs w:val="20"/>
              </w:rPr>
            </w:pPr>
            <w:r w:rsidRPr="001D105D">
              <w:rPr>
                <w:rFonts w:ascii="Calibri" w:hAnsi="Calibri"/>
                <w:sz w:val="20"/>
                <w:szCs w:val="20"/>
              </w:rPr>
              <w:t>2,435</w:t>
            </w:r>
          </w:p>
        </w:tc>
        <w:tc>
          <w:tcPr>
            <w:tcW w:w="1134" w:type="dxa"/>
            <w:shd w:val="clear" w:color="auto" w:fill="FFFFFF" w:themeFill="background1"/>
            <w:noWrap/>
            <w:vAlign w:val="center"/>
          </w:tcPr>
          <w:p w14:paraId="7149CC8B" w14:textId="503A1D18" w:rsidR="00741EA8" w:rsidRPr="001D105D" w:rsidRDefault="00EE3FDE" w:rsidP="00215563">
            <w:pPr>
              <w:jc w:val="center"/>
              <w:rPr>
                <w:rFonts w:ascii="Calibri" w:hAnsi="Calibri"/>
                <w:sz w:val="20"/>
                <w:szCs w:val="20"/>
              </w:rPr>
            </w:pPr>
            <w:r w:rsidRPr="001D105D">
              <w:rPr>
                <w:rFonts w:ascii="Calibri" w:hAnsi="Calibri"/>
                <w:sz w:val="20"/>
                <w:szCs w:val="20"/>
              </w:rPr>
              <w:t>2,820</w:t>
            </w:r>
          </w:p>
        </w:tc>
        <w:tc>
          <w:tcPr>
            <w:tcW w:w="1134" w:type="dxa"/>
            <w:shd w:val="clear" w:color="auto" w:fill="FFFFFF" w:themeFill="background1"/>
            <w:vAlign w:val="center"/>
          </w:tcPr>
          <w:p w14:paraId="5F5D011B" w14:textId="45ACCF86" w:rsidR="00741EA8" w:rsidRPr="001D105D" w:rsidRDefault="00EE3FDE" w:rsidP="00215563">
            <w:pPr>
              <w:jc w:val="center"/>
              <w:rPr>
                <w:rFonts w:ascii="Calibri" w:hAnsi="Calibri"/>
                <w:sz w:val="20"/>
                <w:szCs w:val="20"/>
              </w:rPr>
            </w:pPr>
            <w:r w:rsidRPr="001D105D">
              <w:rPr>
                <w:rFonts w:ascii="Calibri" w:hAnsi="Calibri"/>
                <w:sz w:val="20"/>
                <w:szCs w:val="20"/>
              </w:rPr>
              <w:t>3,131</w:t>
            </w:r>
          </w:p>
        </w:tc>
      </w:tr>
      <w:tr w:rsidR="00741EA8" w:rsidRPr="001D105D" w14:paraId="378298B8" w14:textId="0E005156" w:rsidTr="00511D6E">
        <w:trPr>
          <w:trHeight w:val="297"/>
          <w:jc w:val="center"/>
        </w:trPr>
        <w:tc>
          <w:tcPr>
            <w:tcW w:w="1696" w:type="dxa"/>
            <w:shd w:val="clear" w:color="auto" w:fill="FFFFFF" w:themeFill="background1"/>
            <w:noWrap/>
            <w:vAlign w:val="center"/>
            <w:hideMark/>
          </w:tcPr>
          <w:p w14:paraId="1F17CD89" w14:textId="77777777" w:rsidR="00741EA8" w:rsidRPr="001D105D" w:rsidRDefault="00741EA8" w:rsidP="00215563">
            <w:pPr>
              <w:rPr>
                <w:rFonts w:eastAsia="Times New Roman" w:cs="Times New Roman"/>
                <w:b/>
                <w:sz w:val="20"/>
                <w:szCs w:val="20"/>
              </w:rPr>
            </w:pPr>
            <w:r w:rsidRPr="001D105D">
              <w:rPr>
                <w:rFonts w:eastAsia="Times New Roman" w:cs="Times New Roman"/>
                <w:b/>
                <w:sz w:val="20"/>
                <w:szCs w:val="20"/>
              </w:rPr>
              <w:t>&lt;6 years female</w:t>
            </w:r>
          </w:p>
        </w:tc>
        <w:tc>
          <w:tcPr>
            <w:tcW w:w="993" w:type="dxa"/>
            <w:shd w:val="clear" w:color="auto" w:fill="FFFFFF" w:themeFill="background1"/>
            <w:vAlign w:val="center"/>
          </w:tcPr>
          <w:p w14:paraId="1F3D15EF" w14:textId="4EB28751" w:rsidR="00741EA8" w:rsidRPr="001D105D" w:rsidRDefault="0025440C" w:rsidP="00215563">
            <w:pPr>
              <w:jc w:val="center"/>
              <w:rPr>
                <w:rFonts w:ascii="Calibri" w:hAnsi="Calibri"/>
                <w:sz w:val="20"/>
                <w:szCs w:val="20"/>
              </w:rPr>
            </w:pPr>
            <w:r w:rsidRPr="001D105D">
              <w:rPr>
                <w:rFonts w:ascii="Calibri" w:hAnsi="Calibri"/>
                <w:sz w:val="20"/>
                <w:szCs w:val="20"/>
              </w:rPr>
              <w:t>357</w:t>
            </w:r>
          </w:p>
        </w:tc>
        <w:tc>
          <w:tcPr>
            <w:tcW w:w="992" w:type="dxa"/>
            <w:shd w:val="clear" w:color="auto" w:fill="FFFFFF" w:themeFill="background1"/>
            <w:noWrap/>
            <w:vAlign w:val="center"/>
          </w:tcPr>
          <w:p w14:paraId="6F34BA29" w14:textId="607B122F" w:rsidR="00741EA8" w:rsidRPr="001D105D" w:rsidRDefault="00741EA8" w:rsidP="00215563">
            <w:pPr>
              <w:jc w:val="center"/>
              <w:rPr>
                <w:rFonts w:ascii="Calibri" w:hAnsi="Calibri"/>
                <w:sz w:val="20"/>
                <w:szCs w:val="20"/>
              </w:rPr>
            </w:pPr>
            <w:r w:rsidRPr="001D105D">
              <w:rPr>
                <w:rFonts w:ascii="Calibri" w:hAnsi="Calibri"/>
                <w:sz w:val="20"/>
                <w:szCs w:val="20"/>
              </w:rPr>
              <w:t>45</w:t>
            </w:r>
            <w:r w:rsidR="0025440C" w:rsidRPr="001D105D">
              <w:rPr>
                <w:rFonts w:ascii="Calibri" w:hAnsi="Calibri"/>
                <w:sz w:val="20"/>
                <w:szCs w:val="20"/>
              </w:rPr>
              <w:t>1</w:t>
            </w:r>
          </w:p>
        </w:tc>
        <w:tc>
          <w:tcPr>
            <w:tcW w:w="1134" w:type="dxa"/>
            <w:shd w:val="clear" w:color="auto" w:fill="FFFFFF" w:themeFill="background1"/>
            <w:noWrap/>
            <w:vAlign w:val="center"/>
          </w:tcPr>
          <w:p w14:paraId="54D6BC57" w14:textId="73DE8E21" w:rsidR="00741EA8" w:rsidRPr="001D105D" w:rsidRDefault="00741EA8" w:rsidP="00215563">
            <w:pPr>
              <w:jc w:val="center"/>
              <w:rPr>
                <w:rFonts w:ascii="Calibri" w:hAnsi="Calibri"/>
                <w:sz w:val="20"/>
                <w:szCs w:val="20"/>
              </w:rPr>
            </w:pPr>
            <w:r w:rsidRPr="001D105D">
              <w:rPr>
                <w:rFonts w:ascii="Calibri" w:hAnsi="Calibri"/>
                <w:sz w:val="20"/>
                <w:szCs w:val="20"/>
              </w:rPr>
              <w:t>471</w:t>
            </w:r>
          </w:p>
        </w:tc>
        <w:tc>
          <w:tcPr>
            <w:tcW w:w="992" w:type="dxa"/>
            <w:shd w:val="clear" w:color="auto" w:fill="FFFFFF" w:themeFill="background1"/>
            <w:vAlign w:val="center"/>
          </w:tcPr>
          <w:p w14:paraId="5F6A08A8" w14:textId="7D2FF213" w:rsidR="00741EA8" w:rsidRPr="001D105D" w:rsidRDefault="0025440C" w:rsidP="00215563">
            <w:pPr>
              <w:jc w:val="center"/>
              <w:rPr>
                <w:rFonts w:ascii="Calibri" w:hAnsi="Calibri"/>
                <w:sz w:val="20"/>
                <w:szCs w:val="20"/>
              </w:rPr>
            </w:pPr>
            <w:r w:rsidRPr="001D105D">
              <w:rPr>
                <w:rFonts w:ascii="Calibri" w:hAnsi="Calibri"/>
                <w:sz w:val="20"/>
                <w:szCs w:val="20"/>
              </w:rPr>
              <w:t>499</w:t>
            </w:r>
          </w:p>
        </w:tc>
        <w:tc>
          <w:tcPr>
            <w:tcW w:w="1134" w:type="dxa"/>
            <w:shd w:val="clear" w:color="auto" w:fill="FFFFFF" w:themeFill="background1"/>
            <w:vAlign w:val="center"/>
          </w:tcPr>
          <w:p w14:paraId="4E998C7A" w14:textId="745D8E14" w:rsidR="00741EA8" w:rsidRPr="001D105D" w:rsidRDefault="0025440C" w:rsidP="00215563">
            <w:pPr>
              <w:jc w:val="center"/>
              <w:rPr>
                <w:rFonts w:ascii="Calibri" w:hAnsi="Calibri"/>
                <w:sz w:val="20"/>
                <w:szCs w:val="20"/>
              </w:rPr>
            </w:pPr>
            <w:r w:rsidRPr="001D105D">
              <w:rPr>
                <w:rFonts w:ascii="Calibri" w:hAnsi="Calibri"/>
                <w:sz w:val="20"/>
                <w:szCs w:val="20"/>
              </w:rPr>
              <w:t>513</w:t>
            </w:r>
          </w:p>
        </w:tc>
        <w:tc>
          <w:tcPr>
            <w:tcW w:w="1134" w:type="dxa"/>
            <w:shd w:val="clear" w:color="auto" w:fill="FFFFFF" w:themeFill="background1"/>
            <w:noWrap/>
            <w:vAlign w:val="center"/>
          </w:tcPr>
          <w:p w14:paraId="4D0442C7" w14:textId="3BFF7AB4" w:rsidR="00741EA8" w:rsidRPr="001D105D" w:rsidRDefault="0025440C" w:rsidP="00215563">
            <w:pPr>
              <w:jc w:val="center"/>
              <w:rPr>
                <w:rFonts w:ascii="Calibri" w:hAnsi="Calibri"/>
                <w:sz w:val="20"/>
                <w:szCs w:val="20"/>
              </w:rPr>
            </w:pPr>
            <w:r w:rsidRPr="001D105D">
              <w:rPr>
                <w:rFonts w:ascii="Calibri" w:hAnsi="Calibri"/>
                <w:sz w:val="20"/>
                <w:szCs w:val="20"/>
              </w:rPr>
              <w:t>691</w:t>
            </w:r>
          </w:p>
        </w:tc>
        <w:tc>
          <w:tcPr>
            <w:tcW w:w="1134" w:type="dxa"/>
            <w:shd w:val="clear" w:color="auto" w:fill="FFFFFF" w:themeFill="background1"/>
            <w:vAlign w:val="center"/>
          </w:tcPr>
          <w:p w14:paraId="3D3D12A1" w14:textId="08BBA8C4" w:rsidR="00741EA8" w:rsidRPr="001D105D" w:rsidRDefault="0025440C" w:rsidP="00215563">
            <w:pPr>
              <w:jc w:val="center"/>
              <w:rPr>
                <w:rFonts w:ascii="Calibri" w:hAnsi="Calibri"/>
                <w:sz w:val="20"/>
                <w:szCs w:val="20"/>
              </w:rPr>
            </w:pPr>
            <w:r w:rsidRPr="001D105D">
              <w:rPr>
                <w:rFonts w:ascii="Calibri" w:hAnsi="Calibri"/>
                <w:sz w:val="20"/>
                <w:szCs w:val="20"/>
              </w:rPr>
              <w:t>817</w:t>
            </w:r>
          </w:p>
        </w:tc>
      </w:tr>
      <w:tr w:rsidR="00741EA8" w:rsidRPr="001D105D" w14:paraId="20EBF23B" w14:textId="6B0081C7" w:rsidTr="00511D6E">
        <w:trPr>
          <w:trHeight w:val="297"/>
          <w:jc w:val="center"/>
        </w:trPr>
        <w:tc>
          <w:tcPr>
            <w:tcW w:w="1696" w:type="dxa"/>
            <w:shd w:val="clear" w:color="auto" w:fill="FFFFFF" w:themeFill="background1"/>
            <w:noWrap/>
            <w:vAlign w:val="center"/>
            <w:hideMark/>
          </w:tcPr>
          <w:p w14:paraId="2829AF2D" w14:textId="77777777" w:rsidR="00741EA8" w:rsidRPr="001D105D" w:rsidRDefault="00741EA8" w:rsidP="00215563">
            <w:pPr>
              <w:rPr>
                <w:rFonts w:eastAsia="Times New Roman" w:cs="Times New Roman"/>
                <w:b/>
                <w:sz w:val="20"/>
                <w:szCs w:val="20"/>
              </w:rPr>
            </w:pPr>
            <w:r w:rsidRPr="001D105D">
              <w:rPr>
                <w:rFonts w:eastAsia="Times New Roman" w:cs="Times New Roman"/>
                <w:b/>
                <w:sz w:val="20"/>
                <w:szCs w:val="20"/>
              </w:rPr>
              <w:t>6-12 years male</w:t>
            </w:r>
          </w:p>
        </w:tc>
        <w:tc>
          <w:tcPr>
            <w:tcW w:w="993" w:type="dxa"/>
            <w:shd w:val="clear" w:color="auto" w:fill="FFFFFF" w:themeFill="background1"/>
            <w:vAlign w:val="center"/>
          </w:tcPr>
          <w:p w14:paraId="7CBDAA80" w14:textId="26A91C29" w:rsidR="00741EA8" w:rsidRPr="001D105D" w:rsidRDefault="00EE3FDE" w:rsidP="00215563">
            <w:pPr>
              <w:jc w:val="center"/>
              <w:rPr>
                <w:rFonts w:ascii="Calibri" w:hAnsi="Calibri"/>
                <w:sz w:val="20"/>
                <w:szCs w:val="20"/>
              </w:rPr>
            </w:pPr>
            <w:r w:rsidRPr="001D105D">
              <w:rPr>
                <w:rFonts w:ascii="Calibri" w:hAnsi="Calibri"/>
                <w:sz w:val="20"/>
                <w:szCs w:val="20"/>
              </w:rPr>
              <w:t>9,957</w:t>
            </w:r>
          </w:p>
        </w:tc>
        <w:tc>
          <w:tcPr>
            <w:tcW w:w="992" w:type="dxa"/>
            <w:shd w:val="clear" w:color="auto" w:fill="FFFFFF" w:themeFill="background1"/>
            <w:noWrap/>
            <w:vAlign w:val="center"/>
          </w:tcPr>
          <w:p w14:paraId="62320D24" w14:textId="531328D3" w:rsidR="00741EA8" w:rsidRPr="001D105D" w:rsidRDefault="00741EA8" w:rsidP="00215563">
            <w:pPr>
              <w:jc w:val="center"/>
              <w:rPr>
                <w:rFonts w:ascii="Calibri" w:hAnsi="Calibri"/>
                <w:sz w:val="20"/>
                <w:szCs w:val="20"/>
              </w:rPr>
            </w:pPr>
            <w:r w:rsidRPr="001D105D">
              <w:rPr>
                <w:rFonts w:ascii="Calibri" w:hAnsi="Calibri"/>
                <w:sz w:val="20"/>
                <w:szCs w:val="20"/>
              </w:rPr>
              <w:t>11,719</w:t>
            </w:r>
          </w:p>
        </w:tc>
        <w:tc>
          <w:tcPr>
            <w:tcW w:w="1134" w:type="dxa"/>
            <w:shd w:val="clear" w:color="auto" w:fill="FFFFFF" w:themeFill="background1"/>
            <w:noWrap/>
            <w:vAlign w:val="center"/>
          </w:tcPr>
          <w:p w14:paraId="352EF5F8" w14:textId="4D9231F3" w:rsidR="00741EA8" w:rsidRPr="001D105D" w:rsidRDefault="00741EA8" w:rsidP="00215563">
            <w:pPr>
              <w:jc w:val="center"/>
              <w:rPr>
                <w:rFonts w:ascii="Calibri" w:hAnsi="Calibri"/>
                <w:sz w:val="20"/>
                <w:szCs w:val="20"/>
              </w:rPr>
            </w:pPr>
            <w:r w:rsidRPr="001D105D">
              <w:rPr>
                <w:rFonts w:ascii="Calibri" w:hAnsi="Calibri"/>
                <w:sz w:val="20"/>
                <w:szCs w:val="20"/>
              </w:rPr>
              <w:t>12,60</w:t>
            </w:r>
            <w:r w:rsidR="00EE3FDE" w:rsidRPr="001D105D">
              <w:rPr>
                <w:rFonts w:ascii="Calibri" w:hAnsi="Calibri"/>
                <w:sz w:val="20"/>
                <w:szCs w:val="20"/>
              </w:rPr>
              <w:t>8</w:t>
            </w:r>
          </w:p>
        </w:tc>
        <w:tc>
          <w:tcPr>
            <w:tcW w:w="992" w:type="dxa"/>
            <w:shd w:val="clear" w:color="auto" w:fill="FFFFFF" w:themeFill="background1"/>
            <w:vAlign w:val="center"/>
          </w:tcPr>
          <w:p w14:paraId="4BFE59A7" w14:textId="360CD41A" w:rsidR="00741EA8" w:rsidRPr="001D105D" w:rsidRDefault="00EE3FDE" w:rsidP="00215563">
            <w:pPr>
              <w:jc w:val="center"/>
              <w:rPr>
                <w:rFonts w:ascii="Calibri" w:hAnsi="Calibri"/>
                <w:sz w:val="20"/>
                <w:szCs w:val="20"/>
              </w:rPr>
            </w:pPr>
            <w:r w:rsidRPr="001D105D">
              <w:rPr>
                <w:rFonts w:ascii="Calibri" w:hAnsi="Calibri"/>
                <w:sz w:val="20"/>
                <w:szCs w:val="20"/>
              </w:rPr>
              <w:t>13,616</w:t>
            </w:r>
          </w:p>
        </w:tc>
        <w:tc>
          <w:tcPr>
            <w:tcW w:w="1134" w:type="dxa"/>
            <w:shd w:val="clear" w:color="auto" w:fill="FFFFFF" w:themeFill="background1"/>
            <w:vAlign w:val="center"/>
          </w:tcPr>
          <w:p w14:paraId="1A5F27D2" w14:textId="17EEB331" w:rsidR="00741EA8" w:rsidRPr="001D105D" w:rsidRDefault="00EE3FDE" w:rsidP="00215563">
            <w:pPr>
              <w:jc w:val="center"/>
              <w:rPr>
                <w:rFonts w:ascii="Calibri" w:hAnsi="Calibri"/>
                <w:sz w:val="20"/>
                <w:szCs w:val="20"/>
              </w:rPr>
            </w:pPr>
            <w:r w:rsidRPr="001D105D">
              <w:rPr>
                <w:rFonts w:ascii="Calibri" w:hAnsi="Calibri"/>
                <w:sz w:val="20"/>
                <w:szCs w:val="20"/>
              </w:rPr>
              <w:t>16,174</w:t>
            </w:r>
          </w:p>
        </w:tc>
        <w:tc>
          <w:tcPr>
            <w:tcW w:w="1134" w:type="dxa"/>
            <w:shd w:val="clear" w:color="auto" w:fill="FFFFFF" w:themeFill="background1"/>
            <w:noWrap/>
            <w:vAlign w:val="center"/>
          </w:tcPr>
          <w:p w14:paraId="659F0767" w14:textId="31F8D294" w:rsidR="00741EA8" w:rsidRPr="001D105D" w:rsidRDefault="00EE3FDE" w:rsidP="00215563">
            <w:pPr>
              <w:jc w:val="center"/>
              <w:rPr>
                <w:rFonts w:ascii="Calibri" w:hAnsi="Calibri"/>
                <w:sz w:val="20"/>
                <w:szCs w:val="20"/>
              </w:rPr>
            </w:pPr>
            <w:r w:rsidRPr="001D105D">
              <w:rPr>
                <w:rFonts w:ascii="Calibri" w:hAnsi="Calibri"/>
                <w:sz w:val="20"/>
                <w:szCs w:val="20"/>
              </w:rPr>
              <w:t>18,477</w:t>
            </w:r>
          </w:p>
        </w:tc>
        <w:tc>
          <w:tcPr>
            <w:tcW w:w="1134" w:type="dxa"/>
            <w:shd w:val="clear" w:color="auto" w:fill="FFFFFF" w:themeFill="background1"/>
            <w:vAlign w:val="center"/>
          </w:tcPr>
          <w:p w14:paraId="0D7FA097" w14:textId="50712E5D" w:rsidR="00741EA8" w:rsidRPr="001D105D" w:rsidRDefault="00EE3FDE" w:rsidP="00215563">
            <w:pPr>
              <w:jc w:val="center"/>
              <w:rPr>
                <w:rFonts w:ascii="Calibri" w:hAnsi="Calibri"/>
                <w:sz w:val="20"/>
                <w:szCs w:val="20"/>
              </w:rPr>
            </w:pPr>
            <w:r w:rsidRPr="001D105D">
              <w:rPr>
                <w:rFonts w:ascii="Calibri" w:hAnsi="Calibri"/>
                <w:sz w:val="20"/>
                <w:szCs w:val="20"/>
              </w:rPr>
              <w:t>20,151</w:t>
            </w:r>
          </w:p>
        </w:tc>
      </w:tr>
      <w:tr w:rsidR="00741EA8" w:rsidRPr="001D105D" w14:paraId="2E3478AF" w14:textId="7440668B" w:rsidTr="00511D6E">
        <w:trPr>
          <w:trHeight w:val="297"/>
          <w:jc w:val="center"/>
        </w:trPr>
        <w:tc>
          <w:tcPr>
            <w:tcW w:w="1696" w:type="dxa"/>
            <w:shd w:val="clear" w:color="auto" w:fill="FFFFFF" w:themeFill="background1"/>
            <w:noWrap/>
            <w:vAlign w:val="center"/>
          </w:tcPr>
          <w:p w14:paraId="16B885EC" w14:textId="77777777" w:rsidR="00741EA8" w:rsidRPr="001D105D" w:rsidRDefault="00741EA8" w:rsidP="00215563">
            <w:pPr>
              <w:rPr>
                <w:rFonts w:eastAsia="Times New Roman" w:cs="Times New Roman"/>
                <w:b/>
                <w:sz w:val="20"/>
                <w:szCs w:val="20"/>
              </w:rPr>
            </w:pPr>
            <w:r w:rsidRPr="001D105D">
              <w:rPr>
                <w:rFonts w:eastAsia="Times New Roman" w:cs="Times New Roman"/>
                <w:b/>
                <w:sz w:val="20"/>
                <w:szCs w:val="20"/>
              </w:rPr>
              <w:t>6-12 years female</w:t>
            </w:r>
          </w:p>
        </w:tc>
        <w:tc>
          <w:tcPr>
            <w:tcW w:w="993" w:type="dxa"/>
            <w:shd w:val="clear" w:color="auto" w:fill="FFFFFF" w:themeFill="background1"/>
            <w:vAlign w:val="center"/>
          </w:tcPr>
          <w:p w14:paraId="07F6D3B7" w14:textId="20D832D5" w:rsidR="00741EA8" w:rsidRPr="001D105D" w:rsidRDefault="0025440C" w:rsidP="00215563">
            <w:pPr>
              <w:jc w:val="center"/>
              <w:rPr>
                <w:rFonts w:ascii="Calibri" w:hAnsi="Calibri"/>
                <w:sz w:val="20"/>
                <w:szCs w:val="20"/>
              </w:rPr>
            </w:pPr>
            <w:r w:rsidRPr="001D105D">
              <w:rPr>
                <w:rFonts w:ascii="Calibri" w:hAnsi="Calibri"/>
                <w:sz w:val="20"/>
                <w:szCs w:val="20"/>
              </w:rPr>
              <w:t>2</w:t>
            </w:r>
            <w:r w:rsidR="00EE3FDE" w:rsidRPr="001D105D">
              <w:rPr>
                <w:rFonts w:ascii="Calibri" w:hAnsi="Calibri"/>
                <w:sz w:val="20"/>
                <w:szCs w:val="20"/>
              </w:rPr>
              <w:t>,</w:t>
            </w:r>
            <w:r w:rsidRPr="001D105D">
              <w:rPr>
                <w:rFonts w:ascii="Calibri" w:hAnsi="Calibri"/>
                <w:sz w:val="20"/>
                <w:szCs w:val="20"/>
              </w:rPr>
              <w:t>930</w:t>
            </w:r>
          </w:p>
        </w:tc>
        <w:tc>
          <w:tcPr>
            <w:tcW w:w="992" w:type="dxa"/>
            <w:shd w:val="clear" w:color="auto" w:fill="FFFFFF" w:themeFill="background1"/>
            <w:noWrap/>
            <w:vAlign w:val="center"/>
          </w:tcPr>
          <w:p w14:paraId="3FF662F6" w14:textId="048598FE" w:rsidR="00741EA8" w:rsidRPr="001D105D" w:rsidRDefault="00741EA8" w:rsidP="00215563">
            <w:pPr>
              <w:jc w:val="center"/>
              <w:rPr>
                <w:rFonts w:ascii="Calibri" w:hAnsi="Calibri"/>
                <w:sz w:val="20"/>
                <w:szCs w:val="20"/>
              </w:rPr>
            </w:pPr>
            <w:r w:rsidRPr="001D105D">
              <w:rPr>
                <w:rFonts w:ascii="Calibri" w:hAnsi="Calibri"/>
                <w:sz w:val="20"/>
                <w:szCs w:val="20"/>
              </w:rPr>
              <w:t>3,38</w:t>
            </w:r>
            <w:r w:rsidR="0025440C" w:rsidRPr="001D105D">
              <w:rPr>
                <w:rFonts w:ascii="Calibri" w:hAnsi="Calibri"/>
                <w:sz w:val="20"/>
                <w:szCs w:val="20"/>
              </w:rPr>
              <w:t>8</w:t>
            </w:r>
          </w:p>
        </w:tc>
        <w:tc>
          <w:tcPr>
            <w:tcW w:w="1134" w:type="dxa"/>
            <w:shd w:val="clear" w:color="auto" w:fill="FFFFFF" w:themeFill="background1"/>
            <w:noWrap/>
            <w:vAlign w:val="center"/>
          </w:tcPr>
          <w:p w14:paraId="6A3F41FE" w14:textId="467F824B" w:rsidR="00741EA8" w:rsidRPr="001D105D" w:rsidRDefault="00741EA8" w:rsidP="00215563">
            <w:pPr>
              <w:jc w:val="center"/>
              <w:rPr>
                <w:rFonts w:ascii="Calibri" w:hAnsi="Calibri"/>
                <w:sz w:val="20"/>
                <w:szCs w:val="20"/>
              </w:rPr>
            </w:pPr>
            <w:r w:rsidRPr="001D105D">
              <w:rPr>
                <w:rFonts w:ascii="Calibri" w:hAnsi="Calibri"/>
                <w:sz w:val="20"/>
                <w:szCs w:val="20"/>
              </w:rPr>
              <w:t>3,753</w:t>
            </w:r>
          </w:p>
        </w:tc>
        <w:tc>
          <w:tcPr>
            <w:tcW w:w="992" w:type="dxa"/>
            <w:shd w:val="clear" w:color="auto" w:fill="FFFFFF" w:themeFill="background1"/>
            <w:vAlign w:val="center"/>
          </w:tcPr>
          <w:p w14:paraId="6E555E60" w14:textId="469B2C76" w:rsidR="00741EA8" w:rsidRPr="001D105D" w:rsidRDefault="0025440C" w:rsidP="00215563">
            <w:pPr>
              <w:jc w:val="center"/>
              <w:rPr>
                <w:rFonts w:ascii="Calibri" w:hAnsi="Calibri"/>
                <w:sz w:val="20"/>
                <w:szCs w:val="20"/>
              </w:rPr>
            </w:pPr>
            <w:r w:rsidRPr="001D105D">
              <w:rPr>
                <w:rFonts w:ascii="Calibri" w:hAnsi="Calibri"/>
                <w:sz w:val="20"/>
                <w:szCs w:val="20"/>
              </w:rPr>
              <w:t>4</w:t>
            </w:r>
            <w:r w:rsidR="00EE3FDE" w:rsidRPr="001D105D">
              <w:rPr>
                <w:rFonts w:ascii="Calibri" w:hAnsi="Calibri"/>
                <w:sz w:val="20"/>
                <w:szCs w:val="20"/>
              </w:rPr>
              <w:t>,</w:t>
            </w:r>
            <w:r w:rsidRPr="001D105D">
              <w:rPr>
                <w:rFonts w:ascii="Calibri" w:hAnsi="Calibri"/>
                <w:sz w:val="20"/>
                <w:szCs w:val="20"/>
              </w:rPr>
              <w:t>310</w:t>
            </w:r>
          </w:p>
        </w:tc>
        <w:tc>
          <w:tcPr>
            <w:tcW w:w="1134" w:type="dxa"/>
            <w:shd w:val="clear" w:color="auto" w:fill="FFFFFF" w:themeFill="background1"/>
            <w:vAlign w:val="center"/>
          </w:tcPr>
          <w:p w14:paraId="1806D8A2" w14:textId="78B4EF4A" w:rsidR="00741EA8" w:rsidRPr="001D105D" w:rsidRDefault="0025440C" w:rsidP="00215563">
            <w:pPr>
              <w:jc w:val="center"/>
              <w:rPr>
                <w:rFonts w:ascii="Calibri" w:hAnsi="Calibri"/>
                <w:sz w:val="20"/>
                <w:szCs w:val="20"/>
              </w:rPr>
            </w:pPr>
            <w:r w:rsidRPr="001D105D">
              <w:rPr>
                <w:rFonts w:ascii="Calibri" w:hAnsi="Calibri"/>
                <w:sz w:val="20"/>
                <w:szCs w:val="20"/>
              </w:rPr>
              <w:t>5</w:t>
            </w:r>
            <w:r w:rsidR="00EE3FDE" w:rsidRPr="001D105D">
              <w:rPr>
                <w:rFonts w:ascii="Calibri" w:hAnsi="Calibri"/>
                <w:sz w:val="20"/>
                <w:szCs w:val="20"/>
              </w:rPr>
              <w:t>,</w:t>
            </w:r>
            <w:r w:rsidRPr="001D105D">
              <w:rPr>
                <w:rFonts w:ascii="Calibri" w:hAnsi="Calibri"/>
                <w:sz w:val="20"/>
                <w:szCs w:val="20"/>
              </w:rPr>
              <w:t>375</w:t>
            </w:r>
          </w:p>
        </w:tc>
        <w:tc>
          <w:tcPr>
            <w:tcW w:w="1134" w:type="dxa"/>
            <w:shd w:val="clear" w:color="auto" w:fill="FFFFFF" w:themeFill="background1"/>
            <w:noWrap/>
            <w:vAlign w:val="center"/>
          </w:tcPr>
          <w:p w14:paraId="17D3AA2F" w14:textId="7FB95D06" w:rsidR="00741EA8" w:rsidRPr="001D105D" w:rsidRDefault="0025440C" w:rsidP="00215563">
            <w:pPr>
              <w:jc w:val="center"/>
              <w:rPr>
                <w:rFonts w:ascii="Calibri" w:hAnsi="Calibri"/>
                <w:sz w:val="20"/>
                <w:szCs w:val="20"/>
              </w:rPr>
            </w:pPr>
            <w:r w:rsidRPr="001D105D">
              <w:rPr>
                <w:rFonts w:ascii="Calibri" w:hAnsi="Calibri"/>
                <w:sz w:val="20"/>
                <w:szCs w:val="20"/>
              </w:rPr>
              <w:t>6</w:t>
            </w:r>
            <w:r w:rsidR="00EE3FDE" w:rsidRPr="001D105D">
              <w:rPr>
                <w:rFonts w:ascii="Calibri" w:hAnsi="Calibri"/>
                <w:sz w:val="20"/>
                <w:szCs w:val="20"/>
              </w:rPr>
              <w:t>,</w:t>
            </w:r>
            <w:r w:rsidRPr="001D105D">
              <w:rPr>
                <w:rFonts w:ascii="Calibri" w:hAnsi="Calibri"/>
                <w:sz w:val="20"/>
                <w:szCs w:val="20"/>
              </w:rPr>
              <w:t>326</w:t>
            </w:r>
          </w:p>
        </w:tc>
        <w:tc>
          <w:tcPr>
            <w:tcW w:w="1134" w:type="dxa"/>
            <w:shd w:val="clear" w:color="auto" w:fill="FFFFFF" w:themeFill="background1"/>
            <w:vAlign w:val="center"/>
          </w:tcPr>
          <w:p w14:paraId="65AACA58" w14:textId="219FB777" w:rsidR="00741EA8" w:rsidRPr="001D105D" w:rsidRDefault="0025440C" w:rsidP="00215563">
            <w:pPr>
              <w:jc w:val="center"/>
              <w:rPr>
                <w:rFonts w:ascii="Calibri" w:hAnsi="Calibri"/>
                <w:sz w:val="20"/>
                <w:szCs w:val="20"/>
              </w:rPr>
            </w:pPr>
            <w:r w:rsidRPr="001D105D">
              <w:rPr>
                <w:rFonts w:ascii="Calibri" w:hAnsi="Calibri"/>
                <w:sz w:val="20"/>
                <w:szCs w:val="20"/>
              </w:rPr>
              <w:t>7</w:t>
            </w:r>
            <w:r w:rsidR="00EE3FDE" w:rsidRPr="001D105D">
              <w:rPr>
                <w:rFonts w:ascii="Calibri" w:hAnsi="Calibri"/>
                <w:sz w:val="20"/>
                <w:szCs w:val="20"/>
              </w:rPr>
              <w:t>,</w:t>
            </w:r>
            <w:r w:rsidRPr="001D105D">
              <w:rPr>
                <w:rFonts w:ascii="Calibri" w:hAnsi="Calibri"/>
                <w:sz w:val="20"/>
                <w:szCs w:val="20"/>
              </w:rPr>
              <w:t>461</w:t>
            </w:r>
          </w:p>
        </w:tc>
      </w:tr>
      <w:tr w:rsidR="00741EA8" w:rsidRPr="001D105D" w14:paraId="2D431284" w14:textId="642188E1" w:rsidTr="00511D6E">
        <w:trPr>
          <w:trHeight w:val="297"/>
          <w:jc w:val="center"/>
        </w:trPr>
        <w:tc>
          <w:tcPr>
            <w:tcW w:w="1696" w:type="dxa"/>
            <w:shd w:val="clear" w:color="auto" w:fill="FFFFFF" w:themeFill="background1"/>
            <w:noWrap/>
            <w:vAlign w:val="center"/>
          </w:tcPr>
          <w:p w14:paraId="2E06A07A" w14:textId="2D599ADD" w:rsidR="00741EA8" w:rsidRPr="001D105D" w:rsidRDefault="00741EA8" w:rsidP="00215563">
            <w:pPr>
              <w:rPr>
                <w:rFonts w:eastAsia="Times New Roman" w:cs="Times New Roman"/>
                <w:b/>
                <w:sz w:val="20"/>
                <w:szCs w:val="20"/>
              </w:rPr>
            </w:pPr>
            <w:r w:rsidRPr="001D105D">
              <w:rPr>
                <w:rFonts w:eastAsia="Times New Roman" w:cs="Times New Roman"/>
                <w:b/>
                <w:sz w:val="20"/>
                <w:szCs w:val="20"/>
              </w:rPr>
              <w:t>13-1</w:t>
            </w:r>
            <w:r w:rsidR="00EE3FDE" w:rsidRPr="001D105D">
              <w:rPr>
                <w:rFonts w:eastAsia="Times New Roman" w:cs="Times New Roman"/>
                <w:b/>
                <w:sz w:val="20"/>
                <w:szCs w:val="20"/>
              </w:rPr>
              <w:t>8</w:t>
            </w:r>
            <w:r w:rsidRPr="001D105D">
              <w:rPr>
                <w:rFonts w:eastAsia="Times New Roman" w:cs="Times New Roman"/>
                <w:b/>
                <w:sz w:val="20"/>
                <w:szCs w:val="20"/>
              </w:rPr>
              <w:t xml:space="preserve"> years male</w:t>
            </w:r>
          </w:p>
        </w:tc>
        <w:tc>
          <w:tcPr>
            <w:tcW w:w="993" w:type="dxa"/>
            <w:shd w:val="clear" w:color="auto" w:fill="FFFFFF" w:themeFill="background1"/>
            <w:vAlign w:val="center"/>
          </w:tcPr>
          <w:p w14:paraId="5287727B" w14:textId="33C82EE7" w:rsidR="00741EA8" w:rsidRPr="001D105D" w:rsidRDefault="00EE3FDE" w:rsidP="00215563">
            <w:pPr>
              <w:jc w:val="center"/>
              <w:rPr>
                <w:rFonts w:ascii="Calibri" w:hAnsi="Calibri"/>
                <w:sz w:val="20"/>
                <w:szCs w:val="20"/>
              </w:rPr>
            </w:pPr>
            <w:r w:rsidRPr="001D105D">
              <w:rPr>
                <w:rFonts w:ascii="Calibri" w:hAnsi="Calibri"/>
                <w:sz w:val="20"/>
                <w:szCs w:val="20"/>
              </w:rPr>
              <w:t>2,536</w:t>
            </w:r>
          </w:p>
        </w:tc>
        <w:tc>
          <w:tcPr>
            <w:tcW w:w="992" w:type="dxa"/>
            <w:shd w:val="clear" w:color="auto" w:fill="FFFFFF" w:themeFill="background1"/>
            <w:noWrap/>
            <w:vAlign w:val="center"/>
          </w:tcPr>
          <w:p w14:paraId="4F472610" w14:textId="27C87FBF" w:rsidR="00741EA8" w:rsidRPr="001D105D" w:rsidRDefault="00EE3FDE" w:rsidP="00215563">
            <w:pPr>
              <w:jc w:val="center"/>
              <w:rPr>
                <w:rFonts w:ascii="Calibri" w:hAnsi="Calibri"/>
                <w:sz w:val="20"/>
                <w:szCs w:val="20"/>
              </w:rPr>
            </w:pPr>
            <w:r w:rsidRPr="001D105D">
              <w:rPr>
                <w:rFonts w:ascii="Calibri" w:hAnsi="Calibri"/>
                <w:sz w:val="20"/>
                <w:szCs w:val="20"/>
              </w:rPr>
              <w:t>2,712</w:t>
            </w:r>
          </w:p>
        </w:tc>
        <w:tc>
          <w:tcPr>
            <w:tcW w:w="1134" w:type="dxa"/>
            <w:shd w:val="clear" w:color="auto" w:fill="FFFFFF" w:themeFill="background1"/>
            <w:noWrap/>
            <w:vAlign w:val="center"/>
          </w:tcPr>
          <w:p w14:paraId="778C010F" w14:textId="2E01EF9C" w:rsidR="00741EA8" w:rsidRPr="001D105D" w:rsidRDefault="00EE3FDE" w:rsidP="00215563">
            <w:pPr>
              <w:jc w:val="center"/>
              <w:rPr>
                <w:rFonts w:ascii="Calibri" w:hAnsi="Calibri"/>
                <w:sz w:val="20"/>
                <w:szCs w:val="20"/>
              </w:rPr>
            </w:pPr>
            <w:r w:rsidRPr="001D105D">
              <w:rPr>
                <w:rFonts w:ascii="Calibri" w:hAnsi="Calibri"/>
                <w:sz w:val="20"/>
                <w:szCs w:val="20"/>
              </w:rPr>
              <w:t>2,719</w:t>
            </w:r>
          </w:p>
        </w:tc>
        <w:tc>
          <w:tcPr>
            <w:tcW w:w="992" w:type="dxa"/>
            <w:shd w:val="clear" w:color="auto" w:fill="FFFFFF" w:themeFill="background1"/>
            <w:vAlign w:val="center"/>
          </w:tcPr>
          <w:p w14:paraId="4DA31BB4" w14:textId="071EF330" w:rsidR="00741EA8" w:rsidRPr="001D105D" w:rsidRDefault="00EE3FDE" w:rsidP="00215563">
            <w:pPr>
              <w:jc w:val="center"/>
              <w:rPr>
                <w:rFonts w:ascii="Calibri" w:hAnsi="Calibri"/>
                <w:sz w:val="20"/>
                <w:szCs w:val="20"/>
              </w:rPr>
            </w:pPr>
            <w:r w:rsidRPr="001D105D">
              <w:rPr>
                <w:rFonts w:ascii="Calibri" w:hAnsi="Calibri"/>
                <w:sz w:val="20"/>
                <w:szCs w:val="20"/>
              </w:rPr>
              <w:t>3,041</w:t>
            </w:r>
          </w:p>
        </w:tc>
        <w:tc>
          <w:tcPr>
            <w:tcW w:w="1134" w:type="dxa"/>
            <w:shd w:val="clear" w:color="auto" w:fill="FFFFFF" w:themeFill="background1"/>
            <w:vAlign w:val="center"/>
          </w:tcPr>
          <w:p w14:paraId="0A6CF04F" w14:textId="3F89C1F3" w:rsidR="00741EA8" w:rsidRPr="001D105D" w:rsidRDefault="00EE3FDE" w:rsidP="00215563">
            <w:pPr>
              <w:jc w:val="center"/>
              <w:rPr>
                <w:rFonts w:ascii="Calibri" w:hAnsi="Calibri"/>
                <w:sz w:val="20"/>
                <w:szCs w:val="20"/>
              </w:rPr>
            </w:pPr>
            <w:r w:rsidRPr="001D105D">
              <w:rPr>
                <w:rFonts w:ascii="Calibri" w:hAnsi="Calibri"/>
                <w:sz w:val="20"/>
                <w:szCs w:val="20"/>
              </w:rPr>
              <w:t>3,539</w:t>
            </w:r>
          </w:p>
        </w:tc>
        <w:tc>
          <w:tcPr>
            <w:tcW w:w="1134" w:type="dxa"/>
            <w:shd w:val="clear" w:color="auto" w:fill="FFFFFF" w:themeFill="background1"/>
            <w:noWrap/>
            <w:vAlign w:val="center"/>
          </w:tcPr>
          <w:p w14:paraId="5111A711" w14:textId="59F4006C" w:rsidR="00741EA8" w:rsidRPr="001D105D" w:rsidRDefault="00EE3FDE" w:rsidP="00215563">
            <w:pPr>
              <w:jc w:val="center"/>
              <w:rPr>
                <w:rFonts w:ascii="Calibri" w:hAnsi="Calibri"/>
                <w:sz w:val="20"/>
                <w:szCs w:val="20"/>
              </w:rPr>
            </w:pPr>
            <w:r w:rsidRPr="001D105D">
              <w:rPr>
                <w:rFonts w:ascii="Calibri" w:hAnsi="Calibri"/>
                <w:sz w:val="20"/>
                <w:szCs w:val="20"/>
              </w:rPr>
              <w:t>4,392</w:t>
            </w:r>
          </w:p>
        </w:tc>
        <w:tc>
          <w:tcPr>
            <w:tcW w:w="1134" w:type="dxa"/>
            <w:shd w:val="clear" w:color="auto" w:fill="FFFFFF" w:themeFill="background1"/>
            <w:vAlign w:val="center"/>
          </w:tcPr>
          <w:p w14:paraId="758D03B1" w14:textId="30D68C7F" w:rsidR="00741EA8" w:rsidRPr="001D105D" w:rsidRDefault="00EE3FDE" w:rsidP="00215563">
            <w:pPr>
              <w:jc w:val="center"/>
              <w:rPr>
                <w:rFonts w:ascii="Calibri" w:hAnsi="Calibri"/>
                <w:sz w:val="20"/>
                <w:szCs w:val="20"/>
              </w:rPr>
            </w:pPr>
            <w:r w:rsidRPr="001D105D">
              <w:rPr>
                <w:rFonts w:ascii="Calibri" w:hAnsi="Calibri"/>
                <w:sz w:val="20"/>
                <w:szCs w:val="20"/>
              </w:rPr>
              <w:t>5,344</w:t>
            </w:r>
          </w:p>
        </w:tc>
      </w:tr>
      <w:tr w:rsidR="00741EA8" w:rsidRPr="001D105D" w14:paraId="435EAC0D" w14:textId="3DD382FB" w:rsidTr="00511D6E">
        <w:trPr>
          <w:trHeight w:val="297"/>
          <w:jc w:val="center"/>
        </w:trPr>
        <w:tc>
          <w:tcPr>
            <w:tcW w:w="1696" w:type="dxa"/>
            <w:shd w:val="clear" w:color="auto" w:fill="FFFFFF" w:themeFill="background1"/>
            <w:noWrap/>
            <w:vAlign w:val="center"/>
            <w:hideMark/>
          </w:tcPr>
          <w:p w14:paraId="012A158B" w14:textId="4C4D3B6D" w:rsidR="00741EA8" w:rsidRPr="001D105D" w:rsidRDefault="00741EA8" w:rsidP="00215563">
            <w:pPr>
              <w:rPr>
                <w:rFonts w:eastAsia="Times New Roman" w:cs="Times New Roman"/>
                <w:b/>
                <w:sz w:val="20"/>
                <w:szCs w:val="20"/>
              </w:rPr>
            </w:pPr>
            <w:r w:rsidRPr="001D105D">
              <w:rPr>
                <w:rFonts w:eastAsia="Times New Roman" w:cs="Times New Roman"/>
                <w:b/>
                <w:sz w:val="20"/>
                <w:szCs w:val="20"/>
              </w:rPr>
              <w:t>13-1</w:t>
            </w:r>
            <w:r w:rsidR="0025440C" w:rsidRPr="001D105D">
              <w:rPr>
                <w:rFonts w:eastAsia="Times New Roman" w:cs="Times New Roman"/>
                <w:b/>
                <w:sz w:val="20"/>
                <w:szCs w:val="20"/>
              </w:rPr>
              <w:t>8</w:t>
            </w:r>
            <w:r w:rsidRPr="001D105D">
              <w:rPr>
                <w:rFonts w:eastAsia="Times New Roman" w:cs="Times New Roman"/>
                <w:b/>
                <w:sz w:val="20"/>
                <w:szCs w:val="20"/>
              </w:rPr>
              <w:t xml:space="preserve"> years female</w:t>
            </w:r>
          </w:p>
        </w:tc>
        <w:tc>
          <w:tcPr>
            <w:tcW w:w="993" w:type="dxa"/>
            <w:shd w:val="clear" w:color="auto" w:fill="FFFFFF" w:themeFill="background1"/>
            <w:vAlign w:val="center"/>
          </w:tcPr>
          <w:p w14:paraId="742C2ACA" w14:textId="3CFEF801" w:rsidR="00741EA8" w:rsidRPr="001D105D" w:rsidRDefault="0025440C" w:rsidP="00215563">
            <w:pPr>
              <w:jc w:val="center"/>
              <w:rPr>
                <w:rFonts w:ascii="Calibri" w:hAnsi="Calibri"/>
                <w:sz w:val="20"/>
                <w:szCs w:val="20"/>
              </w:rPr>
            </w:pPr>
            <w:r w:rsidRPr="001D105D">
              <w:rPr>
                <w:rFonts w:ascii="Calibri" w:hAnsi="Calibri"/>
                <w:sz w:val="20"/>
                <w:szCs w:val="20"/>
              </w:rPr>
              <w:t>1</w:t>
            </w:r>
            <w:r w:rsidR="00EE3FDE" w:rsidRPr="001D105D">
              <w:rPr>
                <w:rFonts w:ascii="Calibri" w:hAnsi="Calibri"/>
                <w:sz w:val="20"/>
                <w:szCs w:val="20"/>
              </w:rPr>
              <w:t>,</w:t>
            </w:r>
            <w:r w:rsidRPr="001D105D">
              <w:rPr>
                <w:rFonts w:ascii="Calibri" w:hAnsi="Calibri"/>
                <w:sz w:val="20"/>
                <w:szCs w:val="20"/>
              </w:rPr>
              <w:t>209</w:t>
            </w:r>
          </w:p>
        </w:tc>
        <w:tc>
          <w:tcPr>
            <w:tcW w:w="992" w:type="dxa"/>
            <w:shd w:val="clear" w:color="auto" w:fill="FFFFFF" w:themeFill="background1"/>
            <w:noWrap/>
            <w:vAlign w:val="center"/>
          </w:tcPr>
          <w:p w14:paraId="468922D4" w14:textId="40913102" w:rsidR="00741EA8" w:rsidRPr="001D105D" w:rsidRDefault="0025440C" w:rsidP="00215563">
            <w:pPr>
              <w:jc w:val="center"/>
              <w:rPr>
                <w:rFonts w:ascii="Calibri" w:hAnsi="Calibri"/>
                <w:sz w:val="20"/>
                <w:szCs w:val="20"/>
              </w:rPr>
            </w:pPr>
            <w:r w:rsidRPr="001D105D">
              <w:rPr>
                <w:rFonts w:ascii="Calibri" w:hAnsi="Calibri"/>
                <w:sz w:val="20"/>
                <w:szCs w:val="20"/>
              </w:rPr>
              <w:t>1</w:t>
            </w:r>
            <w:r w:rsidR="00EE3FDE" w:rsidRPr="001D105D">
              <w:rPr>
                <w:rFonts w:ascii="Calibri" w:hAnsi="Calibri"/>
                <w:sz w:val="20"/>
                <w:szCs w:val="20"/>
              </w:rPr>
              <w:t>,</w:t>
            </w:r>
            <w:r w:rsidRPr="001D105D">
              <w:rPr>
                <w:rFonts w:ascii="Calibri" w:hAnsi="Calibri"/>
                <w:sz w:val="20"/>
                <w:szCs w:val="20"/>
              </w:rPr>
              <w:t>341</w:t>
            </w:r>
          </w:p>
        </w:tc>
        <w:tc>
          <w:tcPr>
            <w:tcW w:w="1134" w:type="dxa"/>
            <w:shd w:val="clear" w:color="auto" w:fill="FFFFFF" w:themeFill="background1"/>
            <w:noWrap/>
            <w:vAlign w:val="center"/>
          </w:tcPr>
          <w:p w14:paraId="1609F4BD" w14:textId="1AC82B44" w:rsidR="00741EA8" w:rsidRPr="001D105D" w:rsidRDefault="0025440C" w:rsidP="00215563">
            <w:pPr>
              <w:jc w:val="center"/>
              <w:rPr>
                <w:rFonts w:ascii="Calibri" w:hAnsi="Calibri"/>
                <w:sz w:val="20"/>
                <w:szCs w:val="20"/>
              </w:rPr>
            </w:pPr>
            <w:r w:rsidRPr="001D105D">
              <w:rPr>
                <w:rFonts w:ascii="Calibri" w:hAnsi="Calibri"/>
                <w:sz w:val="20"/>
                <w:szCs w:val="20"/>
              </w:rPr>
              <w:t>1</w:t>
            </w:r>
            <w:r w:rsidR="00EE3FDE" w:rsidRPr="001D105D">
              <w:rPr>
                <w:rFonts w:ascii="Calibri" w:hAnsi="Calibri"/>
                <w:sz w:val="20"/>
                <w:szCs w:val="20"/>
              </w:rPr>
              <w:t>,</w:t>
            </w:r>
            <w:r w:rsidRPr="001D105D">
              <w:rPr>
                <w:rFonts w:ascii="Calibri" w:hAnsi="Calibri"/>
                <w:sz w:val="20"/>
                <w:szCs w:val="20"/>
              </w:rPr>
              <w:t>434</w:t>
            </w:r>
          </w:p>
        </w:tc>
        <w:tc>
          <w:tcPr>
            <w:tcW w:w="992" w:type="dxa"/>
            <w:shd w:val="clear" w:color="auto" w:fill="FFFFFF" w:themeFill="background1"/>
            <w:vAlign w:val="center"/>
          </w:tcPr>
          <w:p w14:paraId="664629F5" w14:textId="122E384F" w:rsidR="00741EA8" w:rsidRPr="001D105D" w:rsidRDefault="0025440C" w:rsidP="00215563">
            <w:pPr>
              <w:jc w:val="center"/>
              <w:rPr>
                <w:rFonts w:ascii="Calibri" w:hAnsi="Calibri"/>
                <w:sz w:val="20"/>
                <w:szCs w:val="20"/>
              </w:rPr>
            </w:pPr>
            <w:r w:rsidRPr="001D105D">
              <w:rPr>
                <w:rFonts w:ascii="Calibri" w:hAnsi="Calibri"/>
                <w:sz w:val="20"/>
                <w:szCs w:val="20"/>
              </w:rPr>
              <w:t>1</w:t>
            </w:r>
            <w:r w:rsidR="00EE3FDE" w:rsidRPr="001D105D">
              <w:rPr>
                <w:rFonts w:ascii="Calibri" w:hAnsi="Calibri"/>
                <w:sz w:val="20"/>
                <w:szCs w:val="20"/>
              </w:rPr>
              <w:t>,</w:t>
            </w:r>
            <w:r w:rsidRPr="001D105D">
              <w:rPr>
                <w:rFonts w:ascii="Calibri" w:hAnsi="Calibri"/>
                <w:sz w:val="20"/>
                <w:szCs w:val="20"/>
              </w:rPr>
              <w:t>637</w:t>
            </w:r>
          </w:p>
        </w:tc>
        <w:tc>
          <w:tcPr>
            <w:tcW w:w="1134" w:type="dxa"/>
            <w:shd w:val="clear" w:color="auto" w:fill="FFFFFF" w:themeFill="background1"/>
            <w:vAlign w:val="center"/>
          </w:tcPr>
          <w:p w14:paraId="434C2C5E" w14:textId="2B30C31C" w:rsidR="00741EA8" w:rsidRPr="001D105D" w:rsidRDefault="0025440C" w:rsidP="00215563">
            <w:pPr>
              <w:jc w:val="center"/>
              <w:rPr>
                <w:rFonts w:ascii="Calibri" w:hAnsi="Calibri"/>
                <w:sz w:val="20"/>
                <w:szCs w:val="20"/>
              </w:rPr>
            </w:pPr>
            <w:r w:rsidRPr="001D105D">
              <w:rPr>
                <w:rFonts w:ascii="Calibri" w:hAnsi="Calibri"/>
                <w:sz w:val="20"/>
                <w:szCs w:val="20"/>
              </w:rPr>
              <w:t>2</w:t>
            </w:r>
            <w:r w:rsidR="00EE3FDE" w:rsidRPr="001D105D">
              <w:rPr>
                <w:rFonts w:ascii="Calibri" w:hAnsi="Calibri"/>
                <w:sz w:val="20"/>
                <w:szCs w:val="20"/>
              </w:rPr>
              <w:t>,</w:t>
            </w:r>
            <w:r w:rsidRPr="001D105D">
              <w:rPr>
                <w:rFonts w:ascii="Calibri" w:hAnsi="Calibri"/>
                <w:sz w:val="20"/>
                <w:szCs w:val="20"/>
              </w:rPr>
              <w:t>177</w:t>
            </w:r>
          </w:p>
        </w:tc>
        <w:tc>
          <w:tcPr>
            <w:tcW w:w="1134" w:type="dxa"/>
            <w:shd w:val="clear" w:color="auto" w:fill="FFFFFF" w:themeFill="background1"/>
            <w:noWrap/>
            <w:vAlign w:val="center"/>
          </w:tcPr>
          <w:p w14:paraId="16FEADCF" w14:textId="329670EB" w:rsidR="00741EA8" w:rsidRPr="001D105D" w:rsidRDefault="0025440C" w:rsidP="00215563">
            <w:pPr>
              <w:jc w:val="center"/>
              <w:rPr>
                <w:rFonts w:ascii="Calibri" w:hAnsi="Calibri"/>
                <w:sz w:val="20"/>
                <w:szCs w:val="20"/>
              </w:rPr>
            </w:pPr>
            <w:r w:rsidRPr="001D105D">
              <w:rPr>
                <w:rFonts w:ascii="Calibri" w:hAnsi="Calibri"/>
                <w:sz w:val="20"/>
                <w:szCs w:val="20"/>
              </w:rPr>
              <w:t>2</w:t>
            </w:r>
            <w:r w:rsidR="00EE3FDE" w:rsidRPr="001D105D">
              <w:rPr>
                <w:rFonts w:ascii="Calibri" w:hAnsi="Calibri"/>
                <w:sz w:val="20"/>
                <w:szCs w:val="20"/>
              </w:rPr>
              <w:t>,</w:t>
            </w:r>
            <w:r w:rsidRPr="001D105D">
              <w:rPr>
                <w:rFonts w:ascii="Calibri" w:hAnsi="Calibri"/>
                <w:sz w:val="20"/>
                <w:szCs w:val="20"/>
              </w:rPr>
              <w:t>840</w:t>
            </w:r>
          </w:p>
        </w:tc>
        <w:tc>
          <w:tcPr>
            <w:tcW w:w="1134" w:type="dxa"/>
            <w:shd w:val="clear" w:color="auto" w:fill="FFFFFF" w:themeFill="background1"/>
            <w:vAlign w:val="center"/>
          </w:tcPr>
          <w:p w14:paraId="76549D63" w14:textId="15BC4FDB" w:rsidR="00741EA8" w:rsidRPr="001D105D" w:rsidRDefault="0025440C" w:rsidP="00215563">
            <w:pPr>
              <w:jc w:val="center"/>
              <w:rPr>
                <w:rFonts w:ascii="Calibri" w:hAnsi="Calibri"/>
                <w:sz w:val="20"/>
                <w:szCs w:val="20"/>
              </w:rPr>
            </w:pPr>
            <w:r w:rsidRPr="001D105D">
              <w:rPr>
                <w:rFonts w:ascii="Calibri" w:hAnsi="Calibri"/>
                <w:sz w:val="20"/>
                <w:szCs w:val="20"/>
              </w:rPr>
              <w:t>4</w:t>
            </w:r>
            <w:r w:rsidR="00EE3FDE" w:rsidRPr="001D105D">
              <w:rPr>
                <w:rFonts w:ascii="Calibri" w:hAnsi="Calibri"/>
                <w:sz w:val="20"/>
                <w:szCs w:val="20"/>
              </w:rPr>
              <w:t>,</w:t>
            </w:r>
            <w:r w:rsidRPr="001D105D">
              <w:rPr>
                <w:rFonts w:ascii="Calibri" w:hAnsi="Calibri"/>
                <w:sz w:val="20"/>
                <w:szCs w:val="20"/>
              </w:rPr>
              <w:t>373</w:t>
            </w:r>
          </w:p>
        </w:tc>
      </w:tr>
      <w:tr w:rsidR="00741EA8" w:rsidRPr="001D105D" w14:paraId="2C15DD3C" w14:textId="2726E6BD" w:rsidTr="00511D6E">
        <w:trPr>
          <w:trHeight w:val="297"/>
          <w:jc w:val="center"/>
        </w:trPr>
        <w:tc>
          <w:tcPr>
            <w:tcW w:w="1696" w:type="dxa"/>
            <w:shd w:val="clear" w:color="auto" w:fill="FFFFFF" w:themeFill="background1"/>
            <w:noWrap/>
            <w:vAlign w:val="center"/>
            <w:hideMark/>
          </w:tcPr>
          <w:p w14:paraId="21FB3E00" w14:textId="126943FA" w:rsidR="00741EA8" w:rsidRPr="001D105D" w:rsidRDefault="00741EA8" w:rsidP="00215563">
            <w:pPr>
              <w:rPr>
                <w:rFonts w:eastAsia="Times New Roman" w:cs="Times New Roman"/>
                <w:b/>
                <w:sz w:val="20"/>
                <w:szCs w:val="20"/>
              </w:rPr>
            </w:pPr>
            <w:r w:rsidRPr="001D105D">
              <w:rPr>
                <w:rFonts w:eastAsia="Times New Roman" w:cs="Times New Roman"/>
                <w:b/>
                <w:sz w:val="20"/>
                <w:szCs w:val="20"/>
              </w:rPr>
              <w:t>1</w:t>
            </w:r>
            <w:r w:rsidR="00EE3FDE" w:rsidRPr="001D105D">
              <w:rPr>
                <w:rFonts w:eastAsia="Times New Roman" w:cs="Times New Roman"/>
                <w:b/>
                <w:sz w:val="20"/>
                <w:szCs w:val="20"/>
              </w:rPr>
              <w:t>9</w:t>
            </w:r>
            <w:r w:rsidRPr="001D105D">
              <w:rPr>
                <w:rFonts w:eastAsia="Times New Roman" w:cs="Times New Roman"/>
                <w:b/>
                <w:sz w:val="20"/>
                <w:szCs w:val="20"/>
              </w:rPr>
              <w:t>+ years male</w:t>
            </w:r>
          </w:p>
        </w:tc>
        <w:tc>
          <w:tcPr>
            <w:tcW w:w="993" w:type="dxa"/>
            <w:shd w:val="clear" w:color="auto" w:fill="FFFFFF" w:themeFill="background1"/>
            <w:vAlign w:val="center"/>
          </w:tcPr>
          <w:p w14:paraId="0A27E0F1" w14:textId="7AD76617" w:rsidR="00741EA8" w:rsidRPr="001D105D" w:rsidRDefault="00EE3FDE" w:rsidP="00215563">
            <w:pPr>
              <w:jc w:val="center"/>
              <w:rPr>
                <w:rFonts w:ascii="Calibri" w:hAnsi="Calibri"/>
                <w:sz w:val="20"/>
                <w:szCs w:val="20"/>
              </w:rPr>
            </w:pPr>
            <w:r w:rsidRPr="001D105D">
              <w:rPr>
                <w:rFonts w:ascii="Calibri" w:hAnsi="Calibri"/>
                <w:sz w:val="20"/>
                <w:szCs w:val="20"/>
              </w:rPr>
              <w:t>5,007</w:t>
            </w:r>
          </w:p>
        </w:tc>
        <w:tc>
          <w:tcPr>
            <w:tcW w:w="992" w:type="dxa"/>
            <w:shd w:val="clear" w:color="auto" w:fill="FFFFFF" w:themeFill="background1"/>
            <w:noWrap/>
            <w:vAlign w:val="center"/>
          </w:tcPr>
          <w:p w14:paraId="3E864038" w14:textId="06BB913D" w:rsidR="00741EA8" w:rsidRPr="001D105D" w:rsidRDefault="00EE3FDE" w:rsidP="00215563">
            <w:pPr>
              <w:jc w:val="center"/>
              <w:rPr>
                <w:rFonts w:ascii="Calibri" w:hAnsi="Calibri"/>
                <w:sz w:val="20"/>
                <w:szCs w:val="20"/>
              </w:rPr>
            </w:pPr>
            <w:r w:rsidRPr="001D105D">
              <w:rPr>
                <w:rFonts w:ascii="Calibri" w:hAnsi="Calibri"/>
                <w:sz w:val="20"/>
                <w:szCs w:val="20"/>
              </w:rPr>
              <w:t>5,510</w:t>
            </w:r>
          </w:p>
        </w:tc>
        <w:tc>
          <w:tcPr>
            <w:tcW w:w="1134" w:type="dxa"/>
            <w:shd w:val="clear" w:color="auto" w:fill="FFFFFF" w:themeFill="background1"/>
            <w:noWrap/>
            <w:vAlign w:val="center"/>
          </w:tcPr>
          <w:p w14:paraId="3F5A835A" w14:textId="635A3932" w:rsidR="00741EA8" w:rsidRPr="001D105D" w:rsidRDefault="000C6C14" w:rsidP="00215563">
            <w:pPr>
              <w:jc w:val="center"/>
              <w:rPr>
                <w:rFonts w:ascii="Calibri" w:hAnsi="Calibri"/>
                <w:sz w:val="20"/>
                <w:szCs w:val="20"/>
              </w:rPr>
            </w:pPr>
            <w:r w:rsidRPr="001D105D">
              <w:rPr>
                <w:rFonts w:ascii="Calibri" w:hAnsi="Calibri"/>
                <w:sz w:val="20"/>
                <w:szCs w:val="20"/>
              </w:rPr>
              <w:t>6,166</w:t>
            </w:r>
          </w:p>
        </w:tc>
        <w:tc>
          <w:tcPr>
            <w:tcW w:w="992" w:type="dxa"/>
            <w:shd w:val="clear" w:color="auto" w:fill="FFFFFF" w:themeFill="background1"/>
            <w:vAlign w:val="center"/>
          </w:tcPr>
          <w:p w14:paraId="0BD4E402" w14:textId="63C3E6D4" w:rsidR="00741EA8" w:rsidRPr="001D105D" w:rsidRDefault="000C6C14" w:rsidP="00215563">
            <w:pPr>
              <w:jc w:val="center"/>
              <w:rPr>
                <w:rFonts w:ascii="Calibri" w:hAnsi="Calibri"/>
                <w:sz w:val="20"/>
                <w:szCs w:val="20"/>
              </w:rPr>
            </w:pPr>
            <w:r w:rsidRPr="001D105D">
              <w:rPr>
                <w:rFonts w:ascii="Calibri" w:hAnsi="Calibri"/>
                <w:sz w:val="20"/>
                <w:szCs w:val="20"/>
              </w:rPr>
              <w:t>6,573</w:t>
            </w:r>
          </w:p>
        </w:tc>
        <w:tc>
          <w:tcPr>
            <w:tcW w:w="1134" w:type="dxa"/>
            <w:shd w:val="clear" w:color="auto" w:fill="FFFFFF" w:themeFill="background1"/>
            <w:vAlign w:val="center"/>
          </w:tcPr>
          <w:p w14:paraId="5858F642" w14:textId="391F39AF" w:rsidR="00741EA8" w:rsidRPr="001D105D" w:rsidRDefault="000C6C14" w:rsidP="00215563">
            <w:pPr>
              <w:jc w:val="center"/>
              <w:rPr>
                <w:rFonts w:ascii="Calibri" w:hAnsi="Calibri"/>
                <w:sz w:val="20"/>
                <w:szCs w:val="20"/>
              </w:rPr>
            </w:pPr>
            <w:r w:rsidRPr="001D105D">
              <w:rPr>
                <w:rFonts w:ascii="Calibri" w:hAnsi="Calibri"/>
                <w:sz w:val="20"/>
                <w:szCs w:val="20"/>
              </w:rPr>
              <w:t>7,878</w:t>
            </w:r>
          </w:p>
        </w:tc>
        <w:tc>
          <w:tcPr>
            <w:tcW w:w="1134" w:type="dxa"/>
            <w:shd w:val="clear" w:color="auto" w:fill="FFFFFF" w:themeFill="background1"/>
            <w:noWrap/>
            <w:vAlign w:val="center"/>
          </w:tcPr>
          <w:p w14:paraId="0E6DF9D3" w14:textId="31B48462" w:rsidR="00741EA8" w:rsidRPr="001D105D" w:rsidRDefault="000C6C14" w:rsidP="00215563">
            <w:pPr>
              <w:jc w:val="center"/>
              <w:rPr>
                <w:rFonts w:ascii="Calibri" w:hAnsi="Calibri"/>
                <w:sz w:val="20"/>
                <w:szCs w:val="20"/>
              </w:rPr>
            </w:pPr>
            <w:r w:rsidRPr="001D105D">
              <w:rPr>
                <w:rFonts w:ascii="Calibri" w:hAnsi="Calibri"/>
                <w:sz w:val="20"/>
                <w:szCs w:val="20"/>
              </w:rPr>
              <w:t>9,007</w:t>
            </w:r>
          </w:p>
        </w:tc>
        <w:tc>
          <w:tcPr>
            <w:tcW w:w="1134" w:type="dxa"/>
            <w:shd w:val="clear" w:color="auto" w:fill="FFFFFF" w:themeFill="background1"/>
            <w:vAlign w:val="center"/>
          </w:tcPr>
          <w:p w14:paraId="1A6E993C" w14:textId="4710C859" w:rsidR="00741EA8" w:rsidRPr="001D105D" w:rsidRDefault="000C6C14" w:rsidP="00215563">
            <w:pPr>
              <w:jc w:val="center"/>
              <w:rPr>
                <w:rFonts w:ascii="Calibri" w:hAnsi="Calibri"/>
                <w:sz w:val="20"/>
                <w:szCs w:val="20"/>
              </w:rPr>
            </w:pPr>
            <w:r w:rsidRPr="001D105D">
              <w:rPr>
                <w:rFonts w:ascii="Calibri" w:hAnsi="Calibri"/>
                <w:sz w:val="20"/>
                <w:szCs w:val="20"/>
              </w:rPr>
              <w:t>11,482</w:t>
            </w:r>
          </w:p>
        </w:tc>
      </w:tr>
      <w:tr w:rsidR="00741EA8" w:rsidRPr="001D105D" w14:paraId="5306A3F4" w14:textId="1FF94B98" w:rsidTr="00511D6E">
        <w:trPr>
          <w:trHeight w:val="297"/>
          <w:jc w:val="center"/>
        </w:trPr>
        <w:tc>
          <w:tcPr>
            <w:tcW w:w="1696" w:type="dxa"/>
            <w:shd w:val="clear" w:color="auto" w:fill="FFFFFF" w:themeFill="background1"/>
            <w:noWrap/>
            <w:vAlign w:val="center"/>
            <w:hideMark/>
          </w:tcPr>
          <w:p w14:paraId="5DD50882" w14:textId="2E4D2E70" w:rsidR="00741EA8" w:rsidRPr="001D105D" w:rsidRDefault="00741EA8" w:rsidP="00215563">
            <w:pPr>
              <w:rPr>
                <w:rFonts w:eastAsia="Times New Roman" w:cs="Times New Roman"/>
                <w:b/>
                <w:sz w:val="20"/>
                <w:szCs w:val="20"/>
              </w:rPr>
            </w:pPr>
            <w:r w:rsidRPr="001D105D">
              <w:rPr>
                <w:rFonts w:eastAsia="Times New Roman" w:cs="Times New Roman"/>
                <w:b/>
                <w:sz w:val="20"/>
                <w:szCs w:val="20"/>
              </w:rPr>
              <w:t>1</w:t>
            </w:r>
            <w:r w:rsidR="0025440C" w:rsidRPr="001D105D">
              <w:rPr>
                <w:rFonts w:eastAsia="Times New Roman" w:cs="Times New Roman"/>
                <w:b/>
                <w:sz w:val="20"/>
                <w:szCs w:val="20"/>
              </w:rPr>
              <w:t>9</w:t>
            </w:r>
            <w:r w:rsidRPr="001D105D">
              <w:rPr>
                <w:rFonts w:eastAsia="Times New Roman" w:cs="Times New Roman"/>
                <w:b/>
                <w:sz w:val="20"/>
                <w:szCs w:val="20"/>
              </w:rPr>
              <w:t>+ years female</w:t>
            </w:r>
          </w:p>
        </w:tc>
        <w:tc>
          <w:tcPr>
            <w:tcW w:w="993" w:type="dxa"/>
            <w:shd w:val="clear" w:color="auto" w:fill="FFFFFF" w:themeFill="background1"/>
            <w:vAlign w:val="center"/>
          </w:tcPr>
          <w:p w14:paraId="42AFE009" w14:textId="74770F9C" w:rsidR="00741EA8" w:rsidRPr="001D105D" w:rsidRDefault="0025440C" w:rsidP="00215563">
            <w:pPr>
              <w:jc w:val="center"/>
              <w:rPr>
                <w:rFonts w:ascii="Calibri" w:hAnsi="Calibri"/>
                <w:sz w:val="20"/>
                <w:szCs w:val="20"/>
              </w:rPr>
            </w:pPr>
            <w:r w:rsidRPr="001D105D">
              <w:rPr>
                <w:rFonts w:ascii="Calibri" w:hAnsi="Calibri"/>
                <w:sz w:val="20"/>
                <w:szCs w:val="20"/>
              </w:rPr>
              <w:t>3</w:t>
            </w:r>
            <w:r w:rsidR="00EE3FDE" w:rsidRPr="001D105D">
              <w:rPr>
                <w:rFonts w:ascii="Calibri" w:hAnsi="Calibri"/>
                <w:sz w:val="20"/>
                <w:szCs w:val="20"/>
              </w:rPr>
              <w:t>,</w:t>
            </w:r>
            <w:r w:rsidRPr="001D105D">
              <w:rPr>
                <w:rFonts w:ascii="Calibri" w:hAnsi="Calibri"/>
                <w:sz w:val="20"/>
                <w:szCs w:val="20"/>
              </w:rPr>
              <w:t>034</w:t>
            </w:r>
          </w:p>
        </w:tc>
        <w:tc>
          <w:tcPr>
            <w:tcW w:w="992" w:type="dxa"/>
            <w:shd w:val="clear" w:color="auto" w:fill="FFFFFF" w:themeFill="background1"/>
            <w:noWrap/>
            <w:vAlign w:val="center"/>
          </w:tcPr>
          <w:p w14:paraId="50B44887" w14:textId="79BF6133" w:rsidR="00741EA8" w:rsidRPr="001D105D" w:rsidRDefault="0025440C" w:rsidP="00215563">
            <w:pPr>
              <w:jc w:val="center"/>
              <w:rPr>
                <w:rFonts w:ascii="Calibri" w:hAnsi="Calibri"/>
                <w:sz w:val="20"/>
                <w:szCs w:val="20"/>
              </w:rPr>
            </w:pPr>
            <w:r w:rsidRPr="001D105D">
              <w:rPr>
                <w:rFonts w:ascii="Calibri" w:hAnsi="Calibri"/>
                <w:sz w:val="20"/>
                <w:szCs w:val="20"/>
              </w:rPr>
              <w:t>3</w:t>
            </w:r>
            <w:r w:rsidR="00EE3FDE" w:rsidRPr="001D105D">
              <w:rPr>
                <w:rFonts w:ascii="Calibri" w:hAnsi="Calibri"/>
                <w:sz w:val="20"/>
                <w:szCs w:val="20"/>
              </w:rPr>
              <w:t>,</w:t>
            </w:r>
            <w:r w:rsidRPr="001D105D">
              <w:rPr>
                <w:rFonts w:ascii="Calibri" w:hAnsi="Calibri"/>
                <w:sz w:val="20"/>
                <w:szCs w:val="20"/>
              </w:rPr>
              <w:t>568</w:t>
            </w:r>
          </w:p>
        </w:tc>
        <w:tc>
          <w:tcPr>
            <w:tcW w:w="1134" w:type="dxa"/>
            <w:shd w:val="clear" w:color="auto" w:fill="FFFFFF" w:themeFill="background1"/>
            <w:noWrap/>
            <w:vAlign w:val="center"/>
          </w:tcPr>
          <w:p w14:paraId="2F4F5310" w14:textId="6264E264" w:rsidR="00741EA8" w:rsidRPr="001D105D" w:rsidRDefault="0025440C" w:rsidP="00215563">
            <w:pPr>
              <w:jc w:val="center"/>
              <w:rPr>
                <w:rFonts w:ascii="Calibri" w:hAnsi="Calibri"/>
                <w:sz w:val="20"/>
                <w:szCs w:val="20"/>
              </w:rPr>
            </w:pPr>
            <w:r w:rsidRPr="001D105D">
              <w:rPr>
                <w:rFonts w:ascii="Calibri" w:hAnsi="Calibri"/>
                <w:sz w:val="20"/>
                <w:szCs w:val="20"/>
              </w:rPr>
              <w:t>3</w:t>
            </w:r>
            <w:r w:rsidR="00EE3FDE" w:rsidRPr="001D105D">
              <w:rPr>
                <w:rFonts w:ascii="Calibri" w:hAnsi="Calibri"/>
                <w:sz w:val="20"/>
                <w:szCs w:val="20"/>
              </w:rPr>
              <w:t>,</w:t>
            </w:r>
            <w:r w:rsidRPr="001D105D">
              <w:rPr>
                <w:rFonts w:ascii="Calibri" w:hAnsi="Calibri"/>
                <w:sz w:val="20"/>
                <w:szCs w:val="20"/>
              </w:rPr>
              <w:t>970</w:t>
            </w:r>
          </w:p>
        </w:tc>
        <w:tc>
          <w:tcPr>
            <w:tcW w:w="992" w:type="dxa"/>
            <w:shd w:val="clear" w:color="auto" w:fill="FFFFFF" w:themeFill="background1"/>
            <w:vAlign w:val="center"/>
          </w:tcPr>
          <w:p w14:paraId="72259F95" w14:textId="4C4417CE" w:rsidR="00741EA8" w:rsidRPr="001D105D" w:rsidRDefault="00EE3FDE" w:rsidP="00215563">
            <w:pPr>
              <w:jc w:val="center"/>
              <w:rPr>
                <w:rFonts w:ascii="Calibri" w:hAnsi="Calibri"/>
                <w:sz w:val="20"/>
                <w:szCs w:val="20"/>
              </w:rPr>
            </w:pPr>
            <w:r w:rsidRPr="001D105D">
              <w:rPr>
                <w:rFonts w:ascii="Calibri" w:hAnsi="Calibri"/>
                <w:sz w:val="20"/>
                <w:szCs w:val="20"/>
              </w:rPr>
              <w:t>4,564</w:t>
            </w:r>
          </w:p>
        </w:tc>
        <w:tc>
          <w:tcPr>
            <w:tcW w:w="1134" w:type="dxa"/>
            <w:shd w:val="clear" w:color="auto" w:fill="FFFFFF" w:themeFill="background1"/>
            <w:vAlign w:val="center"/>
          </w:tcPr>
          <w:p w14:paraId="67D17426" w14:textId="600FDC4D" w:rsidR="00741EA8" w:rsidRPr="001D105D" w:rsidRDefault="00EE3FDE" w:rsidP="00215563">
            <w:pPr>
              <w:jc w:val="center"/>
              <w:rPr>
                <w:rFonts w:ascii="Calibri" w:hAnsi="Calibri"/>
                <w:sz w:val="20"/>
                <w:szCs w:val="20"/>
              </w:rPr>
            </w:pPr>
            <w:r w:rsidRPr="001D105D">
              <w:rPr>
                <w:rFonts w:ascii="Calibri" w:hAnsi="Calibri"/>
                <w:sz w:val="20"/>
                <w:szCs w:val="20"/>
              </w:rPr>
              <w:t>5,412</w:t>
            </w:r>
          </w:p>
        </w:tc>
        <w:tc>
          <w:tcPr>
            <w:tcW w:w="1134" w:type="dxa"/>
            <w:shd w:val="clear" w:color="auto" w:fill="FFFFFF" w:themeFill="background1"/>
            <w:noWrap/>
            <w:vAlign w:val="center"/>
          </w:tcPr>
          <w:p w14:paraId="1132557F" w14:textId="5E263C96" w:rsidR="00741EA8" w:rsidRPr="001D105D" w:rsidRDefault="00EE3FDE" w:rsidP="00215563">
            <w:pPr>
              <w:jc w:val="center"/>
              <w:rPr>
                <w:rFonts w:ascii="Calibri" w:hAnsi="Calibri"/>
                <w:sz w:val="20"/>
                <w:szCs w:val="20"/>
              </w:rPr>
            </w:pPr>
            <w:r w:rsidRPr="001D105D">
              <w:rPr>
                <w:rFonts w:ascii="Calibri" w:hAnsi="Calibri"/>
                <w:sz w:val="20"/>
                <w:szCs w:val="20"/>
              </w:rPr>
              <w:t>6,864</w:t>
            </w:r>
          </w:p>
        </w:tc>
        <w:tc>
          <w:tcPr>
            <w:tcW w:w="1134" w:type="dxa"/>
            <w:shd w:val="clear" w:color="auto" w:fill="FFFFFF" w:themeFill="background1"/>
            <w:vAlign w:val="center"/>
          </w:tcPr>
          <w:p w14:paraId="39D5D3EC" w14:textId="44C80E9C" w:rsidR="00741EA8" w:rsidRPr="001D105D" w:rsidRDefault="00EE3FDE" w:rsidP="00215563">
            <w:pPr>
              <w:jc w:val="center"/>
              <w:rPr>
                <w:rFonts w:ascii="Calibri" w:hAnsi="Calibri"/>
                <w:sz w:val="20"/>
                <w:szCs w:val="20"/>
              </w:rPr>
            </w:pPr>
            <w:r w:rsidRPr="001D105D">
              <w:rPr>
                <w:rFonts w:ascii="Calibri" w:hAnsi="Calibri"/>
                <w:sz w:val="20"/>
                <w:szCs w:val="20"/>
              </w:rPr>
              <w:t>10,100</w:t>
            </w:r>
          </w:p>
        </w:tc>
      </w:tr>
      <w:tr w:rsidR="00741EA8" w:rsidRPr="001D105D" w14:paraId="1C59DB30" w14:textId="5B2FC612" w:rsidTr="00511D6E">
        <w:trPr>
          <w:trHeight w:val="297"/>
          <w:jc w:val="center"/>
        </w:trPr>
        <w:tc>
          <w:tcPr>
            <w:tcW w:w="1696" w:type="dxa"/>
            <w:shd w:val="clear" w:color="auto" w:fill="FFFFFF" w:themeFill="background1"/>
            <w:noWrap/>
            <w:vAlign w:val="center"/>
          </w:tcPr>
          <w:p w14:paraId="40CCB809" w14:textId="77777777" w:rsidR="00741EA8" w:rsidRPr="001D105D" w:rsidRDefault="00741EA8" w:rsidP="00215563">
            <w:pPr>
              <w:rPr>
                <w:rFonts w:eastAsia="Times New Roman" w:cs="Times New Roman"/>
                <w:b/>
                <w:sz w:val="20"/>
                <w:szCs w:val="20"/>
              </w:rPr>
            </w:pPr>
            <w:r w:rsidRPr="001D105D">
              <w:rPr>
                <w:rFonts w:eastAsia="Times New Roman" w:cs="Times New Roman"/>
                <w:b/>
                <w:sz w:val="20"/>
                <w:szCs w:val="20"/>
              </w:rPr>
              <w:t xml:space="preserve">Unknown </w:t>
            </w:r>
          </w:p>
        </w:tc>
        <w:tc>
          <w:tcPr>
            <w:tcW w:w="993" w:type="dxa"/>
            <w:shd w:val="clear" w:color="auto" w:fill="FFFFFF" w:themeFill="background1"/>
            <w:vAlign w:val="center"/>
          </w:tcPr>
          <w:p w14:paraId="60E33817" w14:textId="08ABABAF" w:rsidR="00741EA8" w:rsidRPr="001D105D" w:rsidRDefault="00EE3FDE" w:rsidP="00215563">
            <w:pPr>
              <w:jc w:val="center"/>
              <w:rPr>
                <w:rFonts w:ascii="Calibri" w:hAnsi="Calibri"/>
                <w:sz w:val="20"/>
                <w:szCs w:val="20"/>
              </w:rPr>
            </w:pPr>
            <w:r w:rsidRPr="001D105D">
              <w:rPr>
                <w:rFonts w:ascii="Calibri" w:hAnsi="Calibri"/>
                <w:sz w:val="20"/>
                <w:szCs w:val="20"/>
              </w:rPr>
              <w:t>17</w:t>
            </w:r>
          </w:p>
        </w:tc>
        <w:tc>
          <w:tcPr>
            <w:tcW w:w="992" w:type="dxa"/>
            <w:shd w:val="clear" w:color="auto" w:fill="FFFFFF" w:themeFill="background1"/>
            <w:noWrap/>
            <w:vAlign w:val="center"/>
          </w:tcPr>
          <w:p w14:paraId="08BCF66F" w14:textId="0532B8AD" w:rsidR="00741EA8" w:rsidRPr="001D105D" w:rsidRDefault="00EE3FDE" w:rsidP="00215563">
            <w:pPr>
              <w:jc w:val="center"/>
              <w:rPr>
                <w:rFonts w:ascii="Calibri" w:hAnsi="Calibri"/>
                <w:sz w:val="20"/>
                <w:szCs w:val="20"/>
              </w:rPr>
            </w:pPr>
            <w:r w:rsidRPr="001D105D">
              <w:rPr>
                <w:rFonts w:ascii="Calibri" w:hAnsi="Calibri"/>
                <w:sz w:val="20"/>
                <w:szCs w:val="20"/>
              </w:rPr>
              <w:t>8</w:t>
            </w:r>
          </w:p>
        </w:tc>
        <w:tc>
          <w:tcPr>
            <w:tcW w:w="1134" w:type="dxa"/>
            <w:shd w:val="clear" w:color="auto" w:fill="FFFFFF" w:themeFill="background1"/>
            <w:noWrap/>
            <w:vAlign w:val="center"/>
          </w:tcPr>
          <w:p w14:paraId="5446A689" w14:textId="0457C523" w:rsidR="00741EA8" w:rsidRPr="001D105D" w:rsidRDefault="00741EA8" w:rsidP="00215563">
            <w:pPr>
              <w:jc w:val="center"/>
              <w:rPr>
                <w:rFonts w:ascii="Calibri" w:hAnsi="Calibri"/>
                <w:sz w:val="20"/>
                <w:szCs w:val="20"/>
              </w:rPr>
            </w:pPr>
            <w:r w:rsidRPr="001D105D">
              <w:rPr>
                <w:rFonts w:ascii="Calibri" w:hAnsi="Calibri"/>
                <w:sz w:val="20"/>
                <w:szCs w:val="20"/>
              </w:rPr>
              <w:t>5</w:t>
            </w:r>
          </w:p>
        </w:tc>
        <w:tc>
          <w:tcPr>
            <w:tcW w:w="992" w:type="dxa"/>
            <w:shd w:val="clear" w:color="auto" w:fill="FFFFFF" w:themeFill="background1"/>
            <w:vAlign w:val="center"/>
          </w:tcPr>
          <w:p w14:paraId="3A00EFDC" w14:textId="22DC173F" w:rsidR="00741EA8" w:rsidRPr="001D105D" w:rsidRDefault="00EE3FDE" w:rsidP="00215563">
            <w:pPr>
              <w:jc w:val="center"/>
              <w:rPr>
                <w:rFonts w:ascii="Calibri" w:hAnsi="Calibri"/>
                <w:sz w:val="20"/>
                <w:szCs w:val="20"/>
              </w:rPr>
            </w:pPr>
            <w:r w:rsidRPr="001D105D">
              <w:rPr>
                <w:rFonts w:ascii="Calibri" w:hAnsi="Calibri"/>
                <w:sz w:val="20"/>
                <w:szCs w:val="20"/>
              </w:rPr>
              <w:t>&lt;5</w:t>
            </w:r>
          </w:p>
        </w:tc>
        <w:tc>
          <w:tcPr>
            <w:tcW w:w="1134" w:type="dxa"/>
            <w:shd w:val="clear" w:color="auto" w:fill="FFFFFF" w:themeFill="background1"/>
            <w:vAlign w:val="center"/>
          </w:tcPr>
          <w:p w14:paraId="65344C3F" w14:textId="089E7136" w:rsidR="00741EA8" w:rsidRPr="001D105D" w:rsidRDefault="00EE3FDE" w:rsidP="00215563">
            <w:pPr>
              <w:jc w:val="center"/>
              <w:rPr>
                <w:rFonts w:ascii="Calibri" w:hAnsi="Calibri"/>
                <w:sz w:val="20"/>
                <w:szCs w:val="20"/>
              </w:rPr>
            </w:pPr>
            <w:r w:rsidRPr="001D105D">
              <w:rPr>
                <w:rFonts w:ascii="Calibri" w:hAnsi="Calibri"/>
                <w:sz w:val="20"/>
                <w:szCs w:val="20"/>
              </w:rPr>
              <w:t>&lt;5</w:t>
            </w:r>
          </w:p>
        </w:tc>
        <w:tc>
          <w:tcPr>
            <w:tcW w:w="1134" w:type="dxa"/>
            <w:shd w:val="clear" w:color="auto" w:fill="FFFFFF" w:themeFill="background1"/>
            <w:noWrap/>
            <w:vAlign w:val="center"/>
          </w:tcPr>
          <w:p w14:paraId="356FC809" w14:textId="49BA8DAA" w:rsidR="00741EA8" w:rsidRPr="001D105D" w:rsidRDefault="00EE3FDE" w:rsidP="00215563">
            <w:pPr>
              <w:jc w:val="center"/>
              <w:rPr>
                <w:rFonts w:ascii="Calibri" w:hAnsi="Calibri"/>
                <w:sz w:val="20"/>
                <w:szCs w:val="20"/>
              </w:rPr>
            </w:pPr>
            <w:r w:rsidRPr="001D105D">
              <w:rPr>
                <w:rFonts w:ascii="Calibri" w:hAnsi="Calibri"/>
                <w:sz w:val="20"/>
                <w:szCs w:val="20"/>
              </w:rPr>
              <w:t>-</w:t>
            </w:r>
          </w:p>
        </w:tc>
        <w:tc>
          <w:tcPr>
            <w:tcW w:w="1134" w:type="dxa"/>
            <w:shd w:val="clear" w:color="auto" w:fill="FFFFFF" w:themeFill="background1"/>
            <w:vAlign w:val="center"/>
          </w:tcPr>
          <w:p w14:paraId="52CE895D" w14:textId="0BBA8D53" w:rsidR="00741EA8" w:rsidRPr="001D105D" w:rsidRDefault="00EE3FDE" w:rsidP="00215563">
            <w:pPr>
              <w:jc w:val="center"/>
              <w:rPr>
                <w:rFonts w:ascii="Calibri" w:hAnsi="Calibri"/>
                <w:sz w:val="20"/>
                <w:szCs w:val="20"/>
              </w:rPr>
            </w:pPr>
            <w:r w:rsidRPr="001D105D">
              <w:rPr>
                <w:rFonts w:ascii="Calibri" w:hAnsi="Calibri"/>
                <w:sz w:val="20"/>
                <w:szCs w:val="20"/>
              </w:rPr>
              <w:t>6</w:t>
            </w:r>
          </w:p>
        </w:tc>
      </w:tr>
      <w:tr w:rsidR="00741EA8" w:rsidRPr="001D105D" w14:paraId="6AE2A0D5" w14:textId="5878930B" w:rsidTr="00511D6E">
        <w:trPr>
          <w:trHeight w:val="297"/>
          <w:jc w:val="center"/>
        </w:trPr>
        <w:tc>
          <w:tcPr>
            <w:tcW w:w="1696" w:type="dxa"/>
            <w:shd w:val="clear" w:color="auto" w:fill="FFFFFF" w:themeFill="background1"/>
            <w:noWrap/>
            <w:vAlign w:val="center"/>
            <w:hideMark/>
          </w:tcPr>
          <w:p w14:paraId="3E3A72B7" w14:textId="77777777" w:rsidR="00741EA8" w:rsidRPr="001D105D" w:rsidRDefault="00741EA8" w:rsidP="00215563">
            <w:pPr>
              <w:rPr>
                <w:rFonts w:eastAsia="Times New Roman" w:cs="Times New Roman"/>
                <w:b/>
                <w:sz w:val="20"/>
                <w:szCs w:val="20"/>
              </w:rPr>
            </w:pPr>
            <w:r w:rsidRPr="001D105D">
              <w:rPr>
                <w:rFonts w:eastAsia="Times New Roman" w:cs="Times New Roman"/>
                <w:b/>
                <w:sz w:val="20"/>
                <w:szCs w:val="20"/>
              </w:rPr>
              <w:t>Total New patients</w:t>
            </w:r>
          </w:p>
        </w:tc>
        <w:tc>
          <w:tcPr>
            <w:tcW w:w="993" w:type="dxa"/>
            <w:shd w:val="clear" w:color="auto" w:fill="FFFFFF" w:themeFill="background1"/>
            <w:vAlign w:val="center"/>
          </w:tcPr>
          <w:p w14:paraId="7868486A" w14:textId="46ABB4C1" w:rsidR="00741EA8" w:rsidRPr="001D105D" w:rsidRDefault="00EE3FDE" w:rsidP="00215563">
            <w:pPr>
              <w:jc w:val="center"/>
              <w:rPr>
                <w:b/>
                <w:bCs/>
                <w:color w:val="000000"/>
                <w:sz w:val="20"/>
                <w:szCs w:val="20"/>
              </w:rPr>
            </w:pPr>
            <w:r w:rsidRPr="001D105D">
              <w:rPr>
                <w:b/>
                <w:bCs/>
                <w:color w:val="000000"/>
                <w:sz w:val="20"/>
                <w:szCs w:val="20"/>
              </w:rPr>
              <w:t>26,650</w:t>
            </w:r>
          </w:p>
        </w:tc>
        <w:tc>
          <w:tcPr>
            <w:tcW w:w="992" w:type="dxa"/>
            <w:shd w:val="clear" w:color="auto" w:fill="FFFFFF" w:themeFill="background1"/>
            <w:noWrap/>
            <w:vAlign w:val="center"/>
          </w:tcPr>
          <w:p w14:paraId="634FABBF" w14:textId="3A0D12A9" w:rsidR="00741EA8" w:rsidRPr="001D105D" w:rsidRDefault="00EE3FDE" w:rsidP="00215563">
            <w:pPr>
              <w:jc w:val="center"/>
              <w:rPr>
                <w:rFonts w:eastAsia="Times New Roman" w:cs="Times New Roman"/>
                <w:b/>
                <w:sz w:val="20"/>
                <w:szCs w:val="20"/>
              </w:rPr>
            </w:pPr>
            <w:r w:rsidRPr="001D105D">
              <w:rPr>
                <w:b/>
                <w:bCs/>
                <w:color w:val="000000"/>
                <w:sz w:val="20"/>
                <w:szCs w:val="20"/>
              </w:rPr>
              <w:t>30,343</w:t>
            </w:r>
          </w:p>
        </w:tc>
        <w:tc>
          <w:tcPr>
            <w:tcW w:w="1134" w:type="dxa"/>
            <w:shd w:val="clear" w:color="auto" w:fill="FFFFFF" w:themeFill="background1"/>
            <w:noWrap/>
            <w:vAlign w:val="center"/>
          </w:tcPr>
          <w:p w14:paraId="027CB35B" w14:textId="3EFE2C0F" w:rsidR="00741EA8" w:rsidRPr="001D105D" w:rsidRDefault="00EE3FDE" w:rsidP="00215563">
            <w:pPr>
              <w:jc w:val="center"/>
              <w:rPr>
                <w:rFonts w:eastAsia="Times New Roman" w:cs="Times New Roman"/>
                <w:b/>
                <w:sz w:val="20"/>
                <w:szCs w:val="20"/>
              </w:rPr>
            </w:pPr>
            <w:r w:rsidRPr="001D105D">
              <w:rPr>
                <w:b/>
                <w:bCs/>
                <w:color w:val="000000"/>
                <w:sz w:val="20"/>
                <w:szCs w:val="20"/>
              </w:rPr>
              <w:t>32,922</w:t>
            </w:r>
          </w:p>
        </w:tc>
        <w:tc>
          <w:tcPr>
            <w:tcW w:w="992" w:type="dxa"/>
            <w:shd w:val="clear" w:color="auto" w:fill="FFFFFF" w:themeFill="background1"/>
            <w:vAlign w:val="center"/>
          </w:tcPr>
          <w:p w14:paraId="5525F173" w14:textId="0D727E80" w:rsidR="00741EA8" w:rsidRPr="001D105D" w:rsidRDefault="00EE3FDE" w:rsidP="00215563">
            <w:pPr>
              <w:jc w:val="center"/>
              <w:rPr>
                <w:b/>
                <w:bCs/>
                <w:color w:val="000000"/>
                <w:sz w:val="20"/>
                <w:szCs w:val="20"/>
              </w:rPr>
            </w:pPr>
            <w:r w:rsidRPr="001D105D">
              <w:rPr>
                <w:b/>
                <w:bCs/>
                <w:color w:val="000000"/>
                <w:sz w:val="20"/>
                <w:szCs w:val="20"/>
              </w:rPr>
              <w:t>36,234</w:t>
            </w:r>
          </w:p>
        </w:tc>
        <w:tc>
          <w:tcPr>
            <w:tcW w:w="1134" w:type="dxa"/>
            <w:shd w:val="clear" w:color="auto" w:fill="FFFFFF" w:themeFill="background1"/>
            <w:vAlign w:val="center"/>
          </w:tcPr>
          <w:p w14:paraId="0BA20E9F" w14:textId="3E7024EA" w:rsidR="00741EA8" w:rsidRPr="001D105D" w:rsidRDefault="00EE3FDE" w:rsidP="00215563">
            <w:pPr>
              <w:jc w:val="center"/>
              <w:rPr>
                <w:b/>
                <w:bCs/>
                <w:color w:val="000000"/>
                <w:sz w:val="20"/>
                <w:szCs w:val="20"/>
              </w:rPr>
            </w:pPr>
            <w:r w:rsidRPr="001D105D">
              <w:rPr>
                <w:b/>
                <w:bCs/>
                <w:color w:val="000000"/>
                <w:sz w:val="20"/>
                <w:szCs w:val="20"/>
              </w:rPr>
              <w:t>43,505</w:t>
            </w:r>
          </w:p>
        </w:tc>
        <w:tc>
          <w:tcPr>
            <w:tcW w:w="1134" w:type="dxa"/>
            <w:shd w:val="clear" w:color="auto" w:fill="FFFFFF" w:themeFill="background1"/>
            <w:noWrap/>
            <w:vAlign w:val="center"/>
          </w:tcPr>
          <w:p w14:paraId="04F94BEE" w14:textId="10EB6027" w:rsidR="00741EA8" w:rsidRPr="001D105D" w:rsidRDefault="00EE3FDE" w:rsidP="00215563">
            <w:pPr>
              <w:jc w:val="center"/>
              <w:rPr>
                <w:rFonts w:eastAsia="Times New Roman" w:cs="Times New Roman"/>
                <w:b/>
                <w:sz w:val="20"/>
                <w:szCs w:val="20"/>
              </w:rPr>
            </w:pPr>
            <w:r w:rsidRPr="001D105D">
              <w:rPr>
                <w:b/>
                <w:bCs/>
                <w:color w:val="000000"/>
                <w:sz w:val="20"/>
                <w:szCs w:val="20"/>
              </w:rPr>
              <w:t>51,417</w:t>
            </w:r>
          </w:p>
        </w:tc>
        <w:tc>
          <w:tcPr>
            <w:tcW w:w="1134" w:type="dxa"/>
            <w:shd w:val="clear" w:color="auto" w:fill="FFFFFF" w:themeFill="background1"/>
            <w:vAlign w:val="center"/>
          </w:tcPr>
          <w:p w14:paraId="24ADFA2B" w14:textId="6B4DB44F" w:rsidR="00741EA8" w:rsidRPr="001D105D" w:rsidRDefault="00EE3FDE" w:rsidP="00215563">
            <w:pPr>
              <w:jc w:val="center"/>
              <w:rPr>
                <w:b/>
                <w:bCs/>
                <w:color w:val="000000"/>
                <w:sz w:val="20"/>
                <w:szCs w:val="20"/>
              </w:rPr>
            </w:pPr>
            <w:r w:rsidRPr="001D105D">
              <w:rPr>
                <w:b/>
                <w:bCs/>
                <w:color w:val="000000"/>
                <w:sz w:val="20"/>
                <w:szCs w:val="20"/>
              </w:rPr>
              <w:t>62,866</w:t>
            </w:r>
          </w:p>
        </w:tc>
      </w:tr>
      <w:tr w:rsidR="00741EA8" w:rsidRPr="001D105D" w14:paraId="306AF3E4" w14:textId="4163100C" w:rsidTr="00511D6E">
        <w:trPr>
          <w:trHeight w:val="297"/>
          <w:jc w:val="center"/>
        </w:trPr>
        <w:tc>
          <w:tcPr>
            <w:tcW w:w="1696" w:type="dxa"/>
            <w:shd w:val="clear" w:color="auto" w:fill="FFFFFF" w:themeFill="background1"/>
            <w:noWrap/>
            <w:vAlign w:val="center"/>
          </w:tcPr>
          <w:p w14:paraId="13410522" w14:textId="77777777" w:rsidR="00741EA8" w:rsidRPr="001D105D" w:rsidRDefault="00741EA8" w:rsidP="00215563">
            <w:pPr>
              <w:rPr>
                <w:rFonts w:eastAsia="Times New Roman" w:cs="Times New Roman"/>
                <w:b/>
                <w:sz w:val="20"/>
                <w:szCs w:val="20"/>
              </w:rPr>
            </w:pPr>
            <w:r w:rsidRPr="001D105D">
              <w:rPr>
                <w:sz w:val="20"/>
                <w:szCs w:val="20"/>
              </w:rPr>
              <w:t xml:space="preserve">% </w:t>
            </w:r>
            <w:r w:rsidRPr="001D105D">
              <w:rPr>
                <w:b/>
                <w:sz w:val="20"/>
                <w:szCs w:val="20"/>
              </w:rPr>
              <w:t>growth from previous year</w:t>
            </w:r>
          </w:p>
        </w:tc>
        <w:tc>
          <w:tcPr>
            <w:tcW w:w="993" w:type="dxa"/>
            <w:shd w:val="clear" w:color="auto" w:fill="FFFFFF" w:themeFill="background1"/>
            <w:vAlign w:val="center"/>
          </w:tcPr>
          <w:p w14:paraId="7E76EBA2" w14:textId="31BD5D5E" w:rsidR="00741EA8" w:rsidRPr="001D105D" w:rsidRDefault="00741EA8" w:rsidP="00215563">
            <w:pPr>
              <w:jc w:val="center"/>
              <w:rPr>
                <w:b/>
                <w:bCs/>
                <w:color w:val="000000"/>
                <w:sz w:val="20"/>
                <w:szCs w:val="20"/>
              </w:rPr>
            </w:pPr>
          </w:p>
        </w:tc>
        <w:tc>
          <w:tcPr>
            <w:tcW w:w="992" w:type="dxa"/>
            <w:shd w:val="clear" w:color="auto" w:fill="FFFFFF" w:themeFill="background1"/>
            <w:noWrap/>
            <w:vAlign w:val="center"/>
          </w:tcPr>
          <w:p w14:paraId="406E93FC" w14:textId="68DEC33E" w:rsidR="00741EA8" w:rsidRPr="001D105D" w:rsidRDefault="000C6C14" w:rsidP="00215563">
            <w:pPr>
              <w:jc w:val="center"/>
              <w:rPr>
                <w:b/>
                <w:bCs/>
                <w:color w:val="000000"/>
                <w:sz w:val="20"/>
                <w:szCs w:val="20"/>
              </w:rPr>
            </w:pPr>
            <w:r w:rsidRPr="001D105D">
              <w:rPr>
                <w:b/>
                <w:bCs/>
                <w:color w:val="000000"/>
                <w:sz w:val="20"/>
                <w:szCs w:val="20"/>
              </w:rPr>
              <w:t>14%</w:t>
            </w:r>
          </w:p>
        </w:tc>
        <w:tc>
          <w:tcPr>
            <w:tcW w:w="1134" w:type="dxa"/>
            <w:shd w:val="clear" w:color="auto" w:fill="FFFFFF" w:themeFill="background1"/>
            <w:noWrap/>
            <w:vAlign w:val="center"/>
          </w:tcPr>
          <w:p w14:paraId="6D3011F2" w14:textId="56AA76B9" w:rsidR="00741EA8" w:rsidRPr="001D105D" w:rsidRDefault="000C6C14" w:rsidP="00215563">
            <w:pPr>
              <w:jc w:val="center"/>
              <w:rPr>
                <w:b/>
                <w:bCs/>
                <w:color w:val="000000"/>
                <w:sz w:val="20"/>
                <w:szCs w:val="20"/>
              </w:rPr>
            </w:pPr>
            <w:r w:rsidRPr="001D105D">
              <w:rPr>
                <w:b/>
                <w:bCs/>
                <w:color w:val="000000"/>
                <w:sz w:val="20"/>
                <w:szCs w:val="20"/>
              </w:rPr>
              <w:t>8%</w:t>
            </w:r>
          </w:p>
        </w:tc>
        <w:tc>
          <w:tcPr>
            <w:tcW w:w="992" w:type="dxa"/>
            <w:shd w:val="clear" w:color="auto" w:fill="FFFFFF" w:themeFill="background1"/>
            <w:vAlign w:val="center"/>
          </w:tcPr>
          <w:p w14:paraId="19B36FE4" w14:textId="17F7965A" w:rsidR="00741EA8" w:rsidRPr="001D105D" w:rsidRDefault="000C6C14" w:rsidP="00215563">
            <w:pPr>
              <w:jc w:val="center"/>
              <w:rPr>
                <w:rFonts w:ascii="Calibri" w:hAnsi="Calibri"/>
                <w:b/>
                <w:sz w:val="20"/>
                <w:szCs w:val="20"/>
              </w:rPr>
            </w:pPr>
            <w:r w:rsidRPr="001D105D">
              <w:rPr>
                <w:rFonts w:ascii="Calibri" w:hAnsi="Calibri"/>
                <w:b/>
                <w:sz w:val="20"/>
                <w:szCs w:val="20"/>
              </w:rPr>
              <w:t>10%</w:t>
            </w:r>
          </w:p>
        </w:tc>
        <w:tc>
          <w:tcPr>
            <w:tcW w:w="1134" w:type="dxa"/>
            <w:shd w:val="clear" w:color="auto" w:fill="FFFFFF" w:themeFill="background1"/>
            <w:vAlign w:val="center"/>
          </w:tcPr>
          <w:p w14:paraId="19A7D97A" w14:textId="2D37D735" w:rsidR="00741EA8" w:rsidRPr="001D105D" w:rsidRDefault="000C6C14" w:rsidP="00215563">
            <w:pPr>
              <w:jc w:val="center"/>
              <w:rPr>
                <w:rFonts w:ascii="Calibri" w:hAnsi="Calibri"/>
                <w:b/>
                <w:sz w:val="20"/>
                <w:szCs w:val="20"/>
              </w:rPr>
            </w:pPr>
            <w:r w:rsidRPr="001D105D">
              <w:rPr>
                <w:rFonts w:ascii="Calibri" w:hAnsi="Calibri"/>
                <w:b/>
                <w:sz w:val="20"/>
                <w:szCs w:val="20"/>
              </w:rPr>
              <w:t>20%</w:t>
            </w:r>
          </w:p>
        </w:tc>
        <w:tc>
          <w:tcPr>
            <w:tcW w:w="1134" w:type="dxa"/>
            <w:shd w:val="clear" w:color="auto" w:fill="FFFFFF" w:themeFill="background1"/>
            <w:noWrap/>
            <w:vAlign w:val="center"/>
          </w:tcPr>
          <w:p w14:paraId="682D643A" w14:textId="5DEDA31C" w:rsidR="00741EA8" w:rsidRPr="001D105D" w:rsidRDefault="000C6C14" w:rsidP="00215563">
            <w:pPr>
              <w:jc w:val="center"/>
              <w:rPr>
                <w:b/>
                <w:bCs/>
                <w:color w:val="000000"/>
                <w:sz w:val="20"/>
                <w:szCs w:val="20"/>
              </w:rPr>
            </w:pPr>
            <w:r w:rsidRPr="001D105D">
              <w:rPr>
                <w:b/>
                <w:bCs/>
                <w:color w:val="000000"/>
                <w:sz w:val="20"/>
                <w:szCs w:val="20"/>
              </w:rPr>
              <w:t>18%</w:t>
            </w:r>
          </w:p>
        </w:tc>
        <w:tc>
          <w:tcPr>
            <w:tcW w:w="1134" w:type="dxa"/>
            <w:shd w:val="clear" w:color="auto" w:fill="FFFFFF" w:themeFill="background1"/>
            <w:vAlign w:val="center"/>
          </w:tcPr>
          <w:p w14:paraId="106B80B1" w14:textId="0A93DFEE" w:rsidR="00741EA8" w:rsidRPr="001D105D" w:rsidRDefault="000C6C14" w:rsidP="00215563">
            <w:pPr>
              <w:jc w:val="center"/>
              <w:rPr>
                <w:rFonts w:ascii="Calibri" w:hAnsi="Calibri"/>
                <w:b/>
                <w:sz w:val="20"/>
                <w:szCs w:val="20"/>
              </w:rPr>
            </w:pPr>
            <w:r w:rsidRPr="001D105D">
              <w:rPr>
                <w:rFonts w:ascii="Calibri" w:hAnsi="Calibri"/>
                <w:b/>
                <w:sz w:val="20"/>
                <w:szCs w:val="20"/>
              </w:rPr>
              <w:t>22%</w:t>
            </w:r>
          </w:p>
        </w:tc>
      </w:tr>
    </w:tbl>
    <w:p w14:paraId="3A2A6834" w14:textId="1B44ECDC" w:rsidR="007D350E" w:rsidRPr="001D105D" w:rsidRDefault="007D350E" w:rsidP="00215563">
      <w:pPr>
        <w:pStyle w:val="Notes"/>
      </w:pPr>
      <w:r w:rsidRPr="001D105D">
        <w:t xml:space="preserve">Source: </w:t>
      </w:r>
      <w:r w:rsidR="000C6C14" w:rsidRPr="001D105D">
        <w:t xml:space="preserve">Services Australia </w:t>
      </w:r>
      <w:r w:rsidRPr="001D105D">
        <w:t xml:space="preserve">prescriptions database, extracted </w:t>
      </w:r>
      <w:r w:rsidR="000C6C14" w:rsidRPr="001D105D">
        <w:t>March 2021</w:t>
      </w:r>
      <w:r w:rsidRPr="001D105D">
        <w:t>. Unknown denotes age and sex not available in the data.</w:t>
      </w:r>
      <w:r w:rsidR="00EF6FF2" w:rsidRPr="001D105D" w:rsidDel="00EF6FF2">
        <w:t xml:space="preserve"> </w:t>
      </w:r>
      <w:r w:rsidRPr="001D105D">
        <w:t xml:space="preserve">Table </w:t>
      </w:r>
      <w:r w:rsidR="00AA02AF" w:rsidRPr="001D105D">
        <w:t>4</w:t>
      </w:r>
      <w:r w:rsidRPr="001D105D">
        <w:t xml:space="preserve">. </w:t>
      </w:r>
      <w:r w:rsidR="001B08C6" w:rsidRPr="001D105D">
        <w:t>N</w:t>
      </w:r>
      <w:r w:rsidRPr="001D105D">
        <w:t xml:space="preserve">umber of </w:t>
      </w:r>
      <w:r w:rsidR="001B08C6" w:rsidRPr="001D105D">
        <w:t xml:space="preserve">prevalent </w:t>
      </w:r>
      <w:r w:rsidRPr="001D105D">
        <w:t xml:space="preserve">patients treated with </w:t>
      </w:r>
      <w:r w:rsidR="004100AB" w:rsidRPr="001D105D">
        <w:t>R/</w:t>
      </w:r>
      <w:r w:rsidRPr="001D105D">
        <w:t>PBS-listed ADHD medicines by age group and gender per calendar year</w:t>
      </w:r>
      <w:r w:rsidR="000634F5">
        <w:t>.</w:t>
      </w:r>
    </w:p>
    <w:p w14:paraId="5DF4F53B" w14:textId="77777777" w:rsidR="00EF6FF2" w:rsidRPr="001D105D" w:rsidRDefault="00EF6FF2" w:rsidP="00215563">
      <w:pPr>
        <w:pStyle w:val="Tabletitle"/>
        <w:rPr>
          <w:sz w:val="20"/>
          <w:szCs w:val="20"/>
          <w:lang w:eastAsia="en-US"/>
        </w:rPr>
      </w:pPr>
      <w:r w:rsidRPr="001D105D">
        <w:t>Table 4. Number of prevalent patients treated with PBS-listed ADHD medicines by age group and gender per calendar year</w:t>
      </w:r>
    </w:p>
    <w:tbl>
      <w:tblPr>
        <w:tblStyle w:val="TableGrid1"/>
        <w:tblW w:w="9067" w:type="dxa"/>
        <w:tblLayout w:type="fixed"/>
        <w:tblLook w:val="04A0" w:firstRow="1" w:lastRow="0" w:firstColumn="1" w:lastColumn="0" w:noHBand="0" w:noVBand="1"/>
        <w:tblCaption w:val="Different age brackets are listed in the first column, read across the row for the number of patients treated in the years 2010 to 2014 inclusive"/>
      </w:tblPr>
      <w:tblGrid>
        <w:gridCol w:w="1696"/>
        <w:gridCol w:w="920"/>
        <w:gridCol w:w="966"/>
        <w:gridCol w:w="896"/>
        <w:gridCol w:w="895"/>
        <w:gridCol w:w="882"/>
        <w:gridCol w:w="896"/>
        <w:gridCol w:w="924"/>
        <w:gridCol w:w="992"/>
      </w:tblGrid>
      <w:tr w:rsidR="009B49BF" w:rsidRPr="001D105D" w14:paraId="22D22990" w14:textId="18007D8F" w:rsidTr="00511D6E">
        <w:trPr>
          <w:trHeight w:val="297"/>
          <w:tblHeader/>
        </w:trPr>
        <w:tc>
          <w:tcPr>
            <w:tcW w:w="1696" w:type="dxa"/>
            <w:tcBorders>
              <w:bottom w:val="single" w:sz="4" w:space="0" w:color="auto"/>
            </w:tcBorders>
            <w:shd w:val="clear" w:color="auto" w:fill="BFBFBF" w:themeFill="background1" w:themeFillShade="BF"/>
            <w:noWrap/>
            <w:vAlign w:val="center"/>
            <w:hideMark/>
          </w:tcPr>
          <w:p w14:paraId="07EC56EE" w14:textId="77777777" w:rsidR="009B49BF" w:rsidRPr="001D105D" w:rsidRDefault="009B49BF" w:rsidP="00215563">
            <w:pPr>
              <w:rPr>
                <w:rFonts w:eastAsia="Times New Roman" w:cs="Times New Roman"/>
                <w:b/>
                <w:sz w:val="20"/>
                <w:szCs w:val="20"/>
              </w:rPr>
            </w:pPr>
          </w:p>
        </w:tc>
        <w:tc>
          <w:tcPr>
            <w:tcW w:w="920" w:type="dxa"/>
            <w:shd w:val="clear" w:color="auto" w:fill="BFBFBF" w:themeFill="background1" w:themeFillShade="BF"/>
            <w:vAlign w:val="center"/>
          </w:tcPr>
          <w:p w14:paraId="10CF993E" w14:textId="68813177" w:rsidR="009B49BF" w:rsidRPr="001D105D" w:rsidRDefault="009B49BF" w:rsidP="00215563">
            <w:pPr>
              <w:jc w:val="center"/>
              <w:rPr>
                <w:rFonts w:eastAsia="Times New Roman" w:cs="Times New Roman"/>
                <w:b/>
                <w:sz w:val="20"/>
                <w:szCs w:val="20"/>
              </w:rPr>
            </w:pPr>
            <w:r w:rsidRPr="001D105D">
              <w:rPr>
                <w:rFonts w:eastAsia="Times New Roman" w:cs="Times New Roman"/>
                <w:b/>
                <w:sz w:val="20"/>
                <w:szCs w:val="20"/>
              </w:rPr>
              <w:t>2013</w:t>
            </w:r>
          </w:p>
        </w:tc>
        <w:tc>
          <w:tcPr>
            <w:tcW w:w="966" w:type="dxa"/>
            <w:shd w:val="clear" w:color="auto" w:fill="BFBFBF" w:themeFill="background1" w:themeFillShade="BF"/>
            <w:noWrap/>
            <w:vAlign w:val="center"/>
          </w:tcPr>
          <w:p w14:paraId="07369C85" w14:textId="77777777" w:rsidR="009B49BF" w:rsidRPr="001D105D" w:rsidRDefault="009B49BF" w:rsidP="00215563">
            <w:pPr>
              <w:jc w:val="center"/>
              <w:rPr>
                <w:rFonts w:eastAsia="Times New Roman" w:cs="Times New Roman"/>
                <w:b/>
                <w:sz w:val="20"/>
                <w:szCs w:val="20"/>
              </w:rPr>
            </w:pPr>
            <w:r w:rsidRPr="001D105D">
              <w:rPr>
                <w:rFonts w:eastAsia="Times New Roman" w:cs="Times New Roman"/>
                <w:b/>
                <w:sz w:val="20"/>
                <w:szCs w:val="20"/>
              </w:rPr>
              <w:t>2014</w:t>
            </w:r>
          </w:p>
        </w:tc>
        <w:tc>
          <w:tcPr>
            <w:tcW w:w="896" w:type="dxa"/>
            <w:shd w:val="clear" w:color="auto" w:fill="BFBFBF" w:themeFill="background1" w:themeFillShade="BF"/>
            <w:noWrap/>
            <w:vAlign w:val="center"/>
          </w:tcPr>
          <w:p w14:paraId="551F483F" w14:textId="77777777" w:rsidR="009B49BF" w:rsidRPr="001D105D" w:rsidRDefault="009B49BF" w:rsidP="00215563">
            <w:pPr>
              <w:jc w:val="center"/>
              <w:rPr>
                <w:rFonts w:eastAsia="Times New Roman" w:cs="Times New Roman"/>
                <w:b/>
                <w:sz w:val="20"/>
                <w:szCs w:val="20"/>
              </w:rPr>
            </w:pPr>
            <w:r w:rsidRPr="001D105D">
              <w:rPr>
                <w:rFonts w:eastAsia="Times New Roman" w:cs="Times New Roman"/>
                <w:b/>
                <w:sz w:val="20"/>
                <w:szCs w:val="20"/>
              </w:rPr>
              <w:t>2015</w:t>
            </w:r>
          </w:p>
        </w:tc>
        <w:tc>
          <w:tcPr>
            <w:tcW w:w="895" w:type="dxa"/>
            <w:shd w:val="clear" w:color="auto" w:fill="BFBFBF" w:themeFill="background1" w:themeFillShade="BF"/>
            <w:noWrap/>
            <w:vAlign w:val="center"/>
          </w:tcPr>
          <w:p w14:paraId="2C237FFD" w14:textId="77777777" w:rsidR="009B49BF" w:rsidRPr="001D105D" w:rsidRDefault="009B49BF" w:rsidP="00215563">
            <w:pPr>
              <w:jc w:val="center"/>
              <w:rPr>
                <w:rFonts w:eastAsia="Times New Roman" w:cs="Times New Roman"/>
                <w:b/>
                <w:sz w:val="20"/>
                <w:szCs w:val="20"/>
              </w:rPr>
            </w:pPr>
            <w:r w:rsidRPr="001D105D">
              <w:rPr>
                <w:rFonts w:eastAsia="Times New Roman" w:cs="Times New Roman"/>
                <w:b/>
                <w:sz w:val="20"/>
                <w:szCs w:val="20"/>
              </w:rPr>
              <w:t>2016</w:t>
            </w:r>
          </w:p>
        </w:tc>
        <w:tc>
          <w:tcPr>
            <w:tcW w:w="882" w:type="dxa"/>
            <w:shd w:val="clear" w:color="auto" w:fill="BFBFBF" w:themeFill="background1" w:themeFillShade="BF"/>
            <w:noWrap/>
            <w:vAlign w:val="center"/>
          </w:tcPr>
          <w:p w14:paraId="68F1E459" w14:textId="77777777" w:rsidR="009B49BF" w:rsidRPr="001D105D" w:rsidRDefault="009B49BF" w:rsidP="00215563">
            <w:pPr>
              <w:jc w:val="center"/>
              <w:rPr>
                <w:rFonts w:eastAsia="Times New Roman" w:cs="Times New Roman"/>
                <w:b/>
                <w:sz w:val="20"/>
                <w:szCs w:val="20"/>
              </w:rPr>
            </w:pPr>
            <w:r w:rsidRPr="001D105D">
              <w:rPr>
                <w:rFonts w:eastAsia="Times New Roman" w:cs="Times New Roman"/>
                <w:b/>
                <w:sz w:val="20"/>
                <w:szCs w:val="20"/>
              </w:rPr>
              <w:t>2017</w:t>
            </w:r>
          </w:p>
        </w:tc>
        <w:tc>
          <w:tcPr>
            <w:tcW w:w="896" w:type="dxa"/>
            <w:shd w:val="clear" w:color="auto" w:fill="BFBFBF" w:themeFill="background1" w:themeFillShade="BF"/>
          </w:tcPr>
          <w:p w14:paraId="57CA037E" w14:textId="1DCE4890" w:rsidR="009B49BF" w:rsidRPr="001D105D" w:rsidRDefault="009B49BF" w:rsidP="00215563">
            <w:pPr>
              <w:jc w:val="center"/>
              <w:rPr>
                <w:rFonts w:eastAsia="Times New Roman" w:cs="Times New Roman"/>
                <w:b/>
                <w:sz w:val="20"/>
                <w:szCs w:val="20"/>
              </w:rPr>
            </w:pPr>
            <w:r w:rsidRPr="001D105D">
              <w:rPr>
                <w:rFonts w:eastAsia="Times New Roman" w:cs="Times New Roman"/>
                <w:b/>
                <w:sz w:val="20"/>
                <w:szCs w:val="20"/>
              </w:rPr>
              <w:t>2018</w:t>
            </w:r>
          </w:p>
        </w:tc>
        <w:tc>
          <w:tcPr>
            <w:tcW w:w="924" w:type="dxa"/>
            <w:shd w:val="clear" w:color="auto" w:fill="BFBFBF" w:themeFill="background1" w:themeFillShade="BF"/>
          </w:tcPr>
          <w:p w14:paraId="53514D31" w14:textId="09BC5B1B" w:rsidR="009B49BF" w:rsidRPr="001D105D" w:rsidRDefault="009B49BF" w:rsidP="00215563">
            <w:pPr>
              <w:jc w:val="center"/>
              <w:rPr>
                <w:rFonts w:eastAsia="Times New Roman" w:cs="Times New Roman"/>
                <w:b/>
                <w:sz w:val="20"/>
                <w:szCs w:val="20"/>
              </w:rPr>
            </w:pPr>
            <w:r w:rsidRPr="001D105D">
              <w:rPr>
                <w:rFonts w:eastAsia="Times New Roman" w:cs="Times New Roman"/>
                <w:b/>
                <w:sz w:val="20"/>
                <w:szCs w:val="20"/>
              </w:rPr>
              <w:t>2019</w:t>
            </w:r>
          </w:p>
        </w:tc>
        <w:tc>
          <w:tcPr>
            <w:tcW w:w="992" w:type="dxa"/>
            <w:shd w:val="clear" w:color="auto" w:fill="BFBFBF" w:themeFill="background1" w:themeFillShade="BF"/>
          </w:tcPr>
          <w:p w14:paraId="65DD97C3" w14:textId="27AA7581" w:rsidR="009B49BF" w:rsidRPr="001D105D" w:rsidRDefault="009B49BF" w:rsidP="00215563">
            <w:pPr>
              <w:jc w:val="center"/>
              <w:rPr>
                <w:rFonts w:eastAsia="Times New Roman" w:cs="Times New Roman"/>
                <w:b/>
                <w:sz w:val="20"/>
                <w:szCs w:val="20"/>
              </w:rPr>
            </w:pPr>
            <w:r w:rsidRPr="001D105D">
              <w:rPr>
                <w:rFonts w:eastAsia="Times New Roman" w:cs="Times New Roman"/>
                <w:b/>
                <w:sz w:val="20"/>
                <w:szCs w:val="20"/>
              </w:rPr>
              <w:t>2020</w:t>
            </w:r>
          </w:p>
        </w:tc>
      </w:tr>
      <w:tr w:rsidR="009B49BF" w:rsidRPr="001D105D" w14:paraId="760229A4" w14:textId="0113F241" w:rsidTr="00511D6E">
        <w:trPr>
          <w:trHeight w:val="297"/>
        </w:trPr>
        <w:tc>
          <w:tcPr>
            <w:tcW w:w="1696" w:type="dxa"/>
            <w:shd w:val="clear" w:color="auto" w:fill="FFFFFF" w:themeFill="background1"/>
            <w:noWrap/>
            <w:vAlign w:val="center"/>
            <w:hideMark/>
          </w:tcPr>
          <w:p w14:paraId="73913D1F" w14:textId="77777777" w:rsidR="009B49BF" w:rsidRPr="001D105D" w:rsidRDefault="009B49BF" w:rsidP="00215563">
            <w:pPr>
              <w:rPr>
                <w:rFonts w:eastAsia="Times New Roman" w:cs="Times New Roman"/>
                <w:b/>
                <w:sz w:val="20"/>
                <w:szCs w:val="20"/>
              </w:rPr>
            </w:pPr>
            <w:r w:rsidRPr="001D105D">
              <w:rPr>
                <w:rFonts w:eastAsia="Times New Roman" w:cs="Times New Roman"/>
                <w:b/>
                <w:sz w:val="20"/>
                <w:szCs w:val="20"/>
              </w:rPr>
              <w:t>&lt;6 years male</w:t>
            </w:r>
          </w:p>
        </w:tc>
        <w:tc>
          <w:tcPr>
            <w:tcW w:w="920" w:type="dxa"/>
            <w:shd w:val="clear" w:color="auto" w:fill="FFFFFF" w:themeFill="background1"/>
            <w:vAlign w:val="center"/>
          </w:tcPr>
          <w:p w14:paraId="25E2B6DD" w14:textId="5FF36484" w:rsidR="009B49BF" w:rsidRPr="001D105D" w:rsidRDefault="009B49BF" w:rsidP="00215563">
            <w:pPr>
              <w:jc w:val="center"/>
              <w:rPr>
                <w:rFonts w:cstheme="minorHAnsi"/>
                <w:sz w:val="20"/>
                <w:szCs w:val="20"/>
              </w:rPr>
            </w:pPr>
            <w:r w:rsidRPr="001D105D">
              <w:rPr>
                <w:rFonts w:cstheme="minorHAnsi"/>
                <w:sz w:val="20"/>
                <w:szCs w:val="20"/>
              </w:rPr>
              <w:t>2,226</w:t>
            </w:r>
          </w:p>
        </w:tc>
        <w:tc>
          <w:tcPr>
            <w:tcW w:w="966" w:type="dxa"/>
            <w:shd w:val="clear" w:color="auto" w:fill="FFFFFF" w:themeFill="background1"/>
            <w:noWrap/>
            <w:vAlign w:val="center"/>
          </w:tcPr>
          <w:p w14:paraId="058E05A5" w14:textId="70D65E8B" w:rsidR="009B49BF" w:rsidRPr="001D105D" w:rsidRDefault="009B49BF" w:rsidP="00215563">
            <w:pPr>
              <w:jc w:val="center"/>
              <w:rPr>
                <w:rFonts w:cstheme="minorHAnsi"/>
                <w:sz w:val="20"/>
                <w:szCs w:val="20"/>
              </w:rPr>
            </w:pPr>
            <w:r w:rsidRPr="001D105D">
              <w:rPr>
                <w:rFonts w:cstheme="minorHAnsi"/>
                <w:sz w:val="20"/>
                <w:szCs w:val="20"/>
              </w:rPr>
              <w:t>2,277</w:t>
            </w:r>
          </w:p>
        </w:tc>
        <w:tc>
          <w:tcPr>
            <w:tcW w:w="896" w:type="dxa"/>
            <w:shd w:val="clear" w:color="auto" w:fill="FFFFFF" w:themeFill="background1"/>
            <w:noWrap/>
            <w:vAlign w:val="center"/>
          </w:tcPr>
          <w:p w14:paraId="347B37C0" w14:textId="7A2C505C" w:rsidR="009B49BF" w:rsidRPr="001D105D" w:rsidRDefault="009B49BF" w:rsidP="00215563">
            <w:pPr>
              <w:jc w:val="center"/>
              <w:rPr>
                <w:rFonts w:cstheme="minorHAnsi"/>
                <w:sz w:val="20"/>
                <w:szCs w:val="20"/>
              </w:rPr>
            </w:pPr>
            <w:r w:rsidRPr="001D105D">
              <w:rPr>
                <w:rFonts w:cstheme="minorHAnsi"/>
                <w:sz w:val="20"/>
                <w:szCs w:val="20"/>
              </w:rPr>
              <w:t>2,334</w:t>
            </w:r>
          </w:p>
        </w:tc>
        <w:tc>
          <w:tcPr>
            <w:tcW w:w="895" w:type="dxa"/>
            <w:shd w:val="clear" w:color="auto" w:fill="FFFFFF" w:themeFill="background1"/>
            <w:noWrap/>
            <w:vAlign w:val="center"/>
          </w:tcPr>
          <w:p w14:paraId="76168C0D" w14:textId="3FFE32FA" w:rsidR="009B49BF" w:rsidRPr="001D105D" w:rsidRDefault="009B49BF" w:rsidP="00215563">
            <w:pPr>
              <w:jc w:val="center"/>
              <w:rPr>
                <w:rFonts w:cstheme="minorHAnsi"/>
                <w:sz w:val="20"/>
                <w:szCs w:val="20"/>
              </w:rPr>
            </w:pPr>
            <w:r w:rsidRPr="001D105D">
              <w:rPr>
                <w:rFonts w:cstheme="minorHAnsi"/>
                <w:sz w:val="20"/>
                <w:szCs w:val="20"/>
              </w:rPr>
              <w:t>2,518</w:t>
            </w:r>
          </w:p>
        </w:tc>
        <w:tc>
          <w:tcPr>
            <w:tcW w:w="882" w:type="dxa"/>
            <w:shd w:val="clear" w:color="auto" w:fill="FFFFFF" w:themeFill="background1"/>
            <w:noWrap/>
            <w:vAlign w:val="center"/>
          </w:tcPr>
          <w:p w14:paraId="5A07BD9E" w14:textId="2D00093B" w:rsidR="009B49BF" w:rsidRPr="001D105D" w:rsidRDefault="009B49BF" w:rsidP="00215563">
            <w:pPr>
              <w:jc w:val="center"/>
              <w:rPr>
                <w:rFonts w:cstheme="minorHAnsi"/>
                <w:sz w:val="20"/>
                <w:szCs w:val="20"/>
              </w:rPr>
            </w:pPr>
            <w:r w:rsidRPr="001D105D">
              <w:rPr>
                <w:rFonts w:cstheme="minorHAnsi"/>
                <w:sz w:val="20"/>
                <w:szCs w:val="20"/>
              </w:rPr>
              <w:t>2,807</w:t>
            </w:r>
          </w:p>
        </w:tc>
        <w:tc>
          <w:tcPr>
            <w:tcW w:w="896" w:type="dxa"/>
            <w:shd w:val="clear" w:color="auto" w:fill="FFFFFF" w:themeFill="background1"/>
            <w:vAlign w:val="center"/>
          </w:tcPr>
          <w:p w14:paraId="79B988C8" w14:textId="757DB1E9" w:rsidR="009B49BF" w:rsidRPr="001D105D" w:rsidRDefault="009B49BF" w:rsidP="00215563">
            <w:pPr>
              <w:jc w:val="center"/>
              <w:rPr>
                <w:rFonts w:cstheme="minorHAnsi"/>
                <w:sz w:val="20"/>
                <w:szCs w:val="20"/>
              </w:rPr>
            </w:pPr>
            <w:r w:rsidRPr="001D105D">
              <w:rPr>
                <w:rFonts w:cstheme="minorHAnsi"/>
                <w:sz w:val="20"/>
                <w:szCs w:val="20"/>
              </w:rPr>
              <w:t>3,319</w:t>
            </w:r>
          </w:p>
        </w:tc>
        <w:tc>
          <w:tcPr>
            <w:tcW w:w="924" w:type="dxa"/>
            <w:shd w:val="clear" w:color="auto" w:fill="FFFFFF" w:themeFill="background1"/>
            <w:vAlign w:val="center"/>
          </w:tcPr>
          <w:p w14:paraId="5424EA9D" w14:textId="78D5FE67" w:rsidR="009B49BF" w:rsidRPr="001D105D" w:rsidRDefault="009B49BF" w:rsidP="00215563">
            <w:pPr>
              <w:jc w:val="center"/>
              <w:rPr>
                <w:rFonts w:cstheme="minorHAnsi"/>
                <w:sz w:val="20"/>
                <w:szCs w:val="20"/>
              </w:rPr>
            </w:pPr>
            <w:r w:rsidRPr="001D105D">
              <w:rPr>
                <w:rFonts w:cstheme="minorHAnsi"/>
                <w:sz w:val="20"/>
                <w:szCs w:val="20"/>
              </w:rPr>
              <w:t>3,873</w:t>
            </w:r>
          </w:p>
        </w:tc>
        <w:tc>
          <w:tcPr>
            <w:tcW w:w="992" w:type="dxa"/>
            <w:shd w:val="clear" w:color="auto" w:fill="FFFFFF" w:themeFill="background1"/>
            <w:vAlign w:val="center"/>
          </w:tcPr>
          <w:p w14:paraId="754155FE" w14:textId="76E1E747" w:rsidR="009B49BF" w:rsidRPr="001D105D" w:rsidRDefault="009B49BF" w:rsidP="00215563">
            <w:pPr>
              <w:jc w:val="center"/>
              <w:rPr>
                <w:rFonts w:cstheme="minorHAnsi"/>
                <w:sz w:val="20"/>
                <w:szCs w:val="20"/>
              </w:rPr>
            </w:pPr>
            <w:r w:rsidRPr="001D105D">
              <w:rPr>
                <w:rFonts w:cstheme="minorHAnsi"/>
                <w:sz w:val="20"/>
                <w:szCs w:val="20"/>
              </w:rPr>
              <w:t>4,395</w:t>
            </w:r>
          </w:p>
        </w:tc>
      </w:tr>
      <w:tr w:rsidR="009B49BF" w:rsidRPr="001D105D" w14:paraId="5BEA09FD" w14:textId="668CDBD2" w:rsidTr="00511D6E">
        <w:trPr>
          <w:trHeight w:val="297"/>
        </w:trPr>
        <w:tc>
          <w:tcPr>
            <w:tcW w:w="1696" w:type="dxa"/>
            <w:shd w:val="clear" w:color="auto" w:fill="FFFFFF" w:themeFill="background1"/>
            <w:noWrap/>
            <w:vAlign w:val="center"/>
            <w:hideMark/>
          </w:tcPr>
          <w:p w14:paraId="4C047136" w14:textId="77777777" w:rsidR="009B49BF" w:rsidRPr="001D105D" w:rsidRDefault="009B49BF" w:rsidP="00215563">
            <w:pPr>
              <w:rPr>
                <w:rFonts w:eastAsia="Times New Roman" w:cs="Times New Roman"/>
                <w:b/>
                <w:sz w:val="20"/>
                <w:szCs w:val="20"/>
              </w:rPr>
            </w:pPr>
            <w:r w:rsidRPr="001D105D">
              <w:rPr>
                <w:rFonts w:eastAsia="Times New Roman" w:cs="Times New Roman"/>
                <w:b/>
                <w:sz w:val="20"/>
                <w:szCs w:val="20"/>
              </w:rPr>
              <w:t>&lt;6 years female</w:t>
            </w:r>
          </w:p>
        </w:tc>
        <w:tc>
          <w:tcPr>
            <w:tcW w:w="920" w:type="dxa"/>
            <w:shd w:val="clear" w:color="auto" w:fill="FFFFFF" w:themeFill="background1"/>
            <w:vAlign w:val="center"/>
          </w:tcPr>
          <w:p w14:paraId="61780F8A" w14:textId="2D38D4D2" w:rsidR="009B49BF" w:rsidRPr="001D105D" w:rsidRDefault="009B49BF" w:rsidP="00215563">
            <w:pPr>
              <w:jc w:val="center"/>
              <w:rPr>
                <w:rFonts w:cstheme="minorHAnsi"/>
                <w:sz w:val="20"/>
                <w:szCs w:val="20"/>
              </w:rPr>
            </w:pPr>
            <w:r w:rsidRPr="001D105D">
              <w:rPr>
                <w:rFonts w:cstheme="minorHAnsi"/>
                <w:sz w:val="20"/>
                <w:szCs w:val="20"/>
              </w:rPr>
              <w:t>521</w:t>
            </w:r>
          </w:p>
        </w:tc>
        <w:tc>
          <w:tcPr>
            <w:tcW w:w="966" w:type="dxa"/>
            <w:shd w:val="clear" w:color="auto" w:fill="FFFFFF" w:themeFill="background1"/>
            <w:noWrap/>
            <w:vAlign w:val="center"/>
          </w:tcPr>
          <w:p w14:paraId="55F902B0" w14:textId="78494245" w:rsidR="009B49BF" w:rsidRPr="001D105D" w:rsidRDefault="009B49BF" w:rsidP="00215563">
            <w:pPr>
              <w:jc w:val="center"/>
              <w:rPr>
                <w:rFonts w:cstheme="minorHAnsi"/>
                <w:sz w:val="20"/>
                <w:szCs w:val="20"/>
              </w:rPr>
            </w:pPr>
            <w:r w:rsidRPr="001D105D">
              <w:rPr>
                <w:rFonts w:cstheme="minorHAnsi"/>
                <w:sz w:val="20"/>
                <w:szCs w:val="20"/>
              </w:rPr>
              <w:t>516</w:t>
            </w:r>
          </w:p>
        </w:tc>
        <w:tc>
          <w:tcPr>
            <w:tcW w:w="896" w:type="dxa"/>
            <w:shd w:val="clear" w:color="auto" w:fill="FFFFFF" w:themeFill="background1"/>
            <w:noWrap/>
            <w:vAlign w:val="center"/>
          </w:tcPr>
          <w:p w14:paraId="4CE906CF" w14:textId="2CBAECD6" w:rsidR="009B49BF" w:rsidRPr="001D105D" w:rsidRDefault="009B49BF" w:rsidP="00215563">
            <w:pPr>
              <w:jc w:val="center"/>
              <w:rPr>
                <w:rFonts w:cstheme="minorHAnsi"/>
                <w:sz w:val="20"/>
                <w:szCs w:val="20"/>
              </w:rPr>
            </w:pPr>
            <w:r w:rsidRPr="001D105D">
              <w:rPr>
                <w:rFonts w:cstheme="minorHAnsi"/>
                <w:sz w:val="20"/>
                <w:szCs w:val="20"/>
              </w:rPr>
              <w:t>620</w:t>
            </w:r>
          </w:p>
        </w:tc>
        <w:tc>
          <w:tcPr>
            <w:tcW w:w="895" w:type="dxa"/>
            <w:shd w:val="clear" w:color="auto" w:fill="FFFFFF" w:themeFill="background1"/>
            <w:noWrap/>
            <w:vAlign w:val="center"/>
          </w:tcPr>
          <w:p w14:paraId="22B70A1E" w14:textId="1A1C8C63" w:rsidR="009B49BF" w:rsidRPr="001D105D" w:rsidRDefault="009B49BF" w:rsidP="00215563">
            <w:pPr>
              <w:jc w:val="center"/>
              <w:rPr>
                <w:rFonts w:cstheme="minorHAnsi"/>
                <w:sz w:val="20"/>
                <w:szCs w:val="20"/>
              </w:rPr>
            </w:pPr>
            <w:r w:rsidRPr="001D105D">
              <w:rPr>
                <w:rFonts w:cstheme="minorHAnsi"/>
                <w:sz w:val="20"/>
                <w:szCs w:val="20"/>
              </w:rPr>
              <w:t>654</w:t>
            </w:r>
          </w:p>
        </w:tc>
        <w:tc>
          <w:tcPr>
            <w:tcW w:w="882" w:type="dxa"/>
            <w:shd w:val="clear" w:color="auto" w:fill="FFFFFF" w:themeFill="background1"/>
            <w:noWrap/>
            <w:vAlign w:val="center"/>
          </w:tcPr>
          <w:p w14:paraId="630BEF59" w14:textId="54425FBF" w:rsidR="009B49BF" w:rsidRPr="001D105D" w:rsidRDefault="009B49BF" w:rsidP="00215563">
            <w:pPr>
              <w:jc w:val="center"/>
              <w:rPr>
                <w:rFonts w:cstheme="minorHAnsi"/>
                <w:sz w:val="20"/>
                <w:szCs w:val="20"/>
              </w:rPr>
            </w:pPr>
            <w:r w:rsidRPr="001D105D">
              <w:rPr>
                <w:rFonts w:cstheme="minorHAnsi"/>
                <w:sz w:val="20"/>
                <w:szCs w:val="20"/>
              </w:rPr>
              <w:t>676</w:t>
            </w:r>
          </w:p>
        </w:tc>
        <w:tc>
          <w:tcPr>
            <w:tcW w:w="896" w:type="dxa"/>
            <w:shd w:val="clear" w:color="auto" w:fill="FFFFFF" w:themeFill="background1"/>
            <w:vAlign w:val="center"/>
          </w:tcPr>
          <w:p w14:paraId="5EE72715" w14:textId="04FA22EE" w:rsidR="009B49BF" w:rsidRPr="001D105D" w:rsidRDefault="009B49BF" w:rsidP="00215563">
            <w:pPr>
              <w:jc w:val="center"/>
              <w:rPr>
                <w:rFonts w:cstheme="minorHAnsi"/>
                <w:sz w:val="20"/>
                <w:szCs w:val="20"/>
              </w:rPr>
            </w:pPr>
            <w:r w:rsidRPr="001D105D">
              <w:rPr>
                <w:rFonts w:cstheme="minorHAnsi"/>
                <w:sz w:val="20"/>
                <w:szCs w:val="20"/>
              </w:rPr>
              <w:t>682</w:t>
            </w:r>
          </w:p>
        </w:tc>
        <w:tc>
          <w:tcPr>
            <w:tcW w:w="924" w:type="dxa"/>
            <w:shd w:val="clear" w:color="auto" w:fill="FFFFFF" w:themeFill="background1"/>
            <w:vAlign w:val="center"/>
          </w:tcPr>
          <w:p w14:paraId="44210B88" w14:textId="0B1AB000" w:rsidR="009B49BF" w:rsidRPr="001D105D" w:rsidRDefault="009B49BF" w:rsidP="00215563">
            <w:pPr>
              <w:jc w:val="center"/>
              <w:rPr>
                <w:rFonts w:cstheme="minorHAnsi"/>
                <w:sz w:val="20"/>
                <w:szCs w:val="20"/>
              </w:rPr>
            </w:pPr>
            <w:r w:rsidRPr="001D105D">
              <w:rPr>
                <w:rFonts w:cstheme="minorHAnsi"/>
                <w:sz w:val="20"/>
                <w:szCs w:val="20"/>
              </w:rPr>
              <w:t>894</w:t>
            </w:r>
          </w:p>
        </w:tc>
        <w:tc>
          <w:tcPr>
            <w:tcW w:w="992" w:type="dxa"/>
            <w:shd w:val="clear" w:color="auto" w:fill="FFFFFF" w:themeFill="background1"/>
            <w:vAlign w:val="center"/>
          </w:tcPr>
          <w:p w14:paraId="44D9F7E8" w14:textId="17F1B63A" w:rsidR="009B49BF" w:rsidRPr="001D105D" w:rsidRDefault="009B49BF" w:rsidP="00215563">
            <w:pPr>
              <w:jc w:val="center"/>
              <w:rPr>
                <w:rFonts w:cstheme="minorHAnsi"/>
                <w:sz w:val="20"/>
                <w:szCs w:val="20"/>
              </w:rPr>
            </w:pPr>
            <w:r w:rsidRPr="001D105D">
              <w:rPr>
                <w:rFonts w:cstheme="minorHAnsi"/>
                <w:sz w:val="20"/>
                <w:szCs w:val="20"/>
              </w:rPr>
              <w:t>1,055</w:t>
            </w:r>
          </w:p>
        </w:tc>
      </w:tr>
      <w:tr w:rsidR="009B49BF" w:rsidRPr="001D105D" w14:paraId="6BAF7C04" w14:textId="79085958" w:rsidTr="00511D6E">
        <w:trPr>
          <w:trHeight w:val="297"/>
        </w:trPr>
        <w:tc>
          <w:tcPr>
            <w:tcW w:w="1696" w:type="dxa"/>
            <w:shd w:val="clear" w:color="auto" w:fill="FFFFFF" w:themeFill="background1"/>
            <w:noWrap/>
            <w:vAlign w:val="center"/>
            <w:hideMark/>
          </w:tcPr>
          <w:p w14:paraId="3C8E14E3" w14:textId="77777777" w:rsidR="009B49BF" w:rsidRPr="001D105D" w:rsidRDefault="009B49BF" w:rsidP="00215563">
            <w:pPr>
              <w:rPr>
                <w:rFonts w:eastAsia="Times New Roman" w:cs="Times New Roman"/>
                <w:b/>
                <w:sz w:val="20"/>
                <w:szCs w:val="20"/>
              </w:rPr>
            </w:pPr>
            <w:r w:rsidRPr="001D105D">
              <w:rPr>
                <w:rFonts w:eastAsia="Times New Roman" w:cs="Times New Roman"/>
                <w:b/>
                <w:sz w:val="20"/>
                <w:szCs w:val="20"/>
              </w:rPr>
              <w:t>6-12 years male</w:t>
            </w:r>
          </w:p>
        </w:tc>
        <w:tc>
          <w:tcPr>
            <w:tcW w:w="920" w:type="dxa"/>
            <w:shd w:val="clear" w:color="auto" w:fill="FFFFFF" w:themeFill="background1"/>
            <w:vAlign w:val="center"/>
          </w:tcPr>
          <w:p w14:paraId="31C42A79" w14:textId="56C65F33" w:rsidR="009B49BF" w:rsidRPr="001D105D" w:rsidRDefault="009B49BF" w:rsidP="00215563">
            <w:pPr>
              <w:jc w:val="center"/>
              <w:rPr>
                <w:rFonts w:cstheme="minorHAnsi"/>
                <w:sz w:val="20"/>
                <w:szCs w:val="20"/>
              </w:rPr>
            </w:pPr>
            <w:r w:rsidRPr="001D105D">
              <w:rPr>
                <w:rFonts w:cstheme="minorHAnsi"/>
                <w:sz w:val="20"/>
                <w:szCs w:val="20"/>
              </w:rPr>
              <w:t>38,216</w:t>
            </w:r>
          </w:p>
        </w:tc>
        <w:tc>
          <w:tcPr>
            <w:tcW w:w="966" w:type="dxa"/>
            <w:shd w:val="clear" w:color="auto" w:fill="FFFFFF" w:themeFill="background1"/>
            <w:noWrap/>
            <w:vAlign w:val="center"/>
          </w:tcPr>
          <w:p w14:paraId="4D9E2DE9" w14:textId="31541A91" w:rsidR="009B49BF" w:rsidRPr="001D105D" w:rsidRDefault="009B49BF" w:rsidP="00215563">
            <w:pPr>
              <w:jc w:val="center"/>
              <w:rPr>
                <w:rFonts w:cstheme="minorHAnsi"/>
                <w:sz w:val="20"/>
                <w:szCs w:val="20"/>
              </w:rPr>
            </w:pPr>
            <w:r w:rsidRPr="001D105D">
              <w:rPr>
                <w:rFonts w:cstheme="minorHAnsi"/>
                <w:sz w:val="20"/>
                <w:szCs w:val="20"/>
              </w:rPr>
              <w:t>40,869</w:t>
            </w:r>
          </w:p>
        </w:tc>
        <w:tc>
          <w:tcPr>
            <w:tcW w:w="896" w:type="dxa"/>
            <w:shd w:val="clear" w:color="auto" w:fill="FFFFFF" w:themeFill="background1"/>
            <w:noWrap/>
            <w:vAlign w:val="center"/>
          </w:tcPr>
          <w:p w14:paraId="48542833" w14:textId="0F88A1B3" w:rsidR="009B49BF" w:rsidRPr="001D105D" w:rsidRDefault="009B49BF" w:rsidP="00215563">
            <w:pPr>
              <w:jc w:val="center"/>
              <w:rPr>
                <w:rFonts w:cstheme="minorHAnsi"/>
                <w:sz w:val="20"/>
                <w:szCs w:val="20"/>
              </w:rPr>
            </w:pPr>
            <w:r w:rsidRPr="001D105D">
              <w:rPr>
                <w:rFonts w:cstheme="minorHAnsi"/>
                <w:sz w:val="20"/>
                <w:szCs w:val="20"/>
              </w:rPr>
              <w:t>45,506</w:t>
            </w:r>
          </w:p>
        </w:tc>
        <w:tc>
          <w:tcPr>
            <w:tcW w:w="895" w:type="dxa"/>
            <w:shd w:val="clear" w:color="auto" w:fill="FFFFFF" w:themeFill="background1"/>
            <w:noWrap/>
            <w:vAlign w:val="center"/>
          </w:tcPr>
          <w:p w14:paraId="5F96FD39" w14:textId="2ABA7801" w:rsidR="009B49BF" w:rsidRPr="001D105D" w:rsidRDefault="009B49BF" w:rsidP="00215563">
            <w:pPr>
              <w:jc w:val="center"/>
              <w:rPr>
                <w:rFonts w:cstheme="minorHAnsi"/>
                <w:sz w:val="20"/>
                <w:szCs w:val="20"/>
              </w:rPr>
            </w:pPr>
            <w:r w:rsidRPr="001D105D">
              <w:rPr>
                <w:rFonts w:cstheme="minorHAnsi"/>
                <w:sz w:val="20"/>
                <w:szCs w:val="20"/>
              </w:rPr>
              <w:t>50,727</w:t>
            </w:r>
          </w:p>
        </w:tc>
        <w:tc>
          <w:tcPr>
            <w:tcW w:w="882" w:type="dxa"/>
            <w:shd w:val="clear" w:color="auto" w:fill="FFFFFF" w:themeFill="background1"/>
            <w:noWrap/>
            <w:vAlign w:val="center"/>
          </w:tcPr>
          <w:p w14:paraId="3E7D6599" w14:textId="117FDFA8" w:rsidR="009B49BF" w:rsidRPr="001D105D" w:rsidRDefault="009B49BF" w:rsidP="00215563">
            <w:pPr>
              <w:jc w:val="center"/>
              <w:rPr>
                <w:rFonts w:cstheme="minorHAnsi"/>
                <w:sz w:val="20"/>
                <w:szCs w:val="20"/>
              </w:rPr>
            </w:pPr>
            <w:r w:rsidRPr="001D105D">
              <w:rPr>
                <w:rFonts w:cstheme="minorHAnsi"/>
                <w:sz w:val="20"/>
                <w:szCs w:val="20"/>
              </w:rPr>
              <w:t>55,878</w:t>
            </w:r>
          </w:p>
        </w:tc>
        <w:tc>
          <w:tcPr>
            <w:tcW w:w="896" w:type="dxa"/>
            <w:shd w:val="clear" w:color="auto" w:fill="FFFFFF" w:themeFill="background1"/>
            <w:vAlign w:val="center"/>
          </w:tcPr>
          <w:p w14:paraId="1430ADD9" w14:textId="300E804C" w:rsidR="009B49BF" w:rsidRPr="001D105D" w:rsidRDefault="009B49BF" w:rsidP="00215563">
            <w:pPr>
              <w:jc w:val="center"/>
              <w:rPr>
                <w:rFonts w:cstheme="minorHAnsi"/>
                <w:sz w:val="20"/>
                <w:szCs w:val="20"/>
              </w:rPr>
            </w:pPr>
            <w:r w:rsidRPr="001D105D">
              <w:rPr>
                <w:rFonts w:cstheme="minorHAnsi"/>
                <w:sz w:val="20"/>
                <w:szCs w:val="20"/>
              </w:rPr>
              <w:t>63,239</w:t>
            </w:r>
          </w:p>
        </w:tc>
        <w:tc>
          <w:tcPr>
            <w:tcW w:w="924" w:type="dxa"/>
            <w:shd w:val="clear" w:color="auto" w:fill="FFFFFF" w:themeFill="background1"/>
            <w:vAlign w:val="center"/>
          </w:tcPr>
          <w:p w14:paraId="7D181343" w14:textId="57B9A952" w:rsidR="009B49BF" w:rsidRPr="001D105D" w:rsidRDefault="009B49BF" w:rsidP="00215563">
            <w:pPr>
              <w:jc w:val="center"/>
              <w:rPr>
                <w:rFonts w:cstheme="minorHAnsi"/>
                <w:sz w:val="20"/>
                <w:szCs w:val="20"/>
              </w:rPr>
            </w:pPr>
            <w:r w:rsidRPr="001D105D">
              <w:rPr>
                <w:rFonts w:cstheme="minorHAnsi"/>
                <w:sz w:val="20"/>
                <w:szCs w:val="20"/>
              </w:rPr>
              <w:t>71,894</w:t>
            </w:r>
          </w:p>
        </w:tc>
        <w:tc>
          <w:tcPr>
            <w:tcW w:w="992" w:type="dxa"/>
            <w:shd w:val="clear" w:color="auto" w:fill="FFFFFF" w:themeFill="background1"/>
            <w:vAlign w:val="center"/>
          </w:tcPr>
          <w:p w14:paraId="50586B8B" w14:textId="4C9A7672" w:rsidR="009B49BF" w:rsidRPr="001D105D" w:rsidRDefault="009B49BF" w:rsidP="00215563">
            <w:pPr>
              <w:jc w:val="center"/>
              <w:rPr>
                <w:rFonts w:cstheme="minorHAnsi"/>
                <w:sz w:val="20"/>
                <w:szCs w:val="20"/>
              </w:rPr>
            </w:pPr>
            <w:r w:rsidRPr="001D105D">
              <w:rPr>
                <w:rFonts w:cstheme="minorHAnsi"/>
                <w:sz w:val="20"/>
                <w:szCs w:val="20"/>
              </w:rPr>
              <w:t>81,209</w:t>
            </w:r>
          </w:p>
        </w:tc>
      </w:tr>
      <w:tr w:rsidR="009B49BF" w:rsidRPr="001D105D" w14:paraId="6981BE47" w14:textId="6B22A6F5" w:rsidTr="00511D6E">
        <w:trPr>
          <w:trHeight w:val="297"/>
        </w:trPr>
        <w:tc>
          <w:tcPr>
            <w:tcW w:w="1696" w:type="dxa"/>
            <w:shd w:val="clear" w:color="auto" w:fill="FFFFFF" w:themeFill="background1"/>
            <w:noWrap/>
            <w:vAlign w:val="center"/>
          </w:tcPr>
          <w:p w14:paraId="463592B3" w14:textId="77777777" w:rsidR="009B49BF" w:rsidRPr="001D105D" w:rsidRDefault="009B49BF" w:rsidP="00215563">
            <w:pPr>
              <w:rPr>
                <w:rFonts w:eastAsia="Times New Roman" w:cs="Times New Roman"/>
                <w:b/>
                <w:sz w:val="20"/>
                <w:szCs w:val="20"/>
              </w:rPr>
            </w:pPr>
            <w:r w:rsidRPr="001D105D">
              <w:rPr>
                <w:rFonts w:eastAsia="Times New Roman" w:cs="Times New Roman"/>
                <w:b/>
                <w:sz w:val="20"/>
                <w:szCs w:val="20"/>
              </w:rPr>
              <w:t>6-12 years female</w:t>
            </w:r>
          </w:p>
        </w:tc>
        <w:tc>
          <w:tcPr>
            <w:tcW w:w="920" w:type="dxa"/>
            <w:shd w:val="clear" w:color="auto" w:fill="FFFFFF" w:themeFill="background1"/>
            <w:vAlign w:val="center"/>
          </w:tcPr>
          <w:p w14:paraId="1049B093" w14:textId="6C904831" w:rsidR="009B49BF" w:rsidRPr="001D105D" w:rsidRDefault="009B49BF" w:rsidP="00215563">
            <w:pPr>
              <w:jc w:val="center"/>
              <w:rPr>
                <w:rFonts w:cstheme="minorHAnsi"/>
                <w:sz w:val="20"/>
                <w:szCs w:val="20"/>
              </w:rPr>
            </w:pPr>
            <w:r w:rsidRPr="001D105D">
              <w:rPr>
                <w:rFonts w:cstheme="minorHAnsi"/>
                <w:sz w:val="20"/>
                <w:szCs w:val="20"/>
              </w:rPr>
              <w:t>9,716</w:t>
            </w:r>
          </w:p>
        </w:tc>
        <w:tc>
          <w:tcPr>
            <w:tcW w:w="966" w:type="dxa"/>
            <w:shd w:val="clear" w:color="auto" w:fill="FFFFFF" w:themeFill="background1"/>
            <w:noWrap/>
            <w:vAlign w:val="center"/>
          </w:tcPr>
          <w:p w14:paraId="7607BF2E" w14:textId="1CD62823" w:rsidR="009B49BF" w:rsidRPr="001D105D" w:rsidRDefault="009B49BF" w:rsidP="00215563">
            <w:pPr>
              <w:jc w:val="center"/>
              <w:rPr>
                <w:rFonts w:cstheme="minorHAnsi"/>
                <w:sz w:val="20"/>
                <w:szCs w:val="20"/>
              </w:rPr>
            </w:pPr>
            <w:r w:rsidRPr="001D105D">
              <w:rPr>
                <w:rFonts w:cstheme="minorHAnsi"/>
                <w:sz w:val="20"/>
                <w:szCs w:val="20"/>
              </w:rPr>
              <w:t>10,472</w:t>
            </w:r>
          </w:p>
        </w:tc>
        <w:tc>
          <w:tcPr>
            <w:tcW w:w="896" w:type="dxa"/>
            <w:shd w:val="clear" w:color="auto" w:fill="FFFFFF" w:themeFill="background1"/>
            <w:noWrap/>
            <w:vAlign w:val="center"/>
          </w:tcPr>
          <w:p w14:paraId="223E485D" w14:textId="677C2465" w:rsidR="009B49BF" w:rsidRPr="001D105D" w:rsidRDefault="009B49BF" w:rsidP="00215563">
            <w:pPr>
              <w:jc w:val="center"/>
              <w:rPr>
                <w:rFonts w:cstheme="minorHAnsi"/>
                <w:sz w:val="20"/>
                <w:szCs w:val="20"/>
              </w:rPr>
            </w:pPr>
            <w:r w:rsidRPr="001D105D">
              <w:rPr>
                <w:rFonts w:cstheme="minorHAnsi"/>
                <w:sz w:val="20"/>
                <w:szCs w:val="20"/>
              </w:rPr>
              <w:t>11,672</w:t>
            </w:r>
          </w:p>
        </w:tc>
        <w:tc>
          <w:tcPr>
            <w:tcW w:w="895" w:type="dxa"/>
            <w:shd w:val="clear" w:color="auto" w:fill="FFFFFF" w:themeFill="background1"/>
            <w:noWrap/>
            <w:vAlign w:val="center"/>
          </w:tcPr>
          <w:p w14:paraId="4A6AECFA" w14:textId="48D551E7" w:rsidR="009B49BF" w:rsidRPr="001D105D" w:rsidRDefault="009B49BF" w:rsidP="00215563">
            <w:pPr>
              <w:jc w:val="center"/>
              <w:rPr>
                <w:rFonts w:cstheme="minorHAnsi"/>
                <w:sz w:val="20"/>
                <w:szCs w:val="20"/>
              </w:rPr>
            </w:pPr>
            <w:r w:rsidRPr="001D105D">
              <w:rPr>
                <w:rFonts w:cstheme="minorHAnsi"/>
                <w:sz w:val="20"/>
                <w:szCs w:val="20"/>
              </w:rPr>
              <w:t>13,312</w:t>
            </w:r>
          </w:p>
        </w:tc>
        <w:tc>
          <w:tcPr>
            <w:tcW w:w="882" w:type="dxa"/>
            <w:shd w:val="clear" w:color="auto" w:fill="FFFFFF" w:themeFill="background1"/>
            <w:noWrap/>
            <w:vAlign w:val="center"/>
          </w:tcPr>
          <w:p w14:paraId="031220D2" w14:textId="7EF4DECC" w:rsidR="009B49BF" w:rsidRPr="001D105D" w:rsidRDefault="009B49BF" w:rsidP="00215563">
            <w:pPr>
              <w:jc w:val="center"/>
              <w:rPr>
                <w:rFonts w:cstheme="minorHAnsi"/>
                <w:sz w:val="20"/>
                <w:szCs w:val="20"/>
              </w:rPr>
            </w:pPr>
            <w:r w:rsidRPr="001D105D">
              <w:rPr>
                <w:rFonts w:cstheme="minorHAnsi"/>
                <w:sz w:val="20"/>
                <w:szCs w:val="20"/>
              </w:rPr>
              <w:t>15,197</w:t>
            </w:r>
          </w:p>
        </w:tc>
        <w:tc>
          <w:tcPr>
            <w:tcW w:w="896" w:type="dxa"/>
            <w:shd w:val="clear" w:color="auto" w:fill="FFFFFF" w:themeFill="background1"/>
            <w:vAlign w:val="center"/>
          </w:tcPr>
          <w:p w14:paraId="0CAA422E" w14:textId="538F5C13" w:rsidR="009B49BF" w:rsidRPr="001D105D" w:rsidRDefault="009B49BF" w:rsidP="00215563">
            <w:pPr>
              <w:jc w:val="center"/>
              <w:rPr>
                <w:rFonts w:cstheme="minorHAnsi"/>
                <w:sz w:val="20"/>
                <w:szCs w:val="20"/>
              </w:rPr>
            </w:pPr>
            <w:r w:rsidRPr="001D105D">
              <w:rPr>
                <w:rFonts w:cstheme="minorHAnsi"/>
                <w:sz w:val="20"/>
                <w:szCs w:val="20"/>
              </w:rPr>
              <w:t>17,897</w:t>
            </w:r>
          </w:p>
        </w:tc>
        <w:tc>
          <w:tcPr>
            <w:tcW w:w="924" w:type="dxa"/>
            <w:shd w:val="clear" w:color="auto" w:fill="FFFFFF" w:themeFill="background1"/>
            <w:vAlign w:val="center"/>
          </w:tcPr>
          <w:p w14:paraId="086BB8F0" w14:textId="0C701D18" w:rsidR="009B49BF" w:rsidRPr="001D105D" w:rsidRDefault="009B49BF" w:rsidP="00215563">
            <w:pPr>
              <w:jc w:val="center"/>
              <w:rPr>
                <w:rFonts w:cstheme="minorHAnsi"/>
                <w:sz w:val="20"/>
                <w:szCs w:val="20"/>
              </w:rPr>
            </w:pPr>
            <w:r w:rsidRPr="001D105D">
              <w:rPr>
                <w:rFonts w:cstheme="minorHAnsi"/>
                <w:sz w:val="20"/>
                <w:szCs w:val="20"/>
              </w:rPr>
              <w:t>21,113</w:t>
            </w:r>
          </w:p>
        </w:tc>
        <w:tc>
          <w:tcPr>
            <w:tcW w:w="992" w:type="dxa"/>
            <w:shd w:val="clear" w:color="auto" w:fill="FFFFFF" w:themeFill="background1"/>
            <w:vAlign w:val="center"/>
          </w:tcPr>
          <w:p w14:paraId="2B6C01B0" w14:textId="0A88F261" w:rsidR="009B49BF" w:rsidRPr="001D105D" w:rsidRDefault="009B49BF" w:rsidP="00215563">
            <w:pPr>
              <w:jc w:val="center"/>
              <w:rPr>
                <w:rFonts w:cstheme="minorHAnsi"/>
                <w:sz w:val="20"/>
                <w:szCs w:val="20"/>
              </w:rPr>
            </w:pPr>
            <w:r w:rsidRPr="001D105D">
              <w:rPr>
                <w:rFonts w:cstheme="minorHAnsi"/>
                <w:sz w:val="20"/>
                <w:szCs w:val="20"/>
              </w:rPr>
              <w:t>24,857</w:t>
            </w:r>
          </w:p>
        </w:tc>
      </w:tr>
      <w:tr w:rsidR="009B49BF" w:rsidRPr="001D105D" w14:paraId="6114069A" w14:textId="69897A00" w:rsidTr="00511D6E">
        <w:trPr>
          <w:trHeight w:val="297"/>
        </w:trPr>
        <w:tc>
          <w:tcPr>
            <w:tcW w:w="1696" w:type="dxa"/>
            <w:shd w:val="clear" w:color="auto" w:fill="FFFFFF" w:themeFill="background1"/>
            <w:noWrap/>
            <w:vAlign w:val="center"/>
          </w:tcPr>
          <w:p w14:paraId="316D8728" w14:textId="26B3C88A" w:rsidR="009B49BF" w:rsidRPr="001D105D" w:rsidRDefault="009B49BF" w:rsidP="00215563">
            <w:pPr>
              <w:rPr>
                <w:rFonts w:eastAsia="Times New Roman" w:cs="Times New Roman"/>
                <w:b/>
                <w:sz w:val="20"/>
                <w:szCs w:val="20"/>
              </w:rPr>
            </w:pPr>
            <w:r w:rsidRPr="001D105D">
              <w:rPr>
                <w:rFonts w:eastAsia="Times New Roman" w:cs="Times New Roman"/>
                <w:b/>
                <w:sz w:val="20"/>
                <w:szCs w:val="20"/>
              </w:rPr>
              <w:t>13-18 years male</w:t>
            </w:r>
          </w:p>
        </w:tc>
        <w:tc>
          <w:tcPr>
            <w:tcW w:w="920" w:type="dxa"/>
            <w:shd w:val="clear" w:color="auto" w:fill="FFFFFF" w:themeFill="background1"/>
            <w:vAlign w:val="center"/>
          </w:tcPr>
          <w:p w14:paraId="51E6E073" w14:textId="48C4AEB1" w:rsidR="009B49BF" w:rsidRPr="001D105D" w:rsidRDefault="009B49BF" w:rsidP="00215563">
            <w:pPr>
              <w:jc w:val="center"/>
              <w:rPr>
                <w:rFonts w:cstheme="minorHAnsi"/>
                <w:sz w:val="20"/>
                <w:szCs w:val="20"/>
              </w:rPr>
            </w:pPr>
            <w:r w:rsidRPr="001D105D">
              <w:rPr>
                <w:rFonts w:cstheme="minorHAnsi"/>
                <w:sz w:val="20"/>
                <w:szCs w:val="20"/>
              </w:rPr>
              <w:t>20,914</w:t>
            </w:r>
          </w:p>
        </w:tc>
        <w:tc>
          <w:tcPr>
            <w:tcW w:w="966" w:type="dxa"/>
            <w:shd w:val="clear" w:color="auto" w:fill="FFFFFF" w:themeFill="background1"/>
            <w:noWrap/>
            <w:vAlign w:val="center"/>
          </w:tcPr>
          <w:p w14:paraId="213D6A3B" w14:textId="4077F25E" w:rsidR="009B49BF" w:rsidRPr="001D105D" w:rsidRDefault="009B49BF" w:rsidP="00215563">
            <w:pPr>
              <w:jc w:val="center"/>
              <w:rPr>
                <w:rFonts w:cstheme="minorHAnsi"/>
                <w:sz w:val="20"/>
                <w:szCs w:val="20"/>
              </w:rPr>
            </w:pPr>
            <w:r w:rsidRPr="001D105D">
              <w:rPr>
                <w:rFonts w:cstheme="minorHAnsi"/>
                <w:sz w:val="20"/>
                <w:szCs w:val="20"/>
              </w:rPr>
              <w:t>21,385</w:t>
            </w:r>
          </w:p>
        </w:tc>
        <w:tc>
          <w:tcPr>
            <w:tcW w:w="896" w:type="dxa"/>
            <w:shd w:val="clear" w:color="auto" w:fill="FFFFFF" w:themeFill="background1"/>
            <w:noWrap/>
            <w:vAlign w:val="center"/>
          </w:tcPr>
          <w:p w14:paraId="4C2113BA" w14:textId="6A5666A0" w:rsidR="009B49BF" w:rsidRPr="001D105D" w:rsidRDefault="009B49BF" w:rsidP="00215563">
            <w:pPr>
              <w:jc w:val="center"/>
              <w:rPr>
                <w:rFonts w:cstheme="minorHAnsi"/>
                <w:sz w:val="20"/>
                <w:szCs w:val="20"/>
              </w:rPr>
            </w:pPr>
            <w:r w:rsidRPr="001D105D">
              <w:rPr>
                <w:rFonts w:cstheme="minorHAnsi"/>
                <w:sz w:val="20"/>
                <w:szCs w:val="20"/>
              </w:rPr>
              <w:t>22,893</w:t>
            </w:r>
          </w:p>
        </w:tc>
        <w:tc>
          <w:tcPr>
            <w:tcW w:w="895" w:type="dxa"/>
            <w:shd w:val="clear" w:color="auto" w:fill="FFFFFF" w:themeFill="background1"/>
            <w:noWrap/>
            <w:vAlign w:val="center"/>
          </w:tcPr>
          <w:p w14:paraId="2BFEAC8D" w14:textId="292E7DB7" w:rsidR="009B49BF" w:rsidRPr="001D105D" w:rsidRDefault="009B49BF" w:rsidP="00215563">
            <w:pPr>
              <w:jc w:val="center"/>
              <w:rPr>
                <w:rFonts w:cstheme="minorHAnsi"/>
                <w:sz w:val="20"/>
                <w:szCs w:val="20"/>
              </w:rPr>
            </w:pPr>
            <w:r w:rsidRPr="001D105D">
              <w:rPr>
                <w:rFonts w:cstheme="minorHAnsi"/>
                <w:sz w:val="20"/>
                <w:szCs w:val="20"/>
              </w:rPr>
              <w:t>24,520</w:t>
            </w:r>
          </w:p>
        </w:tc>
        <w:tc>
          <w:tcPr>
            <w:tcW w:w="882" w:type="dxa"/>
            <w:shd w:val="clear" w:color="auto" w:fill="FFFFFF" w:themeFill="background1"/>
            <w:noWrap/>
            <w:vAlign w:val="center"/>
          </w:tcPr>
          <w:p w14:paraId="642E58DD" w14:textId="50700A94" w:rsidR="009B49BF" w:rsidRPr="001D105D" w:rsidRDefault="009B49BF" w:rsidP="00215563">
            <w:pPr>
              <w:jc w:val="center"/>
              <w:rPr>
                <w:rFonts w:cstheme="minorHAnsi"/>
                <w:sz w:val="20"/>
                <w:szCs w:val="20"/>
              </w:rPr>
            </w:pPr>
            <w:r w:rsidRPr="001D105D">
              <w:rPr>
                <w:rFonts w:cstheme="minorHAnsi"/>
                <w:sz w:val="20"/>
                <w:szCs w:val="20"/>
              </w:rPr>
              <w:t>26,893</w:t>
            </w:r>
          </w:p>
        </w:tc>
        <w:tc>
          <w:tcPr>
            <w:tcW w:w="896" w:type="dxa"/>
            <w:shd w:val="clear" w:color="auto" w:fill="FFFFFF" w:themeFill="background1"/>
            <w:vAlign w:val="center"/>
          </w:tcPr>
          <w:p w14:paraId="39FF4612" w14:textId="2CD11B1E" w:rsidR="009B49BF" w:rsidRPr="001D105D" w:rsidRDefault="009B49BF" w:rsidP="00215563">
            <w:pPr>
              <w:jc w:val="center"/>
              <w:rPr>
                <w:rFonts w:cstheme="minorHAnsi"/>
                <w:sz w:val="20"/>
                <w:szCs w:val="20"/>
              </w:rPr>
            </w:pPr>
            <w:r w:rsidRPr="001D105D">
              <w:rPr>
                <w:rFonts w:cstheme="minorHAnsi"/>
                <w:sz w:val="20"/>
                <w:szCs w:val="20"/>
              </w:rPr>
              <w:t>29,750</w:t>
            </w:r>
          </w:p>
        </w:tc>
        <w:tc>
          <w:tcPr>
            <w:tcW w:w="924" w:type="dxa"/>
            <w:shd w:val="clear" w:color="auto" w:fill="FFFFFF" w:themeFill="background1"/>
            <w:vAlign w:val="center"/>
          </w:tcPr>
          <w:p w14:paraId="1FE32C49" w14:textId="693EAEB3" w:rsidR="009B49BF" w:rsidRPr="001D105D" w:rsidRDefault="009B49BF" w:rsidP="00215563">
            <w:pPr>
              <w:jc w:val="center"/>
              <w:rPr>
                <w:rFonts w:cstheme="minorHAnsi"/>
                <w:sz w:val="20"/>
                <w:szCs w:val="20"/>
              </w:rPr>
            </w:pPr>
            <w:r w:rsidRPr="001D105D">
              <w:rPr>
                <w:rFonts w:cstheme="minorHAnsi"/>
                <w:sz w:val="20"/>
                <w:szCs w:val="20"/>
              </w:rPr>
              <w:t>34,273</w:t>
            </w:r>
          </w:p>
        </w:tc>
        <w:tc>
          <w:tcPr>
            <w:tcW w:w="992" w:type="dxa"/>
            <w:shd w:val="clear" w:color="auto" w:fill="FFFFFF" w:themeFill="background1"/>
            <w:vAlign w:val="center"/>
          </w:tcPr>
          <w:p w14:paraId="5A1A53A0" w14:textId="51D27BC0" w:rsidR="009B49BF" w:rsidRPr="001D105D" w:rsidRDefault="009B49BF" w:rsidP="00215563">
            <w:pPr>
              <w:jc w:val="center"/>
              <w:rPr>
                <w:rFonts w:cstheme="minorHAnsi"/>
                <w:sz w:val="20"/>
                <w:szCs w:val="20"/>
              </w:rPr>
            </w:pPr>
            <w:r w:rsidRPr="001D105D">
              <w:rPr>
                <w:rFonts w:cstheme="minorHAnsi"/>
                <w:sz w:val="20"/>
                <w:szCs w:val="20"/>
              </w:rPr>
              <w:t>39,984</w:t>
            </w:r>
          </w:p>
        </w:tc>
      </w:tr>
      <w:tr w:rsidR="009B49BF" w:rsidRPr="001D105D" w14:paraId="1E0B64F7" w14:textId="3F07041B" w:rsidTr="00511D6E">
        <w:trPr>
          <w:trHeight w:val="297"/>
        </w:trPr>
        <w:tc>
          <w:tcPr>
            <w:tcW w:w="1696" w:type="dxa"/>
            <w:shd w:val="clear" w:color="auto" w:fill="FFFFFF" w:themeFill="background1"/>
            <w:noWrap/>
            <w:vAlign w:val="center"/>
            <w:hideMark/>
          </w:tcPr>
          <w:p w14:paraId="584E267F" w14:textId="2742F483" w:rsidR="009B49BF" w:rsidRPr="001D105D" w:rsidRDefault="009B49BF" w:rsidP="00215563">
            <w:pPr>
              <w:rPr>
                <w:rFonts w:eastAsia="Times New Roman" w:cs="Times New Roman"/>
                <w:b/>
                <w:sz w:val="20"/>
                <w:szCs w:val="20"/>
              </w:rPr>
            </w:pPr>
            <w:r w:rsidRPr="001D105D">
              <w:rPr>
                <w:rFonts w:eastAsia="Times New Roman" w:cs="Times New Roman"/>
                <w:b/>
                <w:sz w:val="20"/>
                <w:szCs w:val="20"/>
              </w:rPr>
              <w:t>13-18 years female</w:t>
            </w:r>
          </w:p>
        </w:tc>
        <w:tc>
          <w:tcPr>
            <w:tcW w:w="920" w:type="dxa"/>
            <w:shd w:val="clear" w:color="auto" w:fill="FFFFFF" w:themeFill="background1"/>
            <w:vAlign w:val="center"/>
          </w:tcPr>
          <w:p w14:paraId="4927CD33" w14:textId="38D85EE1" w:rsidR="009B49BF" w:rsidRPr="001D105D" w:rsidRDefault="009B49BF" w:rsidP="00215563">
            <w:pPr>
              <w:jc w:val="center"/>
              <w:rPr>
                <w:rFonts w:cstheme="minorHAnsi"/>
                <w:sz w:val="20"/>
                <w:szCs w:val="20"/>
              </w:rPr>
            </w:pPr>
            <w:r w:rsidRPr="001D105D">
              <w:rPr>
                <w:rFonts w:cstheme="minorHAnsi"/>
                <w:sz w:val="20"/>
                <w:szCs w:val="20"/>
              </w:rPr>
              <w:t>6,074</w:t>
            </w:r>
          </w:p>
        </w:tc>
        <w:tc>
          <w:tcPr>
            <w:tcW w:w="966" w:type="dxa"/>
            <w:shd w:val="clear" w:color="auto" w:fill="FFFFFF" w:themeFill="background1"/>
            <w:noWrap/>
            <w:vAlign w:val="center"/>
          </w:tcPr>
          <w:p w14:paraId="16F7E90F" w14:textId="5C5E0098" w:rsidR="009B49BF" w:rsidRPr="001D105D" w:rsidRDefault="009B49BF" w:rsidP="00215563">
            <w:pPr>
              <w:jc w:val="center"/>
              <w:rPr>
                <w:rFonts w:cstheme="minorHAnsi"/>
                <w:sz w:val="20"/>
                <w:szCs w:val="20"/>
              </w:rPr>
            </w:pPr>
            <w:r w:rsidRPr="001D105D">
              <w:rPr>
                <w:rFonts w:cstheme="minorHAnsi"/>
                <w:sz w:val="20"/>
                <w:szCs w:val="20"/>
              </w:rPr>
              <w:t>6,364</w:t>
            </w:r>
          </w:p>
        </w:tc>
        <w:tc>
          <w:tcPr>
            <w:tcW w:w="896" w:type="dxa"/>
            <w:shd w:val="clear" w:color="auto" w:fill="FFFFFF" w:themeFill="background1"/>
            <w:noWrap/>
            <w:vAlign w:val="center"/>
          </w:tcPr>
          <w:p w14:paraId="3FB49B86" w14:textId="5F80BB42" w:rsidR="009B49BF" w:rsidRPr="001D105D" w:rsidRDefault="009B49BF" w:rsidP="00215563">
            <w:pPr>
              <w:jc w:val="center"/>
              <w:rPr>
                <w:rFonts w:cstheme="minorHAnsi"/>
                <w:sz w:val="20"/>
                <w:szCs w:val="20"/>
              </w:rPr>
            </w:pPr>
            <w:r w:rsidRPr="001D105D">
              <w:rPr>
                <w:rFonts w:cstheme="minorHAnsi"/>
                <w:sz w:val="20"/>
                <w:szCs w:val="20"/>
              </w:rPr>
              <w:t>7,032</w:t>
            </w:r>
          </w:p>
        </w:tc>
        <w:tc>
          <w:tcPr>
            <w:tcW w:w="895" w:type="dxa"/>
            <w:shd w:val="clear" w:color="auto" w:fill="FFFFFF" w:themeFill="background1"/>
            <w:noWrap/>
            <w:vAlign w:val="center"/>
          </w:tcPr>
          <w:p w14:paraId="0EBF2A91" w14:textId="0692B235" w:rsidR="009B49BF" w:rsidRPr="001D105D" w:rsidRDefault="009B49BF" w:rsidP="00215563">
            <w:pPr>
              <w:jc w:val="center"/>
              <w:rPr>
                <w:rFonts w:cstheme="minorHAnsi"/>
                <w:sz w:val="20"/>
                <w:szCs w:val="20"/>
              </w:rPr>
            </w:pPr>
            <w:r w:rsidRPr="001D105D">
              <w:rPr>
                <w:rFonts w:cstheme="minorHAnsi"/>
                <w:sz w:val="20"/>
                <w:szCs w:val="20"/>
              </w:rPr>
              <w:t>7,785</w:t>
            </w:r>
          </w:p>
        </w:tc>
        <w:tc>
          <w:tcPr>
            <w:tcW w:w="882" w:type="dxa"/>
            <w:shd w:val="clear" w:color="auto" w:fill="FFFFFF" w:themeFill="background1"/>
            <w:noWrap/>
            <w:vAlign w:val="center"/>
          </w:tcPr>
          <w:p w14:paraId="56D0A9B5" w14:textId="7B1D1FBD" w:rsidR="009B49BF" w:rsidRPr="001D105D" w:rsidRDefault="009B49BF" w:rsidP="00215563">
            <w:pPr>
              <w:jc w:val="center"/>
              <w:rPr>
                <w:rFonts w:cstheme="minorHAnsi"/>
                <w:sz w:val="20"/>
                <w:szCs w:val="20"/>
              </w:rPr>
            </w:pPr>
            <w:r w:rsidRPr="001D105D">
              <w:rPr>
                <w:rFonts w:cstheme="minorHAnsi"/>
                <w:sz w:val="20"/>
                <w:szCs w:val="20"/>
              </w:rPr>
              <w:t>8,740</w:t>
            </w:r>
          </w:p>
        </w:tc>
        <w:tc>
          <w:tcPr>
            <w:tcW w:w="896" w:type="dxa"/>
            <w:shd w:val="clear" w:color="auto" w:fill="FFFFFF" w:themeFill="background1"/>
            <w:vAlign w:val="center"/>
          </w:tcPr>
          <w:p w14:paraId="770CFF45" w14:textId="21F18B9D" w:rsidR="009B49BF" w:rsidRPr="001D105D" w:rsidRDefault="009B49BF" w:rsidP="00215563">
            <w:pPr>
              <w:jc w:val="center"/>
              <w:rPr>
                <w:rFonts w:cstheme="minorHAnsi"/>
                <w:sz w:val="20"/>
                <w:szCs w:val="20"/>
              </w:rPr>
            </w:pPr>
            <w:r w:rsidRPr="001D105D">
              <w:rPr>
                <w:rFonts w:cstheme="minorHAnsi"/>
                <w:sz w:val="20"/>
                <w:szCs w:val="20"/>
              </w:rPr>
              <w:t>10,214</w:t>
            </w:r>
          </w:p>
        </w:tc>
        <w:tc>
          <w:tcPr>
            <w:tcW w:w="924" w:type="dxa"/>
            <w:shd w:val="clear" w:color="auto" w:fill="FFFFFF" w:themeFill="background1"/>
            <w:vAlign w:val="center"/>
          </w:tcPr>
          <w:p w14:paraId="0DBFFE2D" w14:textId="1F9528F8" w:rsidR="009B49BF" w:rsidRPr="001D105D" w:rsidRDefault="009B49BF" w:rsidP="00215563">
            <w:pPr>
              <w:jc w:val="center"/>
              <w:rPr>
                <w:rFonts w:cstheme="minorHAnsi"/>
                <w:sz w:val="20"/>
                <w:szCs w:val="20"/>
              </w:rPr>
            </w:pPr>
            <w:r w:rsidRPr="001D105D">
              <w:rPr>
                <w:rFonts w:cstheme="minorHAnsi"/>
                <w:sz w:val="20"/>
                <w:szCs w:val="20"/>
              </w:rPr>
              <w:t>12,473</w:t>
            </w:r>
          </w:p>
        </w:tc>
        <w:tc>
          <w:tcPr>
            <w:tcW w:w="992" w:type="dxa"/>
            <w:shd w:val="clear" w:color="auto" w:fill="FFFFFF" w:themeFill="background1"/>
            <w:vAlign w:val="center"/>
          </w:tcPr>
          <w:p w14:paraId="0B3557A1" w14:textId="74BD2098" w:rsidR="009B49BF" w:rsidRPr="001D105D" w:rsidRDefault="009B49BF" w:rsidP="00215563">
            <w:pPr>
              <w:jc w:val="center"/>
              <w:rPr>
                <w:rFonts w:cstheme="minorHAnsi"/>
                <w:sz w:val="20"/>
                <w:szCs w:val="20"/>
              </w:rPr>
            </w:pPr>
            <w:r w:rsidRPr="001D105D">
              <w:rPr>
                <w:rFonts w:cstheme="minorHAnsi"/>
                <w:sz w:val="20"/>
                <w:szCs w:val="20"/>
              </w:rPr>
              <w:t>16,450</w:t>
            </w:r>
          </w:p>
        </w:tc>
      </w:tr>
      <w:tr w:rsidR="009B49BF" w:rsidRPr="001D105D" w14:paraId="54D6FC6E" w14:textId="186F6A79" w:rsidTr="00511D6E">
        <w:trPr>
          <w:trHeight w:val="297"/>
        </w:trPr>
        <w:tc>
          <w:tcPr>
            <w:tcW w:w="1696" w:type="dxa"/>
            <w:shd w:val="clear" w:color="auto" w:fill="FFFFFF" w:themeFill="background1"/>
            <w:noWrap/>
            <w:vAlign w:val="center"/>
            <w:hideMark/>
          </w:tcPr>
          <w:p w14:paraId="362D13E6" w14:textId="6DED2E59" w:rsidR="009B49BF" w:rsidRPr="001D105D" w:rsidRDefault="009B49BF" w:rsidP="00215563">
            <w:pPr>
              <w:rPr>
                <w:rFonts w:eastAsia="Times New Roman" w:cs="Times New Roman"/>
                <w:b/>
                <w:sz w:val="20"/>
                <w:szCs w:val="20"/>
              </w:rPr>
            </w:pPr>
            <w:r w:rsidRPr="001D105D">
              <w:rPr>
                <w:rFonts w:eastAsia="Times New Roman" w:cs="Times New Roman"/>
                <w:b/>
                <w:sz w:val="20"/>
                <w:szCs w:val="20"/>
              </w:rPr>
              <w:t>19+ years male</w:t>
            </w:r>
          </w:p>
        </w:tc>
        <w:tc>
          <w:tcPr>
            <w:tcW w:w="920" w:type="dxa"/>
            <w:shd w:val="clear" w:color="auto" w:fill="FFFFFF" w:themeFill="background1"/>
            <w:vAlign w:val="center"/>
          </w:tcPr>
          <w:p w14:paraId="7A6132EC" w14:textId="483C40C6" w:rsidR="009B49BF" w:rsidRPr="001D105D" w:rsidRDefault="009B49BF" w:rsidP="00215563">
            <w:pPr>
              <w:jc w:val="center"/>
              <w:rPr>
                <w:rFonts w:cstheme="minorHAnsi"/>
                <w:sz w:val="20"/>
                <w:szCs w:val="20"/>
              </w:rPr>
            </w:pPr>
            <w:r w:rsidRPr="001D105D">
              <w:rPr>
                <w:rFonts w:cstheme="minorHAnsi"/>
                <w:sz w:val="20"/>
                <w:szCs w:val="20"/>
              </w:rPr>
              <w:t>21,899</w:t>
            </w:r>
          </w:p>
        </w:tc>
        <w:tc>
          <w:tcPr>
            <w:tcW w:w="966" w:type="dxa"/>
            <w:shd w:val="clear" w:color="auto" w:fill="FFFFFF" w:themeFill="background1"/>
            <w:noWrap/>
            <w:vAlign w:val="center"/>
          </w:tcPr>
          <w:p w14:paraId="7DEB75CD" w14:textId="1F8DCDAD" w:rsidR="009B49BF" w:rsidRPr="001D105D" w:rsidRDefault="009B49BF" w:rsidP="00215563">
            <w:pPr>
              <w:jc w:val="center"/>
              <w:rPr>
                <w:rFonts w:cstheme="minorHAnsi"/>
                <w:sz w:val="20"/>
                <w:szCs w:val="20"/>
              </w:rPr>
            </w:pPr>
            <w:r w:rsidRPr="001D105D">
              <w:rPr>
                <w:rFonts w:cstheme="minorHAnsi"/>
                <w:sz w:val="20"/>
                <w:szCs w:val="20"/>
              </w:rPr>
              <w:t>23,498</w:t>
            </w:r>
          </w:p>
        </w:tc>
        <w:tc>
          <w:tcPr>
            <w:tcW w:w="896" w:type="dxa"/>
            <w:shd w:val="clear" w:color="auto" w:fill="FFFFFF" w:themeFill="background1"/>
            <w:noWrap/>
            <w:vAlign w:val="center"/>
          </w:tcPr>
          <w:p w14:paraId="4D13333B" w14:textId="03BAAB1C" w:rsidR="009B49BF" w:rsidRPr="001D105D" w:rsidRDefault="009B49BF" w:rsidP="00215563">
            <w:pPr>
              <w:jc w:val="center"/>
              <w:rPr>
                <w:rFonts w:cstheme="minorHAnsi"/>
                <w:sz w:val="20"/>
                <w:szCs w:val="20"/>
              </w:rPr>
            </w:pPr>
            <w:r w:rsidRPr="001D105D">
              <w:rPr>
                <w:rFonts w:cstheme="minorHAnsi"/>
                <w:sz w:val="20"/>
                <w:szCs w:val="20"/>
              </w:rPr>
              <w:t>26,144</w:t>
            </w:r>
          </w:p>
        </w:tc>
        <w:tc>
          <w:tcPr>
            <w:tcW w:w="895" w:type="dxa"/>
            <w:shd w:val="clear" w:color="auto" w:fill="FFFFFF" w:themeFill="background1"/>
            <w:noWrap/>
            <w:vAlign w:val="center"/>
          </w:tcPr>
          <w:p w14:paraId="74A13EB7" w14:textId="404D034B" w:rsidR="009B49BF" w:rsidRPr="001D105D" w:rsidRDefault="009B49BF" w:rsidP="00215563">
            <w:pPr>
              <w:jc w:val="center"/>
              <w:rPr>
                <w:rFonts w:cstheme="minorHAnsi"/>
                <w:sz w:val="20"/>
                <w:szCs w:val="20"/>
              </w:rPr>
            </w:pPr>
            <w:r w:rsidRPr="001D105D">
              <w:rPr>
                <w:rFonts w:cstheme="minorHAnsi"/>
                <w:sz w:val="20"/>
                <w:szCs w:val="20"/>
              </w:rPr>
              <w:t>29,727</w:t>
            </w:r>
          </w:p>
        </w:tc>
        <w:tc>
          <w:tcPr>
            <w:tcW w:w="882" w:type="dxa"/>
            <w:shd w:val="clear" w:color="auto" w:fill="FFFFFF" w:themeFill="background1"/>
            <w:noWrap/>
            <w:vAlign w:val="center"/>
          </w:tcPr>
          <w:p w14:paraId="68EFDBFA" w14:textId="30043547" w:rsidR="009B49BF" w:rsidRPr="001D105D" w:rsidRDefault="009B49BF" w:rsidP="00215563">
            <w:pPr>
              <w:jc w:val="center"/>
              <w:rPr>
                <w:rFonts w:cstheme="minorHAnsi"/>
                <w:sz w:val="20"/>
                <w:szCs w:val="20"/>
              </w:rPr>
            </w:pPr>
            <w:r w:rsidRPr="001D105D">
              <w:rPr>
                <w:rFonts w:cstheme="minorHAnsi"/>
                <w:sz w:val="20"/>
                <w:szCs w:val="20"/>
              </w:rPr>
              <w:t>32,980</w:t>
            </w:r>
          </w:p>
        </w:tc>
        <w:tc>
          <w:tcPr>
            <w:tcW w:w="896" w:type="dxa"/>
            <w:shd w:val="clear" w:color="auto" w:fill="FFFFFF" w:themeFill="background1"/>
            <w:vAlign w:val="center"/>
          </w:tcPr>
          <w:p w14:paraId="3D576AC7" w14:textId="73A18751" w:rsidR="009B49BF" w:rsidRPr="001D105D" w:rsidRDefault="009B49BF" w:rsidP="00215563">
            <w:pPr>
              <w:jc w:val="center"/>
              <w:rPr>
                <w:rFonts w:cstheme="minorHAnsi"/>
                <w:sz w:val="20"/>
                <w:szCs w:val="20"/>
              </w:rPr>
            </w:pPr>
            <w:r w:rsidRPr="001D105D">
              <w:rPr>
                <w:rFonts w:cstheme="minorHAnsi"/>
                <w:sz w:val="20"/>
                <w:szCs w:val="20"/>
              </w:rPr>
              <w:t>37,518</w:t>
            </w:r>
          </w:p>
        </w:tc>
        <w:tc>
          <w:tcPr>
            <w:tcW w:w="924" w:type="dxa"/>
            <w:shd w:val="clear" w:color="auto" w:fill="FFFFFF" w:themeFill="background1"/>
            <w:vAlign w:val="center"/>
          </w:tcPr>
          <w:p w14:paraId="6323EA58" w14:textId="0CAF43AC" w:rsidR="009B49BF" w:rsidRPr="001D105D" w:rsidRDefault="009B49BF" w:rsidP="00215563">
            <w:pPr>
              <w:jc w:val="center"/>
              <w:rPr>
                <w:rFonts w:cstheme="minorHAnsi"/>
                <w:sz w:val="20"/>
                <w:szCs w:val="20"/>
              </w:rPr>
            </w:pPr>
            <w:r w:rsidRPr="001D105D">
              <w:rPr>
                <w:rFonts w:cstheme="minorHAnsi"/>
                <w:sz w:val="20"/>
                <w:szCs w:val="20"/>
              </w:rPr>
              <w:t>43,012</w:t>
            </w:r>
          </w:p>
        </w:tc>
        <w:tc>
          <w:tcPr>
            <w:tcW w:w="992" w:type="dxa"/>
            <w:shd w:val="clear" w:color="auto" w:fill="FFFFFF" w:themeFill="background1"/>
            <w:vAlign w:val="center"/>
          </w:tcPr>
          <w:p w14:paraId="0554532A" w14:textId="152A3494" w:rsidR="009B49BF" w:rsidRPr="001D105D" w:rsidRDefault="009B49BF" w:rsidP="00215563">
            <w:pPr>
              <w:jc w:val="center"/>
              <w:rPr>
                <w:rFonts w:cstheme="minorHAnsi"/>
                <w:sz w:val="20"/>
                <w:szCs w:val="20"/>
              </w:rPr>
            </w:pPr>
            <w:r w:rsidRPr="001D105D">
              <w:rPr>
                <w:rFonts w:cstheme="minorHAnsi"/>
                <w:sz w:val="20"/>
                <w:szCs w:val="20"/>
              </w:rPr>
              <w:t>51,032</w:t>
            </w:r>
          </w:p>
        </w:tc>
      </w:tr>
      <w:tr w:rsidR="009B49BF" w:rsidRPr="001D105D" w14:paraId="1B990FBE" w14:textId="0F07365F" w:rsidTr="00511D6E">
        <w:trPr>
          <w:trHeight w:val="297"/>
        </w:trPr>
        <w:tc>
          <w:tcPr>
            <w:tcW w:w="1696" w:type="dxa"/>
            <w:shd w:val="clear" w:color="auto" w:fill="FFFFFF" w:themeFill="background1"/>
            <w:noWrap/>
            <w:vAlign w:val="center"/>
            <w:hideMark/>
          </w:tcPr>
          <w:p w14:paraId="569EF667" w14:textId="10BBA073" w:rsidR="009B49BF" w:rsidRPr="001D105D" w:rsidRDefault="009B49BF" w:rsidP="00215563">
            <w:pPr>
              <w:rPr>
                <w:rFonts w:eastAsia="Times New Roman" w:cs="Times New Roman"/>
                <w:b/>
                <w:sz w:val="20"/>
                <w:szCs w:val="20"/>
              </w:rPr>
            </w:pPr>
            <w:r w:rsidRPr="001D105D">
              <w:rPr>
                <w:rFonts w:eastAsia="Times New Roman" w:cs="Times New Roman"/>
                <w:b/>
                <w:sz w:val="20"/>
                <w:szCs w:val="20"/>
              </w:rPr>
              <w:t>19+ years female</w:t>
            </w:r>
          </w:p>
        </w:tc>
        <w:tc>
          <w:tcPr>
            <w:tcW w:w="920" w:type="dxa"/>
            <w:shd w:val="clear" w:color="auto" w:fill="FFFFFF" w:themeFill="background1"/>
            <w:vAlign w:val="center"/>
          </w:tcPr>
          <w:p w14:paraId="2B5FC395" w14:textId="14367C09" w:rsidR="009B49BF" w:rsidRPr="001D105D" w:rsidRDefault="009B49BF" w:rsidP="00215563">
            <w:pPr>
              <w:jc w:val="center"/>
              <w:rPr>
                <w:rFonts w:cstheme="minorHAnsi"/>
                <w:sz w:val="20"/>
                <w:szCs w:val="20"/>
              </w:rPr>
            </w:pPr>
            <w:r w:rsidRPr="001D105D">
              <w:rPr>
                <w:rFonts w:cstheme="minorHAnsi"/>
                <w:sz w:val="20"/>
                <w:szCs w:val="20"/>
              </w:rPr>
              <w:t>12,962</w:t>
            </w:r>
          </w:p>
        </w:tc>
        <w:tc>
          <w:tcPr>
            <w:tcW w:w="966" w:type="dxa"/>
            <w:shd w:val="clear" w:color="auto" w:fill="FFFFFF" w:themeFill="background1"/>
            <w:noWrap/>
            <w:vAlign w:val="center"/>
          </w:tcPr>
          <w:p w14:paraId="13DEEFC4" w14:textId="07F8D3E4" w:rsidR="009B49BF" w:rsidRPr="001D105D" w:rsidRDefault="009B49BF" w:rsidP="00215563">
            <w:pPr>
              <w:jc w:val="center"/>
              <w:rPr>
                <w:rFonts w:cstheme="minorHAnsi"/>
                <w:sz w:val="20"/>
                <w:szCs w:val="20"/>
              </w:rPr>
            </w:pPr>
            <w:r w:rsidRPr="001D105D">
              <w:rPr>
                <w:rFonts w:cstheme="minorHAnsi"/>
                <w:sz w:val="20"/>
                <w:szCs w:val="20"/>
              </w:rPr>
              <w:t>14,107</w:t>
            </w:r>
          </w:p>
        </w:tc>
        <w:tc>
          <w:tcPr>
            <w:tcW w:w="896" w:type="dxa"/>
            <w:shd w:val="clear" w:color="auto" w:fill="FFFFFF" w:themeFill="background1"/>
            <w:noWrap/>
            <w:vAlign w:val="center"/>
          </w:tcPr>
          <w:p w14:paraId="6AA0F45D" w14:textId="4EB96D58" w:rsidR="009B49BF" w:rsidRPr="001D105D" w:rsidRDefault="009B49BF" w:rsidP="00215563">
            <w:pPr>
              <w:jc w:val="center"/>
              <w:rPr>
                <w:rFonts w:cstheme="minorHAnsi"/>
                <w:sz w:val="20"/>
                <w:szCs w:val="20"/>
              </w:rPr>
            </w:pPr>
            <w:r w:rsidRPr="001D105D">
              <w:rPr>
                <w:rFonts w:cstheme="minorHAnsi"/>
                <w:sz w:val="20"/>
                <w:szCs w:val="20"/>
              </w:rPr>
              <w:t>15,923</w:t>
            </w:r>
          </w:p>
        </w:tc>
        <w:tc>
          <w:tcPr>
            <w:tcW w:w="895" w:type="dxa"/>
            <w:shd w:val="clear" w:color="auto" w:fill="FFFFFF" w:themeFill="background1"/>
            <w:noWrap/>
            <w:vAlign w:val="center"/>
          </w:tcPr>
          <w:p w14:paraId="3BCB7C89" w14:textId="18873D48" w:rsidR="009B49BF" w:rsidRPr="001D105D" w:rsidRDefault="009B49BF" w:rsidP="00215563">
            <w:pPr>
              <w:jc w:val="center"/>
              <w:rPr>
                <w:rFonts w:cstheme="minorHAnsi"/>
                <w:sz w:val="20"/>
                <w:szCs w:val="20"/>
              </w:rPr>
            </w:pPr>
            <w:r w:rsidRPr="001D105D">
              <w:rPr>
                <w:rFonts w:cstheme="minorHAnsi"/>
                <w:sz w:val="20"/>
                <w:szCs w:val="20"/>
              </w:rPr>
              <w:t>18,051</w:t>
            </w:r>
          </w:p>
        </w:tc>
        <w:tc>
          <w:tcPr>
            <w:tcW w:w="882" w:type="dxa"/>
            <w:shd w:val="clear" w:color="auto" w:fill="FFFFFF" w:themeFill="background1"/>
            <w:noWrap/>
            <w:vAlign w:val="center"/>
          </w:tcPr>
          <w:p w14:paraId="08756B11" w14:textId="5B464BA6" w:rsidR="009B49BF" w:rsidRPr="001D105D" w:rsidRDefault="009B49BF" w:rsidP="00215563">
            <w:pPr>
              <w:jc w:val="center"/>
              <w:rPr>
                <w:rFonts w:cstheme="minorHAnsi"/>
                <w:sz w:val="20"/>
                <w:szCs w:val="20"/>
              </w:rPr>
            </w:pPr>
            <w:r w:rsidRPr="001D105D">
              <w:rPr>
                <w:rFonts w:cstheme="minorHAnsi"/>
                <w:sz w:val="20"/>
                <w:szCs w:val="20"/>
              </w:rPr>
              <w:t>20,627</w:t>
            </w:r>
          </w:p>
        </w:tc>
        <w:tc>
          <w:tcPr>
            <w:tcW w:w="896" w:type="dxa"/>
            <w:shd w:val="clear" w:color="auto" w:fill="FFFFFF" w:themeFill="background1"/>
            <w:vAlign w:val="center"/>
          </w:tcPr>
          <w:p w14:paraId="172149FC" w14:textId="39E7071A" w:rsidR="009B49BF" w:rsidRPr="001D105D" w:rsidRDefault="009B49BF" w:rsidP="00215563">
            <w:pPr>
              <w:jc w:val="center"/>
              <w:rPr>
                <w:rFonts w:cstheme="minorHAnsi"/>
                <w:sz w:val="20"/>
                <w:szCs w:val="20"/>
              </w:rPr>
            </w:pPr>
            <w:r w:rsidRPr="001D105D">
              <w:rPr>
                <w:rFonts w:cstheme="minorHAnsi"/>
                <w:sz w:val="20"/>
                <w:szCs w:val="20"/>
              </w:rPr>
              <w:t>23,748</w:t>
            </w:r>
          </w:p>
        </w:tc>
        <w:tc>
          <w:tcPr>
            <w:tcW w:w="924" w:type="dxa"/>
            <w:shd w:val="clear" w:color="auto" w:fill="FFFFFF" w:themeFill="background1"/>
            <w:vAlign w:val="center"/>
          </w:tcPr>
          <w:p w14:paraId="45588E6D" w14:textId="17D16E1C" w:rsidR="009B49BF" w:rsidRPr="001D105D" w:rsidRDefault="009B49BF" w:rsidP="00215563">
            <w:pPr>
              <w:jc w:val="center"/>
              <w:rPr>
                <w:rFonts w:cstheme="minorHAnsi"/>
                <w:sz w:val="20"/>
                <w:szCs w:val="20"/>
              </w:rPr>
            </w:pPr>
            <w:r w:rsidRPr="001D105D">
              <w:rPr>
                <w:rFonts w:cstheme="minorHAnsi"/>
                <w:sz w:val="20"/>
                <w:szCs w:val="20"/>
              </w:rPr>
              <w:t>28,295</w:t>
            </w:r>
          </w:p>
        </w:tc>
        <w:tc>
          <w:tcPr>
            <w:tcW w:w="992" w:type="dxa"/>
            <w:shd w:val="clear" w:color="auto" w:fill="FFFFFF" w:themeFill="background1"/>
            <w:vAlign w:val="center"/>
          </w:tcPr>
          <w:p w14:paraId="22BD9243" w14:textId="55652E45" w:rsidR="009B49BF" w:rsidRPr="001D105D" w:rsidRDefault="009B49BF" w:rsidP="00215563">
            <w:pPr>
              <w:jc w:val="center"/>
              <w:rPr>
                <w:rFonts w:cstheme="minorHAnsi"/>
                <w:sz w:val="20"/>
                <w:szCs w:val="20"/>
              </w:rPr>
            </w:pPr>
            <w:r w:rsidRPr="001D105D">
              <w:rPr>
                <w:rFonts w:cstheme="minorHAnsi"/>
                <w:sz w:val="20"/>
                <w:szCs w:val="20"/>
              </w:rPr>
              <w:t>36,204</w:t>
            </w:r>
          </w:p>
        </w:tc>
      </w:tr>
      <w:tr w:rsidR="009B49BF" w:rsidRPr="001D105D" w14:paraId="1A921E9D" w14:textId="5DA0CD35" w:rsidTr="00511D6E">
        <w:trPr>
          <w:trHeight w:val="297"/>
        </w:trPr>
        <w:tc>
          <w:tcPr>
            <w:tcW w:w="1696" w:type="dxa"/>
            <w:shd w:val="clear" w:color="auto" w:fill="FFFFFF" w:themeFill="background1"/>
            <w:noWrap/>
            <w:vAlign w:val="center"/>
          </w:tcPr>
          <w:p w14:paraId="59FDB813" w14:textId="77777777" w:rsidR="009B49BF" w:rsidRPr="001D105D" w:rsidRDefault="009B49BF" w:rsidP="00215563">
            <w:pPr>
              <w:rPr>
                <w:rFonts w:eastAsia="Times New Roman" w:cs="Times New Roman"/>
                <w:b/>
                <w:sz w:val="20"/>
                <w:szCs w:val="20"/>
              </w:rPr>
            </w:pPr>
            <w:r w:rsidRPr="001D105D">
              <w:rPr>
                <w:rFonts w:eastAsia="Times New Roman" w:cs="Times New Roman"/>
                <w:b/>
                <w:sz w:val="20"/>
                <w:szCs w:val="20"/>
              </w:rPr>
              <w:t xml:space="preserve">Unknown </w:t>
            </w:r>
          </w:p>
        </w:tc>
        <w:tc>
          <w:tcPr>
            <w:tcW w:w="920" w:type="dxa"/>
            <w:shd w:val="clear" w:color="auto" w:fill="FFFFFF" w:themeFill="background1"/>
            <w:vAlign w:val="center"/>
          </w:tcPr>
          <w:p w14:paraId="758B98C0" w14:textId="51671734" w:rsidR="009B49BF" w:rsidRPr="001D105D" w:rsidRDefault="009B49BF" w:rsidP="00215563">
            <w:pPr>
              <w:jc w:val="center"/>
              <w:rPr>
                <w:rFonts w:cstheme="minorHAnsi"/>
                <w:sz w:val="20"/>
                <w:szCs w:val="20"/>
              </w:rPr>
            </w:pPr>
            <w:r w:rsidRPr="001D105D">
              <w:rPr>
                <w:rFonts w:cstheme="minorHAnsi"/>
                <w:sz w:val="20"/>
                <w:szCs w:val="20"/>
              </w:rPr>
              <w:t>77</w:t>
            </w:r>
          </w:p>
        </w:tc>
        <w:tc>
          <w:tcPr>
            <w:tcW w:w="966" w:type="dxa"/>
            <w:shd w:val="clear" w:color="auto" w:fill="FFFFFF" w:themeFill="background1"/>
            <w:noWrap/>
            <w:vAlign w:val="center"/>
          </w:tcPr>
          <w:p w14:paraId="076FF484" w14:textId="7AF1FA55" w:rsidR="009B49BF" w:rsidRPr="001D105D" w:rsidRDefault="009B49BF" w:rsidP="00215563">
            <w:pPr>
              <w:jc w:val="center"/>
              <w:rPr>
                <w:rFonts w:cstheme="minorHAnsi"/>
                <w:sz w:val="20"/>
                <w:szCs w:val="20"/>
              </w:rPr>
            </w:pPr>
            <w:r w:rsidRPr="001D105D">
              <w:rPr>
                <w:rFonts w:cstheme="minorHAnsi"/>
                <w:sz w:val="20"/>
                <w:szCs w:val="20"/>
              </w:rPr>
              <w:t>73</w:t>
            </w:r>
          </w:p>
        </w:tc>
        <w:tc>
          <w:tcPr>
            <w:tcW w:w="896" w:type="dxa"/>
            <w:shd w:val="clear" w:color="auto" w:fill="FFFFFF" w:themeFill="background1"/>
            <w:noWrap/>
            <w:vAlign w:val="center"/>
          </w:tcPr>
          <w:p w14:paraId="6D041BAE" w14:textId="301D83EB" w:rsidR="009B49BF" w:rsidRPr="001D105D" w:rsidRDefault="009B49BF" w:rsidP="00215563">
            <w:pPr>
              <w:jc w:val="center"/>
              <w:rPr>
                <w:rFonts w:cstheme="minorHAnsi"/>
                <w:sz w:val="20"/>
                <w:szCs w:val="20"/>
              </w:rPr>
            </w:pPr>
            <w:r w:rsidRPr="001D105D">
              <w:rPr>
                <w:rFonts w:cstheme="minorHAnsi"/>
                <w:sz w:val="20"/>
                <w:szCs w:val="20"/>
              </w:rPr>
              <w:t>80</w:t>
            </w:r>
          </w:p>
        </w:tc>
        <w:tc>
          <w:tcPr>
            <w:tcW w:w="895" w:type="dxa"/>
            <w:shd w:val="clear" w:color="auto" w:fill="FFFFFF" w:themeFill="background1"/>
            <w:noWrap/>
            <w:vAlign w:val="center"/>
          </w:tcPr>
          <w:p w14:paraId="51A6D719" w14:textId="775A9DB8" w:rsidR="009B49BF" w:rsidRPr="001D105D" w:rsidRDefault="009B49BF" w:rsidP="00215563">
            <w:pPr>
              <w:jc w:val="center"/>
              <w:rPr>
                <w:rFonts w:cstheme="minorHAnsi"/>
                <w:sz w:val="20"/>
                <w:szCs w:val="20"/>
              </w:rPr>
            </w:pPr>
            <w:r w:rsidRPr="001D105D">
              <w:rPr>
                <w:rFonts w:cstheme="minorHAnsi"/>
                <w:sz w:val="20"/>
                <w:szCs w:val="20"/>
              </w:rPr>
              <w:t>16</w:t>
            </w:r>
          </w:p>
        </w:tc>
        <w:tc>
          <w:tcPr>
            <w:tcW w:w="882" w:type="dxa"/>
            <w:shd w:val="clear" w:color="auto" w:fill="FFFFFF" w:themeFill="background1"/>
            <w:noWrap/>
            <w:vAlign w:val="center"/>
          </w:tcPr>
          <w:p w14:paraId="0896C1B6" w14:textId="6A618364" w:rsidR="009B49BF" w:rsidRPr="001D105D" w:rsidRDefault="009B49BF" w:rsidP="00215563">
            <w:pPr>
              <w:jc w:val="center"/>
              <w:rPr>
                <w:rFonts w:cstheme="minorHAnsi"/>
                <w:sz w:val="20"/>
                <w:szCs w:val="20"/>
              </w:rPr>
            </w:pPr>
            <w:r w:rsidRPr="001D105D">
              <w:rPr>
                <w:rFonts w:cstheme="minorHAnsi"/>
                <w:sz w:val="20"/>
                <w:szCs w:val="20"/>
              </w:rPr>
              <w:t>32</w:t>
            </w:r>
          </w:p>
        </w:tc>
        <w:tc>
          <w:tcPr>
            <w:tcW w:w="896" w:type="dxa"/>
            <w:shd w:val="clear" w:color="auto" w:fill="FFFFFF" w:themeFill="background1"/>
            <w:vAlign w:val="center"/>
          </w:tcPr>
          <w:p w14:paraId="2E9292A7" w14:textId="54F37454" w:rsidR="009B49BF" w:rsidRPr="001D105D" w:rsidRDefault="009B49BF" w:rsidP="00215563">
            <w:pPr>
              <w:jc w:val="center"/>
              <w:rPr>
                <w:rFonts w:cstheme="minorHAnsi"/>
                <w:sz w:val="20"/>
                <w:szCs w:val="20"/>
              </w:rPr>
            </w:pPr>
            <w:r w:rsidRPr="001D105D">
              <w:rPr>
                <w:rFonts w:cstheme="minorHAnsi"/>
                <w:sz w:val="20"/>
                <w:szCs w:val="20"/>
              </w:rPr>
              <w:t>44</w:t>
            </w:r>
          </w:p>
        </w:tc>
        <w:tc>
          <w:tcPr>
            <w:tcW w:w="924" w:type="dxa"/>
            <w:shd w:val="clear" w:color="auto" w:fill="FFFFFF" w:themeFill="background1"/>
            <w:vAlign w:val="center"/>
          </w:tcPr>
          <w:p w14:paraId="105C9C5C" w14:textId="1AC2A657" w:rsidR="009B49BF" w:rsidRPr="001D105D" w:rsidRDefault="009B49BF" w:rsidP="00215563">
            <w:pPr>
              <w:jc w:val="center"/>
              <w:rPr>
                <w:rFonts w:cstheme="minorHAnsi"/>
                <w:sz w:val="20"/>
                <w:szCs w:val="20"/>
              </w:rPr>
            </w:pPr>
            <w:r w:rsidRPr="001D105D">
              <w:rPr>
                <w:rFonts w:cstheme="minorHAnsi"/>
                <w:sz w:val="20"/>
                <w:szCs w:val="20"/>
              </w:rPr>
              <w:t>31</w:t>
            </w:r>
          </w:p>
        </w:tc>
        <w:tc>
          <w:tcPr>
            <w:tcW w:w="992" w:type="dxa"/>
            <w:shd w:val="clear" w:color="auto" w:fill="FFFFFF" w:themeFill="background1"/>
            <w:vAlign w:val="center"/>
          </w:tcPr>
          <w:p w14:paraId="7CED6548" w14:textId="387419B1" w:rsidR="009B49BF" w:rsidRPr="001D105D" w:rsidRDefault="009B49BF" w:rsidP="00215563">
            <w:pPr>
              <w:jc w:val="center"/>
              <w:rPr>
                <w:rFonts w:cstheme="minorHAnsi"/>
                <w:sz w:val="20"/>
                <w:szCs w:val="20"/>
              </w:rPr>
            </w:pPr>
            <w:r w:rsidRPr="001D105D">
              <w:rPr>
                <w:rFonts w:cstheme="minorHAnsi"/>
                <w:sz w:val="20"/>
                <w:szCs w:val="20"/>
              </w:rPr>
              <w:t>21</w:t>
            </w:r>
          </w:p>
        </w:tc>
      </w:tr>
      <w:tr w:rsidR="009B49BF" w:rsidRPr="001D105D" w14:paraId="23BE86ED" w14:textId="3A53851A" w:rsidTr="00511D6E">
        <w:trPr>
          <w:trHeight w:val="297"/>
        </w:trPr>
        <w:tc>
          <w:tcPr>
            <w:tcW w:w="1696" w:type="dxa"/>
            <w:shd w:val="clear" w:color="auto" w:fill="FFFFFF" w:themeFill="background1"/>
            <w:noWrap/>
            <w:vAlign w:val="center"/>
            <w:hideMark/>
          </w:tcPr>
          <w:p w14:paraId="72AD290D" w14:textId="264FEEA3" w:rsidR="009B49BF" w:rsidRPr="001D105D" w:rsidRDefault="009B49BF" w:rsidP="00215563">
            <w:pPr>
              <w:rPr>
                <w:rFonts w:eastAsia="Times New Roman" w:cs="Times New Roman"/>
                <w:b/>
                <w:sz w:val="20"/>
                <w:szCs w:val="20"/>
              </w:rPr>
            </w:pPr>
            <w:r w:rsidRPr="001D105D">
              <w:rPr>
                <w:rFonts w:eastAsia="Times New Roman" w:cs="Times New Roman"/>
                <w:b/>
                <w:sz w:val="20"/>
                <w:szCs w:val="20"/>
              </w:rPr>
              <w:t>Total patients</w:t>
            </w:r>
          </w:p>
        </w:tc>
        <w:tc>
          <w:tcPr>
            <w:tcW w:w="920" w:type="dxa"/>
            <w:shd w:val="clear" w:color="auto" w:fill="FFFFFF" w:themeFill="background1"/>
            <w:vAlign w:val="center"/>
          </w:tcPr>
          <w:p w14:paraId="780CC484" w14:textId="78B6E86C" w:rsidR="009B49BF" w:rsidRPr="001D105D" w:rsidRDefault="009B49BF" w:rsidP="00215563">
            <w:pPr>
              <w:jc w:val="center"/>
              <w:rPr>
                <w:rFonts w:cstheme="minorHAnsi"/>
                <w:b/>
                <w:bCs/>
                <w:color w:val="000000"/>
                <w:sz w:val="20"/>
                <w:szCs w:val="20"/>
              </w:rPr>
            </w:pPr>
            <w:r w:rsidRPr="001D105D">
              <w:rPr>
                <w:rFonts w:cstheme="minorHAnsi"/>
                <w:b/>
                <w:bCs/>
                <w:color w:val="000000"/>
                <w:sz w:val="20"/>
                <w:szCs w:val="20"/>
              </w:rPr>
              <w:t>112,605</w:t>
            </w:r>
          </w:p>
        </w:tc>
        <w:tc>
          <w:tcPr>
            <w:tcW w:w="966" w:type="dxa"/>
            <w:shd w:val="clear" w:color="auto" w:fill="FFFFFF" w:themeFill="background1"/>
            <w:noWrap/>
            <w:vAlign w:val="center"/>
          </w:tcPr>
          <w:p w14:paraId="1CDBF244" w14:textId="1F655C1D" w:rsidR="009B49BF" w:rsidRPr="001D105D" w:rsidRDefault="009B49BF" w:rsidP="00215563">
            <w:pPr>
              <w:jc w:val="center"/>
              <w:rPr>
                <w:rFonts w:cstheme="minorHAnsi"/>
                <w:b/>
                <w:bCs/>
                <w:color w:val="000000"/>
                <w:sz w:val="20"/>
                <w:szCs w:val="20"/>
              </w:rPr>
            </w:pPr>
            <w:r w:rsidRPr="001D105D">
              <w:rPr>
                <w:rFonts w:cstheme="minorHAnsi"/>
                <w:b/>
                <w:bCs/>
                <w:color w:val="000000"/>
                <w:sz w:val="20"/>
                <w:szCs w:val="20"/>
              </w:rPr>
              <w:t>119,561</w:t>
            </w:r>
          </w:p>
        </w:tc>
        <w:tc>
          <w:tcPr>
            <w:tcW w:w="896" w:type="dxa"/>
            <w:shd w:val="clear" w:color="auto" w:fill="FFFFFF" w:themeFill="background1"/>
            <w:noWrap/>
            <w:vAlign w:val="center"/>
          </w:tcPr>
          <w:p w14:paraId="3CE9ED59" w14:textId="4761BAD3" w:rsidR="009B49BF" w:rsidRPr="001D105D" w:rsidRDefault="009B49BF" w:rsidP="00215563">
            <w:pPr>
              <w:jc w:val="center"/>
              <w:rPr>
                <w:rFonts w:cstheme="minorHAnsi"/>
                <w:b/>
                <w:bCs/>
                <w:color w:val="000000"/>
                <w:sz w:val="20"/>
                <w:szCs w:val="20"/>
              </w:rPr>
            </w:pPr>
            <w:r w:rsidRPr="001D105D">
              <w:rPr>
                <w:rFonts w:cstheme="minorHAnsi"/>
                <w:b/>
                <w:bCs/>
                <w:color w:val="000000"/>
                <w:sz w:val="20"/>
                <w:szCs w:val="20"/>
              </w:rPr>
              <w:t>132,204</w:t>
            </w:r>
          </w:p>
        </w:tc>
        <w:tc>
          <w:tcPr>
            <w:tcW w:w="895" w:type="dxa"/>
            <w:shd w:val="clear" w:color="auto" w:fill="FFFFFF" w:themeFill="background1"/>
            <w:noWrap/>
            <w:vAlign w:val="center"/>
          </w:tcPr>
          <w:p w14:paraId="75435695" w14:textId="33BAE2EB" w:rsidR="009B49BF" w:rsidRPr="001D105D" w:rsidRDefault="009B49BF" w:rsidP="00215563">
            <w:pPr>
              <w:jc w:val="center"/>
              <w:rPr>
                <w:rFonts w:cstheme="minorHAnsi"/>
                <w:b/>
                <w:bCs/>
                <w:color w:val="000000"/>
                <w:sz w:val="20"/>
                <w:szCs w:val="20"/>
              </w:rPr>
            </w:pPr>
            <w:r w:rsidRPr="001D105D">
              <w:rPr>
                <w:rFonts w:cstheme="minorHAnsi"/>
                <w:b/>
                <w:bCs/>
                <w:color w:val="000000"/>
                <w:sz w:val="20"/>
                <w:szCs w:val="20"/>
              </w:rPr>
              <w:t>147,310</w:t>
            </w:r>
          </w:p>
        </w:tc>
        <w:tc>
          <w:tcPr>
            <w:tcW w:w="882" w:type="dxa"/>
            <w:shd w:val="clear" w:color="auto" w:fill="FFFFFF" w:themeFill="background1"/>
            <w:noWrap/>
            <w:vAlign w:val="center"/>
          </w:tcPr>
          <w:p w14:paraId="335D7782" w14:textId="7E3DAF67" w:rsidR="009B49BF" w:rsidRPr="001D105D" w:rsidRDefault="009B49BF" w:rsidP="00215563">
            <w:pPr>
              <w:jc w:val="center"/>
              <w:rPr>
                <w:rFonts w:cstheme="minorHAnsi"/>
                <w:b/>
                <w:bCs/>
                <w:color w:val="000000"/>
                <w:sz w:val="20"/>
                <w:szCs w:val="20"/>
              </w:rPr>
            </w:pPr>
            <w:r w:rsidRPr="001D105D">
              <w:rPr>
                <w:rFonts w:cstheme="minorHAnsi"/>
                <w:b/>
                <w:bCs/>
                <w:color w:val="000000"/>
                <w:sz w:val="20"/>
                <w:szCs w:val="20"/>
              </w:rPr>
              <w:t>163,831</w:t>
            </w:r>
          </w:p>
        </w:tc>
        <w:tc>
          <w:tcPr>
            <w:tcW w:w="896" w:type="dxa"/>
            <w:shd w:val="clear" w:color="auto" w:fill="FFFFFF" w:themeFill="background1"/>
            <w:vAlign w:val="center"/>
          </w:tcPr>
          <w:p w14:paraId="4A4C628E" w14:textId="5F931D4A" w:rsidR="009B49BF" w:rsidRPr="001D105D" w:rsidRDefault="009B49BF" w:rsidP="00215563">
            <w:pPr>
              <w:jc w:val="center"/>
              <w:rPr>
                <w:rFonts w:cstheme="minorHAnsi"/>
                <w:b/>
                <w:bCs/>
                <w:color w:val="000000"/>
                <w:sz w:val="20"/>
                <w:szCs w:val="20"/>
              </w:rPr>
            </w:pPr>
            <w:r w:rsidRPr="001D105D">
              <w:rPr>
                <w:rFonts w:cstheme="minorHAnsi"/>
                <w:b/>
                <w:bCs/>
                <w:color w:val="000000"/>
                <w:sz w:val="20"/>
                <w:szCs w:val="20"/>
              </w:rPr>
              <w:t>186,411</w:t>
            </w:r>
          </w:p>
        </w:tc>
        <w:tc>
          <w:tcPr>
            <w:tcW w:w="924" w:type="dxa"/>
            <w:shd w:val="clear" w:color="auto" w:fill="FFFFFF" w:themeFill="background1"/>
            <w:vAlign w:val="center"/>
          </w:tcPr>
          <w:p w14:paraId="0126AE0E" w14:textId="6D35AEAF" w:rsidR="009B49BF" w:rsidRPr="001D105D" w:rsidRDefault="009B49BF" w:rsidP="00215563">
            <w:pPr>
              <w:jc w:val="center"/>
              <w:rPr>
                <w:rFonts w:cstheme="minorHAnsi"/>
                <w:b/>
                <w:bCs/>
                <w:color w:val="000000"/>
                <w:sz w:val="20"/>
                <w:szCs w:val="20"/>
              </w:rPr>
            </w:pPr>
            <w:r w:rsidRPr="001D105D">
              <w:rPr>
                <w:rFonts w:cstheme="minorHAnsi"/>
                <w:b/>
                <w:bCs/>
                <w:color w:val="000000"/>
                <w:sz w:val="20"/>
                <w:szCs w:val="20"/>
              </w:rPr>
              <w:t>215,858</w:t>
            </w:r>
          </w:p>
        </w:tc>
        <w:tc>
          <w:tcPr>
            <w:tcW w:w="992" w:type="dxa"/>
            <w:shd w:val="clear" w:color="auto" w:fill="FFFFFF" w:themeFill="background1"/>
            <w:vAlign w:val="center"/>
          </w:tcPr>
          <w:p w14:paraId="3125F95C" w14:textId="348F8AAE" w:rsidR="009B49BF" w:rsidRPr="001D105D" w:rsidRDefault="009B49BF" w:rsidP="00215563">
            <w:pPr>
              <w:jc w:val="center"/>
              <w:rPr>
                <w:rFonts w:cstheme="minorHAnsi"/>
                <w:b/>
                <w:bCs/>
                <w:color w:val="000000"/>
                <w:sz w:val="20"/>
                <w:szCs w:val="20"/>
              </w:rPr>
            </w:pPr>
            <w:r w:rsidRPr="001D105D">
              <w:rPr>
                <w:rFonts w:cstheme="minorHAnsi"/>
                <w:b/>
                <w:bCs/>
                <w:color w:val="000000"/>
                <w:sz w:val="20"/>
                <w:szCs w:val="20"/>
              </w:rPr>
              <w:t>255,208</w:t>
            </w:r>
          </w:p>
        </w:tc>
      </w:tr>
      <w:tr w:rsidR="009B49BF" w:rsidRPr="001D105D" w14:paraId="130ED52F" w14:textId="18DBF9C5" w:rsidTr="00511D6E">
        <w:trPr>
          <w:trHeight w:val="297"/>
        </w:trPr>
        <w:tc>
          <w:tcPr>
            <w:tcW w:w="1696" w:type="dxa"/>
            <w:shd w:val="clear" w:color="auto" w:fill="FFFFFF" w:themeFill="background1"/>
            <w:noWrap/>
            <w:vAlign w:val="center"/>
          </w:tcPr>
          <w:p w14:paraId="5F4AFDA0" w14:textId="77777777" w:rsidR="009B49BF" w:rsidRPr="001D105D" w:rsidRDefault="009B49BF" w:rsidP="00215563">
            <w:pPr>
              <w:rPr>
                <w:rFonts w:eastAsia="Times New Roman" w:cs="Times New Roman"/>
                <w:b/>
                <w:sz w:val="20"/>
                <w:szCs w:val="20"/>
              </w:rPr>
            </w:pPr>
            <w:r w:rsidRPr="001D105D">
              <w:rPr>
                <w:b/>
                <w:sz w:val="20"/>
                <w:szCs w:val="20"/>
              </w:rPr>
              <w:t>% growth from previous year</w:t>
            </w:r>
          </w:p>
        </w:tc>
        <w:tc>
          <w:tcPr>
            <w:tcW w:w="920" w:type="dxa"/>
            <w:shd w:val="clear" w:color="auto" w:fill="FFFFFF" w:themeFill="background1"/>
            <w:vAlign w:val="center"/>
          </w:tcPr>
          <w:p w14:paraId="5AF0C08F" w14:textId="2A2D2814" w:rsidR="009B49BF" w:rsidRPr="001D105D" w:rsidRDefault="00C24A67" w:rsidP="00215563">
            <w:pPr>
              <w:jc w:val="center"/>
              <w:rPr>
                <w:rFonts w:cstheme="minorHAnsi"/>
                <w:b/>
                <w:bCs/>
                <w:color w:val="000000"/>
                <w:sz w:val="20"/>
                <w:szCs w:val="20"/>
              </w:rPr>
            </w:pPr>
            <w:r w:rsidRPr="001D105D">
              <w:rPr>
                <w:rFonts w:cstheme="minorHAnsi"/>
                <w:b/>
                <w:bCs/>
                <w:color w:val="000000"/>
                <w:sz w:val="20"/>
                <w:szCs w:val="20"/>
              </w:rPr>
              <w:t>-</w:t>
            </w:r>
          </w:p>
        </w:tc>
        <w:tc>
          <w:tcPr>
            <w:tcW w:w="966" w:type="dxa"/>
            <w:shd w:val="clear" w:color="auto" w:fill="FFFFFF" w:themeFill="background1"/>
            <w:noWrap/>
            <w:vAlign w:val="center"/>
          </w:tcPr>
          <w:p w14:paraId="61181B31" w14:textId="51DDC612" w:rsidR="009B49BF" w:rsidRPr="001D105D" w:rsidRDefault="009B49BF" w:rsidP="00215563">
            <w:pPr>
              <w:jc w:val="center"/>
              <w:rPr>
                <w:rFonts w:cstheme="minorHAnsi"/>
                <w:b/>
                <w:bCs/>
                <w:color w:val="000000"/>
                <w:sz w:val="20"/>
                <w:szCs w:val="20"/>
              </w:rPr>
            </w:pPr>
            <w:r w:rsidRPr="001D105D">
              <w:rPr>
                <w:rFonts w:cstheme="minorHAnsi"/>
                <w:b/>
                <w:bCs/>
                <w:color w:val="000000"/>
                <w:sz w:val="20"/>
                <w:szCs w:val="20"/>
              </w:rPr>
              <w:t>6%</w:t>
            </w:r>
          </w:p>
        </w:tc>
        <w:tc>
          <w:tcPr>
            <w:tcW w:w="896" w:type="dxa"/>
            <w:shd w:val="clear" w:color="auto" w:fill="FFFFFF" w:themeFill="background1"/>
            <w:noWrap/>
            <w:vAlign w:val="center"/>
          </w:tcPr>
          <w:p w14:paraId="74D8208E" w14:textId="6F1C9099" w:rsidR="009B49BF" w:rsidRPr="001D105D" w:rsidRDefault="009B49BF" w:rsidP="00215563">
            <w:pPr>
              <w:jc w:val="center"/>
              <w:rPr>
                <w:rFonts w:cstheme="minorHAnsi"/>
                <w:b/>
                <w:sz w:val="20"/>
                <w:szCs w:val="20"/>
              </w:rPr>
            </w:pPr>
            <w:r w:rsidRPr="001D105D">
              <w:rPr>
                <w:rFonts w:cstheme="minorHAnsi"/>
                <w:b/>
                <w:sz w:val="20"/>
                <w:szCs w:val="20"/>
              </w:rPr>
              <w:t>11%</w:t>
            </w:r>
          </w:p>
        </w:tc>
        <w:tc>
          <w:tcPr>
            <w:tcW w:w="895" w:type="dxa"/>
            <w:shd w:val="clear" w:color="auto" w:fill="FFFFFF" w:themeFill="background1"/>
            <w:noWrap/>
            <w:vAlign w:val="center"/>
          </w:tcPr>
          <w:p w14:paraId="2265EE29" w14:textId="452F9FEB" w:rsidR="009B49BF" w:rsidRPr="001D105D" w:rsidRDefault="009B49BF" w:rsidP="00215563">
            <w:pPr>
              <w:jc w:val="center"/>
              <w:rPr>
                <w:rFonts w:cstheme="minorHAnsi"/>
                <w:b/>
                <w:sz w:val="20"/>
                <w:szCs w:val="20"/>
              </w:rPr>
            </w:pPr>
            <w:r w:rsidRPr="001D105D">
              <w:rPr>
                <w:rFonts w:cstheme="minorHAnsi"/>
                <w:b/>
                <w:sz w:val="20"/>
                <w:szCs w:val="20"/>
              </w:rPr>
              <w:t>11%</w:t>
            </w:r>
          </w:p>
        </w:tc>
        <w:tc>
          <w:tcPr>
            <w:tcW w:w="882" w:type="dxa"/>
            <w:shd w:val="clear" w:color="auto" w:fill="FFFFFF" w:themeFill="background1"/>
            <w:noWrap/>
            <w:vAlign w:val="center"/>
          </w:tcPr>
          <w:p w14:paraId="3B6E5710" w14:textId="51048915" w:rsidR="009B49BF" w:rsidRPr="001D105D" w:rsidRDefault="009B49BF" w:rsidP="00215563">
            <w:pPr>
              <w:jc w:val="center"/>
              <w:rPr>
                <w:rFonts w:cstheme="minorHAnsi"/>
                <w:b/>
                <w:sz w:val="20"/>
                <w:szCs w:val="20"/>
              </w:rPr>
            </w:pPr>
            <w:r w:rsidRPr="001D105D">
              <w:rPr>
                <w:rFonts w:cstheme="minorHAnsi"/>
                <w:b/>
                <w:sz w:val="20"/>
                <w:szCs w:val="20"/>
              </w:rPr>
              <w:t>11%</w:t>
            </w:r>
          </w:p>
        </w:tc>
        <w:tc>
          <w:tcPr>
            <w:tcW w:w="896" w:type="dxa"/>
            <w:shd w:val="clear" w:color="auto" w:fill="FFFFFF" w:themeFill="background1"/>
            <w:vAlign w:val="center"/>
          </w:tcPr>
          <w:p w14:paraId="618DC151" w14:textId="739742AB" w:rsidR="009B49BF" w:rsidRPr="001D105D" w:rsidRDefault="009B49BF" w:rsidP="00215563">
            <w:pPr>
              <w:jc w:val="center"/>
              <w:rPr>
                <w:rFonts w:cstheme="minorHAnsi"/>
                <w:b/>
                <w:sz w:val="20"/>
                <w:szCs w:val="20"/>
              </w:rPr>
            </w:pPr>
            <w:r w:rsidRPr="001D105D">
              <w:rPr>
                <w:rFonts w:cstheme="minorHAnsi"/>
                <w:b/>
                <w:sz w:val="20"/>
                <w:szCs w:val="20"/>
              </w:rPr>
              <w:t>14%</w:t>
            </w:r>
          </w:p>
        </w:tc>
        <w:tc>
          <w:tcPr>
            <w:tcW w:w="924" w:type="dxa"/>
            <w:shd w:val="clear" w:color="auto" w:fill="FFFFFF" w:themeFill="background1"/>
            <w:vAlign w:val="center"/>
          </w:tcPr>
          <w:p w14:paraId="684BEF3E" w14:textId="60B6C7A0" w:rsidR="009B49BF" w:rsidRPr="001D105D" w:rsidRDefault="009B49BF" w:rsidP="00215563">
            <w:pPr>
              <w:jc w:val="center"/>
              <w:rPr>
                <w:rFonts w:cstheme="minorHAnsi"/>
                <w:b/>
                <w:sz w:val="20"/>
                <w:szCs w:val="20"/>
              </w:rPr>
            </w:pPr>
            <w:r w:rsidRPr="001D105D">
              <w:rPr>
                <w:rFonts w:cstheme="minorHAnsi"/>
                <w:b/>
                <w:sz w:val="20"/>
                <w:szCs w:val="20"/>
              </w:rPr>
              <w:t>16%</w:t>
            </w:r>
          </w:p>
        </w:tc>
        <w:tc>
          <w:tcPr>
            <w:tcW w:w="992" w:type="dxa"/>
            <w:shd w:val="clear" w:color="auto" w:fill="FFFFFF" w:themeFill="background1"/>
            <w:vAlign w:val="center"/>
          </w:tcPr>
          <w:p w14:paraId="4A09A8A6" w14:textId="2E46E483" w:rsidR="009B49BF" w:rsidRPr="001D105D" w:rsidRDefault="009B49BF" w:rsidP="00215563">
            <w:pPr>
              <w:jc w:val="center"/>
              <w:rPr>
                <w:rFonts w:cstheme="minorHAnsi"/>
                <w:b/>
                <w:sz w:val="20"/>
                <w:szCs w:val="20"/>
              </w:rPr>
            </w:pPr>
            <w:r w:rsidRPr="001D105D">
              <w:rPr>
                <w:rFonts w:cstheme="minorHAnsi"/>
                <w:b/>
                <w:sz w:val="20"/>
                <w:szCs w:val="20"/>
              </w:rPr>
              <w:t>18%</w:t>
            </w:r>
          </w:p>
        </w:tc>
      </w:tr>
    </w:tbl>
    <w:p w14:paraId="3B1533C8" w14:textId="7BDEA494" w:rsidR="007D350E" w:rsidRPr="001D105D" w:rsidRDefault="007D350E" w:rsidP="00215563">
      <w:pPr>
        <w:pStyle w:val="Notes"/>
      </w:pPr>
      <w:r w:rsidRPr="001D105D">
        <w:t xml:space="preserve">Source: </w:t>
      </w:r>
      <w:r w:rsidR="00921262" w:rsidRPr="001D105D">
        <w:t>Services Australia prescriptions database, extracted March 2021. Unknown denotes age and sex not available in the data.</w:t>
      </w:r>
    </w:p>
    <w:p w14:paraId="377052FA" w14:textId="5E1D8587" w:rsidR="00101DBF" w:rsidRPr="001D105D" w:rsidRDefault="00101DBF" w:rsidP="00215563">
      <w:r w:rsidRPr="001D105D">
        <w:t>Children aged 6-12 years constituted 4</w:t>
      </w:r>
      <w:r w:rsidR="00633CED" w:rsidRPr="001D105D">
        <w:t>2</w:t>
      </w:r>
      <w:r w:rsidRPr="001D105D">
        <w:t>% of all patients treated with ADHD medicines from 2013 to 20</w:t>
      </w:r>
      <w:r w:rsidR="00C327DA" w:rsidRPr="001D105D">
        <w:t>20</w:t>
      </w:r>
      <w:r w:rsidRPr="001D105D">
        <w:t xml:space="preserve">. In addition, over the same period, approximately two thirds of patients supplied </w:t>
      </w:r>
      <w:r w:rsidR="004100AB" w:rsidRPr="001D105D">
        <w:t>R/</w:t>
      </w:r>
      <w:r w:rsidRPr="001D105D">
        <w:t>PBS ADHD medicines were less than 18 years of age.</w:t>
      </w:r>
    </w:p>
    <w:p w14:paraId="6B2C1A0F" w14:textId="47948AFF" w:rsidR="008C30DC" w:rsidRPr="001D105D" w:rsidRDefault="000B6EE0" w:rsidP="00215563">
      <w:r w:rsidRPr="001D105D">
        <w:t>The ratio of males to females receiving a</w:t>
      </w:r>
      <w:r w:rsidR="007F310E" w:rsidRPr="001D105D">
        <w:t>n A</w:t>
      </w:r>
      <w:r w:rsidR="00503E79" w:rsidRPr="001D105D">
        <w:t xml:space="preserve">DHD medicine </w:t>
      </w:r>
      <w:r w:rsidR="00633CED" w:rsidRPr="001D105D">
        <w:t xml:space="preserve">varied across the age brackets with the least difference in treatment rates occurring in adults (19+). </w:t>
      </w:r>
    </w:p>
    <w:p w14:paraId="15F0981B" w14:textId="002B19DE" w:rsidR="00226940" w:rsidRPr="001D105D" w:rsidRDefault="00372072" w:rsidP="00215563">
      <w:r w:rsidRPr="001D105D">
        <w:rPr>
          <w:rFonts w:eastAsia="MS Mincho" w:cs="Times New Roman"/>
        </w:rPr>
        <w:t xml:space="preserve">Figure </w:t>
      </w:r>
      <w:r w:rsidR="00EF6FF2" w:rsidRPr="001D105D">
        <w:rPr>
          <w:rFonts w:eastAsia="MS Mincho" w:cs="Times New Roman"/>
        </w:rPr>
        <w:t>6</w:t>
      </w:r>
      <w:r w:rsidR="00226940" w:rsidRPr="001D105D">
        <w:rPr>
          <w:rFonts w:eastAsia="MS Mincho" w:cs="Times New Roman"/>
        </w:rPr>
        <w:t xml:space="preserve"> depicts the age distribution of patients </w:t>
      </w:r>
      <w:r w:rsidR="0037018A" w:rsidRPr="001D105D">
        <w:rPr>
          <w:rFonts w:eastAsia="MS Mincho" w:cs="Times New Roman"/>
        </w:rPr>
        <w:t xml:space="preserve">new </w:t>
      </w:r>
      <w:r w:rsidR="00226940" w:rsidRPr="001D105D">
        <w:rPr>
          <w:rFonts w:eastAsia="MS Mincho" w:cs="Times New Roman"/>
        </w:rPr>
        <w:t xml:space="preserve">to </w:t>
      </w:r>
      <w:r w:rsidR="004100AB" w:rsidRPr="001D105D">
        <w:rPr>
          <w:rFonts w:eastAsia="MS Mincho" w:cs="Times New Roman"/>
        </w:rPr>
        <w:t>R/</w:t>
      </w:r>
      <w:r w:rsidR="002040FF" w:rsidRPr="001D105D">
        <w:rPr>
          <w:rFonts w:eastAsia="MS Mincho" w:cs="Times New Roman"/>
        </w:rPr>
        <w:t xml:space="preserve">PBS-subsidised </w:t>
      </w:r>
      <w:r w:rsidR="00226940" w:rsidRPr="001D105D">
        <w:rPr>
          <w:rFonts w:eastAsia="MS Mincho" w:cs="Times New Roman"/>
        </w:rPr>
        <w:t>ADHD t</w:t>
      </w:r>
      <w:r w:rsidR="00456723" w:rsidRPr="001D105D">
        <w:rPr>
          <w:rFonts w:eastAsia="MS Mincho" w:cs="Times New Roman"/>
        </w:rPr>
        <w:t xml:space="preserve">herapy </w:t>
      </w:r>
      <w:r w:rsidR="00226940" w:rsidRPr="001D105D">
        <w:rPr>
          <w:rFonts w:eastAsia="MS Mincho" w:cs="Times New Roman"/>
        </w:rPr>
        <w:t>in 20</w:t>
      </w:r>
      <w:r w:rsidR="00512547" w:rsidRPr="001D105D">
        <w:rPr>
          <w:rFonts w:eastAsia="MS Mincho" w:cs="Times New Roman"/>
        </w:rPr>
        <w:t>20</w:t>
      </w:r>
      <w:r w:rsidR="00226940" w:rsidRPr="001D105D">
        <w:rPr>
          <w:rFonts w:eastAsia="MS Mincho" w:cs="Times New Roman"/>
        </w:rPr>
        <w:t xml:space="preserve"> by</w:t>
      </w:r>
      <w:r w:rsidR="000F5FC4" w:rsidRPr="001D105D">
        <w:rPr>
          <w:rFonts w:eastAsia="MS Mincho" w:cs="Times New Roman"/>
        </w:rPr>
        <w:t xml:space="preserve"> the</w:t>
      </w:r>
      <w:r w:rsidR="00226940" w:rsidRPr="001D105D">
        <w:rPr>
          <w:rFonts w:eastAsia="MS Mincho" w:cs="Times New Roman"/>
        </w:rPr>
        <w:t xml:space="preserve"> first ever ADHD medicine </w:t>
      </w:r>
      <w:r w:rsidR="002040FF" w:rsidRPr="001D105D">
        <w:rPr>
          <w:rFonts w:eastAsia="MS Mincho" w:cs="Times New Roman"/>
        </w:rPr>
        <w:t xml:space="preserve">they were </w:t>
      </w:r>
      <w:r w:rsidR="00226940" w:rsidRPr="001D105D">
        <w:rPr>
          <w:rFonts w:eastAsia="MS Mincho" w:cs="Times New Roman"/>
        </w:rPr>
        <w:t>supplied. Figure</w:t>
      </w:r>
      <w:r w:rsidRPr="001D105D">
        <w:rPr>
          <w:rFonts w:eastAsia="MS Mincho" w:cs="Times New Roman"/>
        </w:rPr>
        <w:t xml:space="preserve"> </w:t>
      </w:r>
      <w:r w:rsidR="00EF6FF2" w:rsidRPr="001D105D">
        <w:rPr>
          <w:rFonts w:eastAsia="MS Mincho" w:cs="Times New Roman"/>
        </w:rPr>
        <w:t>7</w:t>
      </w:r>
      <w:r w:rsidR="00226940" w:rsidRPr="001D105D">
        <w:rPr>
          <w:rFonts w:eastAsia="MS Mincho" w:cs="Times New Roman"/>
        </w:rPr>
        <w:t xml:space="preserve"> shows the age distribution </w:t>
      </w:r>
      <w:r w:rsidR="00226940" w:rsidRPr="001D105D">
        <w:rPr>
          <w:rFonts w:eastAsia="MS Mincho" w:cs="Times New Roman"/>
        </w:rPr>
        <w:lastRenderedPageBreak/>
        <w:t xml:space="preserve">for all patients </w:t>
      </w:r>
      <w:r w:rsidR="002040FF" w:rsidRPr="001D105D">
        <w:rPr>
          <w:rFonts w:eastAsia="MS Mincho" w:cs="Times New Roman"/>
        </w:rPr>
        <w:t xml:space="preserve">supplied an ADHD medicine </w:t>
      </w:r>
      <w:r w:rsidRPr="001D105D">
        <w:rPr>
          <w:rFonts w:eastAsia="MS Mincho" w:cs="Times New Roman"/>
        </w:rPr>
        <w:t>in 20</w:t>
      </w:r>
      <w:r w:rsidR="00512547" w:rsidRPr="001D105D">
        <w:rPr>
          <w:rFonts w:eastAsia="MS Mincho" w:cs="Times New Roman"/>
        </w:rPr>
        <w:t>20</w:t>
      </w:r>
      <w:r w:rsidRPr="001D105D">
        <w:rPr>
          <w:rFonts w:eastAsia="MS Mincho" w:cs="Times New Roman"/>
        </w:rPr>
        <w:t xml:space="preserve"> by medicine. In </w:t>
      </w:r>
      <w:r w:rsidR="00CE4ECB" w:rsidRPr="001D105D">
        <w:rPr>
          <w:rFonts w:eastAsia="MS Mincho" w:cs="Times New Roman"/>
        </w:rPr>
        <w:t>F</w:t>
      </w:r>
      <w:r w:rsidRPr="001D105D">
        <w:rPr>
          <w:rFonts w:eastAsia="MS Mincho" w:cs="Times New Roman"/>
        </w:rPr>
        <w:t xml:space="preserve">igure </w:t>
      </w:r>
      <w:r w:rsidR="00EF6FF2" w:rsidRPr="001D105D">
        <w:rPr>
          <w:rFonts w:eastAsia="MS Mincho" w:cs="Times New Roman"/>
        </w:rPr>
        <w:t>7</w:t>
      </w:r>
      <w:r w:rsidR="00226940" w:rsidRPr="001D105D">
        <w:rPr>
          <w:rFonts w:eastAsia="MS Mincho" w:cs="Times New Roman"/>
        </w:rPr>
        <w:t xml:space="preserve">, patients may be double counted if they are supplied more than one ADHD medicine in the same year. </w:t>
      </w:r>
    </w:p>
    <w:p w14:paraId="2AF4637A" w14:textId="62BBE943" w:rsidR="00273DD3" w:rsidRPr="001D105D" w:rsidRDefault="00E173D7" w:rsidP="00215563">
      <w:pPr>
        <w:pStyle w:val="Figuretitle"/>
      </w:pPr>
      <w:r w:rsidRPr="001D105D">
        <w:rPr>
          <w:noProof/>
          <w:lang w:val="en-AU"/>
        </w:rPr>
        <w:drawing>
          <wp:inline distT="0" distB="0" distL="0" distR="0" wp14:anchorId="5DF09D55" wp14:editId="2C66DF85">
            <wp:extent cx="5192201" cy="3204376"/>
            <wp:effectExtent l="0" t="0" r="8890" b="1524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DCC0706" w14:textId="068617B4" w:rsidR="008C30DC" w:rsidRPr="001D105D" w:rsidRDefault="00463DB7" w:rsidP="00215563">
      <w:pPr>
        <w:pStyle w:val="Figuretitle"/>
        <w:rPr>
          <w:b w:val="0"/>
          <w:sz w:val="20"/>
          <w:szCs w:val="20"/>
        </w:rPr>
      </w:pPr>
      <w:r w:rsidRPr="001D105D">
        <w:t xml:space="preserve">Figure </w:t>
      </w:r>
      <w:r w:rsidR="00EF6FF2" w:rsidRPr="001D105D">
        <w:t>6</w:t>
      </w:r>
      <w:r w:rsidR="008C30DC" w:rsidRPr="001D105D">
        <w:t xml:space="preserve">: </w:t>
      </w:r>
      <w:r w:rsidR="00226940" w:rsidRPr="001D105D">
        <w:t>A</w:t>
      </w:r>
      <w:r w:rsidR="00533C5B" w:rsidRPr="001D105D">
        <w:t xml:space="preserve">ge distribution </w:t>
      </w:r>
      <w:r w:rsidR="00456723" w:rsidRPr="001D105D">
        <w:t>of patients new to ADHD therapy by</w:t>
      </w:r>
      <w:r w:rsidR="00533C5B" w:rsidRPr="001D105D">
        <w:t xml:space="preserve"> first</w:t>
      </w:r>
      <w:r w:rsidR="00226940" w:rsidRPr="001D105D">
        <w:t xml:space="preserve"> ever</w:t>
      </w:r>
      <w:r w:rsidR="00533C5B" w:rsidRPr="001D105D">
        <w:t xml:space="preserve"> ADHD medicine</w:t>
      </w:r>
      <w:r w:rsidR="00E173D7" w:rsidRPr="001D105D">
        <w:t xml:space="preserve"> or clonidine</w:t>
      </w:r>
      <w:r w:rsidR="00456723" w:rsidRPr="001D105D">
        <w:t xml:space="preserve"> supplied</w:t>
      </w:r>
      <w:r w:rsidR="004B356E" w:rsidRPr="001D105D">
        <w:t xml:space="preserve"> in</w:t>
      </w:r>
      <w:r w:rsidR="00207E89" w:rsidRPr="001D105D">
        <w:t xml:space="preserve"> 2020</w:t>
      </w:r>
      <w:r w:rsidR="004C5DB9" w:rsidRPr="001D105D">
        <w:t xml:space="preserve"> </w:t>
      </w:r>
      <w:r w:rsidR="0081671C" w:rsidRPr="001D105D">
        <w:br/>
      </w:r>
      <w:r w:rsidR="008C30DC" w:rsidRPr="001D105D">
        <w:rPr>
          <w:b w:val="0"/>
          <w:sz w:val="20"/>
          <w:szCs w:val="20"/>
        </w:rPr>
        <w:t xml:space="preserve">Source: </w:t>
      </w:r>
      <w:r w:rsidR="004C5DB9" w:rsidRPr="001D105D">
        <w:rPr>
          <w:b w:val="0"/>
          <w:sz w:val="20"/>
          <w:szCs w:val="20"/>
        </w:rPr>
        <w:t>Services Australia prescription database, extracted March 2021</w:t>
      </w:r>
      <w:r w:rsidR="00365F26" w:rsidRPr="001D105D">
        <w:rPr>
          <w:b w:val="0"/>
          <w:sz w:val="20"/>
          <w:szCs w:val="20"/>
        </w:rPr>
        <w:t>. Initiating patients are determined as having no ADHD prescriptions since April 2012.</w:t>
      </w:r>
      <w:r w:rsidR="009F74A4" w:rsidRPr="001D105D">
        <w:rPr>
          <w:b w:val="0"/>
          <w:sz w:val="20"/>
          <w:szCs w:val="20"/>
        </w:rPr>
        <w:br/>
        <w:t xml:space="preserve">*MPH-MR Consists of both </w:t>
      </w:r>
      <w:proofErr w:type="spellStart"/>
      <w:r w:rsidR="009F74A4" w:rsidRPr="001D105D">
        <w:rPr>
          <w:b w:val="0"/>
          <w:sz w:val="20"/>
          <w:szCs w:val="20"/>
        </w:rPr>
        <w:t>Concerta</w:t>
      </w:r>
      <w:proofErr w:type="spellEnd"/>
      <w:r w:rsidR="009F74A4" w:rsidRPr="001D105D">
        <w:rPr>
          <w:b w:val="0"/>
          <w:sz w:val="20"/>
          <w:szCs w:val="20"/>
        </w:rPr>
        <w:t>® and Ritalin LA®</w:t>
      </w:r>
    </w:p>
    <w:p w14:paraId="6148131B" w14:textId="77777777" w:rsidR="009F2DD4" w:rsidRPr="001D105D" w:rsidRDefault="009F2DD4" w:rsidP="00215563">
      <w:pPr>
        <w:pStyle w:val="Figuretitle"/>
        <w:rPr>
          <w:rFonts w:cs="Baskerville"/>
          <w:b w:val="0"/>
          <w:sz w:val="20"/>
          <w:szCs w:val="20"/>
        </w:rPr>
      </w:pPr>
    </w:p>
    <w:p w14:paraId="708AC44B" w14:textId="77777777" w:rsidR="00511D6E" w:rsidRDefault="00E173D7" w:rsidP="00215563">
      <w:pPr>
        <w:pStyle w:val="Figuretitle"/>
      </w:pPr>
      <w:r w:rsidRPr="001D105D">
        <w:rPr>
          <w:noProof/>
          <w:lang w:val="en-AU"/>
        </w:rPr>
        <w:drawing>
          <wp:inline distT="0" distB="0" distL="0" distR="0" wp14:anchorId="614490A7" wp14:editId="5B3B75B4">
            <wp:extent cx="5367130" cy="3260035"/>
            <wp:effectExtent l="0" t="0" r="5080" b="17145"/>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333A041" w14:textId="4DF5FA29" w:rsidR="008C30DC" w:rsidRPr="001D105D" w:rsidRDefault="00463DB7" w:rsidP="00215563">
      <w:pPr>
        <w:pStyle w:val="Figuretitle"/>
      </w:pPr>
      <w:r w:rsidRPr="001D105D">
        <w:t xml:space="preserve">Figure </w:t>
      </w:r>
      <w:r w:rsidR="00EF6FF2" w:rsidRPr="001D105D">
        <w:t>7</w:t>
      </w:r>
      <w:r w:rsidR="008C30DC" w:rsidRPr="001D105D">
        <w:t xml:space="preserve">: </w:t>
      </w:r>
      <w:r w:rsidR="00226940" w:rsidRPr="001D105D">
        <w:t>A</w:t>
      </w:r>
      <w:r w:rsidR="00533C5B" w:rsidRPr="001D105D">
        <w:t>ge distribution of prevalent patients by ADHD medicine</w:t>
      </w:r>
      <w:r w:rsidR="00E173D7" w:rsidRPr="001D105D">
        <w:t xml:space="preserve"> or clonidine</w:t>
      </w:r>
      <w:r w:rsidR="004F519D" w:rsidRPr="001D105D">
        <w:t xml:space="preserve"> in</w:t>
      </w:r>
      <w:r w:rsidR="00533C5B" w:rsidRPr="001D105D">
        <w:t xml:space="preserve"> 20</w:t>
      </w:r>
      <w:r w:rsidR="009D4E93" w:rsidRPr="001D105D">
        <w:t>20</w:t>
      </w:r>
    </w:p>
    <w:p w14:paraId="5E97A2B2" w14:textId="5A68E025" w:rsidR="008C30DC" w:rsidRPr="001D105D" w:rsidRDefault="006E36EF" w:rsidP="00215563">
      <w:pPr>
        <w:rPr>
          <w:rFonts w:cs="Baskerville"/>
          <w:sz w:val="20"/>
          <w:szCs w:val="20"/>
        </w:rPr>
      </w:pPr>
      <w:r w:rsidRPr="001D105D">
        <w:rPr>
          <w:sz w:val="20"/>
          <w:szCs w:val="20"/>
        </w:rPr>
        <w:t xml:space="preserve">Source: </w:t>
      </w:r>
      <w:r w:rsidR="00FF3FF6" w:rsidRPr="001D105D">
        <w:rPr>
          <w:sz w:val="20"/>
          <w:szCs w:val="20"/>
        </w:rPr>
        <w:t>Services Australia</w:t>
      </w:r>
      <w:r w:rsidRPr="001D105D">
        <w:rPr>
          <w:sz w:val="20"/>
          <w:szCs w:val="20"/>
        </w:rPr>
        <w:t xml:space="preserve"> prescriptions database, extracted </w:t>
      </w:r>
      <w:r w:rsidR="00FF3FF6" w:rsidRPr="001D105D">
        <w:rPr>
          <w:sz w:val="20"/>
          <w:szCs w:val="20"/>
        </w:rPr>
        <w:t>March 2021</w:t>
      </w:r>
      <w:r w:rsidR="009F74A4" w:rsidRPr="001D105D">
        <w:rPr>
          <w:sz w:val="20"/>
          <w:szCs w:val="20"/>
        </w:rPr>
        <w:br/>
        <w:t xml:space="preserve">*MPH-MR Consists of both </w:t>
      </w:r>
      <w:proofErr w:type="spellStart"/>
      <w:r w:rsidR="009F74A4" w:rsidRPr="001D105D">
        <w:rPr>
          <w:sz w:val="20"/>
          <w:szCs w:val="20"/>
        </w:rPr>
        <w:t>Concerta</w:t>
      </w:r>
      <w:proofErr w:type="spellEnd"/>
      <w:r w:rsidR="009F74A4" w:rsidRPr="001D105D">
        <w:rPr>
          <w:sz w:val="20"/>
          <w:szCs w:val="20"/>
        </w:rPr>
        <w:t>® and Ritalin LA®</w:t>
      </w:r>
    </w:p>
    <w:p w14:paraId="7A4972A2" w14:textId="6AFF4C55" w:rsidR="008C30DC" w:rsidRPr="001D105D" w:rsidRDefault="008C30DC" w:rsidP="00215563">
      <w:pPr>
        <w:rPr>
          <w:rFonts w:eastAsia="MS Mincho" w:cs="Times New Roman"/>
        </w:rPr>
      </w:pPr>
      <w:r w:rsidRPr="001D105D">
        <w:rPr>
          <w:rFonts w:eastAsia="MS Mincho" w:cs="Times New Roman"/>
        </w:rPr>
        <w:lastRenderedPageBreak/>
        <w:t xml:space="preserve">In children and adolescents, the most common </w:t>
      </w:r>
      <w:r w:rsidR="00803405" w:rsidRPr="001D105D">
        <w:rPr>
          <w:rFonts w:eastAsia="MS Mincho" w:cs="Times New Roman"/>
        </w:rPr>
        <w:t>initiating</w:t>
      </w:r>
      <w:r w:rsidRPr="001D105D">
        <w:rPr>
          <w:rFonts w:eastAsia="MS Mincho" w:cs="Times New Roman"/>
        </w:rPr>
        <w:t xml:space="preserve"> medicine for ADHD is short</w:t>
      </w:r>
      <w:r w:rsidR="004834C3" w:rsidRPr="001D105D">
        <w:rPr>
          <w:rFonts w:eastAsia="MS Mincho" w:cs="Times New Roman"/>
        </w:rPr>
        <w:t>-</w:t>
      </w:r>
      <w:r w:rsidRPr="001D105D">
        <w:rPr>
          <w:rFonts w:eastAsia="MS Mincho" w:cs="Times New Roman"/>
        </w:rPr>
        <w:t>acting methylphenidate</w:t>
      </w:r>
      <w:r w:rsidR="00803405" w:rsidRPr="001D105D">
        <w:rPr>
          <w:rFonts w:eastAsia="MS Mincho" w:cs="Times New Roman"/>
        </w:rPr>
        <w:t xml:space="preserve"> follow</w:t>
      </w:r>
      <w:r w:rsidR="008E68EE" w:rsidRPr="001D105D">
        <w:rPr>
          <w:rFonts w:eastAsia="MS Mincho" w:cs="Times New Roman"/>
        </w:rPr>
        <w:t xml:space="preserve">ed by </w:t>
      </w:r>
      <w:r w:rsidR="00FD7DFD" w:rsidRPr="001D105D">
        <w:rPr>
          <w:rFonts w:eastAsia="MS Mincho" w:cs="Times New Roman"/>
        </w:rPr>
        <w:t xml:space="preserve">clonidine and </w:t>
      </w:r>
      <w:proofErr w:type="spellStart"/>
      <w:r w:rsidR="008E68EE" w:rsidRPr="001D105D">
        <w:rPr>
          <w:rFonts w:eastAsia="MS Mincho" w:cs="Times New Roman"/>
        </w:rPr>
        <w:t>lisdexamfetamine</w:t>
      </w:r>
      <w:proofErr w:type="spellEnd"/>
      <w:r w:rsidR="008E68EE" w:rsidRPr="001D105D">
        <w:rPr>
          <w:rFonts w:eastAsia="MS Mincho" w:cs="Times New Roman"/>
        </w:rPr>
        <w:t xml:space="preserve"> (Figure </w:t>
      </w:r>
      <w:r w:rsidR="00EF6FF2" w:rsidRPr="001D105D">
        <w:rPr>
          <w:rFonts w:eastAsia="MS Mincho" w:cs="Times New Roman"/>
        </w:rPr>
        <w:t>6</w:t>
      </w:r>
      <w:r w:rsidR="004834C3" w:rsidRPr="001D105D">
        <w:rPr>
          <w:rFonts w:eastAsia="MS Mincho" w:cs="Times New Roman"/>
        </w:rPr>
        <w:t>).</w:t>
      </w:r>
      <w:r w:rsidR="00FD7DFD" w:rsidRPr="001D105D">
        <w:rPr>
          <w:rFonts w:eastAsia="MS Mincho" w:cs="Times New Roman"/>
        </w:rPr>
        <w:t xml:space="preserve"> The use of clonidine in younger patients is a good indication </w:t>
      </w:r>
      <w:r w:rsidR="00C17DAF" w:rsidRPr="001D105D">
        <w:rPr>
          <w:rFonts w:eastAsia="MS Mincho" w:cs="Times New Roman"/>
        </w:rPr>
        <w:t xml:space="preserve">of </w:t>
      </w:r>
      <w:r w:rsidR="00FD7DFD" w:rsidRPr="001D105D">
        <w:rPr>
          <w:rFonts w:eastAsia="MS Mincho" w:cs="Times New Roman"/>
        </w:rPr>
        <w:t xml:space="preserve">off-label </w:t>
      </w:r>
      <w:r w:rsidR="00C17DAF" w:rsidRPr="001D105D">
        <w:rPr>
          <w:rFonts w:eastAsia="MS Mincho" w:cs="Times New Roman"/>
        </w:rPr>
        <w:t xml:space="preserve">use </w:t>
      </w:r>
      <w:r w:rsidR="00FD7DFD" w:rsidRPr="001D105D">
        <w:rPr>
          <w:rFonts w:eastAsia="MS Mincho" w:cs="Times New Roman"/>
        </w:rPr>
        <w:t xml:space="preserve">to treat ADHD. </w:t>
      </w:r>
      <w:r w:rsidR="004834C3" w:rsidRPr="001D105D">
        <w:rPr>
          <w:rFonts w:eastAsia="MS Mincho" w:cs="Times New Roman"/>
        </w:rPr>
        <w:t xml:space="preserve"> </w:t>
      </w:r>
      <w:r w:rsidR="00C17DAF" w:rsidRPr="001D105D">
        <w:rPr>
          <w:rFonts w:eastAsia="MS Mincho" w:cs="Times New Roman"/>
        </w:rPr>
        <w:t xml:space="preserve">Both </w:t>
      </w:r>
      <w:r w:rsidR="004834C3" w:rsidRPr="001D105D">
        <w:rPr>
          <w:rFonts w:eastAsia="MS Mincho" w:cs="Times New Roman"/>
        </w:rPr>
        <w:t>short-</w:t>
      </w:r>
      <w:r w:rsidRPr="001D105D">
        <w:rPr>
          <w:rFonts w:eastAsia="MS Mincho" w:cs="Times New Roman"/>
        </w:rPr>
        <w:t xml:space="preserve">acting methylphenidate </w:t>
      </w:r>
      <w:r w:rsidR="00C17DAF" w:rsidRPr="001D105D">
        <w:rPr>
          <w:rFonts w:eastAsia="MS Mincho" w:cs="Times New Roman"/>
        </w:rPr>
        <w:t xml:space="preserve">and long-acting methylphenidate formulations are the most common continuing ADHD treatments in </w:t>
      </w:r>
      <w:r w:rsidRPr="001D105D">
        <w:rPr>
          <w:rFonts w:eastAsia="MS Mincho" w:cs="Times New Roman"/>
        </w:rPr>
        <w:t>school-aged children</w:t>
      </w:r>
      <w:r w:rsidR="008D0A2B" w:rsidRPr="001D105D">
        <w:rPr>
          <w:rFonts w:eastAsia="MS Mincho" w:cs="Times New Roman"/>
        </w:rPr>
        <w:t xml:space="preserve"> </w:t>
      </w:r>
      <w:r w:rsidR="00803405" w:rsidRPr="001D105D">
        <w:rPr>
          <w:rFonts w:eastAsia="MS Mincho" w:cs="Times New Roman"/>
        </w:rPr>
        <w:t xml:space="preserve">(Figure </w:t>
      </w:r>
      <w:r w:rsidR="00EF6FF2" w:rsidRPr="001D105D">
        <w:rPr>
          <w:rFonts w:eastAsia="MS Mincho" w:cs="Times New Roman"/>
        </w:rPr>
        <w:t>7</w:t>
      </w:r>
      <w:r w:rsidRPr="001D105D">
        <w:rPr>
          <w:rFonts w:eastAsia="MS Mincho" w:cs="Times New Roman"/>
        </w:rPr>
        <w:t xml:space="preserve">). This indicates that children either switch therapy from </w:t>
      </w:r>
      <w:r w:rsidR="007B5FFD" w:rsidRPr="001D105D">
        <w:rPr>
          <w:rFonts w:eastAsia="MS Mincho" w:cs="Times New Roman"/>
        </w:rPr>
        <w:t>short-acting</w:t>
      </w:r>
      <w:r w:rsidRPr="001D105D">
        <w:rPr>
          <w:rFonts w:eastAsia="MS Mincho" w:cs="Times New Roman"/>
        </w:rPr>
        <w:t xml:space="preserve"> to </w:t>
      </w:r>
      <w:r w:rsidR="007B5FFD" w:rsidRPr="001D105D">
        <w:rPr>
          <w:rFonts w:eastAsia="MS Mincho" w:cs="Times New Roman"/>
        </w:rPr>
        <w:t>long-acting</w:t>
      </w:r>
      <w:r w:rsidRPr="001D105D">
        <w:rPr>
          <w:rFonts w:eastAsia="MS Mincho" w:cs="Times New Roman"/>
        </w:rPr>
        <w:t xml:space="preserve"> formulations or that </w:t>
      </w:r>
      <w:r w:rsidR="007B5FFD" w:rsidRPr="001D105D">
        <w:rPr>
          <w:rFonts w:eastAsia="MS Mincho" w:cs="Times New Roman"/>
        </w:rPr>
        <w:t>long-acting</w:t>
      </w:r>
      <w:r w:rsidRPr="001D105D">
        <w:rPr>
          <w:rFonts w:eastAsia="MS Mincho" w:cs="Times New Roman"/>
        </w:rPr>
        <w:t xml:space="preserve"> formulations are added to </w:t>
      </w:r>
      <w:r w:rsidR="007B5FFD" w:rsidRPr="001D105D">
        <w:rPr>
          <w:rFonts w:eastAsia="MS Mincho" w:cs="Times New Roman"/>
        </w:rPr>
        <w:t>short-acting</w:t>
      </w:r>
      <w:r w:rsidRPr="001D105D">
        <w:rPr>
          <w:rFonts w:eastAsia="MS Mincho" w:cs="Times New Roman"/>
        </w:rPr>
        <w:t xml:space="preserve"> therapy.</w:t>
      </w:r>
      <w:r w:rsidR="00C17DAF" w:rsidRPr="001D105D">
        <w:rPr>
          <w:rFonts w:eastAsia="MS Mincho" w:cs="Times New Roman"/>
        </w:rPr>
        <w:t xml:space="preserve"> </w:t>
      </w:r>
      <w:proofErr w:type="gramStart"/>
      <w:r w:rsidR="00C17DAF" w:rsidRPr="001D105D">
        <w:rPr>
          <w:rFonts w:eastAsia="MS Mincho" w:cs="Times New Roman"/>
        </w:rPr>
        <w:t>Similar to</w:t>
      </w:r>
      <w:proofErr w:type="gramEnd"/>
      <w:r w:rsidR="00C17DAF" w:rsidRPr="001D105D">
        <w:rPr>
          <w:rFonts w:eastAsia="MS Mincho" w:cs="Times New Roman"/>
        </w:rPr>
        <w:t xml:space="preserve"> initiating patients, clonidine use remains high in continuing patients.</w:t>
      </w:r>
    </w:p>
    <w:p w14:paraId="6EBFA73C" w14:textId="1A397FDD" w:rsidR="008C30DC" w:rsidRPr="001D105D" w:rsidRDefault="00E853E5" w:rsidP="00215563">
      <w:pPr>
        <w:rPr>
          <w:rFonts w:eastAsia="MS Mincho" w:cs="Times New Roman"/>
        </w:rPr>
      </w:pPr>
      <w:r w:rsidRPr="001D105D">
        <w:rPr>
          <w:rFonts w:eastAsia="MS Mincho" w:cs="Times New Roman"/>
        </w:rPr>
        <w:t xml:space="preserve">In adults commencing </w:t>
      </w:r>
      <w:r w:rsidR="004100AB" w:rsidRPr="001D105D">
        <w:rPr>
          <w:rFonts w:eastAsia="MS Mincho" w:cs="Times New Roman"/>
        </w:rPr>
        <w:t>R/</w:t>
      </w:r>
      <w:r w:rsidRPr="001D105D">
        <w:rPr>
          <w:rFonts w:eastAsia="MS Mincho" w:cs="Times New Roman"/>
        </w:rPr>
        <w:t>PBS-</w:t>
      </w:r>
      <w:r w:rsidR="008C30DC" w:rsidRPr="001D105D">
        <w:rPr>
          <w:rFonts w:eastAsia="MS Mincho" w:cs="Times New Roman"/>
        </w:rPr>
        <w:t>subsidised the</w:t>
      </w:r>
      <w:r w:rsidR="00E56C55" w:rsidRPr="001D105D">
        <w:rPr>
          <w:rFonts w:eastAsia="MS Mincho" w:cs="Times New Roman"/>
        </w:rPr>
        <w:t xml:space="preserve">rapy for the first time, </w:t>
      </w:r>
      <w:proofErr w:type="spellStart"/>
      <w:r w:rsidR="00E56C55" w:rsidRPr="001D105D">
        <w:rPr>
          <w:rFonts w:eastAsia="MS Mincho" w:cs="Times New Roman"/>
        </w:rPr>
        <w:t>dexamf</w:t>
      </w:r>
      <w:r w:rsidR="008C30DC" w:rsidRPr="001D105D">
        <w:rPr>
          <w:rFonts w:eastAsia="MS Mincho" w:cs="Times New Roman"/>
        </w:rPr>
        <w:t>etamine</w:t>
      </w:r>
      <w:proofErr w:type="spellEnd"/>
      <w:r w:rsidR="008C30DC" w:rsidRPr="001D105D">
        <w:rPr>
          <w:rFonts w:eastAsia="MS Mincho" w:cs="Times New Roman"/>
        </w:rPr>
        <w:t xml:space="preserve"> is the most com</w:t>
      </w:r>
      <w:r w:rsidR="004834C3" w:rsidRPr="001D105D">
        <w:rPr>
          <w:rFonts w:eastAsia="MS Mincho" w:cs="Times New Roman"/>
        </w:rPr>
        <w:t>mon medicine, followed by short-</w:t>
      </w:r>
      <w:r w:rsidR="00096D1B" w:rsidRPr="001D105D">
        <w:rPr>
          <w:rFonts w:eastAsia="MS Mincho" w:cs="Times New Roman"/>
        </w:rPr>
        <w:t xml:space="preserve">acting methylphenidate (Figure </w:t>
      </w:r>
      <w:r w:rsidR="00EF6FF2" w:rsidRPr="001D105D">
        <w:rPr>
          <w:rFonts w:eastAsia="MS Mincho" w:cs="Times New Roman"/>
        </w:rPr>
        <w:t>6</w:t>
      </w:r>
      <w:r w:rsidR="008C30DC" w:rsidRPr="001D105D">
        <w:rPr>
          <w:rFonts w:eastAsia="MS Mincho" w:cs="Times New Roman"/>
        </w:rPr>
        <w:t xml:space="preserve">). </w:t>
      </w:r>
      <w:proofErr w:type="spellStart"/>
      <w:r w:rsidR="008C30DC" w:rsidRPr="001D105D">
        <w:rPr>
          <w:rFonts w:eastAsia="MS Mincho" w:cs="Times New Roman"/>
        </w:rPr>
        <w:t>Dexamfetamine</w:t>
      </w:r>
      <w:proofErr w:type="spellEnd"/>
      <w:r w:rsidR="008C30DC" w:rsidRPr="001D105D">
        <w:rPr>
          <w:rFonts w:eastAsia="MS Mincho" w:cs="Times New Roman"/>
        </w:rPr>
        <w:t xml:space="preserve"> is </w:t>
      </w:r>
      <w:proofErr w:type="gramStart"/>
      <w:r w:rsidR="008C30DC" w:rsidRPr="001D105D">
        <w:rPr>
          <w:rFonts w:eastAsia="MS Mincho" w:cs="Times New Roman"/>
        </w:rPr>
        <w:t xml:space="preserve">most </w:t>
      </w:r>
      <w:r w:rsidR="00096D1B" w:rsidRPr="001D105D">
        <w:rPr>
          <w:rFonts w:eastAsia="MS Mincho" w:cs="Times New Roman"/>
        </w:rPr>
        <w:t xml:space="preserve">commonly </w:t>
      </w:r>
      <w:r w:rsidR="008C30DC" w:rsidRPr="001D105D">
        <w:rPr>
          <w:rFonts w:eastAsia="MS Mincho" w:cs="Times New Roman"/>
        </w:rPr>
        <w:t>used</w:t>
      </w:r>
      <w:proofErr w:type="gramEnd"/>
      <w:r w:rsidR="008C30DC" w:rsidRPr="001D105D">
        <w:rPr>
          <w:rFonts w:eastAsia="MS Mincho" w:cs="Times New Roman"/>
        </w:rPr>
        <w:t xml:space="preserve"> in </w:t>
      </w:r>
      <w:r w:rsidR="00563D79" w:rsidRPr="001D105D">
        <w:rPr>
          <w:rFonts w:eastAsia="MS Mincho" w:cs="Times New Roman"/>
        </w:rPr>
        <w:t xml:space="preserve">all </w:t>
      </w:r>
      <w:r w:rsidR="008C30DC" w:rsidRPr="001D105D">
        <w:rPr>
          <w:rFonts w:eastAsia="MS Mincho" w:cs="Times New Roman"/>
        </w:rPr>
        <w:t>adult</w:t>
      </w:r>
      <w:r w:rsidR="005B5365" w:rsidRPr="001D105D">
        <w:rPr>
          <w:rFonts w:eastAsia="MS Mincho" w:cs="Times New Roman"/>
        </w:rPr>
        <w:t>s</w:t>
      </w:r>
      <w:r w:rsidR="00563D79" w:rsidRPr="001D105D">
        <w:rPr>
          <w:rFonts w:eastAsia="MS Mincho" w:cs="Times New Roman"/>
        </w:rPr>
        <w:t xml:space="preserve"> receiving</w:t>
      </w:r>
      <w:r w:rsidR="008C30DC" w:rsidRPr="001D105D">
        <w:rPr>
          <w:rFonts w:eastAsia="MS Mincho" w:cs="Times New Roman"/>
        </w:rPr>
        <w:t xml:space="preserve"> </w:t>
      </w:r>
      <w:r w:rsidR="00563D79" w:rsidRPr="001D105D">
        <w:rPr>
          <w:rFonts w:eastAsia="MS Mincho" w:cs="Times New Roman"/>
        </w:rPr>
        <w:t>ADHD therapy</w:t>
      </w:r>
      <w:r w:rsidR="00096D1B" w:rsidRPr="001D105D">
        <w:rPr>
          <w:rFonts w:eastAsia="MS Mincho" w:cs="Times New Roman"/>
        </w:rPr>
        <w:t xml:space="preserve"> over</w:t>
      </w:r>
      <w:r w:rsidR="00563D79" w:rsidRPr="001D105D">
        <w:rPr>
          <w:rFonts w:eastAsia="MS Mincho" w:cs="Times New Roman"/>
        </w:rPr>
        <w:t xml:space="preserve"> the age of 21</w:t>
      </w:r>
      <w:r w:rsidR="008E68EE" w:rsidRPr="001D105D">
        <w:rPr>
          <w:rFonts w:eastAsia="MS Mincho" w:cs="Times New Roman"/>
        </w:rPr>
        <w:t xml:space="preserve"> (Figure </w:t>
      </w:r>
      <w:r w:rsidR="00EF6FF2" w:rsidRPr="001D105D">
        <w:rPr>
          <w:rFonts w:eastAsia="MS Mincho" w:cs="Times New Roman"/>
        </w:rPr>
        <w:t>7</w:t>
      </w:r>
      <w:r w:rsidR="008E68EE" w:rsidRPr="001D105D">
        <w:rPr>
          <w:rFonts w:eastAsia="MS Mincho" w:cs="Times New Roman"/>
        </w:rPr>
        <w:t>)</w:t>
      </w:r>
      <w:r w:rsidR="008C30DC" w:rsidRPr="001D105D">
        <w:rPr>
          <w:rFonts w:eastAsia="MS Mincho" w:cs="Times New Roman"/>
        </w:rPr>
        <w:t xml:space="preserve">. </w:t>
      </w:r>
    </w:p>
    <w:p w14:paraId="497FA8B3" w14:textId="77777777" w:rsidR="008C30DC" w:rsidRPr="001D105D" w:rsidRDefault="008C30DC" w:rsidP="00215563">
      <w:pPr>
        <w:pStyle w:val="Heading4"/>
        <w:rPr>
          <w:sz w:val="24"/>
          <w:szCs w:val="24"/>
        </w:rPr>
      </w:pPr>
      <w:r w:rsidRPr="001D105D">
        <w:rPr>
          <w:sz w:val="24"/>
          <w:szCs w:val="24"/>
        </w:rPr>
        <w:t>Prescribers</w:t>
      </w:r>
    </w:p>
    <w:p w14:paraId="4177B744" w14:textId="18756DF7" w:rsidR="00291774" w:rsidRPr="001D105D" w:rsidRDefault="003C4AB2" w:rsidP="00215563">
      <w:pPr>
        <w:rPr>
          <w:rFonts w:eastAsia="MS Mincho" w:cs="Times New Roman"/>
        </w:rPr>
      </w:pPr>
      <w:r w:rsidRPr="001D105D">
        <w:rPr>
          <w:rFonts w:eastAsia="MS Mincho" w:cs="Times New Roman"/>
        </w:rPr>
        <w:t>Each State and Territory law stipulate</w:t>
      </w:r>
      <w:r w:rsidR="00032059" w:rsidRPr="001D105D">
        <w:rPr>
          <w:rFonts w:eastAsia="MS Mincho" w:cs="Times New Roman"/>
        </w:rPr>
        <w:t>s</w:t>
      </w:r>
      <w:r w:rsidRPr="001D105D">
        <w:rPr>
          <w:rFonts w:eastAsia="MS Mincho" w:cs="Times New Roman"/>
        </w:rPr>
        <w:t xml:space="preserve"> the conditions </w:t>
      </w:r>
      <w:r w:rsidR="00291774" w:rsidRPr="001D105D">
        <w:rPr>
          <w:rFonts w:eastAsia="MS Mincho" w:cs="Times New Roman"/>
        </w:rPr>
        <w:t>under which</w:t>
      </w:r>
      <w:r w:rsidRPr="001D105D">
        <w:rPr>
          <w:rFonts w:eastAsia="MS Mincho" w:cs="Times New Roman"/>
        </w:rPr>
        <w:t xml:space="preserve"> medical practitioners </w:t>
      </w:r>
      <w:proofErr w:type="gramStart"/>
      <w:r w:rsidRPr="001D105D">
        <w:rPr>
          <w:rFonts w:eastAsia="MS Mincho" w:cs="Times New Roman"/>
        </w:rPr>
        <w:t>are able to</w:t>
      </w:r>
      <w:proofErr w:type="gramEnd"/>
      <w:r w:rsidRPr="001D105D">
        <w:rPr>
          <w:rFonts w:eastAsia="MS Mincho" w:cs="Times New Roman"/>
        </w:rPr>
        <w:t xml:space="preserve"> prescribe ADHD medicines.</w:t>
      </w:r>
      <w:r w:rsidR="00C327DA" w:rsidRPr="001D105D">
        <w:rPr>
          <w:rFonts w:eastAsia="MS Mincho" w:cs="Times New Roman"/>
          <w:vertAlign w:val="superscript"/>
        </w:rPr>
        <w:t>1</w:t>
      </w:r>
      <w:r w:rsidRPr="001D105D">
        <w:rPr>
          <w:rFonts w:eastAsia="MS Mincho" w:cs="Times New Roman"/>
        </w:rPr>
        <w:t xml:space="preserve"> </w:t>
      </w:r>
    </w:p>
    <w:p w14:paraId="07553A6E" w14:textId="3FABC9A1" w:rsidR="00372AF4" w:rsidRPr="001D105D" w:rsidRDefault="00463DB7" w:rsidP="00215563">
      <w:pPr>
        <w:spacing w:line="276" w:lineRule="auto"/>
        <w:rPr>
          <w:rFonts w:eastAsia="MS Mincho" w:cs="Times New Roman"/>
        </w:rPr>
      </w:pPr>
      <w:r w:rsidRPr="001D105D">
        <w:rPr>
          <w:rFonts w:eastAsia="MS Mincho" w:cs="Times New Roman"/>
        </w:rPr>
        <w:t xml:space="preserve">Figure </w:t>
      </w:r>
      <w:r w:rsidR="00EF6FF2" w:rsidRPr="001D105D">
        <w:rPr>
          <w:rFonts w:eastAsia="MS Mincho" w:cs="Times New Roman"/>
        </w:rPr>
        <w:t>8</w:t>
      </w:r>
      <w:r w:rsidR="00372AF4" w:rsidRPr="001D105D">
        <w:rPr>
          <w:rFonts w:eastAsia="MS Mincho" w:cs="Times New Roman"/>
        </w:rPr>
        <w:t xml:space="preserve"> shows the </w:t>
      </w:r>
      <w:r w:rsidR="00951401" w:rsidRPr="001D105D">
        <w:rPr>
          <w:rFonts w:eastAsia="MS Mincho" w:cs="Times New Roman"/>
        </w:rPr>
        <w:t>type</w:t>
      </w:r>
      <w:r w:rsidR="00372AF4" w:rsidRPr="001D105D">
        <w:rPr>
          <w:rFonts w:eastAsia="MS Mincho" w:cs="Times New Roman"/>
        </w:rPr>
        <w:t xml:space="preserve"> of prescribers for </w:t>
      </w:r>
      <w:r w:rsidR="00F41196" w:rsidRPr="001D105D">
        <w:rPr>
          <w:rFonts w:eastAsia="MS Mincho" w:cs="Times New Roman"/>
        </w:rPr>
        <w:t xml:space="preserve">the initiating prescription for </w:t>
      </w:r>
      <w:r w:rsidR="00372AF4" w:rsidRPr="001D105D">
        <w:rPr>
          <w:rFonts w:eastAsia="MS Mincho" w:cs="Times New Roman"/>
        </w:rPr>
        <w:t xml:space="preserve">each </w:t>
      </w:r>
      <w:r w:rsidR="004100AB" w:rsidRPr="001D105D">
        <w:rPr>
          <w:rFonts w:eastAsia="MS Mincho" w:cs="Times New Roman"/>
        </w:rPr>
        <w:t>R/</w:t>
      </w:r>
      <w:r w:rsidR="00372AF4" w:rsidRPr="001D105D">
        <w:rPr>
          <w:rFonts w:eastAsia="MS Mincho" w:cs="Times New Roman"/>
        </w:rPr>
        <w:t xml:space="preserve">PBS ADHD medicine </w:t>
      </w:r>
      <w:r w:rsidR="00680CD4" w:rsidRPr="001D105D">
        <w:rPr>
          <w:rFonts w:eastAsia="MS Mincho" w:cs="Times New Roman"/>
        </w:rPr>
        <w:t xml:space="preserve">or clonidine </w:t>
      </w:r>
      <w:r w:rsidR="00372AF4" w:rsidRPr="001D105D">
        <w:rPr>
          <w:rFonts w:eastAsia="MS Mincho" w:cs="Times New Roman"/>
        </w:rPr>
        <w:t>supplied in 20</w:t>
      </w:r>
      <w:r w:rsidR="00680CD4" w:rsidRPr="001D105D">
        <w:rPr>
          <w:rFonts w:eastAsia="MS Mincho" w:cs="Times New Roman"/>
        </w:rPr>
        <w:t>20</w:t>
      </w:r>
      <w:r w:rsidR="00372AF4" w:rsidRPr="001D105D">
        <w:rPr>
          <w:rFonts w:eastAsia="MS Mincho" w:cs="Times New Roman"/>
        </w:rPr>
        <w:t xml:space="preserve">. </w:t>
      </w:r>
    </w:p>
    <w:p w14:paraId="6EFC0ADE" w14:textId="258A286C" w:rsidR="00512547" w:rsidRPr="001D105D" w:rsidRDefault="00B71968" w:rsidP="00215563">
      <w:pPr>
        <w:pStyle w:val="Tabletitle"/>
        <w:rPr>
          <w:rStyle w:val="FiguretitleChar"/>
          <w:b/>
        </w:rPr>
      </w:pPr>
      <w:r w:rsidRPr="001D105D">
        <w:rPr>
          <w:noProof/>
        </w:rPr>
        <w:drawing>
          <wp:inline distT="0" distB="0" distL="0" distR="0" wp14:anchorId="403D6B29" wp14:editId="6839FB23">
            <wp:extent cx="5701085" cy="3951799"/>
            <wp:effectExtent l="0" t="0" r="13970" b="10795"/>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BADCB89" w14:textId="7C962A78" w:rsidR="00490B63" w:rsidRPr="001D105D" w:rsidRDefault="008C30DC" w:rsidP="00215563">
      <w:pPr>
        <w:pStyle w:val="Tabletitle"/>
        <w:rPr>
          <w:b w:val="0"/>
          <w:sz w:val="20"/>
          <w:szCs w:val="20"/>
        </w:rPr>
      </w:pPr>
      <w:r w:rsidRPr="001D105D">
        <w:rPr>
          <w:rStyle w:val="FiguretitleChar"/>
          <w:b/>
        </w:rPr>
        <w:t xml:space="preserve">Figure </w:t>
      </w:r>
      <w:r w:rsidR="00EF6FF2" w:rsidRPr="001D105D">
        <w:rPr>
          <w:rStyle w:val="FiguretitleChar"/>
          <w:b/>
        </w:rPr>
        <w:t>8</w:t>
      </w:r>
      <w:r w:rsidRPr="001D105D">
        <w:rPr>
          <w:rStyle w:val="FiguretitleChar"/>
          <w:b/>
        </w:rPr>
        <w:t xml:space="preserve">: </w:t>
      </w:r>
      <w:r w:rsidR="009D4E93" w:rsidRPr="001D105D">
        <w:rPr>
          <w:rStyle w:val="FiguretitleChar"/>
          <w:b/>
        </w:rPr>
        <w:t xml:space="preserve">Prescriber type for patients initiating ADHD </w:t>
      </w:r>
      <w:r w:rsidR="00B71968" w:rsidRPr="001D105D">
        <w:rPr>
          <w:rStyle w:val="FiguretitleChar"/>
          <w:b/>
        </w:rPr>
        <w:t xml:space="preserve">medicines or clonidine </w:t>
      </w:r>
      <w:r w:rsidR="00490B63" w:rsidRPr="001D105D">
        <w:rPr>
          <w:rStyle w:val="FiguretitleChar"/>
          <w:b/>
        </w:rPr>
        <w:t>in 20</w:t>
      </w:r>
      <w:r w:rsidR="00B71968" w:rsidRPr="001D105D">
        <w:rPr>
          <w:rStyle w:val="FiguretitleChar"/>
          <w:b/>
        </w:rPr>
        <w:t>20</w:t>
      </w:r>
      <w:r w:rsidR="00490B63" w:rsidRPr="001D105D">
        <w:rPr>
          <w:rStyle w:val="FiguretitleChar"/>
          <w:b/>
        </w:rPr>
        <w:t xml:space="preserve"> </w:t>
      </w:r>
      <w:r w:rsidR="00372AF4" w:rsidRPr="001D105D">
        <w:rPr>
          <w:rStyle w:val="FiguretitleChar"/>
          <w:b/>
        </w:rPr>
        <w:br/>
      </w:r>
      <w:r w:rsidR="00372AF4" w:rsidRPr="001D105D">
        <w:rPr>
          <w:b w:val="0"/>
          <w:sz w:val="20"/>
          <w:szCs w:val="20"/>
        </w:rPr>
        <w:t xml:space="preserve">Source: </w:t>
      </w:r>
      <w:r w:rsidR="009D4E93" w:rsidRPr="001D105D">
        <w:rPr>
          <w:b w:val="0"/>
          <w:sz w:val="20"/>
          <w:szCs w:val="20"/>
        </w:rPr>
        <w:t xml:space="preserve">Services Australia </w:t>
      </w:r>
      <w:r w:rsidR="00372AF4" w:rsidRPr="001D105D">
        <w:rPr>
          <w:b w:val="0"/>
          <w:sz w:val="20"/>
          <w:szCs w:val="20"/>
        </w:rPr>
        <w:t xml:space="preserve">prescriptions database, extracted </w:t>
      </w:r>
      <w:r w:rsidR="009D4E93" w:rsidRPr="001D105D">
        <w:rPr>
          <w:b w:val="0"/>
          <w:sz w:val="20"/>
          <w:szCs w:val="20"/>
        </w:rPr>
        <w:t>April 2021</w:t>
      </w:r>
      <w:r w:rsidR="00372AF4" w:rsidRPr="001D105D">
        <w:rPr>
          <w:b w:val="0"/>
          <w:sz w:val="20"/>
          <w:szCs w:val="20"/>
        </w:rPr>
        <w:br/>
        <w:t xml:space="preserve">*MPH-MR Consists of both </w:t>
      </w:r>
      <w:proofErr w:type="spellStart"/>
      <w:r w:rsidR="00372AF4" w:rsidRPr="001D105D">
        <w:rPr>
          <w:b w:val="0"/>
          <w:sz w:val="20"/>
          <w:szCs w:val="20"/>
        </w:rPr>
        <w:t>Concerta</w:t>
      </w:r>
      <w:proofErr w:type="spellEnd"/>
      <w:r w:rsidR="00372AF4" w:rsidRPr="001D105D">
        <w:rPr>
          <w:b w:val="0"/>
          <w:sz w:val="20"/>
          <w:szCs w:val="20"/>
        </w:rPr>
        <w:t>® and Ritalin LA®</w:t>
      </w:r>
    </w:p>
    <w:p w14:paraId="15661705" w14:textId="5A123859" w:rsidR="00490B63" w:rsidRPr="001D105D" w:rsidRDefault="00490B63" w:rsidP="00215563">
      <w:pPr>
        <w:pStyle w:val="Tabletitle"/>
        <w:spacing w:before="0"/>
      </w:pPr>
      <w:proofErr w:type="spellStart"/>
      <w:proofErr w:type="gramStart"/>
      <w:r w:rsidRPr="001D105D">
        <w:rPr>
          <w:b w:val="0"/>
          <w:sz w:val="20"/>
          <w:szCs w:val="20"/>
          <w:vertAlign w:val="superscript"/>
        </w:rPr>
        <w:t>a</w:t>
      </w:r>
      <w:proofErr w:type="spellEnd"/>
      <w:proofErr w:type="gramEnd"/>
      <w:r w:rsidRPr="001D105D">
        <w:rPr>
          <w:b w:val="0"/>
          <w:sz w:val="20"/>
          <w:szCs w:val="20"/>
        </w:rPr>
        <w:t xml:space="preserve"> initial prescription = first prescription for patients who received their first </w:t>
      </w:r>
      <w:r w:rsidR="004100AB" w:rsidRPr="001D105D">
        <w:rPr>
          <w:b w:val="0"/>
          <w:sz w:val="20"/>
          <w:szCs w:val="20"/>
        </w:rPr>
        <w:t>R/</w:t>
      </w:r>
      <w:r w:rsidRPr="001D105D">
        <w:rPr>
          <w:b w:val="0"/>
          <w:sz w:val="20"/>
          <w:szCs w:val="20"/>
        </w:rPr>
        <w:t>PBS ADHD medicine in 20</w:t>
      </w:r>
      <w:r w:rsidR="00680CD4" w:rsidRPr="001D105D">
        <w:rPr>
          <w:b w:val="0"/>
          <w:sz w:val="20"/>
          <w:szCs w:val="20"/>
        </w:rPr>
        <w:t>20</w:t>
      </w:r>
    </w:p>
    <w:p w14:paraId="088DE2E7" w14:textId="3705EC51" w:rsidR="005067DE" w:rsidRPr="001D105D" w:rsidRDefault="004B4591" w:rsidP="00215563">
      <w:pPr>
        <w:pStyle w:val="Tabletitle"/>
        <w:rPr>
          <w:rFonts w:eastAsia="MS Mincho" w:cs="Times New Roman"/>
          <w:b w:val="0"/>
        </w:rPr>
      </w:pPr>
      <w:r w:rsidRPr="001D105D">
        <w:rPr>
          <w:rFonts w:eastAsia="MS Mincho" w:cs="Times New Roman"/>
          <w:b w:val="0"/>
        </w:rPr>
        <w:lastRenderedPageBreak/>
        <w:t>The initial prescriber</w:t>
      </w:r>
      <w:r w:rsidR="00CE4834" w:rsidRPr="001D105D">
        <w:rPr>
          <w:rFonts w:eastAsia="MS Mincho" w:cs="Times New Roman"/>
          <w:b w:val="0"/>
        </w:rPr>
        <w:t xml:space="preserve"> for commencing</w:t>
      </w:r>
      <w:r w:rsidRPr="001D105D">
        <w:rPr>
          <w:rFonts w:eastAsia="MS Mincho" w:cs="Times New Roman"/>
          <w:b w:val="0"/>
        </w:rPr>
        <w:t xml:space="preserve"> </w:t>
      </w:r>
      <w:r w:rsidR="00B81928" w:rsidRPr="001D105D">
        <w:rPr>
          <w:rFonts w:eastAsia="MS Mincho" w:cs="Times New Roman"/>
          <w:b w:val="0"/>
        </w:rPr>
        <w:t xml:space="preserve">an </w:t>
      </w:r>
      <w:r w:rsidRPr="001D105D">
        <w:rPr>
          <w:rFonts w:eastAsia="MS Mincho" w:cs="Times New Roman"/>
          <w:b w:val="0"/>
        </w:rPr>
        <w:t>ADHD</w:t>
      </w:r>
      <w:r w:rsidR="00B81928" w:rsidRPr="001D105D">
        <w:rPr>
          <w:rFonts w:eastAsia="MS Mincho" w:cs="Times New Roman"/>
          <w:b w:val="0"/>
        </w:rPr>
        <w:t xml:space="preserve"> medicine</w:t>
      </w:r>
      <w:r w:rsidRPr="001D105D">
        <w:rPr>
          <w:rFonts w:eastAsia="MS Mincho" w:cs="Times New Roman"/>
          <w:b w:val="0"/>
        </w:rPr>
        <w:t xml:space="preserve"> is influenced by s</w:t>
      </w:r>
      <w:r w:rsidR="00291774" w:rsidRPr="001D105D">
        <w:rPr>
          <w:rFonts w:eastAsia="MS Mincho" w:cs="Times New Roman"/>
          <w:b w:val="0"/>
        </w:rPr>
        <w:t xml:space="preserve">tate and territory regulations. </w:t>
      </w:r>
      <w:r w:rsidR="006427F9" w:rsidRPr="001D105D">
        <w:rPr>
          <w:rFonts w:eastAsia="MS Mincho" w:cs="Times New Roman"/>
          <w:b w:val="0"/>
        </w:rPr>
        <w:t>The initial prescriber type for initiating ADHD medicines is also influe</w:t>
      </w:r>
      <w:r w:rsidR="006D546C" w:rsidRPr="001D105D">
        <w:rPr>
          <w:rFonts w:eastAsia="MS Mincho" w:cs="Times New Roman"/>
          <w:b w:val="0"/>
        </w:rPr>
        <w:t>nced by the age of the patient.</w:t>
      </w:r>
    </w:p>
    <w:p w14:paraId="4646615A" w14:textId="00296848" w:rsidR="005067DE" w:rsidRPr="001D105D" w:rsidRDefault="006E5EE0" w:rsidP="00215563">
      <w:pPr>
        <w:pStyle w:val="Tabletitle"/>
        <w:rPr>
          <w:b w:val="0"/>
        </w:rPr>
      </w:pPr>
      <w:r w:rsidRPr="001D105D">
        <w:rPr>
          <w:b w:val="0"/>
        </w:rPr>
        <w:t xml:space="preserve">For </w:t>
      </w:r>
      <w:r w:rsidR="00C80F08" w:rsidRPr="001D105D">
        <w:rPr>
          <w:b w:val="0"/>
        </w:rPr>
        <w:t xml:space="preserve">first prescriptions of </w:t>
      </w:r>
      <w:proofErr w:type="spellStart"/>
      <w:r w:rsidRPr="001D105D">
        <w:rPr>
          <w:b w:val="0"/>
        </w:rPr>
        <w:t>lisdexamfetamine</w:t>
      </w:r>
      <w:proofErr w:type="spellEnd"/>
      <w:r w:rsidR="00C17DAF" w:rsidRPr="001D105D">
        <w:rPr>
          <w:b w:val="0"/>
        </w:rPr>
        <w:t>,</w:t>
      </w:r>
      <w:r w:rsidRPr="001D105D">
        <w:rPr>
          <w:b w:val="0"/>
        </w:rPr>
        <w:t xml:space="preserve"> methylphenidate</w:t>
      </w:r>
      <w:r w:rsidR="00C17DAF" w:rsidRPr="001D105D">
        <w:rPr>
          <w:b w:val="0"/>
        </w:rPr>
        <w:t xml:space="preserve"> and</w:t>
      </w:r>
      <w:r w:rsidRPr="001D105D">
        <w:rPr>
          <w:b w:val="0"/>
        </w:rPr>
        <w:t xml:space="preserve"> </w:t>
      </w:r>
      <w:r w:rsidR="00C17DAF" w:rsidRPr="001D105D">
        <w:rPr>
          <w:b w:val="0"/>
        </w:rPr>
        <w:t xml:space="preserve">guanfacine, </w:t>
      </w:r>
      <w:r w:rsidRPr="001D105D">
        <w:rPr>
          <w:b w:val="0"/>
        </w:rPr>
        <w:t>a large proportion of initial pre</w:t>
      </w:r>
      <w:r w:rsidR="00BA2D8E" w:rsidRPr="001D105D">
        <w:rPr>
          <w:b w:val="0"/>
        </w:rPr>
        <w:t>scribers we</w:t>
      </w:r>
      <w:r w:rsidR="00490EF1" w:rsidRPr="001D105D">
        <w:rPr>
          <w:b w:val="0"/>
        </w:rPr>
        <w:t xml:space="preserve">re paediatricians. </w:t>
      </w:r>
      <w:r w:rsidR="00C17DAF" w:rsidRPr="001D105D">
        <w:rPr>
          <w:b w:val="0"/>
        </w:rPr>
        <w:t xml:space="preserve">Clonidine also had a large proportion of </w:t>
      </w:r>
      <w:r w:rsidR="007820F1" w:rsidRPr="001D105D">
        <w:rPr>
          <w:b w:val="0"/>
        </w:rPr>
        <w:t xml:space="preserve">paediatricians as the </w:t>
      </w:r>
      <w:r w:rsidR="00C17DAF" w:rsidRPr="001D105D">
        <w:rPr>
          <w:b w:val="0"/>
        </w:rPr>
        <w:t xml:space="preserve">initial </w:t>
      </w:r>
      <w:r w:rsidR="007820F1" w:rsidRPr="001D105D">
        <w:rPr>
          <w:b w:val="0"/>
        </w:rPr>
        <w:t xml:space="preserve">prescribers. </w:t>
      </w:r>
      <w:r w:rsidR="00490EF1" w:rsidRPr="001D105D">
        <w:rPr>
          <w:b w:val="0"/>
        </w:rPr>
        <w:t xml:space="preserve">As the age distribution of </w:t>
      </w:r>
      <w:proofErr w:type="spellStart"/>
      <w:r w:rsidR="00490EF1" w:rsidRPr="001D105D">
        <w:rPr>
          <w:b w:val="0"/>
        </w:rPr>
        <w:t>lisdexamfe</w:t>
      </w:r>
      <w:r w:rsidR="00BA2D8E" w:rsidRPr="001D105D">
        <w:rPr>
          <w:b w:val="0"/>
        </w:rPr>
        <w:t>tamine</w:t>
      </w:r>
      <w:proofErr w:type="spellEnd"/>
      <w:r w:rsidR="00BA2D8E" w:rsidRPr="001D105D">
        <w:rPr>
          <w:b w:val="0"/>
        </w:rPr>
        <w:t xml:space="preserve"> and methylphenidate use were</w:t>
      </w:r>
      <w:r w:rsidR="00121427" w:rsidRPr="001D105D">
        <w:rPr>
          <w:b w:val="0"/>
        </w:rPr>
        <w:t xml:space="preserve"> more</w:t>
      </w:r>
      <w:r w:rsidR="00490EF1" w:rsidRPr="001D105D">
        <w:rPr>
          <w:b w:val="0"/>
        </w:rPr>
        <w:t xml:space="preserve"> common in adults under 18 years</w:t>
      </w:r>
      <w:r w:rsidR="00EF7C6E" w:rsidRPr="001D105D">
        <w:rPr>
          <w:b w:val="0"/>
        </w:rPr>
        <w:t xml:space="preserve"> (</w:t>
      </w:r>
      <w:r w:rsidR="004602D8" w:rsidRPr="001D105D">
        <w:rPr>
          <w:b w:val="0"/>
        </w:rPr>
        <w:t>F</w:t>
      </w:r>
      <w:r w:rsidR="00463DB7" w:rsidRPr="001D105D">
        <w:rPr>
          <w:b w:val="0"/>
        </w:rPr>
        <w:t xml:space="preserve">igure </w:t>
      </w:r>
      <w:r w:rsidR="00512547" w:rsidRPr="001D105D">
        <w:rPr>
          <w:b w:val="0"/>
        </w:rPr>
        <w:t>6</w:t>
      </w:r>
      <w:r w:rsidR="00EF7C6E" w:rsidRPr="001D105D">
        <w:rPr>
          <w:b w:val="0"/>
        </w:rPr>
        <w:t>)</w:t>
      </w:r>
      <w:r w:rsidR="00490EF1" w:rsidRPr="001D105D">
        <w:rPr>
          <w:b w:val="0"/>
        </w:rPr>
        <w:t>, paediatricians</w:t>
      </w:r>
      <w:r w:rsidR="00186B38" w:rsidRPr="001D105D">
        <w:rPr>
          <w:b w:val="0"/>
        </w:rPr>
        <w:t xml:space="preserve"> </w:t>
      </w:r>
      <w:r w:rsidR="00121427" w:rsidRPr="001D105D">
        <w:rPr>
          <w:b w:val="0"/>
        </w:rPr>
        <w:t>are</w:t>
      </w:r>
      <w:r w:rsidR="00186B38" w:rsidRPr="001D105D">
        <w:rPr>
          <w:b w:val="0"/>
        </w:rPr>
        <w:t xml:space="preserve"> more likely to be involved</w:t>
      </w:r>
      <w:r w:rsidR="004B4591" w:rsidRPr="001D105D">
        <w:rPr>
          <w:b w:val="0"/>
        </w:rPr>
        <w:t xml:space="preserve"> in the management of ADHD</w:t>
      </w:r>
      <w:r w:rsidR="00953F77" w:rsidRPr="001D105D">
        <w:rPr>
          <w:b w:val="0"/>
        </w:rPr>
        <w:t>.</w:t>
      </w:r>
    </w:p>
    <w:p w14:paraId="1511A4B2" w14:textId="2D0C358A" w:rsidR="005067DE" w:rsidRPr="001D105D" w:rsidRDefault="00121427" w:rsidP="00215563">
      <w:pPr>
        <w:pStyle w:val="Tabletitle"/>
        <w:spacing w:after="200"/>
        <w:rPr>
          <w:b w:val="0"/>
        </w:rPr>
      </w:pPr>
      <w:r w:rsidRPr="001D105D">
        <w:rPr>
          <w:b w:val="0"/>
        </w:rPr>
        <w:t xml:space="preserve">First prescriptions of </w:t>
      </w:r>
      <w:proofErr w:type="spellStart"/>
      <w:r w:rsidRPr="001D105D">
        <w:rPr>
          <w:b w:val="0"/>
        </w:rPr>
        <w:t>dexamfetamine</w:t>
      </w:r>
      <w:proofErr w:type="spellEnd"/>
      <w:r w:rsidRPr="001D105D">
        <w:rPr>
          <w:b w:val="0"/>
        </w:rPr>
        <w:t xml:space="preserve"> were</w:t>
      </w:r>
      <w:r w:rsidR="006E5EE0" w:rsidRPr="001D105D">
        <w:rPr>
          <w:b w:val="0"/>
        </w:rPr>
        <w:t xml:space="preserve"> more common</w:t>
      </w:r>
      <w:r w:rsidR="00186B38" w:rsidRPr="001D105D">
        <w:rPr>
          <w:b w:val="0"/>
        </w:rPr>
        <w:t>ly prescribed by psychiatrists.</w:t>
      </w:r>
      <w:r w:rsidR="00C80F08" w:rsidRPr="001D105D">
        <w:rPr>
          <w:b w:val="0"/>
        </w:rPr>
        <w:t xml:space="preserve"> As the age distribution of </w:t>
      </w:r>
      <w:proofErr w:type="spellStart"/>
      <w:r w:rsidR="00C80F08" w:rsidRPr="001D105D">
        <w:rPr>
          <w:b w:val="0"/>
        </w:rPr>
        <w:t>dexamfetamine</w:t>
      </w:r>
      <w:proofErr w:type="spellEnd"/>
      <w:r w:rsidR="00C80F08" w:rsidRPr="001D105D">
        <w:rPr>
          <w:b w:val="0"/>
        </w:rPr>
        <w:t xml:space="preserve"> use </w:t>
      </w:r>
      <w:r w:rsidRPr="001D105D">
        <w:rPr>
          <w:b w:val="0"/>
        </w:rPr>
        <w:t>were more</w:t>
      </w:r>
      <w:r w:rsidR="00C80F08" w:rsidRPr="001D105D">
        <w:rPr>
          <w:b w:val="0"/>
        </w:rPr>
        <w:t xml:space="preserve"> common in adults over 18 years</w:t>
      </w:r>
      <w:r w:rsidR="004602D8" w:rsidRPr="001D105D">
        <w:rPr>
          <w:b w:val="0"/>
        </w:rPr>
        <w:t xml:space="preserve"> (F</w:t>
      </w:r>
      <w:r w:rsidR="00463DB7" w:rsidRPr="001D105D">
        <w:rPr>
          <w:b w:val="0"/>
        </w:rPr>
        <w:t xml:space="preserve">igure </w:t>
      </w:r>
      <w:r w:rsidR="00512547" w:rsidRPr="001D105D">
        <w:rPr>
          <w:b w:val="0"/>
        </w:rPr>
        <w:t>6</w:t>
      </w:r>
      <w:r w:rsidR="00EF7C6E" w:rsidRPr="001D105D">
        <w:rPr>
          <w:b w:val="0"/>
        </w:rPr>
        <w:t>)</w:t>
      </w:r>
      <w:r w:rsidR="00C80F08" w:rsidRPr="001D105D">
        <w:rPr>
          <w:b w:val="0"/>
        </w:rPr>
        <w:t>, psychiatrist</w:t>
      </w:r>
      <w:r w:rsidR="00C92E6B" w:rsidRPr="001D105D">
        <w:rPr>
          <w:b w:val="0"/>
        </w:rPr>
        <w:t>s</w:t>
      </w:r>
      <w:r w:rsidR="00463DB7" w:rsidRPr="001D105D">
        <w:rPr>
          <w:b w:val="0"/>
        </w:rPr>
        <w:t xml:space="preserve"> </w:t>
      </w:r>
      <w:r w:rsidRPr="001D105D">
        <w:rPr>
          <w:b w:val="0"/>
        </w:rPr>
        <w:t>are</w:t>
      </w:r>
      <w:r w:rsidR="00463DB7" w:rsidRPr="001D105D">
        <w:rPr>
          <w:b w:val="0"/>
        </w:rPr>
        <w:t xml:space="preserve"> more</w:t>
      </w:r>
      <w:r w:rsidR="00C80F08" w:rsidRPr="001D105D">
        <w:rPr>
          <w:b w:val="0"/>
        </w:rPr>
        <w:t xml:space="preserve"> likely </w:t>
      </w:r>
      <w:r w:rsidR="00463DB7" w:rsidRPr="001D105D">
        <w:rPr>
          <w:b w:val="0"/>
        </w:rPr>
        <w:t xml:space="preserve">to </w:t>
      </w:r>
      <w:r w:rsidR="00C80F08" w:rsidRPr="001D105D">
        <w:rPr>
          <w:b w:val="0"/>
        </w:rPr>
        <w:t>be involved in the management</w:t>
      </w:r>
      <w:r w:rsidR="004B4591" w:rsidRPr="001D105D">
        <w:rPr>
          <w:b w:val="0"/>
        </w:rPr>
        <w:t xml:space="preserve"> of ADHD</w:t>
      </w:r>
      <w:r w:rsidR="00C80F08" w:rsidRPr="001D105D">
        <w:rPr>
          <w:b w:val="0"/>
        </w:rPr>
        <w:t xml:space="preserve">. </w:t>
      </w:r>
    </w:p>
    <w:p w14:paraId="3FC14167" w14:textId="77777777" w:rsidR="008C30DC" w:rsidRPr="001D105D" w:rsidRDefault="008C30DC" w:rsidP="00215563">
      <w:pPr>
        <w:spacing w:line="276" w:lineRule="auto"/>
        <w:rPr>
          <w:b/>
          <w:i/>
          <w:sz w:val="20"/>
        </w:rPr>
      </w:pPr>
      <w:r w:rsidRPr="001D105D">
        <w:rPr>
          <w:b/>
          <w:i/>
        </w:rPr>
        <w:t>Utilisation by State/Territory</w:t>
      </w:r>
    </w:p>
    <w:p w14:paraId="73F6E3B5" w14:textId="0B4ACD8B" w:rsidR="008C30DC" w:rsidRDefault="00CE4834" w:rsidP="00215563">
      <w:r w:rsidRPr="001D105D">
        <w:t xml:space="preserve">Figure </w:t>
      </w:r>
      <w:r w:rsidR="00EF6FF2" w:rsidRPr="001D105D">
        <w:t>9</w:t>
      </w:r>
      <w:r w:rsidR="008C30DC" w:rsidRPr="001D105D">
        <w:t xml:space="preserve"> shows the number of people supplied ADHD medicine</w:t>
      </w:r>
      <w:r w:rsidR="002D397F" w:rsidRPr="001D105D">
        <w:t>s</w:t>
      </w:r>
      <w:r w:rsidR="008C30DC" w:rsidRPr="001D105D">
        <w:t xml:space="preserve"> </w:t>
      </w:r>
      <w:r w:rsidR="00842974">
        <w:t xml:space="preserve">(excluding clonidine) </w:t>
      </w:r>
      <w:r w:rsidR="008C30DC" w:rsidRPr="001D105D">
        <w:t>per 1</w:t>
      </w:r>
      <w:r w:rsidR="00B81928" w:rsidRPr="001D105D">
        <w:t>,</w:t>
      </w:r>
      <w:r w:rsidR="008C30DC" w:rsidRPr="001D105D">
        <w:t>000 population</w:t>
      </w:r>
      <w:r w:rsidR="00842974">
        <w:t xml:space="preserve"> by therapy</w:t>
      </w:r>
      <w:r w:rsidR="00B320C9" w:rsidRPr="001D105D">
        <w:t xml:space="preserve"> in 20</w:t>
      </w:r>
      <w:r w:rsidR="00D74622" w:rsidRPr="001D105D">
        <w:t>20</w:t>
      </w:r>
      <w:r w:rsidR="00B320C9" w:rsidRPr="001D105D">
        <w:t>,</w:t>
      </w:r>
      <w:r w:rsidR="008C30DC" w:rsidRPr="001D105D">
        <w:t xml:space="preserve"> broken down by age and patient state/territory</w:t>
      </w:r>
      <w:r w:rsidR="008109BC" w:rsidRPr="001D105D">
        <w:t>.</w:t>
      </w:r>
      <w:r w:rsidR="00B320C9" w:rsidRPr="001D105D">
        <w:t xml:space="preserve"> </w:t>
      </w:r>
      <w:r w:rsidR="00842974">
        <w:t>Figure 9 does not double count patients who are on more than one ADHD medication.</w:t>
      </w:r>
    </w:p>
    <w:p w14:paraId="4FBC1547" w14:textId="140709C7" w:rsidR="00783879" w:rsidRDefault="00783879" w:rsidP="00215563">
      <w:r>
        <w:rPr>
          <w:noProof/>
        </w:rPr>
        <w:drawing>
          <wp:inline distT="0" distB="0" distL="0" distR="0" wp14:anchorId="6D0EC6A5" wp14:editId="51D820FF">
            <wp:extent cx="5832475" cy="3796030"/>
            <wp:effectExtent l="0" t="0" r="15875" b="1397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A92006A" w14:textId="4CF41D80" w:rsidR="008C30DC" w:rsidRPr="001D105D" w:rsidRDefault="008C30DC" w:rsidP="00215563">
      <w:pPr>
        <w:pStyle w:val="Figuretitle"/>
      </w:pPr>
      <w:r w:rsidRPr="001D105D">
        <w:t xml:space="preserve">Figure </w:t>
      </w:r>
      <w:r w:rsidR="00EF6FF2" w:rsidRPr="001D105D">
        <w:t>9</w:t>
      </w:r>
      <w:r w:rsidRPr="001D105D">
        <w:t xml:space="preserve">: Number of people </w:t>
      </w:r>
      <w:r w:rsidR="00066BED" w:rsidRPr="001D105D">
        <w:t>supplied an</w:t>
      </w:r>
      <w:r w:rsidRPr="001D105D">
        <w:t xml:space="preserve"> ADHD medicine</w:t>
      </w:r>
      <w:r w:rsidR="00BA65CA" w:rsidRPr="001D105D">
        <w:t xml:space="preserve"> (excluding clonidine)</w:t>
      </w:r>
      <w:r w:rsidRPr="001D105D">
        <w:t xml:space="preserve"> per 1000 population</w:t>
      </w:r>
      <w:r w:rsidR="00FA4698" w:rsidRPr="001D105D">
        <w:t xml:space="preserve"> in 20</w:t>
      </w:r>
      <w:r w:rsidR="00BA65CA" w:rsidRPr="001D105D">
        <w:t>20</w:t>
      </w:r>
      <w:r w:rsidRPr="001D105D">
        <w:t xml:space="preserve"> by patient state/territory and </w:t>
      </w:r>
      <w:r w:rsidR="0046731B" w:rsidRPr="001D105D">
        <w:t>age group</w:t>
      </w:r>
      <w:r w:rsidR="00121427" w:rsidRPr="001D105D">
        <w:t xml:space="preserve"> </w:t>
      </w:r>
      <w:r w:rsidR="001C7F9C" w:rsidRPr="001D105D">
        <w:t>(age group specific rate)</w:t>
      </w:r>
    </w:p>
    <w:p w14:paraId="15B6F4FE" w14:textId="10DCD697" w:rsidR="00BA65CA" w:rsidRPr="001D105D" w:rsidRDefault="006E36EF" w:rsidP="00215563">
      <w:pPr>
        <w:spacing w:after="0"/>
        <w:rPr>
          <w:sz w:val="20"/>
          <w:szCs w:val="20"/>
        </w:rPr>
      </w:pPr>
      <w:r w:rsidRPr="001D105D">
        <w:rPr>
          <w:sz w:val="20"/>
          <w:szCs w:val="20"/>
        </w:rPr>
        <w:t xml:space="preserve">Source: </w:t>
      </w:r>
      <w:r w:rsidR="00BA65CA" w:rsidRPr="001D105D">
        <w:rPr>
          <w:sz w:val="20"/>
          <w:szCs w:val="20"/>
        </w:rPr>
        <w:t xml:space="preserve">Services Australia </w:t>
      </w:r>
      <w:r w:rsidRPr="001D105D">
        <w:rPr>
          <w:sz w:val="20"/>
          <w:szCs w:val="20"/>
        </w:rPr>
        <w:t xml:space="preserve">prescriptions database, extracted </w:t>
      </w:r>
      <w:r w:rsidR="008109BC" w:rsidRPr="001D105D">
        <w:rPr>
          <w:sz w:val="20"/>
          <w:szCs w:val="20"/>
        </w:rPr>
        <w:t>March 2021</w:t>
      </w:r>
      <w:r w:rsidR="00BA65CA" w:rsidRPr="001D105D">
        <w:rPr>
          <w:sz w:val="20"/>
          <w:szCs w:val="20"/>
        </w:rPr>
        <w:t>, based on 2020 ABS estimated residential population data</w:t>
      </w:r>
    </w:p>
    <w:p w14:paraId="55039A89" w14:textId="77777777" w:rsidR="00994AF2" w:rsidRPr="001D105D" w:rsidRDefault="00994AF2" w:rsidP="00215563">
      <w:pPr>
        <w:spacing w:after="0"/>
        <w:rPr>
          <w:sz w:val="20"/>
          <w:szCs w:val="20"/>
        </w:rPr>
      </w:pPr>
    </w:p>
    <w:p w14:paraId="5B6E3E09" w14:textId="77777777" w:rsidR="00BB5D54" w:rsidRPr="001D105D" w:rsidRDefault="00BB5D54" w:rsidP="00215563">
      <w:pPr>
        <w:spacing w:after="0"/>
        <w:rPr>
          <w:sz w:val="20"/>
          <w:szCs w:val="20"/>
        </w:rPr>
      </w:pPr>
    </w:p>
    <w:p w14:paraId="4D516DEC" w14:textId="55AF71CF" w:rsidR="007E5D84" w:rsidRDefault="007E5D84" w:rsidP="00215563">
      <w:pPr>
        <w:spacing w:after="0"/>
      </w:pPr>
    </w:p>
    <w:p w14:paraId="2BAEF08B" w14:textId="1CF768B9" w:rsidR="007E5D84" w:rsidRPr="001D105D" w:rsidRDefault="007E5D84" w:rsidP="00215563">
      <w:pPr>
        <w:pStyle w:val="Tabletitle"/>
        <w:rPr>
          <w:sz w:val="20"/>
          <w:szCs w:val="20"/>
          <w:lang w:eastAsia="en-US"/>
        </w:rPr>
      </w:pPr>
      <w:r w:rsidRPr="001D105D">
        <w:lastRenderedPageBreak/>
        <w:t xml:space="preserve">Table </w:t>
      </w:r>
      <w:r>
        <w:t>5</w:t>
      </w:r>
      <w:r w:rsidRPr="001D105D">
        <w:t xml:space="preserve">. </w:t>
      </w:r>
      <w:r>
        <w:t>Number of people supplied an ADHD medicine (excluding clonidine) per 1000 population by state/territory and age group 2014-2020</w:t>
      </w:r>
    </w:p>
    <w:tbl>
      <w:tblPr>
        <w:tblW w:w="7506" w:type="dxa"/>
        <w:tblLook w:val="04A0" w:firstRow="1" w:lastRow="0" w:firstColumn="1" w:lastColumn="0" w:noHBand="0" w:noVBand="1"/>
      </w:tblPr>
      <w:tblGrid>
        <w:gridCol w:w="1180"/>
        <w:gridCol w:w="950"/>
        <w:gridCol w:w="672"/>
        <w:gridCol w:w="672"/>
        <w:gridCol w:w="672"/>
        <w:gridCol w:w="672"/>
        <w:gridCol w:w="672"/>
        <w:gridCol w:w="672"/>
        <w:gridCol w:w="672"/>
        <w:gridCol w:w="672"/>
      </w:tblGrid>
      <w:tr w:rsidR="00B96DB1" w:rsidRPr="007E5D84" w14:paraId="2AC77553" w14:textId="77777777" w:rsidTr="00511D6E">
        <w:trPr>
          <w:trHeight w:val="530"/>
        </w:trPr>
        <w:tc>
          <w:tcPr>
            <w:tcW w:w="1180" w:type="dxa"/>
            <w:tcBorders>
              <w:top w:val="single" w:sz="8" w:space="0" w:color="000000"/>
              <w:left w:val="single" w:sz="8" w:space="0" w:color="000000"/>
              <w:bottom w:val="single" w:sz="8" w:space="0" w:color="auto"/>
              <w:right w:val="single" w:sz="8" w:space="0" w:color="000000"/>
            </w:tcBorders>
            <w:shd w:val="clear" w:color="auto" w:fill="BFBFBF" w:themeFill="background1" w:themeFillShade="BF"/>
            <w:noWrap/>
            <w:vAlign w:val="center"/>
            <w:hideMark/>
          </w:tcPr>
          <w:p w14:paraId="02D3CFE3" w14:textId="77777777" w:rsidR="00B96DB1" w:rsidRPr="007E5D84" w:rsidRDefault="00B96DB1" w:rsidP="00215563">
            <w:pPr>
              <w:spacing w:after="0"/>
              <w:jc w:val="center"/>
              <w:rPr>
                <w:rFonts w:ascii="Calibri" w:eastAsia="Times New Roman" w:hAnsi="Calibri" w:cs="Calibri"/>
                <w:b/>
                <w:bCs/>
                <w:color w:val="000000"/>
                <w:sz w:val="20"/>
                <w:szCs w:val="20"/>
              </w:rPr>
            </w:pPr>
            <w:r w:rsidRPr="007E5D84">
              <w:rPr>
                <w:rFonts w:ascii="Calibri" w:eastAsia="Times New Roman" w:hAnsi="Calibri" w:cs="Calibri"/>
                <w:b/>
                <w:bCs/>
                <w:color w:val="000000"/>
                <w:sz w:val="20"/>
                <w:szCs w:val="20"/>
              </w:rPr>
              <w:t>Age Group</w:t>
            </w:r>
          </w:p>
        </w:tc>
        <w:tc>
          <w:tcPr>
            <w:tcW w:w="950" w:type="dxa"/>
            <w:tcBorders>
              <w:top w:val="single" w:sz="8" w:space="0" w:color="000000"/>
              <w:left w:val="nil"/>
              <w:bottom w:val="single" w:sz="8" w:space="0" w:color="auto"/>
              <w:right w:val="single" w:sz="8" w:space="0" w:color="000000"/>
            </w:tcBorders>
            <w:shd w:val="clear" w:color="auto" w:fill="BFBFBF" w:themeFill="background1" w:themeFillShade="BF"/>
            <w:vAlign w:val="center"/>
            <w:hideMark/>
          </w:tcPr>
          <w:p w14:paraId="12DAE9AB" w14:textId="77777777" w:rsidR="00B96DB1" w:rsidRPr="007E5D84" w:rsidRDefault="00B96DB1" w:rsidP="00215563">
            <w:pPr>
              <w:spacing w:after="0"/>
              <w:jc w:val="center"/>
              <w:rPr>
                <w:rFonts w:ascii="Calibri" w:eastAsia="Times New Roman" w:hAnsi="Calibri" w:cs="Calibri"/>
                <w:b/>
                <w:bCs/>
                <w:color w:val="000000"/>
                <w:sz w:val="20"/>
                <w:szCs w:val="20"/>
              </w:rPr>
            </w:pPr>
            <w:r w:rsidRPr="007E5D84">
              <w:rPr>
                <w:rFonts w:ascii="Calibri" w:eastAsia="Times New Roman" w:hAnsi="Calibri" w:cs="Calibri"/>
                <w:b/>
                <w:bCs/>
                <w:color w:val="000000"/>
                <w:sz w:val="20"/>
                <w:szCs w:val="20"/>
              </w:rPr>
              <w:t>State / Territory</w:t>
            </w:r>
          </w:p>
        </w:tc>
        <w:tc>
          <w:tcPr>
            <w:tcW w:w="672" w:type="dxa"/>
            <w:tcBorders>
              <w:top w:val="single" w:sz="8" w:space="0" w:color="000000"/>
              <w:left w:val="nil"/>
              <w:bottom w:val="single" w:sz="8" w:space="0" w:color="auto"/>
              <w:right w:val="single" w:sz="8" w:space="0" w:color="000000"/>
            </w:tcBorders>
            <w:shd w:val="clear" w:color="auto" w:fill="BFBFBF" w:themeFill="background1" w:themeFillShade="BF"/>
            <w:noWrap/>
            <w:vAlign w:val="center"/>
            <w:hideMark/>
          </w:tcPr>
          <w:p w14:paraId="7343136C" w14:textId="77777777" w:rsidR="00B96DB1" w:rsidRPr="007E5D84" w:rsidRDefault="00B96DB1" w:rsidP="00215563">
            <w:pPr>
              <w:spacing w:after="0"/>
              <w:jc w:val="center"/>
              <w:rPr>
                <w:rFonts w:ascii="Calibri" w:eastAsia="Times New Roman" w:hAnsi="Calibri" w:cs="Calibri"/>
                <w:b/>
                <w:bCs/>
                <w:color w:val="000000"/>
                <w:sz w:val="20"/>
                <w:szCs w:val="20"/>
              </w:rPr>
            </w:pPr>
            <w:r w:rsidRPr="007E5D84">
              <w:rPr>
                <w:rFonts w:ascii="Calibri" w:eastAsia="Times New Roman" w:hAnsi="Calibri" w:cs="Calibri"/>
                <w:b/>
                <w:bCs/>
                <w:color w:val="000000"/>
                <w:sz w:val="20"/>
                <w:szCs w:val="20"/>
              </w:rPr>
              <w:t>2014</w:t>
            </w:r>
          </w:p>
        </w:tc>
        <w:tc>
          <w:tcPr>
            <w:tcW w:w="672" w:type="dxa"/>
            <w:tcBorders>
              <w:top w:val="single" w:sz="8" w:space="0" w:color="000000"/>
              <w:left w:val="nil"/>
              <w:bottom w:val="single" w:sz="8" w:space="0" w:color="auto"/>
              <w:right w:val="single" w:sz="8" w:space="0" w:color="000000"/>
            </w:tcBorders>
            <w:shd w:val="clear" w:color="auto" w:fill="BFBFBF" w:themeFill="background1" w:themeFillShade="BF"/>
            <w:noWrap/>
            <w:vAlign w:val="center"/>
            <w:hideMark/>
          </w:tcPr>
          <w:p w14:paraId="6F4CFFF5" w14:textId="77777777" w:rsidR="00B96DB1" w:rsidRPr="007E5D84" w:rsidRDefault="00B96DB1" w:rsidP="00215563">
            <w:pPr>
              <w:spacing w:after="0"/>
              <w:jc w:val="center"/>
              <w:rPr>
                <w:rFonts w:ascii="Calibri" w:eastAsia="Times New Roman" w:hAnsi="Calibri" w:cs="Calibri"/>
                <w:b/>
                <w:bCs/>
                <w:color w:val="000000"/>
                <w:sz w:val="20"/>
                <w:szCs w:val="20"/>
              </w:rPr>
            </w:pPr>
            <w:r w:rsidRPr="007E5D84">
              <w:rPr>
                <w:rFonts w:ascii="Calibri" w:eastAsia="Times New Roman" w:hAnsi="Calibri" w:cs="Calibri"/>
                <w:b/>
                <w:bCs/>
                <w:color w:val="000000"/>
                <w:sz w:val="20"/>
                <w:szCs w:val="20"/>
              </w:rPr>
              <w:t>2015</w:t>
            </w:r>
          </w:p>
        </w:tc>
        <w:tc>
          <w:tcPr>
            <w:tcW w:w="672" w:type="dxa"/>
            <w:tcBorders>
              <w:top w:val="single" w:sz="8" w:space="0" w:color="000000"/>
              <w:left w:val="nil"/>
              <w:bottom w:val="single" w:sz="8" w:space="0" w:color="auto"/>
              <w:right w:val="single" w:sz="8" w:space="0" w:color="000000"/>
            </w:tcBorders>
            <w:shd w:val="clear" w:color="auto" w:fill="BFBFBF" w:themeFill="background1" w:themeFillShade="BF"/>
            <w:noWrap/>
            <w:vAlign w:val="center"/>
            <w:hideMark/>
          </w:tcPr>
          <w:p w14:paraId="78043F3B" w14:textId="77777777" w:rsidR="00B96DB1" w:rsidRPr="007E5D84" w:rsidRDefault="00B96DB1" w:rsidP="00215563">
            <w:pPr>
              <w:spacing w:after="0"/>
              <w:jc w:val="center"/>
              <w:rPr>
                <w:rFonts w:ascii="Calibri" w:eastAsia="Times New Roman" w:hAnsi="Calibri" w:cs="Calibri"/>
                <w:b/>
                <w:bCs/>
                <w:color w:val="000000"/>
                <w:sz w:val="20"/>
                <w:szCs w:val="20"/>
              </w:rPr>
            </w:pPr>
            <w:r w:rsidRPr="007E5D84">
              <w:rPr>
                <w:rFonts w:ascii="Calibri" w:eastAsia="Times New Roman" w:hAnsi="Calibri" w:cs="Calibri"/>
                <w:b/>
                <w:bCs/>
                <w:color w:val="000000"/>
                <w:sz w:val="20"/>
                <w:szCs w:val="20"/>
              </w:rPr>
              <w:t>2016</w:t>
            </w:r>
          </w:p>
        </w:tc>
        <w:tc>
          <w:tcPr>
            <w:tcW w:w="672" w:type="dxa"/>
            <w:tcBorders>
              <w:top w:val="single" w:sz="8" w:space="0" w:color="000000"/>
              <w:left w:val="nil"/>
              <w:bottom w:val="single" w:sz="8" w:space="0" w:color="auto"/>
              <w:right w:val="single" w:sz="8" w:space="0" w:color="000000"/>
            </w:tcBorders>
            <w:shd w:val="clear" w:color="auto" w:fill="BFBFBF" w:themeFill="background1" w:themeFillShade="BF"/>
            <w:noWrap/>
            <w:vAlign w:val="center"/>
            <w:hideMark/>
          </w:tcPr>
          <w:p w14:paraId="55FAA38F" w14:textId="77777777" w:rsidR="00B96DB1" w:rsidRPr="007E5D84" w:rsidRDefault="00B96DB1" w:rsidP="00215563">
            <w:pPr>
              <w:spacing w:after="0"/>
              <w:jc w:val="center"/>
              <w:rPr>
                <w:rFonts w:ascii="Calibri" w:eastAsia="Times New Roman" w:hAnsi="Calibri" w:cs="Calibri"/>
                <w:b/>
                <w:bCs/>
                <w:color w:val="000000"/>
                <w:sz w:val="20"/>
                <w:szCs w:val="20"/>
              </w:rPr>
            </w:pPr>
            <w:r w:rsidRPr="007E5D84">
              <w:rPr>
                <w:rFonts w:ascii="Calibri" w:eastAsia="Times New Roman" w:hAnsi="Calibri" w:cs="Calibri"/>
                <w:b/>
                <w:bCs/>
                <w:color w:val="000000"/>
                <w:sz w:val="20"/>
                <w:szCs w:val="20"/>
              </w:rPr>
              <w:t>2017</w:t>
            </w:r>
          </w:p>
        </w:tc>
        <w:tc>
          <w:tcPr>
            <w:tcW w:w="672" w:type="dxa"/>
            <w:tcBorders>
              <w:top w:val="single" w:sz="8" w:space="0" w:color="000000"/>
              <w:left w:val="nil"/>
              <w:bottom w:val="single" w:sz="8" w:space="0" w:color="auto"/>
              <w:right w:val="single" w:sz="8" w:space="0" w:color="000000"/>
            </w:tcBorders>
            <w:shd w:val="clear" w:color="auto" w:fill="BFBFBF" w:themeFill="background1" w:themeFillShade="BF"/>
            <w:noWrap/>
            <w:vAlign w:val="center"/>
            <w:hideMark/>
          </w:tcPr>
          <w:p w14:paraId="0B6178CC" w14:textId="77777777" w:rsidR="00B96DB1" w:rsidRPr="007E5D84" w:rsidRDefault="00B96DB1" w:rsidP="00215563">
            <w:pPr>
              <w:spacing w:after="0"/>
              <w:jc w:val="center"/>
              <w:rPr>
                <w:rFonts w:ascii="Calibri" w:eastAsia="Times New Roman" w:hAnsi="Calibri" w:cs="Calibri"/>
                <w:b/>
                <w:bCs/>
                <w:color w:val="000000"/>
                <w:sz w:val="20"/>
                <w:szCs w:val="20"/>
              </w:rPr>
            </w:pPr>
            <w:r w:rsidRPr="007E5D84">
              <w:rPr>
                <w:rFonts w:ascii="Calibri" w:eastAsia="Times New Roman" w:hAnsi="Calibri" w:cs="Calibri"/>
                <w:b/>
                <w:bCs/>
                <w:color w:val="000000"/>
                <w:sz w:val="20"/>
                <w:szCs w:val="20"/>
              </w:rPr>
              <w:t>2018</w:t>
            </w:r>
          </w:p>
        </w:tc>
        <w:tc>
          <w:tcPr>
            <w:tcW w:w="672" w:type="dxa"/>
            <w:tcBorders>
              <w:top w:val="single" w:sz="8" w:space="0" w:color="000000"/>
              <w:left w:val="nil"/>
              <w:bottom w:val="single" w:sz="8" w:space="0" w:color="auto"/>
              <w:right w:val="single" w:sz="8" w:space="0" w:color="000000"/>
            </w:tcBorders>
            <w:shd w:val="clear" w:color="auto" w:fill="BFBFBF" w:themeFill="background1" w:themeFillShade="BF"/>
            <w:noWrap/>
            <w:vAlign w:val="center"/>
            <w:hideMark/>
          </w:tcPr>
          <w:p w14:paraId="3563E767" w14:textId="77777777" w:rsidR="00B96DB1" w:rsidRPr="007E5D84" w:rsidRDefault="00B96DB1" w:rsidP="00215563">
            <w:pPr>
              <w:spacing w:after="0"/>
              <w:jc w:val="center"/>
              <w:rPr>
                <w:rFonts w:ascii="Calibri" w:eastAsia="Times New Roman" w:hAnsi="Calibri" w:cs="Calibri"/>
                <w:b/>
                <w:bCs/>
                <w:color w:val="000000"/>
                <w:sz w:val="20"/>
                <w:szCs w:val="20"/>
              </w:rPr>
            </w:pPr>
            <w:r w:rsidRPr="007E5D84">
              <w:rPr>
                <w:rFonts w:ascii="Calibri" w:eastAsia="Times New Roman" w:hAnsi="Calibri" w:cs="Calibri"/>
                <w:b/>
                <w:bCs/>
                <w:color w:val="000000"/>
                <w:sz w:val="20"/>
                <w:szCs w:val="20"/>
              </w:rPr>
              <w:t>2019</w:t>
            </w:r>
          </w:p>
        </w:tc>
        <w:tc>
          <w:tcPr>
            <w:tcW w:w="672" w:type="dxa"/>
            <w:tcBorders>
              <w:top w:val="single" w:sz="8" w:space="0" w:color="000000"/>
              <w:left w:val="nil"/>
              <w:bottom w:val="single" w:sz="8" w:space="0" w:color="auto"/>
              <w:right w:val="nil"/>
            </w:tcBorders>
            <w:shd w:val="clear" w:color="auto" w:fill="BFBFBF" w:themeFill="background1" w:themeFillShade="BF"/>
          </w:tcPr>
          <w:p w14:paraId="531A0334" w14:textId="77777777" w:rsidR="00B96DB1" w:rsidRPr="007E5D84" w:rsidRDefault="00B96DB1" w:rsidP="00215563">
            <w:pPr>
              <w:spacing w:after="0"/>
              <w:jc w:val="center"/>
              <w:rPr>
                <w:rFonts w:ascii="Calibri" w:eastAsia="Times New Roman" w:hAnsi="Calibri" w:cs="Calibri"/>
                <w:b/>
                <w:bCs/>
                <w:color w:val="000000"/>
                <w:sz w:val="20"/>
                <w:szCs w:val="20"/>
              </w:rPr>
            </w:pPr>
          </w:p>
        </w:tc>
        <w:tc>
          <w:tcPr>
            <w:tcW w:w="672" w:type="dxa"/>
            <w:tcBorders>
              <w:top w:val="single" w:sz="8" w:space="0" w:color="000000"/>
              <w:left w:val="nil"/>
              <w:bottom w:val="single" w:sz="8" w:space="0" w:color="auto"/>
              <w:right w:val="single" w:sz="8" w:space="0" w:color="000000"/>
            </w:tcBorders>
            <w:shd w:val="clear" w:color="auto" w:fill="BFBFBF" w:themeFill="background1" w:themeFillShade="BF"/>
            <w:noWrap/>
            <w:vAlign w:val="center"/>
            <w:hideMark/>
          </w:tcPr>
          <w:p w14:paraId="54B12439" w14:textId="55D7CE81" w:rsidR="00B96DB1" w:rsidRPr="007E5D84" w:rsidRDefault="00B96DB1" w:rsidP="00215563">
            <w:pPr>
              <w:spacing w:after="0"/>
              <w:jc w:val="center"/>
              <w:rPr>
                <w:rFonts w:ascii="Calibri" w:eastAsia="Times New Roman" w:hAnsi="Calibri" w:cs="Calibri"/>
                <w:b/>
                <w:bCs/>
                <w:color w:val="000000"/>
                <w:sz w:val="20"/>
                <w:szCs w:val="20"/>
              </w:rPr>
            </w:pPr>
            <w:r w:rsidRPr="007E5D84">
              <w:rPr>
                <w:rFonts w:ascii="Calibri" w:eastAsia="Times New Roman" w:hAnsi="Calibri" w:cs="Calibri"/>
                <w:b/>
                <w:bCs/>
                <w:color w:val="000000"/>
                <w:sz w:val="20"/>
                <w:szCs w:val="20"/>
              </w:rPr>
              <w:t>2020</w:t>
            </w:r>
          </w:p>
        </w:tc>
      </w:tr>
      <w:tr w:rsidR="00B96DB1" w:rsidRPr="007E5D84" w14:paraId="3FA72259" w14:textId="77777777" w:rsidTr="00511D6E">
        <w:trPr>
          <w:trHeight w:val="290"/>
        </w:trPr>
        <w:tc>
          <w:tcPr>
            <w:tcW w:w="1180" w:type="dxa"/>
            <w:vMerge w:val="restart"/>
            <w:tcBorders>
              <w:top w:val="single" w:sz="8" w:space="0" w:color="auto"/>
              <w:left w:val="single" w:sz="8" w:space="0" w:color="auto"/>
              <w:bottom w:val="single" w:sz="8" w:space="0" w:color="000000"/>
              <w:right w:val="single" w:sz="8" w:space="0" w:color="auto"/>
            </w:tcBorders>
            <w:shd w:val="clear" w:color="auto" w:fill="FFFFFF" w:themeFill="background1"/>
            <w:noWrap/>
            <w:vAlign w:val="center"/>
            <w:hideMark/>
          </w:tcPr>
          <w:p w14:paraId="40ECCA18" w14:textId="77777777" w:rsidR="00B96DB1" w:rsidRPr="007E5D84" w:rsidRDefault="00B96DB1" w:rsidP="00215563">
            <w:pPr>
              <w:spacing w:after="0"/>
              <w:jc w:val="center"/>
              <w:rPr>
                <w:rFonts w:ascii="Calibri" w:eastAsia="Times New Roman" w:hAnsi="Calibri" w:cs="Calibri"/>
                <w:b/>
                <w:bCs/>
                <w:color w:val="000000"/>
                <w:sz w:val="20"/>
                <w:szCs w:val="20"/>
              </w:rPr>
            </w:pPr>
            <w:r w:rsidRPr="007E5D84">
              <w:rPr>
                <w:rFonts w:ascii="Calibri" w:eastAsia="Times New Roman" w:hAnsi="Calibri" w:cs="Calibri"/>
                <w:b/>
                <w:bCs/>
                <w:color w:val="000000"/>
                <w:sz w:val="20"/>
                <w:szCs w:val="20"/>
              </w:rPr>
              <w:t>&lt; 6 years</w:t>
            </w:r>
          </w:p>
        </w:tc>
        <w:tc>
          <w:tcPr>
            <w:tcW w:w="950" w:type="dxa"/>
            <w:tcBorders>
              <w:top w:val="single" w:sz="8" w:space="0" w:color="auto"/>
              <w:left w:val="nil"/>
              <w:bottom w:val="single" w:sz="4" w:space="0" w:color="auto"/>
              <w:right w:val="single" w:sz="4" w:space="0" w:color="auto"/>
            </w:tcBorders>
            <w:shd w:val="clear" w:color="auto" w:fill="FFFFFF" w:themeFill="background1"/>
            <w:noWrap/>
            <w:vAlign w:val="center"/>
            <w:hideMark/>
          </w:tcPr>
          <w:p w14:paraId="5711C57F" w14:textId="77777777" w:rsidR="00B96DB1" w:rsidRPr="007E5D84" w:rsidRDefault="00B96DB1" w:rsidP="00215563">
            <w:pPr>
              <w:spacing w:after="0"/>
              <w:rPr>
                <w:rFonts w:ascii="Calibri" w:eastAsia="Times New Roman" w:hAnsi="Calibri" w:cs="Calibri"/>
                <w:color w:val="000000"/>
                <w:sz w:val="20"/>
                <w:szCs w:val="20"/>
              </w:rPr>
            </w:pPr>
            <w:r w:rsidRPr="007E5D84">
              <w:rPr>
                <w:rFonts w:ascii="Calibri" w:eastAsia="Times New Roman" w:hAnsi="Calibri" w:cs="Calibri"/>
                <w:color w:val="000000"/>
                <w:sz w:val="20"/>
                <w:szCs w:val="20"/>
              </w:rPr>
              <w:t>ACT</w:t>
            </w:r>
          </w:p>
        </w:tc>
        <w:tc>
          <w:tcPr>
            <w:tcW w:w="672" w:type="dxa"/>
            <w:tcBorders>
              <w:top w:val="single" w:sz="8" w:space="0" w:color="auto"/>
              <w:left w:val="nil"/>
              <w:bottom w:val="single" w:sz="4" w:space="0" w:color="auto"/>
              <w:right w:val="single" w:sz="4" w:space="0" w:color="auto"/>
            </w:tcBorders>
            <w:shd w:val="clear" w:color="auto" w:fill="FFFFFF" w:themeFill="background1"/>
            <w:noWrap/>
            <w:vAlign w:val="center"/>
            <w:hideMark/>
          </w:tcPr>
          <w:p w14:paraId="5FD27D9D"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1</w:t>
            </w:r>
          </w:p>
        </w:tc>
        <w:tc>
          <w:tcPr>
            <w:tcW w:w="672" w:type="dxa"/>
            <w:tcBorders>
              <w:top w:val="single" w:sz="8" w:space="0" w:color="auto"/>
              <w:left w:val="nil"/>
              <w:bottom w:val="single" w:sz="4" w:space="0" w:color="auto"/>
              <w:right w:val="single" w:sz="4" w:space="0" w:color="auto"/>
            </w:tcBorders>
            <w:shd w:val="clear" w:color="auto" w:fill="FFFFFF" w:themeFill="background1"/>
            <w:noWrap/>
            <w:vAlign w:val="center"/>
            <w:hideMark/>
          </w:tcPr>
          <w:p w14:paraId="2929E021"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1.04</w:t>
            </w:r>
          </w:p>
        </w:tc>
        <w:tc>
          <w:tcPr>
            <w:tcW w:w="672" w:type="dxa"/>
            <w:tcBorders>
              <w:top w:val="single" w:sz="8" w:space="0" w:color="auto"/>
              <w:left w:val="nil"/>
              <w:bottom w:val="single" w:sz="4" w:space="0" w:color="auto"/>
              <w:right w:val="single" w:sz="4" w:space="0" w:color="auto"/>
            </w:tcBorders>
            <w:shd w:val="clear" w:color="auto" w:fill="FFFFFF" w:themeFill="background1"/>
            <w:noWrap/>
            <w:vAlign w:val="center"/>
            <w:hideMark/>
          </w:tcPr>
          <w:p w14:paraId="468821A3"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0.84</w:t>
            </w:r>
          </w:p>
        </w:tc>
        <w:tc>
          <w:tcPr>
            <w:tcW w:w="672" w:type="dxa"/>
            <w:tcBorders>
              <w:top w:val="single" w:sz="8" w:space="0" w:color="auto"/>
              <w:left w:val="nil"/>
              <w:bottom w:val="single" w:sz="4" w:space="0" w:color="auto"/>
              <w:right w:val="single" w:sz="4" w:space="0" w:color="auto"/>
            </w:tcBorders>
            <w:shd w:val="clear" w:color="auto" w:fill="FFFFFF" w:themeFill="background1"/>
            <w:noWrap/>
            <w:vAlign w:val="center"/>
            <w:hideMark/>
          </w:tcPr>
          <w:p w14:paraId="6F7F4746"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0.91</w:t>
            </w:r>
          </w:p>
        </w:tc>
        <w:tc>
          <w:tcPr>
            <w:tcW w:w="672" w:type="dxa"/>
            <w:tcBorders>
              <w:top w:val="single" w:sz="8" w:space="0" w:color="auto"/>
              <w:left w:val="nil"/>
              <w:bottom w:val="single" w:sz="4" w:space="0" w:color="auto"/>
              <w:right w:val="single" w:sz="4" w:space="0" w:color="auto"/>
            </w:tcBorders>
            <w:shd w:val="clear" w:color="auto" w:fill="FFFFFF" w:themeFill="background1"/>
            <w:noWrap/>
            <w:vAlign w:val="center"/>
            <w:hideMark/>
          </w:tcPr>
          <w:p w14:paraId="00DE3933"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1.3</w:t>
            </w:r>
          </w:p>
        </w:tc>
        <w:tc>
          <w:tcPr>
            <w:tcW w:w="672" w:type="dxa"/>
            <w:tcBorders>
              <w:top w:val="single" w:sz="8" w:space="0" w:color="auto"/>
              <w:left w:val="nil"/>
              <w:bottom w:val="single" w:sz="4" w:space="0" w:color="auto"/>
              <w:right w:val="single" w:sz="4" w:space="0" w:color="auto"/>
            </w:tcBorders>
            <w:shd w:val="clear" w:color="auto" w:fill="FFFFFF" w:themeFill="background1"/>
            <w:noWrap/>
            <w:vAlign w:val="center"/>
            <w:hideMark/>
          </w:tcPr>
          <w:p w14:paraId="68451B3D"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1.48</w:t>
            </w:r>
          </w:p>
        </w:tc>
        <w:tc>
          <w:tcPr>
            <w:tcW w:w="672" w:type="dxa"/>
            <w:tcBorders>
              <w:top w:val="single" w:sz="8" w:space="0" w:color="auto"/>
              <w:left w:val="nil"/>
              <w:bottom w:val="single" w:sz="4" w:space="0" w:color="auto"/>
              <w:right w:val="nil"/>
            </w:tcBorders>
            <w:shd w:val="clear" w:color="auto" w:fill="FFFFFF" w:themeFill="background1"/>
          </w:tcPr>
          <w:p w14:paraId="3386DC64" w14:textId="77777777" w:rsidR="00B96DB1" w:rsidRPr="007E5D84" w:rsidRDefault="00B96DB1" w:rsidP="00215563">
            <w:pPr>
              <w:spacing w:after="0"/>
              <w:jc w:val="right"/>
              <w:rPr>
                <w:rFonts w:ascii="Calibri" w:eastAsia="Times New Roman" w:hAnsi="Calibri" w:cs="Calibri"/>
                <w:color w:val="000000"/>
                <w:sz w:val="20"/>
                <w:szCs w:val="20"/>
              </w:rPr>
            </w:pPr>
          </w:p>
        </w:tc>
        <w:tc>
          <w:tcPr>
            <w:tcW w:w="672" w:type="dxa"/>
            <w:tcBorders>
              <w:top w:val="single" w:sz="8" w:space="0" w:color="auto"/>
              <w:left w:val="nil"/>
              <w:bottom w:val="single" w:sz="4" w:space="0" w:color="auto"/>
              <w:right w:val="single" w:sz="8" w:space="0" w:color="auto"/>
            </w:tcBorders>
            <w:shd w:val="clear" w:color="auto" w:fill="FFFFFF" w:themeFill="background1"/>
            <w:noWrap/>
            <w:vAlign w:val="center"/>
            <w:hideMark/>
          </w:tcPr>
          <w:p w14:paraId="3E32D877" w14:textId="27F9C1A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1.6</w:t>
            </w:r>
          </w:p>
        </w:tc>
      </w:tr>
      <w:tr w:rsidR="00B96DB1" w:rsidRPr="007E5D84" w14:paraId="0D557FD6" w14:textId="77777777" w:rsidTr="00511D6E">
        <w:trPr>
          <w:trHeight w:val="290"/>
        </w:trPr>
        <w:tc>
          <w:tcPr>
            <w:tcW w:w="1180" w:type="dxa"/>
            <w:vMerge/>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14:paraId="09DD975D" w14:textId="77777777" w:rsidR="00B96DB1" w:rsidRPr="007E5D84" w:rsidRDefault="00B96DB1" w:rsidP="00215563">
            <w:pPr>
              <w:spacing w:after="0"/>
              <w:rPr>
                <w:rFonts w:ascii="Calibri" w:eastAsia="Times New Roman" w:hAnsi="Calibri" w:cs="Calibri"/>
                <w:b/>
                <w:bCs/>
                <w:color w:val="000000"/>
                <w:sz w:val="20"/>
                <w:szCs w:val="20"/>
              </w:rPr>
            </w:pPr>
          </w:p>
        </w:tc>
        <w:tc>
          <w:tcPr>
            <w:tcW w:w="950" w:type="dxa"/>
            <w:tcBorders>
              <w:top w:val="nil"/>
              <w:left w:val="nil"/>
              <w:bottom w:val="single" w:sz="4" w:space="0" w:color="auto"/>
              <w:right w:val="single" w:sz="4" w:space="0" w:color="auto"/>
            </w:tcBorders>
            <w:shd w:val="clear" w:color="auto" w:fill="FFFFFF" w:themeFill="background1"/>
            <w:noWrap/>
            <w:vAlign w:val="center"/>
            <w:hideMark/>
          </w:tcPr>
          <w:p w14:paraId="150474E6" w14:textId="77777777" w:rsidR="00B96DB1" w:rsidRPr="007E5D84" w:rsidRDefault="00B96DB1" w:rsidP="00215563">
            <w:pPr>
              <w:spacing w:after="0"/>
              <w:rPr>
                <w:rFonts w:ascii="Calibri" w:eastAsia="Times New Roman" w:hAnsi="Calibri" w:cs="Calibri"/>
                <w:color w:val="000000"/>
                <w:sz w:val="20"/>
                <w:szCs w:val="20"/>
              </w:rPr>
            </w:pPr>
            <w:r w:rsidRPr="007E5D84">
              <w:rPr>
                <w:rFonts w:ascii="Calibri" w:eastAsia="Times New Roman" w:hAnsi="Calibri" w:cs="Calibri"/>
                <w:color w:val="000000"/>
                <w:sz w:val="20"/>
                <w:szCs w:val="20"/>
              </w:rPr>
              <w:t>NSW</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6705522D"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1.9</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522E7225"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1.97</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5ADDE190"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2.02</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0D232F47"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2.1</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19D961BB"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2.41</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4386F97B"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2.91</w:t>
            </w:r>
          </w:p>
        </w:tc>
        <w:tc>
          <w:tcPr>
            <w:tcW w:w="672" w:type="dxa"/>
            <w:tcBorders>
              <w:top w:val="nil"/>
              <w:left w:val="nil"/>
              <w:bottom w:val="single" w:sz="4" w:space="0" w:color="auto"/>
              <w:right w:val="nil"/>
            </w:tcBorders>
            <w:shd w:val="clear" w:color="auto" w:fill="FFFFFF" w:themeFill="background1"/>
          </w:tcPr>
          <w:p w14:paraId="3C65BE46" w14:textId="77777777" w:rsidR="00B96DB1" w:rsidRPr="007E5D84" w:rsidRDefault="00B96DB1" w:rsidP="00215563">
            <w:pPr>
              <w:spacing w:after="0"/>
              <w:jc w:val="right"/>
              <w:rPr>
                <w:rFonts w:ascii="Calibri" w:eastAsia="Times New Roman" w:hAnsi="Calibri" w:cs="Calibri"/>
                <w:color w:val="000000"/>
                <w:sz w:val="20"/>
                <w:szCs w:val="20"/>
              </w:rPr>
            </w:pPr>
          </w:p>
        </w:tc>
        <w:tc>
          <w:tcPr>
            <w:tcW w:w="672" w:type="dxa"/>
            <w:tcBorders>
              <w:top w:val="nil"/>
              <w:left w:val="nil"/>
              <w:bottom w:val="single" w:sz="4" w:space="0" w:color="auto"/>
              <w:right w:val="single" w:sz="8" w:space="0" w:color="auto"/>
            </w:tcBorders>
            <w:shd w:val="clear" w:color="auto" w:fill="FFFFFF" w:themeFill="background1"/>
            <w:noWrap/>
            <w:vAlign w:val="center"/>
            <w:hideMark/>
          </w:tcPr>
          <w:p w14:paraId="2C1DC684" w14:textId="57C1AF0F"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3.28</w:t>
            </w:r>
          </w:p>
        </w:tc>
      </w:tr>
      <w:tr w:rsidR="00B96DB1" w:rsidRPr="007E5D84" w14:paraId="671CA7F1" w14:textId="77777777" w:rsidTr="00511D6E">
        <w:trPr>
          <w:trHeight w:val="290"/>
        </w:trPr>
        <w:tc>
          <w:tcPr>
            <w:tcW w:w="1180" w:type="dxa"/>
            <w:vMerge/>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14:paraId="2415EBF7" w14:textId="77777777" w:rsidR="00B96DB1" w:rsidRPr="007E5D84" w:rsidRDefault="00B96DB1" w:rsidP="00215563">
            <w:pPr>
              <w:spacing w:after="0"/>
              <w:rPr>
                <w:rFonts w:ascii="Calibri" w:eastAsia="Times New Roman" w:hAnsi="Calibri" w:cs="Calibri"/>
                <w:b/>
                <w:bCs/>
                <w:color w:val="000000"/>
                <w:sz w:val="20"/>
                <w:szCs w:val="20"/>
              </w:rPr>
            </w:pPr>
          </w:p>
        </w:tc>
        <w:tc>
          <w:tcPr>
            <w:tcW w:w="950" w:type="dxa"/>
            <w:tcBorders>
              <w:top w:val="nil"/>
              <w:left w:val="nil"/>
              <w:bottom w:val="single" w:sz="4" w:space="0" w:color="auto"/>
              <w:right w:val="single" w:sz="4" w:space="0" w:color="auto"/>
            </w:tcBorders>
            <w:shd w:val="clear" w:color="auto" w:fill="FFFFFF" w:themeFill="background1"/>
            <w:noWrap/>
            <w:vAlign w:val="center"/>
            <w:hideMark/>
          </w:tcPr>
          <w:p w14:paraId="780A378C" w14:textId="77777777" w:rsidR="00B96DB1" w:rsidRPr="007E5D84" w:rsidRDefault="00B96DB1" w:rsidP="00215563">
            <w:pPr>
              <w:spacing w:after="0"/>
              <w:rPr>
                <w:rFonts w:ascii="Calibri" w:eastAsia="Times New Roman" w:hAnsi="Calibri" w:cs="Calibri"/>
                <w:color w:val="000000"/>
                <w:sz w:val="20"/>
                <w:szCs w:val="20"/>
              </w:rPr>
            </w:pPr>
            <w:r w:rsidRPr="007E5D84">
              <w:rPr>
                <w:rFonts w:ascii="Calibri" w:eastAsia="Times New Roman" w:hAnsi="Calibri" w:cs="Calibri"/>
                <w:color w:val="000000"/>
                <w:sz w:val="20"/>
                <w:szCs w:val="20"/>
              </w:rPr>
              <w:t>NT</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3B01E760"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0.87</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53162EE8"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1.35</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15125CBD"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1.43</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7C7C8C0F"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1.48</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51160DA4"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2.03</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56161F86"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2.83</w:t>
            </w:r>
          </w:p>
        </w:tc>
        <w:tc>
          <w:tcPr>
            <w:tcW w:w="672" w:type="dxa"/>
            <w:tcBorders>
              <w:top w:val="nil"/>
              <w:left w:val="nil"/>
              <w:bottom w:val="single" w:sz="4" w:space="0" w:color="auto"/>
              <w:right w:val="nil"/>
            </w:tcBorders>
            <w:shd w:val="clear" w:color="auto" w:fill="FFFFFF" w:themeFill="background1"/>
          </w:tcPr>
          <w:p w14:paraId="3114BABC" w14:textId="77777777" w:rsidR="00B96DB1" w:rsidRPr="007E5D84" w:rsidRDefault="00B96DB1" w:rsidP="00215563">
            <w:pPr>
              <w:spacing w:after="0"/>
              <w:jc w:val="right"/>
              <w:rPr>
                <w:rFonts w:ascii="Calibri" w:eastAsia="Times New Roman" w:hAnsi="Calibri" w:cs="Calibri"/>
                <w:color w:val="000000"/>
                <w:sz w:val="20"/>
                <w:szCs w:val="20"/>
              </w:rPr>
            </w:pPr>
          </w:p>
        </w:tc>
        <w:tc>
          <w:tcPr>
            <w:tcW w:w="672" w:type="dxa"/>
            <w:tcBorders>
              <w:top w:val="nil"/>
              <w:left w:val="nil"/>
              <w:bottom w:val="single" w:sz="4" w:space="0" w:color="auto"/>
              <w:right w:val="single" w:sz="8" w:space="0" w:color="auto"/>
            </w:tcBorders>
            <w:shd w:val="clear" w:color="auto" w:fill="FFFFFF" w:themeFill="background1"/>
            <w:noWrap/>
            <w:vAlign w:val="center"/>
            <w:hideMark/>
          </w:tcPr>
          <w:p w14:paraId="29C43471" w14:textId="26414585"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2.92</w:t>
            </w:r>
          </w:p>
        </w:tc>
      </w:tr>
      <w:tr w:rsidR="00B96DB1" w:rsidRPr="007E5D84" w14:paraId="5DCF2E67" w14:textId="77777777" w:rsidTr="00511D6E">
        <w:trPr>
          <w:trHeight w:val="290"/>
        </w:trPr>
        <w:tc>
          <w:tcPr>
            <w:tcW w:w="1180" w:type="dxa"/>
            <w:vMerge/>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14:paraId="5163C109" w14:textId="77777777" w:rsidR="00B96DB1" w:rsidRPr="007E5D84" w:rsidRDefault="00B96DB1" w:rsidP="00215563">
            <w:pPr>
              <w:spacing w:after="0"/>
              <w:rPr>
                <w:rFonts w:ascii="Calibri" w:eastAsia="Times New Roman" w:hAnsi="Calibri" w:cs="Calibri"/>
                <w:b/>
                <w:bCs/>
                <w:color w:val="000000"/>
                <w:sz w:val="20"/>
                <w:szCs w:val="20"/>
              </w:rPr>
            </w:pPr>
          </w:p>
        </w:tc>
        <w:tc>
          <w:tcPr>
            <w:tcW w:w="950" w:type="dxa"/>
            <w:tcBorders>
              <w:top w:val="nil"/>
              <w:left w:val="nil"/>
              <w:bottom w:val="single" w:sz="4" w:space="0" w:color="auto"/>
              <w:right w:val="single" w:sz="4" w:space="0" w:color="auto"/>
            </w:tcBorders>
            <w:shd w:val="clear" w:color="auto" w:fill="FFFFFF" w:themeFill="background1"/>
            <w:noWrap/>
            <w:vAlign w:val="center"/>
            <w:hideMark/>
          </w:tcPr>
          <w:p w14:paraId="7AF1531A" w14:textId="77777777" w:rsidR="00B96DB1" w:rsidRPr="007E5D84" w:rsidRDefault="00B96DB1" w:rsidP="00215563">
            <w:pPr>
              <w:spacing w:after="0"/>
              <w:rPr>
                <w:rFonts w:ascii="Calibri" w:eastAsia="Times New Roman" w:hAnsi="Calibri" w:cs="Calibri"/>
                <w:color w:val="000000"/>
                <w:sz w:val="20"/>
                <w:szCs w:val="20"/>
              </w:rPr>
            </w:pPr>
            <w:r w:rsidRPr="007E5D84">
              <w:rPr>
                <w:rFonts w:ascii="Calibri" w:eastAsia="Times New Roman" w:hAnsi="Calibri" w:cs="Calibri"/>
                <w:color w:val="000000"/>
                <w:sz w:val="20"/>
                <w:szCs w:val="20"/>
              </w:rPr>
              <w:t>QLD</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170E0EAC"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1.86</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1155AAA3"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2</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1E7FF400"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2.1</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2DC0741A"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2.35</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4B32C397"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2.53</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75864FE5"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2.96</w:t>
            </w:r>
          </w:p>
        </w:tc>
        <w:tc>
          <w:tcPr>
            <w:tcW w:w="672" w:type="dxa"/>
            <w:tcBorders>
              <w:top w:val="nil"/>
              <w:left w:val="nil"/>
              <w:bottom w:val="single" w:sz="4" w:space="0" w:color="auto"/>
              <w:right w:val="nil"/>
            </w:tcBorders>
            <w:shd w:val="clear" w:color="auto" w:fill="FFFFFF" w:themeFill="background1"/>
          </w:tcPr>
          <w:p w14:paraId="2CB1A5AC" w14:textId="77777777" w:rsidR="00B96DB1" w:rsidRPr="007E5D84" w:rsidRDefault="00B96DB1" w:rsidP="00215563">
            <w:pPr>
              <w:spacing w:after="0"/>
              <w:jc w:val="right"/>
              <w:rPr>
                <w:rFonts w:ascii="Calibri" w:eastAsia="Times New Roman" w:hAnsi="Calibri" w:cs="Calibri"/>
                <w:color w:val="000000"/>
                <w:sz w:val="20"/>
                <w:szCs w:val="20"/>
              </w:rPr>
            </w:pPr>
          </w:p>
        </w:tc>
        <w:tc>
          <w:tcPr>
            <w:tcW w:w="672" w:type="dxa"/>
            <w:tcBorders>
              <w:top w:val="nil"/>
              <w:left w:val="nil"/>
              <w:bottom w:val="single" w:sz="4" w:space="0" w:color="auto"/>
              <w:right w:val="single" w:sz="8" w:space="0" w:color="auto"/>
            </w:tcBorders>
            <w:shd w:val="clear" w:color="auto" w:fill="FFFFFF" w:themeFill="background1"/>
            <w:noWrap/>
            <w:vAlign w:val="center"/>
            <w:hideMark/>
          </w:tcPr>
          <w:p w14:paraId="3CB3EE71" w14:textId="034C99B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3.46</w:t>
            </w:r>
          </w:p>
        </w:tc>
      </w:tr>
      <w:tr w:rsidR="00B96DB1" w:rsidRPr="007E5D84" w14:paraId="7DA5B1EC" w14:textId="77777777" w:rsidTr="00511D6E">
        <w:trPr>
          <w:trHeight w:val="290"/>
        </w:trPr>
        <w:tc>
          <w:tcPr>
            <w:tcW w:w="1180" w:type="dxa"/>
            <w:vMerge/>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14:paraId="70341EF3" w14:textId="77777777" w:rsidR="00B96DB1" w:rsidRPr="007E5D84" w:rsidRDefault="00B96DB1" w:rsidP="00215563">
            <w:pPr>
              <w:spacing w:after="0"/>
              <w:rPr>
                <w:rFonts w:ascii="Calibri" w:eastAsia="Times New Roman" w:hAnsi="Calibri" w:cs="Calibri"/>
                <w:b/>
                <w:bCs/>
                <w:color w:val="000000"/>
                <w:sz w:val="20"/>
                <w:szCs w:val="20"/>
              </w:rPr>
            </w:pPr>
          </w:p>
        </w:tc>
        <w:tc>
          <w:tcPr>
            <w:tcW w:w="950" w:type="dxa"/>
            <w:tcBorders>
              <w:top w:val="nil"/>
              <w:left w:val="nil"/>
              <w:bottom w:val="single" w:sz="4" w:space="0" w:color="auto"/>
              <w:right w:val="single" w:sz="4" w:space="0" w:color="auto"/>
            </w:tcBorders>
            <w:shd w:val="clear" w:color="auto" w:fill="FFFFFF" w:themeFill="background1"/>
            <w:noWrap/>
            <w:vAlign w:val="center"/>
            <w:hideMark/>
          </w:tcPr>
          <w:p w14:paraId="1A9441F2" w14:textId="77777777" w:rsidR="00B96DB1" w:rsidRPr="007E5D84" w:rsidRDefault="00B96DB1" w:rsidP="00215563">
            <w:pPr>
              <w:spacing w:after="0"/>
              <w:rPr>
                <w:rFonts w:ascii="Calibri" w:eastAsia="Times New Roman" w:hAnsi="Calibri" w:cs="Calibri"/>
                <w:color w:val="000000"/>
                <w:sz w:val="20"/>
                <w:szCs w:val="20"/>
              </w:rPr>
            </w:pPr>
            <w:r w:rsidRPr="007E5D84">
              <w:rPr>
                <w:rFonts w:ascii="Calibri" w:eastAsia="Times New Roman" w:hAnsi="Calibri" w:cs="Calibri"/>
                <w:color w:val="000000"/>
                <w:sz w:val="20"/>
                <w:szCs w:val="20"/>
              </w:rPr>
              <w:t>SA</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44B2A985"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1.1</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151E2D88"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1.05</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41C5888F"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0.92</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52149ABC"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1.2</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7B80EE64"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1.24</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1C467934"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1.75</w:t>
            </w:r>
          </w:p>
        </w:tc>
        <w:tc>
          <w:tcPr>
            <w:tcW w:w="672" w:type="dxa"/>
            <w:tcBorders>
              <w:top w:val="nil"/>
              <w:left w:val="nil"/>
              <w:bottom w:val="single" w:sz="4" w:space="0" w:color="auto"/>
              <w:right w:val="nil"/>
            </w:tcBorders>
            <w:shd w:val="clear" w:color="auto" w:fill="FFFFFF" w:themeFill="background1"/>
          </w:tcPr>
          <w:p w14:paraId="0BA3378C" w14:textId="77777777" w:rsidR="00B96DB1" w:rsidRPr="007E5D84" w:rsidRDefault="00B96DB1" w:rsidP="00215563">
            <w:pPr>
              <w:spacing w:after="0"/>
              <w:jc w:val="right"/>
              <w:rPr>
                <w:rFonts w:ascii="Calibri" w:eastAsia="Times New Roman" w:hAnsi="Calibri" w:cs="Calibri"/>
                <w:color w:val="000000"/>
                <w:sz w:val="20"/>
                <w:szCs w:val="20"/>
              </w:rPr>
            </w:pPr>
          </w:p>
        </w:tc>
        <w:tc>
          <w:tcPr>
            <w:tcW w:w="672" w:type="dxa"/>
            <w:tcBorders>
              <w:top w:val="nil"/>
              <w:left w:val="nil"/>
              <w:bottom w:val="single" w:sz="4" w:space="0" w:color="auto"/>
              <w:right w:val="single" w:sz="8" w:space="0" w:color="auto"/>
            </w:tcBorders>
            <w:shd w:val="clear" w:color="auto" w:fill="FFFFFF" w:themeFill="background1"/>
            <w:noWrap/>
            <w:vAlign w:val="center"/>
            <w:hideMark/>
          </w:tcPr>
          <w:p w14:paraId="56A47191" w14:textId="362D8710"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2.44</w:t>
            </w:r>
          </w:p>
        </w:tc>
      </w:tr>
      <w:tr w:rsidR="00B96DB1" w:rsidRPr="007E5D84" w14:paraId="018CE020" w14:textId="77777777" w:rsidTr="00511D6E">
        <w:trPr>
          <w:trHeight w:val="290"/>
        </w:trPr>
        <w:tc>
          <w:tcPr>
            <w:tcW w:w="1180" w:type="dxa"/>
            <w:vMerge/>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14:paraId="58A79A4D" w14:textId="77777777" w:rsidR="00B96DB1" w:rsidRPr="007E5D84" w:rsidRDefault="00B96DB1" w:rsidP="00215563">
            <w:pPr>
              <w:spacing w:after="0"/>
              <w:rPr>
                <w:rFonts w:ascii="Calibri" w:eastAsia="Times New Roman" w:hAnsi="Calibri" w:cs="Calibri"/>
                <w:b/>
                <w:bCs/>
                <w:color w:val="000000"/>
                <w:sz w:val="20"/>
                <w:szCs w:val="20"/>
              </w:rPr>
            </w:pPr>
          </w:p>
        </w:tc>
        <w:tc>
          <w:tcPr>
            <w:tcW w:w="950" w:type="dxa"/>
            <w:tcBorders>
              <w:top w:val="nil"/>
              <w:left w:val="nil"/>
              <w:bottom w:val="single" w:sz="4" w:space="0" w:color="auto"/>
              <w:right w:val="single" w:sz="4" w:space="0" w:color="auto"/>
            </w:tcBorders>
            <w:shd w:val="clear" w:color="auto" w:fill="FFFFFF" w:themeFill="background1"/>
            <w:noWrap/>
            <w:vAlign w:val="center"/>
            <w:hideMark/>
          </w:tcPr>
          <w:p w14:paraId="30D767A5" w14:textId="77777777" w:rsidR="00B96DB1" w:rsidRPr="007E5D84" w:rsidRDefault="00B96DB1" w:rsidP="00215563">
            <w:pPr>
              <w:spacing w:after="0"/>
              <w:rPr>
                <w:rFonts w:ascii="Calibri" w:eastAsia="Times New Roman" w:hAnsi="Calibri" w:cs="Calibri"/>
                <w:color w:val="000000"/>
                <w:sz w:val="20"/>
                <w:szCs w:val="20"/>
              </w:rPr>
            </w:pPr>
            <w:r w:rsidRPr="007E5D84">
              <w:rPr>
                <w:rFonts w:ascii="Calibri" w:eastAsia="Times New Roman" w:hAnsi="Calibri" w:cs="Calibri"/>
                <w:color w:val="000000"/>
                <w:sz w:val="20"/>
                <w:szCs w:val="20"/>
              </w:rPr>
              <w:t>TAS</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52AFFF74"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2.12</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44E7EF2A"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1.7</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10CEF8ED"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1.81</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6F304754"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3.17</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2A2D5A4D"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3.17</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28EE0E52"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3.78</w:t>
            </w:r>
          </w:p>
        </w:tc>
        <w:tc>
          <w:tcPr>
            <w:tcW w:w="672" w:type="dxa"/>
            <w:tcBorders>
              <w:top w:val="nil"/>
              <w:left w:val="nil"/>
              <w:bottom w:val="single" w:sz="4" w:space="0" w:color="auto"/>
              <w:right w:val="nil"/>
            </w:tcBorders>
            <w:shd w:val="clear" w:color="auto" w:fill="FFFFFF" w:themeFill="background1"/>
          </w:tcPr>
          <w:p w14:paraId="249CFAE1" w14:textId="77777777" w:rsidR="00B96DB1" w:rsidRPr="007E5D84" w:rsidRDefault="00B96DB1" w:rsidP="00215563">
            <w:pPr>
              <w:spacing w:after="0"/>
              <w:jc w:val="right"/>
              <w:rPr>
                <w:rFonts w:ascii="Calibri" w:eastAsia="Times New Roman" w:hAnsi="Calibri" w:cs="Calibri"/>
                <w:color w:val="000000"/>
                <w:sz w:val="20"/>
                <w:szCs w:val="20"/>
              </w:rPr>
            </w:pPr>
          </w:p>
        </w:tc>
        <w:tc>
          <w:tcPr>
            <w:tcW w:w="672" w:type="dxa"/>
            <w:tcBorders>
              <w:top w:val="nil"/>
              <w:left w:val="nil"/>
              <w:bottom w:val="single" w:sz="4" w:space="0" w:color="auto"/>
              <w:right w:val="single" w:sz="8" w:space="0" w:color="auto"/>
            </w:tcBorders>
            <w:shd w:val="clear" w:color="auto" w:fill="FFFFFF" w:themeFill="background1"/>
            <w:noWrap/>
            <w:vAlign w:val="center"/>
            <w:hideMark/>
          </w:tcPr>
          <w:p w14:paraId="4FA82B2B" w14:textId="0F96BB52"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4.79</w:t>
            </w:r>
          </w:p>
        </w:tc>
      </w:tr>
      <w:tr w:rsidR="00B96DB1" w:rsidRPr="007E5D84" w14:paraId="34BB4C02" w14:textId="77777777" w:rsidTr="00511D6E">
        <w:trPr>
          <w:trHeight w:val="290"/>
        </w:trPr>
        <w:tc>
          <w:tcPr>
            <w:tcW w:w="1180" w:type="dxa"/>
            <w:vMerge/>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14:paraId="147ED464" w14:textId="77777777" w:rsidR="00B96DB1" w:rsidRPr="007E5D84" w:rsidRDefault="00B96DB1" w:rsidP="00215563">
            <w:pPr>
              <w:spacing w:after="0"/>
              <w:rPr>
                <w:rFonts w:ascii="Calibri" w:eastAsia="Times New Roman" w:hAnsi="Calibri" w:cs="Calibri"/>
                <w:b/>
                <w:bCs/>
                <w:color w:val="000000"/>
                <w:sz w:val="20"/>
                <w:szCs w:val="20"/>
              </w:rPr>
            </w:pPr>
          </w:p>
        </w:tc>
        <w:tc>
          <w:tcPr>
            <w:tcW w:w="950" w:type="dxa"/>
            <w:tcBorders>
              <w:top w:val="nil"/>
              <w:left w:val="nil"/>
              <w:bottom w:val="single" w:sz="4" w:space="0" w:color="auto"/>
              <w:right w:val="single" w:sz="4" w:space="0" w:color="auto"/>
            </w:tcBorders>
            <w:shd w:val="clear" w:color="auto" w:fill="FFFFFF" w:themeFill="background1"/>
            <w:noWrap/>
            <w:vAlign w:val="center"/>
            <w:hideMark/>
          </w:tcPr>
          <w:p w14:paraId="60A6AC9C" w14:textId="77777777" w:rsidR="00B96DB1" w:rsidRPr="007E5D84" w:rsidRDefault="00B96DB1" w:rsidP="00215563">
            <w:pPr>
              <w:spacing w:after="0"/>
              <w:rPr>
                <w:rFonts w:ascii="Calibri" w:eastAsia="Times New Roman" w:hAnsi="Calibri" w:cs="Calibri"/>
                <w:color w:val="000000"/>
                <w:sz w:val="20"/>
                <w:szCs w:val="20"/>
              </w:rPr>
            </w:pPr>
            <w:r w:rsidRPr="007E5D84">
              <w:rPr>
                <w:rFonts w:ascii="Calibri" w:eastAsia="Times New Roman" w:hAnsi="Calibri" w:cs="Calibri"/>
                <w:color w:val="000000"/>
                <w:sz w:val="20"/>
                <w:szCs w:val="20"/>
              </w:rPr>
              <w:t>VIC</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7538CF6C"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1.06</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1F7A563A"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1.12</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334AA971"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1.27</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52531AA2"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1.34</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593196BC"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1.7</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5E709AFD"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1.99</w:t>
            </w:r>
          </w:p>
        </w:tc>
        <w:tc>
          <w:tcPr>
            <w:tcW w:w="672" w:type="dxa"/>
            <w:tcBorders>
              <w:top w:val="nil"/>
              <w:left w:val="nil"/>
              <w:bottom w:val="single" w:sz="4" w:space="0" w:color="auto"/>
              <w:right w:val="nil"/>
            </w:tcBorders>
            <w:shd w:val="clear" w:color="auto" w:fill="FFFFFF" w:themeFill="background1"/>
          </w:tcPr>
          <w:p w14:paraId="09D6EAF3" w14:textId="77777777" w:rsidR="00B96DB1" w:rsidRPr="007E5D84" w:rsidRDefault="00B96DB1" w:rsidP="00215563">
            <w:pPr>
              <w:spacing w:after="0"/>
              <w:jc w:val="right"/>
              <w:rPr>
                <w:rFonts w:ascii="Calibri" w:eastAsia="Times New Roman" w:hAnsi="Calibri" w:cs="Calibri"/>
                <w:color w:val="000000"/>
                <w:sz w:val="20"/>
                <w:szCs w:val="20"/>
              </w:rPr>
            </w:pPr>
          </w:p>
        </w:tc>
        <w:tc>
          <w:tcPr>
            <w:tcW w:w="672" w:type="dxa"/>
            <w:tcBorders>
              <w:top w:val="nil"/>
              <w:left w:val="nil"/>
              <w:bottom w:val="single" w:sz="4" w:space="0" w:color="auto"/>
              <w:right w:val="single" w:sz="8" w:space="0" w:color="auto"/>
            </w:tcBorders>
            <w:shd w:val="clear" w:color="auto" w:fill="FFFFFF" w:themeFill="background1"/>
            <w:noWrap/>
            <w:vAlign w:val="center"/>
            <w:hideMark/>
          </w:tcPr>
          <w:p w14:paraId="20F6BCF2" w14:textId="35514528"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2.18</w:t>
            </w:r>
          </w:p>
        </w:tc>
      </w:tr>
      <w:tr w:rsidR="00B96DB1" w:rsidRPr="007E5D84" w14:paraId="520E6806" w14:textId="77777777" w:rsidTr="00511D6E">
        <w:trPr>
          <w:trHeight w:val="300"/>
        </w:trPr>
        <w:tc>
          <w:tcPr>
            <w:tcW w:w="1180" w:type="dxa"/>
            <w:vMerge/>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14:paraId="105FB621" w14:textId="77777777" w:rsidR="00B96DB1" w:rsidRPr="007E5D84" w:rsidRDefault="00B96DB1" w:rsidP="00215563">
            <w:pPr>
              <w:spacing w:after="0"/>
              <w:rPr>
                <w:rFonts w:ascii="Calibri" w:eastAsia="Times New Roman" w:hAnsi="Calibri" w:cs="Calibri"/>
                <w:b/>
                <w:bCs/>
                <w:color w:val="000000"/>
                <w:sz w:val="20"/>
                <w:szCs w:val="20"/>
              </w:rPr>
            </w:pPr>
          </w:p>
        </w:tc>
        <w:tc>
          <w:tcPr>
            <w:tcW w:w="950" w:type="dxa"/>
            <w:tcBorders>
              <w:top w:val="nil"/>
              <w:left w:val="nil"/>
              <w:bottom w:val="single" w:sz="8" w:space="0" w:color="auto"/>
              <w:right w:val="single" w:sz="4" w:space="0" w:color="auto"/>
            </w:tcBorders>
            <w:shd w:val="clear" w:color="auto" w:fill="FFFFFF" w:themeFill="background1"/>
            <w:noWrap/>
            <w:vAlign w:val="center"/>
            <w:hideMark/>
          </w:tcPr>
          <w:p w14:paraId="42DADBD1" w14:textId="77777777" w:rsidR="00B96DB1" w:rsidRPr="007E5D84" w:rsidRDefault="00B96DB1" w:rsidP="00215563">
            <w:pPr>
              <w:spacing w:after="0"/>
              <w:rPr>
                <w:rFonts w:ascii="Calibri" w:eastAsia="Times New Roman" w:hAnsi="Calibri" w:cs="Calibri"/>
                <w:color w:val="000000"/>
                <w:sz w:val="20"/>
                <w:szCs w:val="20"/>
              </w:rPr>
            </w:pPr>
            <w:r w:rsidRPr="007E5D84">
              <w:rPr>
                <w:rFonts w:ascii="Calibri" w:eastAsia="Times New Roman" w:hAnsi="Calibri" w:cs="Calibri"/>
                <w:color w:val="000000"/>
                <w:sz w:val="20"/>
                <w:szCs w:val="20"/>
              </w:rPr>
              <w:t>WA</w:t>
            </w:r>
          </w:p>
        </w:tc>
        <w:tc>
          <w:tcPr>
            <w:tcW w:w="672" w:type="dxa"/>
            <w:tcBorders>
              <w:top w:val="nil"/>
              <w:left w:val="nil"/>
              <w:bottom w:val="single" w:sz="8" w:space="0" w:color="auto"/>
              <w:right w:val="single" w:sz="4" w:space="0" w:color="auto"/>
            </w:tcBorders>
            <w:shd w:val="clear" w:color="auto" w:fill="FFFFFF" w:themeFill="background1"/>
            <w:noWrap/>
            <w:vAlign w:val="center"/>
            <w:hideMark/>
          </w:tcPr>
          <w:p w14:paraId="612FB3DF"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1.03</w:t>
            </w:r>
          </w:p>
        </w:tc>
        <w:tc>
          <w:tcPr>
            <w:tcW w:w="672" w:type="dxa"/>
            <w:tcBorders>
              <w:top w:val="nil"/>
              <w:left w:val="nil"/>
              <w:bottom w:val="single" w:sz="8" w:space="0" w:color="auto"/>
              <w:right w:val="single" w:sz="4" w:space="0" w:color="auto"/>
            </w:tcBorders>
            <w:shd w:val="clear" w:color="auto" w:fill="FFFFFF" w:themeFill="background1"/>
            <w:noWrap/>
            <w:vAlign w:val="center"/>
            <w:hideMark/>
          </w:tcPr>
          <w:p w14:paraId="7E144EC5"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1.16</w:t>
            </w:r>
          </w:p>
        </w:tc>
        <w:tc>
          <w:tcPr>
            <w:tcW w:w="672" w:type="dxa"/>
            <w:tcBorders>
              <w:top w:val="nil"/>
              <w:left w:val="nil"/>
              <w:bottom w:val="single" w:sz="8" w:space="0" w:color="auto"/>
              <w:right w:val="single" w:sz="4" w:space="0" w:color="auto"/>
            </w:tcBorders>
            <w:shd w:val="clear" w:color="auto" w:fill="FFFFFF" w:themeFill="background1"/>
            <w:noWrap/>
            <w:vAlign w:val="center"/>
            <w:hideMark/>
          </w:tcPr>
          <w:p w14:paraId="6C1ED6D2"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1.44</w:t>
            </w:r>
          </w:p>
        </w:tc>
        <w:tc>
          <w:tcPr>
            <w:tcW w:w="672" w:type="dxa"/>
            <w:tcBorders>
              <w:top w:val="nil"/>
              <w:left w:val="nil"/>
              <w:bottom w:val="single" w:sz="8" w:space="0" w:color="auto"/>
              <w:right w:val="single" w:sz="4" w:space="0" w:color="auto"/>
            </w:tcBorders>
            <w:shd w:val="clear" w:color="auto" w:fill="FFFFFF" w:themeFill="background1"/>
            <w:noWrap/>
            <w:vAlign w:val="center"/>
            <w:hideMark/>
          </w:tcPr>
          <w:p w14:paraId="76242ED9"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1.53</w:t>
            </w:r>
          </w:p>
        </w:tc>
        <w:tc>
          <w:tcPr>
            <w:tcW w:w="672" w:type="dxa"/>
            <w:tcBorders>
              <w:top w:val="nil"/>
              <w:left w:val="nil"/>
              <w:bottom w:val="single" w:sz="8" w:space="0" w:color="auto"/>
              <w:right w:val="single" w:sz="4" w:space="0" w:color="auto"/>
            </w:tcBorders>
            <w:shd w:val="clear" w:color="auto" w:fill="FFFFFF" w:themeFill="background1"/>
            <w:noWrap/>
            <w:vAlign w:val="center"/>
            <w:hideMark/>
          </w:tcPr>
          <w:p w14:paraId="65261EB6"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1.76</w:t>
            </w:r>
          </w:p>
        </w:tc>
        <w:tc>
          <w:tcPr>
            <w:tcW w:w="672" w:type="dxa"/>
            <w:tcBorders>
              <w:top w:val="nil"/>
              <w:left w:val="nil"/>
              <w:bottom w:val="single" w:sz="8" w:space="0" w:color="auto"/>
              <w:right w:val="single" w:sz="4" w:space="0" w:color="auto"/>
            </w:tcBorders>
            <w:shd w:val="clear" w:color="auto" w:fill="FFFFFF" w:themeFill="background1"/>
            <w:noWrap/>
            <w:vAlign w:val="center"/>
            <w:hideMark/>
          </w:tcPr>
          <w:p w14:paraId="02750AE8"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2.08</w:t>
            </w:r>
          </w:p>
        </w:tc>
        <w:tc>
          <w:tcPr>
            <w:tcW w:w="672" w:type="dxa"/>
            <w:tcBorders>
              <w:top w:val="nil"/>
              <w:left w:val="nil"/>
              <w:bottom w:val="single" w:sz="8" w:space="0" w:color="auto"/>
              <w:right w:val="nil"/>
            </w:tcBorders>
            <w:shd w:val="clear" w:color="auto" w:fill="FFFFFF" w:themeFill="background1"/>
          </w:tcPr>
          <w:p w14:paraId="3E849B2B" w14:textId="77777777" w:rsidR="00B96DB1" w:rsidRPr="007E5D84" w:rsidRDefault="00B96DB1" w:rsidP="00215563">
            <w:pPr>
              <w:spacing w:after="0"/>
              <w:jc w:val="right"/>
              <w:rPr>
                <w:rFonts w:ascii="Calibri" w:eastAsia="Times New Roman" w:hAnsi="Calibri" w:cs="Calibri"/>
                <w:color w:val="000000"/>
                <w:sz w:val="20"/>
                <w:szCs w:val="20"/>
              </w:rPr>
            </w:pPr>
          </w:p>
        </w:tc>
        <w:tc>
          <w:tcPr>
            <w:tcW w:w="672" w:type="dxa"/>
            <w:tcBorders>
              <w:top w:val="nil"/>
              <w:left w:val="nil"/>
              <w:bottom w:val="single" w:sz="8" w:space="0" w:color="auto"/>
              <w:right w:val="single" w:sz="8" w:space="0" w:color="auto"/>
            </w:tcBorders>
            <w:shd w:val="clear" w:color="auto" w:fill="FFFFFF" w:themeFill="background1"/>
            <w:noWrap/>
            <w:vAlign w:val="center"/>
            <w:hideMark/>
          </w:tcPr>
          <w:p w14:paraId="5F301123" w14:textId="15001078"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2.46</w:t>
            </w:r>
          </w:p>
        </w:tc>
      </w:tr>
      <w:tr w:rsidR="00B96DB1" w:rsidRPr="007E5D84" w14:paraId="4434CEFA" w14:textId="77777777" w:rsidTr="00511D6E">
        <w:trPr>
          <w:trHeight w:val="290"/>
        </w:trPr>
        <w:tc>
          <w:tcPr>
            <w:tcW w:w="1180" w:type="dxa"/>
            <w:vMerge w:val="restart"/>
            <w:tcBorders>
              <w:top w:val="nil"/>
              <w:left w:val="single" w:sz="8" w:space="0" w:color="auto"/>
              <w:bottom w:val="single" w:sz="8" w:space="0" w:color="000000"/>
              <w:right w:val="single" w:sz="8" w:space="0" w:color="auto"/>
            </w:tcBorders>
            <w:shd w:val="clear" w:color="auto" w:fill="FFFFFF" w:themeFill="background1"/>
            <w:noWrap/>
            <w:vAlign w:val="center"/>
            <w:hideMark/>
          </w:tcPr>
          <w:p w14:paraId="0DB985C6" w14:textId="77777777" w:rsidR="00B96DB1" w:rsidRPr="007E5D84" w:rsidRDefault="00B96DB1" w:rsidP="00215563">
            <w:pPr>
              <w:spacing w:after="0"/>
              <w:jc w:val="center"/>
              <w:rPr>
                <w:rFonts w:ascii="Calibri" w:eastAsia="Times New Roman" w:hAnsi="Calibri" w:cs="Calibri"/>
                <w:b/>
                <w:bCs/>
                <w:color w:val="000000"/>
                <w:sz w:val="20"/>
                <w:szCs w:val="20"/>
              </w:rPr>
            </w:pPr>
            <w:r w:rsidRPr="007E5D84">
              <w:rPr>
                <w:rFonts w:ascii="Calibri" w:eastAsia="Times New Roman" w:hAnsi="Calibri" w:cs="Calibri"/>
                <w:b/>
                <w:bCs/>
                <w:color w:val="000000"/>
                <w:sz w:val="20"/>
                <w:szCs w:val="20"/>
              </w:rPr>
              <w:t>6-12 years</w:t>
            </w:r>
          </w:p>
        </w:tc>
        <w:tc>
          <w:tcPr>
            <w:tcW w:w="950" w:type="dxa"/>
            <w:tcBorders>
              <w:top w:val="nil"/>
              <w:left w:val="nil"/>
              <w:bottom w:val="single" w:sz="4" w:space="0" w:color="auto"/>
              <w:right w:val="single" w:sz="4" w:space="0" w:color="auto"/>
            </w:tcBorders>
            <w:shd w:val="clear" w:color="auto" w:fill="FFFFFF" w:themeFill="background1"/>
            <w:noWrap/>
            <w:vAlign w:val="center"/>
            <w:hideMark/>
          </w:tcPr>
          <w:p w14:paraId="214DBD5F" w14:textId="77777777" w:rsidR="00B96DB1" w:rsidRPr="007E5D84" w:rsidRDefault="00B96DB1" w:rsidP="00215563">
            <w:pPr>
              <w:spacing w:after="0"/>
              <w:rPr>
                <w:rFonts w:ascii="Calibri" w:eastAsia="Times New Roman" w:hAnsi="Calibri" w:cs="Calibri"/>
                <w:color w:val="000000"/>
                <w:sz w:val="20"/>
                <w:szCs w:val="20"/>
              </w:rPr>
            </w:pPr>
            <w:r w:rsidRPr="007E5D84">
              <w:rPr>
                <w:rFonts w:ascii="Calibri" w:eastAsia="Times New Roman" w:hAnsi="Calibri" w:cs="Calibri"/>
                <w:color w:val="000000"/>
                <w:sz w:val="20"/>
                <w:szCs w:val="20"/>
              </w:rPr>
              <w:t>ACT</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3E66A115"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26.71</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023E659E"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29.15</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2ECD20B6"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32.46</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0E6CB672"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34.43</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7B9FF31A"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39.83</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423E156C"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47.25</w:t>
            </w:r>
          </w:p>
        </w:tc>
        <w:tc>
          <w:tcPr>
            <w:tcW w:w="672" w:type="dxa"/>
            <w:tcBorders>
              <w:top w:val="nil"/>
              <w:left w:val="nil"/>
              <w:bottom w:val="single" w:sz="4" w:space="0" w:color="auto"/>
              <w:right w:val="nil"/>
            </w:tcBorders>
            <w:shd w:val="clear" w:color="auto" w:fill="FFFFFF" w:themeFill="background1"/>
          </w:tcPr>
          <w:p w14:paraId="6F3FB901" w14:textId="77777777" w:rsidR="00B96DB1" w:rsidRPr="007E5D84" w:rsidRDefault="00B96DB1" w:rsidP="00215563">
            <w:pPr>
              <w:spacing w:after="0"/>
              <w:jc w:val="right"/>
              <w:rPr>
                <w:rFonts w:ascii="Calibri" w:eastAsia="Times New Roman" w:hAnsi="Calibri" w:cs="Calibri"/>
                <w:color w:val="000000"/>
                <w:sz w:val="20"/>
                <w:szCs w:val="20"/>
              </w:rPr>
            </w:pPr>
          </w:p>
        </w:tc>
        <w:tc>
          <w:tcPr>
            <w:tcW w:w="672" w:type="dxa"/>
            <w:tcBorders>
              <w:top w:val="nil"/>
              <w:left w:val="nil"/>
              <w:bottom w:val="single" w:sz="4" w:space="0" w:color="auto"/>
              <w:right w:val="single" w:sz="8" w:space="0" w:color="auto"/>
            </w:tcBorders>
            <w:shd w:val="clear" w:color="auto" w:fill="FFFFFF" w:themeFill="background1"/>
            <w:noWrap/>
            <w:vAlign w:val="center"/>
            <w:hideMark/>
          </w:tcPr>
          <w:p w14:paraId="62C89624" w14:textId="004196B8"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53.56</w:t>
            </w:r>
          </w:p>
        </w:tc>
      </w:tr>
      <w:tr w:rsidR="00B96DB1" w:rsidRPr="007E5D84" w14:paraId="6A588CDE" w14:textId="77777777" w:rsidTr="00511D6E">
        <w:trPr>
          <w:trHeight w:val="290"/>
        </w:trPr>
        <w:tc>
          <w:tcPr>
            <w:tcW w:w="1180" w:type="dxa"/>
            <w:vMerge/>
            <w:tcBorders>
              <w:top w:val="nil"/>
              <w:left w:val="single" w:sz="8" w:space="0" w:color="auto"/>
              <w:bottom w:val="single" w:sz="8" w:space="0" w:color="000000"/>
              <w:right w:val="single" w:sz="8" w:space="0" w:color="auto"/>
            </w:tcBorders>
            <w:shd w:val="clear" w:color="auto" w:fill="FFFFFF" w:themeFill="background1"/>
            <w:vAlign w:val="center"/>
            <w:hideMark/>
          </w:tcPr>
          <w:p w14:paraId="38F515E0" w14:textId="77777777" w:rsidR="00B96DB1" w:rsidRPr="007E5D84" w:rsidRDefault="00B96DB1" w:rsidP="00215563">
            <w:pPr>
              <w:spacing w:after="0"/>
              <w:rPr>
                <w:rFonts w:ascii="Calibri" w:eastAsia="Times New Roman" w:hAnsi="Calibri" w:cs="Calibri"/>
                <w:b/>
                <w:bCs/>
                <w:color w:val="000000"/>
                <w:sz w:val="20"/>
                <w:szCs w:val="20"/>
              </w:rPr>
            </w:pPr>
          </w:p>
        </w:tc>
        <w:tc>
          <w:tcPr>
            <w:tcW w:w="950" w:type="dxa"/>
            <w:tcBorders>
              <w:top w:val="nil"/>
              <w:left w:val="nil"/>
              <w:bottom w:val="single" w:sz="4" w:space="0" w:color="auto"/>
              <w:right w:val="single" w:sz="4" w:space="0" w:color="auto"/>
            </w:tcBorders>
            <w:shd w:val="clear" w:color="auto" w:fill="FFFFFF" w:themeFill="background1"/>
            <w:noWrap/>
            <w:vAlign w:val="center"/>
            <w:hideMark/>
          </w:tcPr>
          <w:p w14:paraId="2D551009" w14:textId="77777777" w:rsidR="00B96DB1" w:rsidRPr="007E5D84" w:rsidRDefault="00B96DB1" w:rsidP="00215563">
            <w:pPr>
              <w:spacing w:after="0"/>
              <w:rPr>
                <w:rFonts w:ascii="Calibri" w:eastAsia="Times New Roman" w:hAnsi="Calibri" w:cs="Calibri"/>
                <w:color w:val="000000"/>
                <w:sz w:val="20"/>
                <w:szCs w:val="20"/>
              </w:rPr>
            </w:pPr>
            <w:r w:rsidRPr="007E5D84">
              <w:rPr>
                <w:rFonts w:ascii="Calibri" w:eastAsia="Times New Roman" w:hAnsi="Calibri" w:cs="Calibri"/>
                <w:color w:val="000000"/>
                <w:sz w:val="20"/>
                <w:szCs w:val="20"/>
              </w:rPr>
              <w:t>NSW</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3355050F"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30.45</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5FAFD77B"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32.7</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77EA6B03"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34.93</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7718506A"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36.78</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7AD1FC4C"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40.35</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64C8F14F"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44.69</w:t>
            </w:r>
          </w:p>
        </w:tc>
        <w:tc>
          <w:tcPr>
            <w:tcW w:w="672" w:type="dxa"/>
            <w:tcBorders>
              <w:top w:val="nil"/>
              <w:left w:val="nil"/>
              <w:bottom w:val="single" w:sz="4" w:space="0" w:color="auto"/>
              <w:right w:val="nil"/>
            </w:tcBorders>
            <w:shd w:val="clear" w:color="auto" w:fill="FFFFFF" w:themeFill="background1"/>
          </w:tcPr>
          <w:p w14:paraId="4A7BD43A" w14:textId="77777777" w:rsidR="00B96DB1" w:rsidRPr="007E5D84" w:rsidRDefault="00B96DB1" w:rsidP="00215563">
            <w:pPr>
              <w:spacing w:after="0"/>
              <w:jc w:val="right"/>
              <w:rPr>
                <w:rFonts w:ascii="Calibri" w:eastAsia="Times New Roman" w:hAnsi="Calibri" w:cs="Calibri"/>
                <w:color w:val="000000"/>
                <w:sz w:val="20"/>
                <w:szCs w:val="20"/>
              </w:rPr>
            </w:pPr>
          </w:p>
        </w:tc>
        <w:tc>
          <w:tcPr>
            <w:tcW w:w="672" w:type="dxa"/>
            <w:tcBorders>
              <w:top w:val="nil"/>
              <w:left w:val="nil"/>
              <w:bottom w:val="single" w:sz="4" w:space="0" w:color="auto"/>
              <w:right w:val="single" w:sz="8" w:space="0" w:color="auto"/>
            </w:tcBorders>
            <w:shd w:val="clear" w:color="auto" w:fill="FFFFFF" w:themeFill="background1"/>
            <w:noWrap/>
            <w:vAlign w:val="center"/>
            <w:hideMark/>
          </w:tcPr>
          <w:p w14:paraId="0BDE4DBA" w14:textId="7AA942FD"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50.14</w:t>
            </w:r>
          </w:p>
        </w:tc>
      </w:tr>
      <w:tr w:rsidR="00B96DB1" w:rsidRPr="007E5D84" w14:paraId="7238F2D3" w14:textId="77777777" w:rsidTr="00511D6E">
        <w:trPr>
          <w:trHeight w:val="290"/>
        </w:trPr>
        <w:tc>
          <w:tcPr>
            <w:tcW w:w="1180" w:type="dxa"/>
            <w:vMerge/>
            <w:tcBorders>
              <w:top w:val="nil"/>
              <w:left w:val="single" w:sz="8" w:space="0" w:color="auto"/>
              <w:bottom w:val="single" w:sz="8" w:space="0" w:color="000000"/>
              <w:right w:val="single" w:sz="8" w:space="0" w:color="auto"/>
            </w:tcBorders>
            <w:shd w:val="clear" w:color="auto" w:fill="FFFFFF" w:themeFill="background1"/>
            <w:vAlign w:val="center"/>
            <w:hideMark/>
          </w:tcPr>
          <w:p w14:paraId="6221189B" w14:textId="77777777" w:rsidR="00B96DB1" w:rsidRPr="007E5D84" w:rsidRDefault="00B96DB1" w:rsidP="00215563">
            <w:pPr>
              <w:spacing w:after="0"/>
              <w:rPr>
                <w:rFonts w:ascii="Calibri" w:eastAsia="Times New Roman" w:hAnsi="Calibri" w:cs="Calibri"/>
                <w:b/>
                <w:bCs/>
                <w:color w:val="000000"/>
                <w:sz w:val="20"/>
                <w:szCs w:val="20"/>
              </w:rPr>
            </w:pPr>
          </w:p>
        </w:tc>
        <w:tc>
          <w:tcPr>
            <w:tcW w:w="950" w:type="dxa"/>
            <w:tcBorders>
              <w:top w:val="nil"/>
              <w:left w:val="nil"/>
              <w:bottom w:val="single" w:sz="4" w:space="0" w:color="auto"/>
              <w:right w:val="single" w:sz="4" w:space="0" w:color="auto"/>
            </w:tcBorders>
            <w:shd w:val="clear" w:color="auto" w:fill="FFFFFF" w:themeFill="background1"/>
            <w:noWrap/>
            <w:vAlign w:val="center"/>
            <w:hideMark/>
          </w:tcPr>
          <w:p w14:paraId="2AB9EB18" w14:textId="77777777" w:rsidR="00B96DB1" w:rsidRPr="007E5D84" w:rsidRDefault="00B96DB1" w:rsidP="00215563">
            <w:pPr>
              <w:spacing w:after="0"/>
              <w:rPr>
                <w:rFonts w:ascii="Calibri" w:eastAsia="Times New Roman" w:hAnsi="Calibri" w:cs="Calibri"/>
                <w:color w:val="000000"/>
                <w:sz w:val="20"/>
                <w:szCs w:val="20"/>
              </w:rPr>
            </w:pPr>
            <w:r w:rsidRPr="007E5D84">
              <w:rPr>
                <w:rFonts w:ascii="Calibri" w:eastAsia="Times New Roman" w:hAnsi="Calibri" w:cs="Calibri"/>
                <w:color w:val="000000"/>
                <w:sz w:val="20"/>
                <w:szCs w:val="20"/>
              </w:rPr>
              <w:t>NT</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397CCA11"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15.52</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0360B98F"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17.88</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30BB4C16"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24.04</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1C62B71E"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30.38</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1217CC8C"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36.33</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360ED7C0"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42.18</w:t>
            </w:r>
          </w:p>
        </w:tc>
        <w:tc>
          <w:tcPr>
            <w:tcW w:w="672" w:type="dxa"/>
            <w:tcBorders>
              <w:top w:val="nil"/>
              <w:left w:val="nil"/>
              <w:bottom w:val="single" w:sz="4" w:space="0" w:color="auto"/>
              <w:right w:val="nil"/>
            </w:tcBorders>
            <w:shd w:val="clear" w:color="auto" w:fill="FFFFFF" w:themeFill="background1"/>
          </w:tcPr>
          <w:p w14:paraId="38DA3FB2" w14:textId="77777777" w:rsidR="00B96DB1" w:rsidRPr="007E5D84" w:rsidRDefault="00B96DB1" w:rsidP="00215563">
            <w:pPr>
              <w:spacing w:after="0"/>
              <w:jc w:val="right"/>
              <w:rPr>
                <w:rFonts w:ascii="Calibri" w:eastAsia="Times New Roman" w:hAnsi="Calibri" w:cs="Calibri"/>
                <w:color w:val="000000"/>
                <w:sz w:val="20"/>
                <w:szCs w:val="20"/>
              </w:rPr>
            </w:pPr>
          </w:p>
        </w:tc>
        <w:tc>
          <w:tcPr>
            <w:tcW w:w="672" w:type="dxa"/>
            <w:tcBorders>
              <w:top w:val="nil"/>
              <w:left w:val="nil"/>
              <w:bottom w:val="single" w:sz="4" w:space="0" w:color="auto"/>
              <w:right w:val="single" w:sz="8" w:space="0" w:color="auto"/>
            </w:tcBorders>
            <w:shd w:val="clear" w:color="auto" w:fill="FFFFFF" w:themeFill="background1"/>
            <w:noWrap/>
            <w:vAlign w:val="center"/>
            <w:hideMark/>
          </w:tcPr>
          <w:p w14:paraId="72779FC3" w14:textId="0B8999B4"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52.98</w:t>
            </w:r>
          </w:p>
        </w:tc>
      </w:tr>
      <w:tr w:rsidR="00B96DB1" w:rsidRPr="007E5D84" w14:paraId="137A3E65" w14:textId="77777777" w:rsidTr="00511D6E">
        <w:trPr>
          <w:trHeight w:val="290"/>
        </w:trPr>
        <w:tc>
          <w:tcPr>
            <w:tcW w:w="1180" w:type="dxa"/>
            <w:vMerge/>
            <w:tcBorders>
              <w:top w:val="nil"/>
              <w:left w:val="single" w:sz="8" w:space="0" w:color="auto"/>
              <w:bottom w:val="single" w:sz="8" w:space="0" w:color="000000"/>
              <w:right w:val="single" w:sz="8" w:space="0" w:color="auto"/>
            </w:tcBorders>
            <w:shd w:val="clear" w:color="auto" w:fill="FFFFFF" w:themeFill="background1"/>
            <w:vAlign w:val="center"/>
            <w:hideMark/>
          </w:tcPr>
          <w:p w14:paraId="0DC87394" w14:textId="77777777" w:rsidR="00B96DB1" w:rsidRPr="007E5D84" w:rsidRDefault="00B96DB1" w:rsidP="00215563">
            <w:pPr>
              <w:spacing w:after="0"/>
              <w:rPr>
                <w:rFonts w:ascii="Calibri" w:eastAsia="Times New Roman" w:hAnsi="Calibri" w:cs="Calibri"/>
                <w:b/>
                <w:bCs/>
                <w:color w:val="000000"/>
                <w:sz w:val="20"/>
                <w:szCs w:val="20"/>
              </w:rPr>
            </w:pPr>
          </w:p>
        </w:tc>
        <w:tc>
          <w:tcPr>
            <w:tcW w:w="950" w:type="dxa"/>
            <w:tcBorders>
              <w:top w:val="nil"/>
              <w:left w:val="nil"/>
              <w:bottom w:val="single" w:sz="4" w:space="0" w:color="auto"/>
              <w:right w:val="single" w:sz="4" w:space="0" w:color="auto"/>
            </w:tcBorders>
            <w:shd w:val="clear" w:color="auto" w:fill="FFFFFF" w:themeFill="background1"/>
            <w:noWrap/>
            <w:vAlign w:val="center"/>
            <w:hideMark/>
          </w:tcPr>
          <w:p w14:paraId="5E06B008" w14:textId="77777777" w:rsidR="00B96DB1" w:rsidRPr="007E5D84" w:rsidRDefault="00B96DB1" w:rsidP="00215563">
            <w:pPr>
              <w:spacing w:after="0"/>
              <w:rPr>
                <w:rFonts w:ascii="Calibri" w:eastAsia="Times New Roman" w:hAnsi="Calibri" w:cs="Calibri"/>
                <w:color w:val="000000"/>
                <w:sz w:val="20"/>
                <w:szCs w:val="20"/>
              </w:rPr>
            </w:pPr>
            <w:r w:rsidRPr="007E5D84">
              <w:rPr>
                <w:rFonts w:ascii="Calibri" w:eastAsia="Times New Roman" w:hAnsi="Calibri" w:cs="Calibri"/>
                <w:color w:val="000000"/>
                <w:sz w:val="20"/>
                <w:szCs w:val="20"/>
              </w:rPr>
              <w:t>QLD</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419C16BF"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32.43</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1C21702F"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35.33</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49D989E6"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38.54</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398C19B1"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41.62</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4EC26CAC"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46.36</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13CFE65E"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51.98</w:t>
            </w:r>
          </w:p>
        </w:tc>
        <w:tc>
          <w:tcPr>
            <w:tcW w:w="672" w:type="dxa"/>
            <w:tcBorders>
              <w:top w:val="nil"/>
              <w:left w:val="nil"/>
              <w:bottom w:val="single" w:sz="4" w:space="0" w:color="auto"/>
              <w:right w:val="nil"/>
            </w:tcBorders>
            <w:shd w:val="clear" w:color="auto" w:fill="FFFFFF" w:themeFill="background1"/>
          </w:tcPr>
          <w:p w14:paraId="187B2B5A" w14:textId="77777777" w:rsidR="00B96DB1" w:rsidRPr="007E5D84" w:rsidRDefault="00B96DB1" w:rsidP="00215563">
            <w:pPr>
              <w:spacing w:after="0"/>
              <w:jc w:val="right"/>
              <w:rPr>
                <w:rFonts w:ascii="Calibri" w:eastAsia="Times New Roman" w:hAnsi="Calibri" w:cs="Calibri"/>
                <w:color w:val="000000"/>
                <w:sz w:val="20"/>
                <w:szCs w:val="20"/>
              </w:rPr>
            </w:pPr>
          </w:p>
        </w:tc>
        <w:tc>
          <w:tcPr>
            <w:tcW w:w="672" w:type="dxa"/>
            <w:tcBorders>
              <w:top w:val="nil"/>
              <w:left w:val="nil"/>
              <w:bottom w:val="single" w:sz="4" w:space="0" w:color="auto"/>
              <w:right w:val="single" w:sz="8" w:space="0" w:color="auto"/>
            </w:tcBorders>
            <w:shd w:val="clear" w:color="auto" w:fill="FFFFFF" w:themeFill="background1"/>
            <w:noWrap/>
            <w:vAlign w:val="center"/>
            <w:hideMark/>
          </w:tcPr>
          <w:p w14:paraId="29C55C7F" w14:textId="27CA5713"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57.81</w:t>
            </w:r>
          </w:p>
        </w:tc>
      </w:tr>
      <w:tr w:rsidR="00B96DB1" w:rsidRPr="007E5D84" w14:paraId="1A894340" w14:textId="77777777" w:rsidTr="00511D6E">
        <w:trPr>
          <w:trHeight w:val="290"/>
        </w:trPr>
        <w:tc>
          <w:tcPr>
            <w:tcW w:w="1180" w:type="dxa"/>
            <w:vMerge/>
            <w:tcBorders>
              <w:top w:val="nil"/>
              <w:left w:val="single" w:sz="8" w:space="0" w:color="auto"/>
              <w:bottom w:val="single" w:sz="8" w:space="0" w:color="000000"/>
              <w:right w:val="single" w:sz="8" w:space="0" w:color="auto"/>
            </w:tcBorders>
            <w:shd w:val="clear" w:color="auto" w:fill="FFFFFF" w:themeFill="background1"/>
            <w:vAlign w:val="center"/>
            <w:hideMark/>
          </w:tcPr>
          <w:p w14:paraId="53B85C64" w14:textId="77777777" w:rsidR="00B96DB1" w:rsidRPr="007E5D84" w:rsidRDefault="00B96DB1" w:rsidP="00215563">
            <w:pPr>
              <w:spacing w:after="0"/>
              <w:rPr>
                <w:rFonts w:ascii="Calibri" w:eastAsia="Times New Roman" w:hAnsi="Calibri" w:cs="Calibri"/>
                <w:b/>
                <w:bCs/>
                <w:color w:val="000000"/>
                <w:sz w:val="20"/>
                <w:szCs w:val="20"/>
              </w:rPr>
            </w:pPr>
          </w:p>
        </w:tc>
        <w:tc>
          <w:tcPr>
            <w:tcW w:w="950" w:type="dxa"/>
            <w:tcBorders>
              <w:top w:val="nil"/>
              <w:left w:val="nil"/>
              <w:bottom w:val="single" w:sz="4" w:space="0" w:color="auto"/>
              <w:right w:val="single" w:sz="4" w:space="0" w:color="auto"/>
            </w:tcBorders>
            <w:shd w:val="clear" w:color="auto" w:fill="FFFFFF" w:themeFill="background1"/>
            <w:noWrap/>
            <w:vAlign w:val="center"/>
            <w:hideMark/>
          </w:tcPr>
          <w:p w14:paraId="62BD4EE7" w14:textId="77777777" w:rsidR="00B96DB1" w:rsidRPr="007E5D84" w:rsidRDefault="00B96DB1" w:rsidP="00215563">
            <w:pPr>
              <w:spacing w:after="0"/>
              <w:rPr>
                <w:rFonts w:ascii="Calibri" w:eastAsia="Times New Roman" w:hAnsi="Calibri" w:cs="Calibri"/>
                <w:color w:val="000000"/>
                <w:sz w:val="20"/>
                <w:szCs w:val="20"/>
              </w:rPr>
            </w:pPr>
            <w:r w:rsidRPr="007E5D84">
              <w:rPr>
                <w:rFonts w:ascii="Calibri" w:eastAsia="Times New Roman" w:hAnsi="Calibri" w:cs="Calibri"/>
                <w:color w:val="000000"/>
                <w:sz w:val="20"/>
                <w:szCs w:val="20"/>
              </w:rPr>
              <w:t>SA</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1388E750"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13.84</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061E910D"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14.76</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5DAF60E9"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16.02</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2C25A589"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17.79</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3B4C38E9"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20.91</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763008B3"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24.38</w:t>
            </w:r>
          </w:p>
        </w:tc>
        <w:tc>
          <w:tcPr>
            <w:tcW w:w="672" w:type="dxa"/>
            <w:tcBorders>
              <w:top w:val="nil"/>
              <w:left w:val="nil"/>
              <w:bottom w:val="single" w:sz="4" w:space="0" w:color="auto"/>
              <w:right w:val="nil"/>
            </w:tcBorders>
            <w:shd w:val="clear" w:color="auto" w:fill="FFFFFF" w:themeFill="background1"/>
          </w:tcPr>
          <w:p w14:paraId="158C013E" w14:textId="77777777" w:rsidR="00B96DB1" w:rsidRPr="007E5D84" w:rsidRDefault="00B96DB1" w:rsidP="00215563">
            <w:pPr>
              <w:spacing w:after="0"/>
              <w:jc w:val="right"/>
              <w:rPr>
                <w:rFonts w:ascii="Calibri" w:eastAsia="Times New Roman" w:hAnsi="Calibri" w:cs="Calibri"/>
                <w:color w:val="000000"/>
                <w:sz w:val="20"/>
                <w:szCs w:val="20"/>
              </w:rPr>
            </w:pPr>
          </w:p>
        </w:tc>
        <w:tc>
          <w:tcPr>
            <w:tcW w:w="672" w:type="dxa"/>
            <w:tcBorders>
              <w:top w:val="nil"/>
              <w:left w:val="nil"/>
              <w:bottom w:val="single" w:sz="4" w:space="0" w:color="auto"/>
              <w:right w:val="single" w:sz="8" w:space="0" w:color="auto"/>
            </w:tcBorders>
            <w:shd w:val="clear" w:color="auto" w:fill="FFFFFF" w:themeFill="background1"/>
            <w:noWrap/>
            <w:vAlign w:val="center"/>
            <w:hideMark/>
          </w:tcPr>
          <w:p w14:paraId="2BCAB4DD" w14:textId="483ADF0E"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29.33</w:t>
            </w:r>
          </w:p>
        </w:tc>
      </w:tr>
      <w:tr w:rsidR="00B96DB1" w:rsidRPr="007E5D84" w14:paraId="5DD505EC" w14:textId="77777777" w:rsidTr="00511D6E">
        <w:trPr>
          <w:trHeight w:val="290"/>
        </w:trPr>
        <w:tc>
          <w:tcPr>
            <w:tcW w:w="1180" w:type="dxa"/>
            <w:vMerge/>
            <w:tcBorders>
              <w:top w:val="nil"/>
              <w:left w:val="single" w:sz="8" w:space="0" w:color="auto"/>
              <w:bottom w:val="single" w:sz="8" w:space="0" w:color="000000"/>
              <w:right w:val="single" w:sz="8" w:space="0" w:color="auto"/>
            </w:tcBorders>
            <w:shd w:val="clear" w:color="auto" w:fill="FFFFFF" w:themeFill="background1"/>
            <w:vAlign w:val="center"/>
            <w:hideMark/>
          </w:tcPr>
          <w:p w14:paraId="1EE5B43C" w14:textId="77777777" w:rsidR="00B96DB1" w:rsidRPr="007E5D84" w:rsidRDefault="00B96DB1" w:rsidP="00215563">
            <w:pPr>
              <w:spacing w:after="0"/>
              <w:rPr>
                <w:rFonts w:ascii="Calibri" w:eastAsia="Times New Roman" w:hAnsi="Calibri" w:cs="Calibri"/>
                <w:b/>
                <w:bCs/>
                <w:color w:val="000000"/>
                <w:sz w:val="20"/>
                <w:szCs w:val="20"/>
              </w:rPr>
            </w:pPr>
          </w:p>
        </w:tc>
        <w:tc>
          <w:tcPr>
            <w:tcW w:w="950" w:type="dxa"/>
            <w:tcBorders>
              <w:top w:val="nil"/>
              <w:left w:val="nil"/>
              <w:bottom w:val="single" w:sz="4" w:space="0" w:color="auto"/>
              <w:right w:val="single" w:sz="4" w:space="0" w:color="auto"/>
            </w:tcBorders>
            <w:shd w:val="clear" w:color="auto" w:fill="FFFFFF" w:themeFill="background1"/>
            <w:noWrap/>
            <w:vAlign w:val="center"/>
            <w:hideMark/>
          </w:tcPr>
          <w:p w14:paraId="6D402E4C" w14:textId="77777777" w:rsidR="00B96DB1" w:rsidRPr="007E5D84" w:rsidRDefault="00B96DB1" w:rsidP="00215563">
            <w:pPr>
              <w:spacing w:after="0"/>
              <w:rPr>
                <w:rFonts w:ascii="Calibri" w:eastAsia="Times New Roman" w:hAnsi="Calibri" w:cs="Calibri"/>
                <w:color w:val="000000"/>
                <w:sz w:val="20"/>
                <w:szCs w:val="20"/>
              </w:rPr>
            </w:pPr>
            <w:r w:rsidRPr="007E5D84">
              <w:rPr>
                <w:rFonts w:ascii="Calibri" w:eastAsia="Times New Roman" w:hAnsi="Calibri" w:cs="Calibri"/>
                <w:color w:val="000000"/>
                <w:sz w:val="20"/>
                <w:szCs w:val="20"/>
              </w:rPr>
              <w:t>TAS</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523D04E8"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26.33</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09F21652"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27.79</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274EF9B1"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30.63</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1BCDD418"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34.56</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424E5990"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39.77</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52CEAFAB"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46.72</w:t>
            </w:r>
          </w:p>
        </w:tc>
        <w:tc>
          <w:tcPr>
            <w:tcW w:w="672" w:type="dxa"/>
            <w:tcBorders>
              <w:top w:val="nil"/>
              <w:left w:val="nil"/>
              <w:bottom w:val="single" w:sz="4" w:space="0" w:color="auto"/>
              <w:right w:val="nil"/>
            </w:tcBorders>
            <w:shd w:val="clear" w:color="auto" w:fill="FFFFFF" w:themeFill="background1"/>
          </w:tcPr>
          <w:p w14:paraId="3DA41272" w14:textId="77777777" w:rsidR="00B96DB1" w:rsidRPr="007E5D84" w:rsidRDefault="00B96DB1" w:rsidP="00215563">
            <w:pPr>
              <w:spacing w:after="0"/>
              <w:jc w:val="right"/>
              <w:rPr>
                <w:rFonts w:ascii="Calibri" w:eastAsia="Times New Roman" w:hAnsi="Calibri" w:cs="Calibri"/>
                <w:color w:val="000000"/>
                <w:sz w:val="20"/>
                <w:szCs w:val="20"/>
              </w:rPr>
            </w:pPr>
          </w:p>
        </w:tc>
        <w:tc>
          <w:tcPr>
            <w:tcW w:w="672" w:type="dxa"/>
            <w:tcBorders>
              <w:top w:val="nil"/>
              <w:left w:val="nil"/>
              <w:bottom w:val="single" w:sz="4" w:space="0" w:color="auto"/>
              <w:right w:val="single" w:sz="8" w:space="0" w:color="auto"/>
            </w:tcBorders>
            <w:shd w:val="clear" w:color="auto" w:fill="FFFFFF" w:themeFill="background1"/>
            <w:noWrap/>
            <w:vAlign w:val="center"/>
            <w:hideMark/>
          </w:tcPr>
          <w:p w14:paraId="5E362277" w14:textId="3718633E"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56.03</w:t>
            </w:r>
          </w:p>
        </w:tc>
      </w:tr>
      <w:tr w:rsidR="00B96DB1" w:rsidRPr="007E5D84" w14:paraId="62E37EF6" w14:textId="77777777" w:rsidTr="00511D6E">
        <w:trPr>
          <w:trHeight w:val="290"/>
        </w:trPr>
        <w:tc>
          <w:tcPr>
            <w:tcW w:w="1180" w:type="dxa"/>
            <w:vMerge/>
            <w:tcBorders>
              <w:top w:val="nil"/>
              <w:left w:val="single" w:sz="8" w:space="0" w:color="auto"/>
              <w:bottom w:val="single" w:sz="8" w:space="0" w:color="000000"/>
              <w:right w:val="single" w:sz="8" w:space="0" w:color="auto"/>
            </w:tcBorders>
            <w:shd w:val="clear" w:color="auto" w:fill="FFFFFF" w:themeFill="background1"/>
            <w:vAlign w:val="center"/>
            <w:hideMark/>
          </w:tcPr>
          <w:p w14:paraId="50510EA4" w14:textId="77777777" w:rsidR="00B96DB1" w:rsidRPr="007E5D84" w:rsidRDefault="00B96DB1" w:rsidP="00215563">
            <w:pPr>
              <w:spacing w:after="0"/>
              <w:rPr>
                <w:rFonts w:ascii="Calibri" w:eastAsia="Times New Roman" w:hAnsi="Calibri" w:cs="Calibri"/>
                <w:b/>
                <w:bCs/>
                <w:color w:val="000000"/>
                <w:sz w:val="20"/>
                <w:szCs w:val="20"/>
              </w:rPr>
            </w:pPr>
          </w:p>
        </w:tc>
        <w:tc>
          <w:tcPr>
            <w:tcW w:w="950" w:type="dxa"/>
            <w:tcBorders>
              <w:top w:val="nil"/>
              <w:left w:val="nil"/>
              <w:bottom w:val="single" w:sz="4" w:space="0" w:color="auto"/>
              <w:right w:val="single" w:sz="4" w:space="0" w:color="auto"/>
            </w:tcBorders>
            <w:shd w:val="clear" w:color="auto" w:fill="FFFFFF" w:themeFill="background1"/>
            <w:noWrap/>
            <w:vAlign w:val="center"/>
            <w:hideMark/>
          </w:tcPr>
          <w:p w14:paraId="50AB9699" w14:textId="77777777" w:rsidR="00B96DB1" w:rsidRPr="007E5D84" w:rsidRDefault="00B96DB1" w:rsidP="00215563">
            <w:pPr>
              <w:spacing w:after="0"/>
              <w:rPr>
                <w:rFonts w:ascii="Calibri" w:eastAsia="Times New Roman" w:hAnsi="Calibri" w:cs="Calibri"/>
                <w:color w:val="000000"/>
                <w:sz w:val="20"/>
                <w:szCs w:val="20"/>
              </w:rPr>
            </w:pPr>
            <w:r w:rsidRPr="007E5D84">
              <w:rPr>
                <w:rFonts w:ascii="Calibri" w:eastAsia="Times New Roman" w:hAnsi="Calibri" w:cs="Calibri"/>
                <w:color w:val="000000"/>
                <w:sz w:val="20"/>
                <w:szCs w:val="20"/>
              </w:rPr>
              <w:t>VIC</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61BD506F"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17.18</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36C39EE5"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19.07</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09B3989A"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21.16</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49F20484"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23.32</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64A41B1C"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26.62</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06B0F53D"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30.64</w:t>
            </w:r>
          </w:p>
        </w:tc>
        <w:tc>
          <w:tcPr>
            <w:tcW w:w="672" w:type="dxa"/>
            <w:tcBorders>
              <w:top w:val="nil"/>
              <w:left w:val="nil"/>
              <w:bottom w:val="single" w:sz="4" w:space="0" w:color="auto"/>
              <w:right w:val="nil"/>
            </w:tcBorders>
            <w:shd w:val="clear" w:color="auto" w:fill="FFFFFF" w:themeFill="background1"/>
          </w:tcPr>
          <w:p w14:paraId="5C8978E7" w14:textId="77777777" w:rsidR="00B96DB1" w:rsidRPr="007E5D84" w:rsidRDefault="00B96DB1" w:rsidP="00215563">
            <w:pPr>
              <w:spacing w:after="0"/>
              <w:jc w:val="right"/>
              <w:rPr>
                <w:rFonts w:ascii="Calibri" w:eastAsia="Times New Roman" w:hAnsi="Calibri" w:cs="Calibri"/>
                <w:color w:val="000000"/>
                <w:sz w:val="20"/>
                <w:szCs w:val="20"/>
              </w:rPr>
            </w:pPr>
          </w:p>
        </w:tc>
        <w:tc>
          <w:tcPr>
            <w:tcW w:w="672" w:type="dxa"/>
            <w:tcBorders>
              <w:top w:val="nil"/>
              <w:left w:val="nil"/>
              <w:bottom w:val="single" w:sz="4" w:space="0" w:color="auto"/>
              <w:right w:val="single" w:sz="8" w:space="0" w:color="auto"/>
            </w:tcBorders>
            <w:shd w:val="clear" w:color="auto" w:fill="FFFFFF" w:themeFill="background1"/>
            <w:noWrap/>
            <w:vAlign w:val="center"/>
            <w:hideMark/>
          </w:tcPr>
          <w:p w14:paraId="4DBCE67F" w14:textId="5A647FD8"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34.64</w:t>
            </w:r>
          </w:p>
        </w:tc>
      </w:tr>
      <w:tr w:rsidR="00B96DB1" w:rsidRPr="007E5D84" w14:paraId="2F05BE58" w14:textId="77777777" w:rsidTr="00511D6E">
        <w:trPr>
          <w:trHeight w:val="300"/>
        </w:trPr>
        <w:tc>
          <w:tcPr>
            <w:tcW w:w="1180" w:type="dxa"/>
            <w:vMerge/>
            <w:tcBorders>
              <w:top w:val="nil"/>
              <w:left w:val="single" w:sz="8" w:space="0" w:color="auto"/>
              <w:bottom w:val="single" w:sz="8" w:space="0" w:color="000000"/>
              <w:right w:val="single" w:sz="8" w:space="0" w:color="auto"/>
            </w:tcBorders>
            <w:shd w:val="clear" w:color="auto" w:fill="FFFFFF" w:themeFill="background1"/>
            <w:vAlign w:val="center"/>
            <w:hideMark/>
          </w:tcPr>
          <w:p w14:paraId="4C8A81A0" w14:textId="77777777" w:rsidR="00B96DB1" w:rsidRPr="007E5D84" w:rsidRDefault="00B96DB1" w:rsidP="00215563">
            <w:pPr>
              <w:spacing w:after="0"/>
              <w:rPr>
                <w:rFonts w:ascii="Calibri" w:eastAsia="Times New Roman" w:hAnsi="Calibri" w:cs="Calibri"/>
                <w:b/>
                <w:bCs/>
                <w:color w:val="000000"/>
                <w:sz w:val="20"/>
                <w:szCs w:val="20"/>
              </w:rPr>
            </w:pPr>
          </w:p>
        </w:tc>
        <w:tc>
          <w:tcPr>
            <w:tcW w:w="950" w:type="dxa"/>
            <w:tcBorders>
              <w:top w:val="nil"/>
              <w:left w:val="nil"/>
              <w:bottom w:val="single" w:sz="8" w:space="0" w:color="auto"/>
              <w:right w:val="single" w:sz="4" w:space="0" w:color="auto"/>
            </w:tcBorders>
            <w:shd w:val="clear" w:color="auto" w:fill="FFFFFF" w:themeFill="background1"/>
            <w:noWrap/>
            <w:vAlign w:val="center"/>
            <w:hideMark/>
          </w:tcPr>
          <w:p w14:paraId="789BC44B" w14:textId="77777777" w:rsidR="00B96DB1" w:rsidRPr="007E5D84" w:rsidRDefault="00B96DB1" w:rsidP="00215563">
            <w:pPr>
              <w:spacing w:after="0"/>
              <w:rPr>
                <w:rFonts w:ascii="Calibri" w:eastAsia="Times New Roman" w:hAnsi="Calibri" w:cs="Calibri"/>
                <w:color w:val="000000"/>
                <w:sz w:val="20"/>
                <w:szCs w:val="20"/>
              </w:rPr>
            </w:pPr>
            <w:r w:rsidRPr="007E5D84">
              <w:rPr>
                <w:rFonts w:ascii="Calibri" w:eastAsia="Times New Roman" w:hAnsi="Calibri" w:cs="Calibri"/>
                <w:color w:val="000000"/>
                <w:sz w:val="20"/>
                <w:szCs w:val="20"/>
              </w:rPr>
              <w:t>WA</w:t>
            </w:r>
          </w:p>
        </w:tc>
        <w:tc>
          <w:tcPr>
            <w:tcW w:w="672" w:type="dxa"/>
            <w:tcBorders>
              <w:top w:val="nil"/>
              <w:left w:val="nil"/>
              <w:bottom w:val="single" w:sz="8" w:space="0" w:color="auto"/>
              <w:right w:val="single" w:sz="4" w:space="0" w:color="auto"/>
            </w:tcBorders>
            <w:shd w:val="clear" w:color="auto" w:fill="FFFFFF" w:themeFill="background1"/>
            <w:noWrap/>
            <w:vAlign w:val="center"/>
            <w:hideMark/>
          </w:tcPr>
          <w:p w14:paraId="0AC6640A"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22.4</w:t>
            </w:r>
          </w:p>
        </w:tc>
        <w:tc>
          <w:tcPr>
            <w:tcW w:w="672" w:type="dxa"/>
            <w:tcBorders>
              <w:top w:val="nil"/>
              <w:left w:val="nil"/>
              <w:bottom w:val="single" w:sz="8" w:space="0" w:color="auto"/>
              <w:right w:val="single" w:sz="4" w:space="0" w:color="auto"/>
            </w:tcBorders>
            <w:shd w:val="clear" w:color="auto" w:fill="FFFFFF" w:themeFill="background1"/>
            <w:noWrap/>
            <w:vAlign w:val="center"/>
            <w:hideMark/>
          </w:tcPr>
          <w:p w14:paraId="77F89198"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25.46</w:t>
            </w:r>
          </w:p>
        </w:tc>
        <w:tc>
          <w:tcPr>
            <w:tcW w:w="672" w:type="dxa"/>
            <w:tcBorders>
              <w:top w:val="nil"/>
              <w:left w:val="nil"/>
              <w:bottom w:val="single" w:sz="8" w:space="0" w:color="auto"/>
              <w:right w:val="single" w:sz="4" w:space="0" w:color="auto"/>
            </w:tcBorders>
            <w:shd w:val="clear" w:color="auto" w:fill="FFFFFF" w:themeFill="background1"/>
            <w:noWrap/>
            <w:vAlign w:val="center"/>
            <w:hideMark/>
          </w:tcPr>
          <w:p w14:paraId="15F67CBE"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28.87</w:t>
            </w:r>
          </w:p>
        </w:tc>
        <w:tc>
          <w:tcPr>
            <w:tcW w:w="672" w:type="dxa"/>
            <w:tcBorders>
              <w:top w:val="nil"/>
              <w:left w:val="nil"/>
              <w:bottom w:val="single" w:sz="8" w:space="0" w:color="auto"/>
              <w:right w:val="single" w:sz="4" w:space="0" w:color="auto"/>
            </w:tcBorders>
            <w:shd w:val="clear" w:color="auto" w:fill="FFFFFF" w:themeFill="background1"/>
            <w:noWrap/>
            <w:vAlign w:val="center"/>
            <w:hideMark/>
          </w:tcPr>
          <w:p w14:paraId="2C1C36B4"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32</w:t>
            </w:r>
          </w:p>
        </w:tc>
        <w:tc>
          <w:tcPr>
            <w:tcW w:w="672" w:type="dxa"/>
            <w:tcBorders>
              <w:top w:val="nil"/>
              <w:left w:val="nil"/>
              <w:bottom w:val="single" w:sz="8" w:space="0" w:color="auto"/>
              <w:right w:val="single" w:sz="4" w:space="0" w:color="auto"/>
            </w:tcBorders>
            <w:shd w:val="clear" w:color="auto" w:fill="FFFFFF" w:themeFill="background1"/>
            <w:noWrap/>
            <w:vAlign w:val="center"/>
            <w:hideMark/>
          </w:tcPr>
          <w:p w14:paraId="516B5B46"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36.43</w:t>
            </w:r>
          </w:p>
        </w:tc>
        <w:tc>
          <w:tcPr>
            <w:tcW w:w="672" w:type="dxa"/>
            <w:tcBorders>
              <w:top w:val="nil"/>
              <w:left w:val="nil"/>
              <w:bottom w:val="single" w:sz="8" w:space="0" w:color="auto"/>
              <w:right w:val="single" w:sz="4" w:space="0" w:color="auto"/>
            </w:tcBorders>
            <w:shd w:val="clear" w:color="auto" w:fill="FFFFFF" w:themeFill="background1"/>
            <w:noWrap/>
            <w:vAlign w:val="center"/>
            <w:hideMark/>
          </w:tcPr>
          <w:p w14:paraId="1E997C00"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41.63</w:t>
            </w:r>
          </w:p>
        </w:tc>
        <w:tc>
          <w:tcPr>
            <w:tcW w:w="672" w:type="dxa"/>
            <w:tcBorders>
              <w:top w:val="nil"/>
              <w:left w:val="nil"/>
              <w:bottom w:val="single" w:sz="8" w:space="0" w:color="auto"/>
              <w:right w:val="nil"/>
            </w:tcBorders>
            <w:shd w:val="clear" w:color="auto" w:fill="FFFFFF" w:themeFill="background1"/>
          </w:tcPr>
          <w:p w14:paraId="37ACF3B7" w14:textId="77777777" w:rsidR="00B96DB1" w:rsidRPr="007E5D84" w:rsidRDefault="00B96DB1" w:rsidP="00215563">
            <w:pPr>
              <w:spacing w:after="0"/>
              <w:jc w:val="right"/>
              <w:rPr>
                <w:rFonts w:ascii="Calibri" w:eastAsia="Times New Roman" w:hAnsi="Calibri" w:cs="Calibri"/>
                <w:color w:val="000000"/>
                <w:sz w:val="20"/>
                <w:szCs w:val="20"/>
              </w:rPr>
            </w:pPr>
          </w:p>
        </w:tc>
        <w:tc>
          <w:tcPr>
            <w:tcW w:w="672" w:type="dxa"/>
            <w:tcBorders>
              <w:top w:val="nil"/>
              <w:left w:val="nil"/>
              <w:bottom w:val="single" w:sz="8" w:space="0" w:color="auto"/>
              <w:right w:val="single" w:sz="8" w:space="0" w:color="auto"/>
            </w:tcBorders>
            <w:shd w:val="clear" w:color="auto" w:fill="FFFFFF" w:themeFill="background1"/>
            <w:noWrap/>
            <w:vAlign w:val="center"/>
            <w:hideMark/>
          </w:tcPr>
          <w:p w14:paraId="0136D13D" w14:textId="20F0244A"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47.12</w:t>
            </w:r>
          </w:p>
        </w:tc>
      </w:tr>
      <w:tr w:rsidR="00B96DB1" w:rsidRPr="007E5D84" w14:paraId="6D63974E" w14:textId="77777777" w:rsidTr="00511D6E">
        <w:trPr>
          <w:trHeight w:val="290"/>
        </w:trPr>
        <w:tc>
          <w:tcPr>
            <w:tcW w:w="1180" w:type="dxa"/>
            <w:vMerge w:val="restart"/>
            <w:tcBorders>
              <w:top w:val="nil"/>
              <w:left w:val="single" w:sz="8" w:space="0" w:color="auto"/>
              <w:bottom w:val="single" w:sz="8" w:space="0" w:color="000000"/>
              <w:right w:val="single" w:sz="8" w:space="0" w:color="auto"/>
            </w:tcBorders>
            <w:shd w:val="clear" w:color="auto" w:fill="FFFFFF" w:themeFill="background1"/>
            <w:noWrap/>
            <w:vAlign w:val="center"/>
            <w:hideMark/>
          </w:tcPr>
          <w:p w14:paraId="0A63FDC1" w14:textId="77777777" w:rsidR="00B96DB1" w:rsidRPr="007E5D84" w:rsidRDefault="00B96DB1" w:rsidP="00215563">
            <w:pPr>
              <w:spacing w:after="0"/>
              <w:jc w:val="center"/>
              <w:rPr>
                <w:rFonts w:ascii="Calibri" w:eastAsia="Times New Roman" w:hAnsi="Calibri" w:cs="Calibri"/>
                <w:b/>
                <w:bCs/>
                <w:color w:val="000000"/>
                <w:sz w:val="20"/>
                <w:szCs w:val="20"/>
              </w:rPr>
            </w:pPr>
            <w:r w:rsidRPr="007E5D84">
              <w:rPr>
                <w:rFonts w:ascii="Calibri" w:eastAsia="Times New Roman" w:hAnsi="Calibri" w:cs="Calibri"/>
                <w:b/>
                <w:bCs/>
                <w:color w:val="000000"/>
                <w:sz w:val="20"/>
                <w:szCs w:val="20"/>
              </w:rPr>
              <w:t>13-18 years</w:t>
            </w:r>
          </w:p>
        </w:tc>
        <w:tc>
          <w:tcPr>
            <w:tcW w:w="950" w:type="dxa"/>
            <w:tcBorders>
              <w:top w:val="nil"/>
              <w:left w:val="nil"/>
              <w:bottom w:val="single" w:sz="4" w:space="0" w:color="auto"/>
              <w:right w:val="single" w:sz="4" w:space="0" w:color="auto"/>
            </w:tcBorders>
            <w:shd w:val="clear" w:color="auto" w:fill="FFFFFF" w:themeFill="background1"/>
            <w:noWrap/>
            <w:vAlign w:val="center"/>
            <w:hideMark/>
          </w:tcPr>
          <w:p w14:paraId="390A948A" w14:textId="77777777" w:rsidR="00B96DB1" w:rsidRPr="007E5D84" w:rsidRDefault="00B96DB1" w:rsidP="00215563">
            <w:pPr>
              <w:spacing w:after="0"/>
              <w:rPr>
                <w:rFonts w:ascii="Calibri" w:eastAsia="Times New Roman" w:hAnsi="Calibri" w:cs="Calibri"/>
                <w:color w:val="000000"/>
                <w:sz w:val="20"/>
                <w:szCs w:val="20"/>
              </w:rPr>
            </w:pPr>
            <w:r w:rsidRPr="007E5D84">
              <w:rPr>
                <w:rFonts w:ascii="Calibri" w:eastAsia="Times New Roman" w:hAnsi="Calibri" w:cs="Calibri"/>
                <w:color w:val="000000"/>
                <w:sz w:val="20"/>
                <w:szCs w:val="20"/>
              </w:rPr>
              <w:t>ACT</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65F155E6"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15.57</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76793FF4"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17.58</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249766F5"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19.55</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5F558D75"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23.15</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7020B424"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28.07</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31ABC5D6"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33.09</w:t>
            </w:r>
          </w:p>
        </w:tc>
        <w:tc>
          <w:tcPr>
            <w:tcW w:w="672" w:type="dxa"/>
            <w:tcBorders>
              <w:top w:val="nil"/>
              <w:left w:val="nil"/>
              <w:bottom w:val="single" w:sz="4" w:space="0" w:color="auto"/>
              <w:right w:val="nil"/>
            </w:tcBorders>
            <w:shd w:val="clear" w:color="auto" w:fill="FFFFFF" w:themeFill="background1"/>
          </w:tcPr>
          <w:p w14:paraId="23C0F1F3" w14:textId="77777777" w:rsidR="00B96DB1" w:rsidRPr="007E5D84" w:rsidRDefault="00B96DB1" w:rsidP="00215563">
            <w:pPr>
              <w:spacing w:after="0"/>
              <w:jc w:val="right"/>
              <w:rPr>
                <w:rFonts w:ascii="Calibri" w:eastAsia="Times New Roman" w:hAnsi="Calibri" w:cs="Calibri"/>
                <w:color w:val="000000"/>
                <w:sz w:val="20"/>
                <w:szCs w:val="20"/>
              </w:rPr>
            </w:pPr>
          </w:p>
        </w:tc>
        <w:tc>
          <w:tcPr>
            <w:tcW w:w="672" w:type="dxa"/>
            <w:tcBorders>
              <w:top w:val="nil"/>
              <w:left w:val="nil"/>
              <w:bottom w:val="single" w:sz="4" w:space="0" w:color="auto"/>
              <w:right w:val="single" w:sz="8" w:space="0" w:color="auto"/>
            </w:tcBorders>
            <w:shd w:val="clear" w:color="auto" w:fill="FFFFFF" w:themeFill="background1"/>
            <w:noWrap/>
            <w:vAlign w:val="center"/>
            <w:hideMark/>
          </w:tcPr>
          <w:p w14:paraId="25D166DB" w14:textId="010E7C3D"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41.02</w:t>
            </w:r>
          </w:p>
        </w:tc>
      </w:tr>
      <w:tr w:rsidR="00B96DB1" w:rsidRPr="007E5D84" w14:paraId="4E2FF2AE" w14:textId="77777777" w:rsidTr="00511D6E">
        <w:trPr>
          <w:trHeight w:val="290"/>
        </w:trPr>
        <w:tc>
          <w:tcPr>
            <w:tcW w:w="1180" w:type="dxa"/>
            <w:vMerge/>
            <w:tcBorders>
              <w:top w:val="nil"/>
              <w:left w:val="single" w:sz="8" w:space="0" w:color="auto"/>
              <w:bottom w:val="single" w:sz="8" w:space="0" w:color="000000"/>
              <w:right w:val="single" w:sz="8" w:space="0" w:color="auto"/>
            </w:tcBorders>
            <w:shd w:val="clear" w:color="auto" w:fill="FFFFFF" w:themeFill="background1"/>
            <w:vAlign w:val="center"/>
            <w:hideMark/>
          </w:tcPr>
          <w:p w14:paraId="20B06A92" w14:textId="77777777" w:rsidR="00B96DB1" w:rsidRPr="007E5D84" w:rsidRDefault="00B96DB1" w:rsidP="00215563">
            <w:pPr>
              <w:spacing w:after="0"/>
              <w:rPr>
                <w:rFonts w:ascii="Calibri" w:eastAsia="Times New Roman" w:hAnsi="Calibri" w:cs="Calibri"/>
                <w:b/>
                <w:bCs/>
                <w:color w:val="000000"/>
                <w:sz w:val="20"/>
                <w:szCs w:val="20"/>
              </w:rPr>
            </w:pPr>
          </w:p>
        </w:tc>
        <w:tc>
          <w:tcPr>
            <w:tcW w:w="950" w:type="dxa"/>
            <w:tcBorders>
              <w:top w:val="nil"/>
              <w:left w:val="nil"/>
              <w:bottom w:val="single" w:sz="4" w:space="0" w:color="auto"/>
              <w:right w:val="single" w:sz="4" w:space="0" w:color="auto"/>
            </w:tcBorders>
            <w:shd w:val="clear" w:color="auto" w:fill="FFFFFF" w:themeFill="background1"/>
            <w:noWrap/>
            <w:vAlign w:val="center"/>
            <w:hideMark/>
          </w:tcPr>
          <w:p w14:paraId="2AF537C9" w14:textId="77777777" w:rsidR="00B96DB1" w:rsidRPr="007E5D84" w:rsidRDefault="00B96DB1" w:rsidP="00215563">
            <w:pPr>
              <w:spacing w:after="0"/>
              <w:rPr>
                <w:rFonts w:ascii="Calibri" w:eastAsia="Times New Roman" w:hAnsi="Calibri" w:cs="Calibri"/>
                <w:color w:val="000000"/>
                <w:sz w:val="20"/>
                <w:szCs w:val="20"/>
              </w:rPr>
            </w:pPr>
            <w:r w:rsidRPr="007E5D84">
              <w:rPr>
                <w:rFonts w:ascii="Calibri" w:eastAsia="Times New Roman" w:hAnsi="Calibri" w:cs="Calibri"/>
                <w:color w:val="000000"/>
                <w:sz w:val="20"/>
                <w:szCs w:val="20"/>
              </w:rPr>
              <w:t>NSW</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1C69DE35"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21.34</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247E55F9"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22.8</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1DB4E635"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24.23</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3FF0544C"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25.83</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01DEC7AC"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27.94</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5A9EBFB7"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31.97</w:t>
            </w:r>
          </w:p>
        </w:tc>
        <w:tc>
          <w:tcPr>
            <w:tcW w:w="672" w:type="dxa"/>
            <w:tcBorders>
              <w:top w:val="nil"/>
              <w:left w:val="nil"/>
              <w:bottom w:val="single" w:sz="4" w:space="0" w:color="auto"/>
              <w:right w:val="nil"/>
            </w:tcBorders>
            <w:shd w:val="clear" w:color="auto" w:fill="FFFFFF" w:themeFill="background1"/>
          </w:tcPr>
          <w:p w14:paraId="1C7CAB7A" w14:textId="77777777" w:rsidR="00B96DB1" w:rsidRPr="007E5D84" w:rsidRDefault="00B96DB1" w:rsidP="00215563">
            <w:pPr>
              <w:spacing w:after="0"/>
              <w:jc w:val="right"/>
              <w:rPr>
                <w:rFonts w:ascii="Calibri" w:eastAsia="Times New Roman" w:hAnsi="Calibri" w:cs="Calibri"/>
                <w:color w:val="000000"/>
                <w:sz w:val="20"/>
                <w:szCs w:val="20"/>
              </w:rPr>
            </w:pPr>
          </w:p>
        </w:tc>
        <w:tc>
          <w:tcPr>
            <w:tcW w:w="672" w:type="dxa"/>
            <w:tcBorders>
              <w:top w:val="nil"/>
              <w:left w:val="nil"/>
              <w:bottom w:val="single" w:sz="4" w:space="0" w:color="auto"/>
              <w:right w:val="single" w:sz="8" w:space="0" w:color="auto"/>
            </w:tcBorders>
            <w:shd w:val="clear" w:color="auto" w:fill="FFFFFF" w:themeFill="background1"/>
            <w:noWrap/>
            <w:vAlign w:val="center"/>
            <w:hideMark/>
          </w:tcPr>
          <w:p w14:paraId="172DAC19" w14:textId="3C0EBD30"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37.09</w:t>
            </w:r>
          </w:p>
        </w:tc>
      </w:tr>
      <w:tr w:rsidR="00B96DB1" w:rsidRPr="007E5D84" w14:paraId="37ADFFD4" w14:textId="77777777" w:rsidTr="00511D6E">
        <w:trPr>
          <w:trHeight w:val="290"/>
        </w:trPr>
        <w:tc>
          <w:tcPr>
            <w:tcW w:w="1180" w:type="dxa"/>
            <w:vMerge/>
            <w:tcBorders>
              <w:top w:val="nil"/>
              <w:left w:val="single" w:sz="8" w:space="0" w:color="auto"/>
              <w:bottom w:val="single" w:sz="8" w:space="0" w:color="000000"/>
              <w:right w:val="single" w:sz="8" w:space="0" w:color="auto"/>
            </w:tcBorders>
            <w:shd w:val="clear" w:color="auto" w:fill="FFFFFF" w:themeFill="background1"/>
            <w:vAlign w:val="center"/>
            <w:hideMark/>
          </w:tcPr>
          <w:p w14:paraId="207DCE83" w14:textId="77777777" w:rsidR="00B96DB1" w:rsidRPr="007E5D84" w:rsidRDefault="00B96DB1" w:rsidP="00215563">
            <w:pPr>
              <w:spacing w:after="0"/>
              <w:rPr>
                <w:rFonts w:ascii="Calibri" w:eastAsia="Times New Roman" w:hAnsi="Calibri" w:cs="Calibri"/>
                <w:b/>
                <w:bCs/>
                <w:color w:val="000000"/>
                <w:sz w:val="20"/>
                <w:szCs w:val="20"/>
              </w:rPr>
            </w:pPr>
          </w:p>
        </w:tc>
        <w:tc>
          <w:tcPr>
            <w:tcW w:w="950" w:type="dxa"/>
            <w:tcBorders>
              <w:top w:val="nil"/>
              <w:left w:val="nil"/>
              <w:bottom w:val="single" w:sz="4" w:space="0" w:color="auto"/>
              <w:right w:val="single" w:sz="4" w:space="0" w:color="auto"/>
            </w:tcBorders>
            <w:shd w:val="clear" w:color="auto" w:fill="FFFFFF" w:themeFill="background1"/>
            <w:noWrap/>
            <w:vAlign w:val="center"/>
            <w:hideMark/>
          </w:tcPr>
          <w:p w14:paraId="15682E24" w14:textId="77777777" w:rsidR="00B96DB1" w:rsidRPr="007E5D84" w:rsidRDefault="00B96DB1" w:rsidP="00215563">
            <w:pPr>
              <w:spacing w:after="0"/>
              <w:rPr>
                <w:rFonts w:ascii="Calibri" w:eastAsia="Times New Roman" w:hAnsi="Calibri" w:cs="Calibri"/>
                <w:color w:val="000000"/>
                <w:sz w:val="20"/>
                <w:szCs w:val="20"/>
              </w:rPr>
            </w:pPr>
            <w:r w:rsidRPr="007E5D84">
              <w:rPr>
                <w:rFonts w:ascii="Calibri" w:eastAsia="Times New Roman" w:hAnsi="Calibri" w:cs="Calibri"/>
                <w:color w:val="000000"/>
                <w:sz w:val="20"/>
                <w:szCs w:val="20"/>
              </w:rPr>
              <w:t>NT</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58BED78B"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8.62</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2C5FDFBD"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9.52</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7517333E"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9.93</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1615CCB5"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11.08</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5D5B06E8"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13.43</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0824D33E"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16.9</w:t>
            </w:r>
          </w:p>
        </w:tc>
        <w:tc>
          <w:tcPr>
            <w:tcW w:w="672" w:type="dxa"/>
            <w:tcBorders>
              <w:top w:val="nil"/>
              <w:left w:val="nil"/>
              <w:bottom w:val="single" w:sz="4" w:space="0" w:color="auto"/>
              <w:right w:val="nil"/>
            </w:tcBorders>
            <w:shd w:val="clear" w:color="auto" w:fill="FFFFFF" w:themeFill="background1"/>
          </w:tcPr>
          <w:p w14:paraId="0B7C7989" w14:textId="77777777" w:rsidR="00B96DB1" w:rsidRPr="007E5D84" w:rsidRDefault="00B96DB1" w:rsidP="00215563">
            <w:pPr>
              <w:spacing w:after="0"/>
              <w:jc w:val="right"/>
              <w:rPr>
                <w:rFonts w:ascii="Calibri" w:eastAsia="Times New Roman" w:hAnsi="Calibri" w:cs="Calibri"/>
                <w:color w:val="000000"/>
                <w:sz w:val="20"/>
                <w:szCs w:val="20"/>
              </w:rPr>
            </w:pPr>
          </w:p>
        </w:tc>
        <w:tc>
          <w:tcPr>
            <w:tcW w:w="672" w:type="dxa"/>
            <w:tcBorders>
              <w:top w:val="nil"/>
              <w:left w:val="nil"/>
              <w:bottom w:val="single" w:sz="4" w:space="0" w:color="auto"/>
              <w:right w:val="single" w:sz="8" w:space="0" w:color="auto"/>
            </w:tcBorders>
            <w:shd w:val="clear" w:color="auto" w:fill="FFFFFF" w:themeFill="background1"/>
            <w:noWrap/>
            <w:vAlign w:val="center"/>
            <w:hideMark/>
          </w:tcPr>
          <w:p w14:paraId="07C8A6A7" w14:textId="75CB189F"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19.94</w:t>
            </w:r>
          </w:p>
        </w:tc>
      </w:tr>
      <w:tr w:rsidR="00B96DB1" w:rsidRPr="007E5D84" w14:paraId="2E742955" w14:textId="77777777" w:rsidTr="00511D6E">
        <w:trPr>
          <w:trHeight w:val="290"/>
        </w:trPr>
        <w:tc>
          <w:tcPr>
            <w:tcW w:w="1180" w:type="dxa"/>
            <w:vMerge/>
            <w:tcBorders>
              <w:top w:val="nil"/>
              <w:left w:val="single" w:sz="8" w:space="0" w:color="auto"/>
              <w:bottom w:val="single" w:sz="8" w:space="0" w:color="000000"/>
              <w:right w:val="single" w:sz="8" w:space="0" w:color="auto"/>
            </w:tcBorders>
            <w:shd w:val="clear" w:color="auto" w:fill="FFFFFF" w:themeFill="background1"/>
            <w:vAlign w:val="center"/>
            <w:hideMark/>
          </w:tcPr>
          <w:p w14:paraId="293C3378" w14:textId="77777777" w:rsidR="00B96DB1" w:rsidRPr="007E5D84" w:rsidRDefault="00B96DB1" w:rsidP="00215563">
            <w:pPr>
              <w:spacing w:after="0"/>
              <w:rPr>
                <w:rFonts w:ascii="Calibri" w:eastAsia="Times New Roman" w:hAnsi="Calibri" w:cs="Calibri"/>
                <w:b/>
                <w:bCs/>
                <w:color w:val="000000"/>
                <w:sz w:val="20"/>
                <w:szCs w:val="20"/>
              </w:rPr>
            </w:pPr>
          </w:p>
        </w:tc>
        <w:tc>
          <w:tcPr>
            <w:tcW w:w="950" w:type="dxa"/>
            <w:tcBorders>
              <w:top w:val="nil"/>
              <w:left w:val="nil"/>
              <w:bottom w:val="single" w:sz="4" w:space="0" w:color="auto"/>
              <w:right w:val="single" w:sz="4" w:space="0" w:color="auto"/>
            </w:tcBorders>
            <w:shd w:val="clear" w:color="auto" w:fill="FFFFFF" w:themeFill="background1"/>
            <w:noWrap/>
            <w:vAlign w:val="center"/>
            <w:hideMark/>
          </w:tcPr>
          <w:p w14:paraId="058F5911" w14:textId="77777777" w:rsidR="00B96DB1" w:rsidRPr="007E5D84" w:rsidRDefault="00B96DB1" w:rsidP="00215563">
            <w:pPr>
              <w:spacing w:after="0"/>
              <w:rPr>
                <w:rFonts w:ascii="Calibri" w:eastAsia="Times New Roman" w:hAnsi="Calibri" w:cs="Calibri"/>
                <w:color w:val="000000"/>
                <w:sz w:val="20"/>
                <w:szCs w:val="20"/>
              </w:rPr>
            </w:pPr>
            <w:r w:rsidRPr="007E5D84">
              <w:rPr>
                <w:rFonts w:ascii="Calibri" w:eastAsia="Times New Roman" w:hAnsi="Calibri" w:cs="Calibri"/>
                <w:color w:val="000000"/>
                <w:sz w:val="20"/>
                <w:szCs w:val="20"/>
              </w:rPr>
              <w:t>QLD</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675885D0"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17.31</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4A1275F2"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19.06</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4143A8A5"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20.41</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5BA992B6"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22.29</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136E48FB"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25.01</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08F27823"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28.67</w:t>
            </w:r>
          </w:p>
        </w:tc>
        <w:tc>
          <w:tcPr>
            <w:tcW w:w="672" w:type="dxa"/>
            <w:tcBorders>
              <w:top w:val="nil"/>
              <w:left w:val="nil"/>
              <w:bottom w:val="single" w:sz="4" w:space="0" w:color="auto"/>
              <w:right w:val="nil"/>
            </w:tcBorders>
            <w:shd w:val="clear" w:color="auto" w:fill="FFFFFF" w:themeFill="background1"/>
          </w:tcPr>
          <w:p w14:paraId="1695EB94" w14:textId="77777777" w:rsidR="00B96DB1" w:rsidRPr="007E5D84" w:rsidRDefault="00B96DB1" w:rsidP="00215563">
            <w:pPr>
              <w:spacing w:after="0"/>
              <w:jc w:val="right"/>
              <w:rPr>
                <w:rFonts w:ascii="Calibri" w:eastAsia="Times New Roman" w:hAnsi="Calibri" w:cs="Calibri"/>
                <w:color w:val="000000"/>
                <w:sz w:val="20"/>
                <w:szCs w:val="20"/>
              </w:rPr>
            </w:pPr>
          </w:p>
        </w:tc>
        <w:tc>
          <w:tcPr>
            <w:tcW w:w="672" w:type="dxa"/>
            <w:tcBorders>
              <w:top w:val="nil"/>
              <w:left w:val="nil"/>
              <w:bottom w:val="single" w:sz="4" w:space="0" w:color="auto"/>
              <w:right w:val="single" w:sz="8" w:space="0" w:color="auto"/>
            </w:tcBorders>
            <w:shd w:val="clear" w:color="auto" w:fill="FFFFFF" w:themeFill="background1"/>
            <w:noWrap/>
            <w:vAlign w:val="center"/>
            <w:hideMark/>
          </w:tcPr>
          <w:p w14:paraId="58F79DF8" w14:textId="414F344B"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34.21</w:t>
            </w:r>
          </w:p>
        </w:tc>
      </w:tr>
      <w:tr w:rsidR="00B96DB1" w:rsidRPr="007E5D84" w14:paraId="22703B32" w14:textId="77777777" w:rsidTr="00511D6E">
        <w:trPr>
          <w:trHeight w:val="290"/>
        </w:trPr>
        <w:tc>
          <w:tcPr>
            <w:tcW w:w="1180" w:type="dxa"/>
            <w:vMerge/>
            <w:tcBorders>
              <w:top w:val="nil"/>
              <w:left w:val="single" w:sz="8" w:space="0" w:color="auto"/>
              <w:bottom w:val="single" w:sz="8" w:space="0" w:color="000000"/>
              <w:right w:val="single" w:sz="8" w:space="0" w:color="auto"/>
            </w:tcBorders>
            <w:shd w:val="clear" w:color="auto" w:fill="FFFFFF" w:themeFill="background1"/>
            <w:vAlign w:val="center"/>
            <w:hideMark/>
          </w:tcPr>
          <w:p w14:paraId="39626D7B" w14:textId="77777777" w:rsidR="00B96DB1" w:rsidRPr="007E5D84" w:rsidRDefault="00B96DB1" w:rsidP="00215563">
            <w:pPr>
              <w:spacing w:after="0"/>
              <w:rPr>
                <w:rFonts w:ascii="Calibri" w:eastAsia="Times New Roman" w:hAnsi="Calibri" w:cs="Calibri"/>
                <w:b/>
                <w:bCs/>
                <w:color w:val="000000"/>
                <w:sz w:val="20"/>
                <w:szCs w:val="20"/>
              </w:rPr>
            </w:pPr>
          </w:p>
        </w:tc>
        <w:tc>
          <w:tcPr>
            <w:tcW w:w="950" w:type="dxa"/>
            <w:tcBorders>
              <w:top w:val="nil"/>
              <w:left w:val="nil"/>
              <w:bottom w:val="single" w:sz="4" w:space="0" w:color="auto"/>
              <w:right w:val="single" w:sz="4" w:space="0" w:color="auto"/>
            </w:tcBorders>
            <w:shd w:val="clear" w:color="auto" w:fill="FFFFFF" w:themeFill="background1"/>
            <w:noWrap/>
            <w:vAlign w:val="center"/>
            <w:hideMark/>
          </w:tcPr>
          <w:p w14:paraId="100EEC17" w14:textId="77777777" w:rsidR="00B96DB1" w:rsidRPr="007E5D84" w:rsidRDefault="00B96DB1" w:rsidP="00215563">
            <w:pPr>
              <w:spacing w:after="0"/>
              <w:rPr>
                <w:rFonts w:ascii="Calibri" w:eastAsia="Times New Roman" w:hAnsi="Calibri" w:cs="Calibri"/>
                <w:color w:val="000000"/>
                <w:sz w:val="20"/>
                <w:szCs w:val="20"/>
              </w:rPr>
            </w:pPr>
            <w:r w:rsidRPr="007E5D84">
              <w:rPr>
                <w:rFonts w:ascii="Calibri" w:eastAsia="Times New Roman" w:hAnsi="Calibri" w:cs="Calibri"/>
                <w:color w:val="000000"/>
                <w:sz w:val="20"/>
                <w:szCs w:val="20"/>
              </w:rPr>
              <w:t>SA</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2783F11E"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7.27</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0BC5DFAC"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7.29</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41227FCF"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7.97</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638DF61F"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8.87</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5827FFDE"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9.97</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118FC41D"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11.57</w:t>
            </w:r>
          </w:p>
        </w:tc>
        <w:tc>
          <w:tcPr>
            <w:tcW w:w="672" w:type="dxa"/>
            <w:tcBorders>
              <w:top w:val="nil"/>
              <w:left w:val="nil"/>
              <w:bottom w:val="single" w:sz="4" w:space="0" w:color="auto"/>
              <w:right w:val="nil"/>
            </w:tcBorders>
            <w:shd w:val="clear" w:color="auto" w:fill="FFFFFF" w:themeFill="background1"/>
          </w:tcPr>
          <w:p w14:paraId="64704FC7" w14:textId="77777777" w:rsidR="00B96DB1" w:rsidRPr="007E5D84" w:rsidRDefault="00B96DB1" w:rsidP="00215563">
            <w:pPr>
              <w:spacing w:after="0"/>
              <w:jc w:val="right"/>
              <w:rPr>
                <w:rFonts w:ascii="Calibri" w:eastAsia="Times New Roman" w:hAnsi="Calibri" w:cs="Calibri"/>
                <w:color w:val="000000"/>
                <w:sz w:val="20"/>
                <w:szCs w:val="20"/>
              </w:rPr>
            </w:pPr>
          </w:p>
        </w:tc>
        <w:tc>
          <w:tcPr>
            <w:tcW w:w="672" w:type="dxa"/>
            <w:tcBorders>
              <w:top w:val="nil"/>
              <w:left w:val="nil"/>
              <w:bottom w:val="single" w:sz="4" w:space="0" w:color="auto"/>
              <w:right w:val="single" w:sz="8" w:space="0" w:color="auto"/>
            </w:tcBorders>
            <w:shd w:val="clear" w:color="auto" w:fill="FFFFFF" w:themeFill="background1"/>
            <w:noWrap/>
            <w:vAlign w:val="center"/>
            <w:hideMark/>
          </w:tcPr>
          <w:p w14:paraId="5363458E" w14:textId="107B4770"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14.74</w:t>
            </w:r>
          </w:p>
        </w:tc>
      </w:tr>
      <w:tr w:rsidR="00B96DB1" w:rsidRPr="007E5D84" w14:paraId="446CEA7A" w14:textId="77777777" w:rsidTr="00511D6E">
        <w:trPr>
          <w:trHeight w:val="290"/>
        </w:trPr>
        <w:tc>
          <w:tcPr>
            <w:tcW w:w="1180" w:type="dxa"/>
            <w:vMerge/>
            <w:tcBorders>
              <w:top w:val="nil"/>
              <w:left w:val="single" w:sz="8" w:space="0" w:color="auto"/>
              <w:bottom w:val="single" w:sz="8" w:space="0" w:color="000000"/>
              <w:right w:val="single" w:sz="8" w:space="0" w:color="auto"/>
            </w:tcBorders>
            <w:shd w:val="clear" w:color="auto" w:fill="FFFFFF" w:themeFill="background1"/>
            <w:vAlign w:val="center"/>
            <w:hideMark/>
          </w:tcPr>
          <w:p w14:paraId="469BA223" w14:textId="77777777" w:rsidR="00B96DB1" w:rsidRPr="007E5D84" w:rsidRDefault="00B96DB1" w:rsidP="00215563">
            <w:pPr>
              <w:spacing w:after="0"/>
              <w:rPr>
                <w:rFonts w:ascii="Calibri" w:eastAsia="Times New Roman" w:hAnsi="Calibri" w:cs="Calibri"/>
                <w:b/>
                <w:bCs/>
                <w:color w:val="000000"/>
                <w:sz w:val="20"/>
                <w:szCs w:val="20"/>
              </w:rPr>
            </w:pPr>
          </w:p>
        </w:tc>
        <w:tc>
          <w:tcPr>
            <w:tcW w:w="950" w:type="dxa"/>
            <w:tcBorders>
              <w:top w:val="nil"/>
              <w:left w:val="nil"/>
              <w:bottom w:val="single" w:sz="4" w:space="0" w:color="auto"/>
              <w:right w:val="single" w:sz="4" w:space="0" w:color="auto"/>
            </w:tcBorders>
            <w:shd w:val="clear" w:color="auto" w:fill="FFFFFF" w:themeFill="background1"/>
            <w:noWrap/>
            <w:vAlign w:val="center"/>
            <w:hideMark/>
          </w:tcPr>
          <w:p w14:paraId="5BA802A9" w14:textId="77777777" w:rsidR="00B96DB1" w:rsidRPr="007E5D84" w:rsidRDefault="00B96DB1" w:rsidP="00215563">
            <w:pPr>
              <w:spacing w:after="0"/>
              <w:rPr>
                <w:rFonts w:ascii="Calibri" w:eastAsia="Times New Roman" w:hAnsi="Calibri" w:cs="Calibri"/>
                <w:color w:val="000000"/>
                <w:sz w:val="20"/>
                <w:szCs w:val="20"/>
              </w:rPr>
            </w:pPr>
            <w:r w:rsidRPr="007E5D84">
              <w:rPr>
                <w:rFonts w:ascii="Calibri" w:eastAsia="Times New Roman" w:hAnsi="Calibri" w:cs="Calibri"/>
                <w:color w:val="000000"/>
                <w:sz w:val="20"/>
                <w:szCs w:val="20"/>
              </w:rPr>
              <w:t>TAS</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577B0774"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17.69</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25D9C2DC"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18.3</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2E1543F8"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20.2</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00DD56F7"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22.14</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465DFB5A"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24.45</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1E807953"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28.52</w:t>
            </w:r>
          </w:p>
        </w:tc>
        <w:tc>
          <w:tcPr>
            <w:tcW w:w="672" w:type="dxa"/>
            <w:tcBorders>
              <w:top w:val="nil"/>
              <w:left w:val="nil"/>
              <w:bottom w:val="single" w:sz="4" w:space="0" w:color="auto"/>
              <w:right w:val="nil"/>
            </w:tcBorders>
            <w:shd w:val="clear" w:color="auto" w:fill="FFFFFF" w:themeFill="background1"/>
          </w:tcPr>
          <w:p w14:paraId="0A7E0048" w14:textId="77777777" w:rsidR="00B96DB1" w:rsidRPr="007E5D84" w:rsidRDefault="00B96DB1" w:rsidP="00215563">
            <w:pPr>
              <w:spacing w:after="0"/>
              <w:jc w:val="right"/>
              <w:rPr>
                <w:rFonts w:ascii="Calibri" w:eastAsia="Times New Roman" w:hAnsi="Calibri" w:cs="Calibri"/>
                <w:color w:val="000000"/>
                <w:sz w:val="20"/>
                <w:szCs w:val="20"/>
              </w:rPr>
            </w:pPr>
          </w:p>
        </w:tc>
        <w:tc>
          <w:tcPr>
            <w:tcW w:w="672" w:type="dxa"/>
            <w:tcBorders>
              <w:top w:val="nil"/>
              <w:left w:val="nil"/>
              <w:bottom w:val="single" w:sz="4" w:space="0" w:color="auto"/>
              <w:right w:val="single" w:sz="8" w:space="0" w:color="auto"/>
            </w:tcBorders>
            <w:shd w:val="clear" w:color="auto" w:fill="FFFFFF" w:themeFill="background1"/>
            <w:noWrap/>
            <w:vAlign w:val="center"/>
            <w:hideMark/>
          </w:tcPr>
          <w:p w14:paraId="41BB2AFC" w14:textId="43B1790F"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34.39</w:t>
            </w:r>
          </w:p>
        </w:tc>
      </w:tr>
      <w:tr w:rsidR="00B96DB1" w:rsidRPr="007E5D84" w14:paraId="5A19B40E" w14:textId="77777777" w:rsidTr="00511D6E">
        <w:trPr>
          <w:trHeight w:val="290"/>
        </w:trPr>
        <w:tc>
          <w:tcPr>
            <w:tcW w:w="1180" w:type="dxa"/>
            <w:vMerge/>
            <w:tcBorders>
              <w:top w:val="nil"/>
              <w:left w:val="single" w:sz="8" w:space="0" w:color="auto"/>
              <w:bottom w:val="single" w:sz="8" w:space="0" w:color="000000"/>
              <w:right w:val="single" w:sz="8" w:space="0" w:color="auto"/>
            </w:tcBorders>
            <w:shd w:val="clear" w:color="auto" w:fill="FFFFFF" w:themeFill="background1"/>
            <w:vAlign w:val="center"/>
            <w:hideMark/>
          </w:tcPr>
          <w:p w14:paraId="216C1780" w14:textId="77777777" w:rsidR="00B96DB1" w:rsidRPr="007E5D84" w:rsidRDefault="00B96DB1" w:rsidP="00215563">
            <w:pPr>
              <w:spacing w:after="0"/>
              <w:rPr>
                <w:rFonts w:ascii="Calibri" w:eastAsia="Times New Roman" w:hAnsi="Calibri" w:cs="Calibri"/>
                <w:b/>
                <w:bCs/>
                <w:color w:val="000000"/>
                <w:sz w:val="20"/>
                <w:szCs w:val="20"/>
              </w:rPr>
            </w:pPr>
          </w:p>
        </w:tc>
        <w:tc>
          <w:tcPr>
            <w:tcW w:w="950" w:type="dxa"/>
            <w:tcBorders>
              <w:top w:val="nil"/>
              <w:left w:val="nil"/>
              <w:bottom w:val="single" w:sz="4" w:space="0" w:color="auto"/>
              <w:right w:val="single" w:sz="4" w:space="0" w:color="auto"/>
            </w:tcBorders>
            <w:shd w:val="clear" w:color="auto" w:fill="FFFFFF" w:themeFill="background1"/>
            <w:noWrap/>
            <w:vAlign w:val="center"/>
            <w:hideMark/>
          </w:tcPr>
          <w:p w14:paraId="4ACE406C" w14:textId="77777777" w:rsidR="00B96DB1" w:rsidRPr="007E5D84" w:rsidRDefault="00B96DB1" w:rsidP="00215563">
            <w:pPr>
              <w:spacing w:after="0"/>
              <w:rPr>
                <w:rFonts w:ascii="Calibri" w:eastAsia="Times New Roman" w:hAnsi="Calibri" w:cs="Calibri"/>
                <w:color w:val="000000"/>
                <w:sz w:val="20"/>
                <w:szCs w:val="20"/>
              </w:rPr>
            </w:pPr>
            <w:r w:rsidRPr="007E5D84">
              <w:rPr>
                <w:rFonts w:ascii="Calibri" w:eastAsia="Times New Roman" w:hAnsi="Calibri" w:cs="Calibri"/>
                <w:color w:val="000000"/>
                <w:sz w:val="20"/>
                <w:szCs w:val="20"/>
              </w:rPr>
              <w:t>VIC</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658A4E8B"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10.94</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05F40623"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11.89</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7D9C25CF"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13.03</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6A635FC5"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14.68</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015E063A"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16.54</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0F2183A3"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19.39</w:t>
            </w:r>
          </w:p>
        </w:tc>
        <w:tc>
          <w:tcPr>
            <w:tcW w:w="672" w:type="dxa"/>
            <w:tcBorders>
              <w:top w:val="nil"/>
              <w:left w:val="nil"/>
              <w:bottom w:val="single" w:sz="4" w:space="0" w:color="auto"/>
              <w:right w:val="nil"/>
            </w:tcBorders>
            <w:shd w:val="clear" w:color="auto" w:fill="FFFFFF" w:themeFill="background1"/>
          </w:tcPr>
          <w:p w14:paraId="31210D6C" w14:textId="77777777" w:rsidR="00B96DB1" w:rsidRPr="007E5D84" w:rsidRDefault="00B96DB1" w:rsidP="00215563">
            <w:pPr>
              <w:spacing w:after="0"/>
              <w:jc w:val="right"/>
              <w:rPr>
                <w:rFonts w:ascii="Calibri" w:eastAsia="Times New Roman" w:hAnsi="Calibri" w:cs="Calibri"/>
                <w:color w:val="000000"/>
                <w:sz w:val="20"/>
                <w:szCs w:val="20"/>
              </w:rPr>
            </w:pPr>
          </w:p>
        </w:tc>
        <w:tc>
          <w:tcPr>
            <w:tcW w:w="672" w:type="dxa"/>
            <w:tcBorders>
              <w:top w:val="nil"/>
              <w:left w:val="nil"/>
              <w:bottom w:val="single" w:sz="4" w:space="0" w:color="auto"/>
              <w:right w:val="single" w:sz="8" w:space="0" w:color="auto"/>
            </w:tcBorders>
            <w:shd w:val="clear" w:color="auto" w:fill="FFFFFF" w:themeFill="background1"/>
            <w:noWrap/>
            <w:vAlign w:val="center"/>
            <w:hideMark/>
          </w:tcPr>
          <w:p w14:paraId="13C3D045" w14:textId="1EDD76BE"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23.4</w:t>
            </w:r>
          </w:p>
        </w:tc>
      </w:tr>
      <w:tr w:rsidR="00B96DB1" w:rsidRPr="007E5D84" w14:paraId="74F094BE" w14:textId="77777777" w:rsidTr="00511D6E">
        <w:trPr>
          <w:trHeight w:val="300"/>
        </w:trPr>
        <w:tc>
          <w:tcPr>
            <w:tcW w:w="1180" w:type="dxa"/>
            <w:vMerge/>
            <w:tcBorders>
              <w:top w:val="nil"/>
              <w:left w:val="single" w:sz="8" w:space="0" w:color="auto"/>
              <w:bottom w:val="single" w:sz="8" w:space="0" w:color="000000"/>
              <w:right w:val="single" w:sz="8" w:space="0" w:color="auto"/>
            </w:tcBorders>
            <w:shd w:val="clear" w:color="auto" w:fill="FFFFFF" w:themeFill="background1"/>
            <w:vAlign w:val="center"/>
            <w:hideMark/>
          </w:tcPr>
          <w:p w14:paraId="271D5C22" w14:textId="77777777" w:rsidR="00B96DB1" w:rsidRPr="007E5D84" w:rsidRDefault="00B96DB1" w:rsidP="00215563">
            <w:pPr>
              <w:spacing w:after="0"/>
              <w:rPr>
                <w:rFonts w:ascii="Calibri" w:eastAsia="Times New Roman" w:hAnsi="Calibri" w:cs="Calibri"/>
                <w:b/>
                <w:bCs/>
                <w:color w:val="000000"/>
                <w:sz w:val="20"/>
                <w:szCs w:val="20"/>
              </w:rPr>
            </w:pPr>
          </w:p>
        </w:tc>
        <w:tc>
          <w:tcPr>
            <w:tcW w:w="950" w:type="dxa"/>
            <w:tcBorders>
              <w:top w:val="nil"/>
              <w:left w:val="nil"/>
              <w:bottom w:val="single" w:sz="8" w:space="0" w:color="auto"/>
              <w:right w:val="single" w:sz="4" w:space="0" w:color="auto"/>
            </w:tcBorders>
            <w:shd w:val="clear" w:color="auto" w:fill="FFFFFF" w:themeFill="background1"/>
            <w:noWrap/>
            <w:vAlign w:val="center"/>
            <w:hideMark/>
          </w:tcPr>
          <w:p w14:paraId="2C645AD2" w14:textId="77777777" w:rsidR="00B96DB1" w:rsidRPr="007E5D84" w:rsidRDefault="00B96DB1" w:rsidP="00215563">
            <w:pPr>
              <w:spacing w:after="0"/>
              <w:rPr>
                <w:rFonts w:ascii="Calibri" w:eastAsia="Times New Roman" w:hAnsi="Calibri" w:cs="Calibri"/>
                <w:color w:val="000000"/>
                <w:sz w:val="20"/>
                <w:szCs w:val="20"/>
              </w:rPr>
            </w:pPr>
            <w:r w:rsidRPr="007E5D84">
              <w:rPr>
                <w:rFonts w:ascii="Calibri" w:eastAsia="Times New Roman" w:hAnsi="Calibri" w:cs="Calibri"/>
                <w:color w:val="000000"/>
                <w:sz w:val="20"/>
                <w:szCs w:val="20"/>
              </w:rPr>
              <w:t>WA</w:t>
            </w:r>
          </w:p>
        </w:tc>
        <w:tc>
          <w:tcPr>
            <w:tcW w:w="672" w:type="dxa"/>
            <w:tcBorders>
              <w:top w:val="nil"/>
              <w:left w:val="nil"/>
              <w:bottom w:val="single" w:sz="8" w:space="0" w:color="auto"/>
              <w:right w:val="single" w:sz="4" w:space="0" w:color="auto"/>
            </w:tcBorders>
            <w:shd w:val="clear" w:color="auto" w:fill="FFFFFF" w:themeFill="background1"/>
            <w:noWrap/>
            <w:vAlign w:val="center"/>
            <w:hideMark/>
          </w:tcPr>
          <w:p w14:paraId="20FCF54B"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16.57</w:t>
            </w:r>
          </w:p>
        </w:tc>
        <w:tc>
          <w:tcPr>
            <w:tcW w:w="672" w:type="dxa"/>
            <w:tcBorders>
              <w:top w:val="nil"/>
              <w:left w:val="nil"/>
              <w:bottom w:val="single" w:sz="8" w:space="0" w:color="auto"/>
              <w:right w:val="single" w:sz="4" w:space="0" w:color="auto"/>
            </w:tcBorders>
            <w:shd w:val="clear" w:color="auto" w:fill="FFFFFF" w:themeFill="background1"/>
            <w:noWrap/>
            <w:vAlign w:val="center"/>
            <w:hideMark/>
          </w:tcPr>
          <w:p w14:paraId="235B1145"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17.97</w:t>
            </w:r>
          </w:p>
        </w:tc>
        <w:tc>
          <w:tcPr>
            <w:tcW w:w="672" w:type="dxa"/>
            <w:tcBorders>
              <w:top w:val="nil"/>
              <w:left w:val="nil"/>
              <w:bottom w:val="single" w:sz="8" w:space="0" w:color="auto"/>
              <w:right w:val="single" w:sz="4" w:space="0" w:color="auto"/>
            </w:tcBorders>
            <w:shd w:val="clear" w:color="auto" w:fill="FFFFFF" w:themeFill="background1"/>
            <w:noWrap/>
            <w:vAlign w:val="center"/>
            <w:hideMark/>
          </w:tcPr>
          <w:p w14:paraId="77B2416E"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19.69</w:t>
            </w:r>
          </w:p>
        </w:tc>
        <w:tc>
          <w:tcPr>
            <w:tcW w:w="672" w:type="dxa"/>
            <w:tcBorders>
              <w:top w:val="nil"/>
              <w:left w:val="nil"/>
              <w:bottom w:val="single" w:sz="8" w:space="0" w:color="auto"/>
              <w:right w:val="single" w:sz="4" w:space="0" w:color="auto"/>
            </w:tcBorders>
            <w:shd w:val="clear" w:color="auto" w:fill="FFFFFF" w:themeFill="background1"/>
            <w:noWrap/>
            <w:vAlign w:val="center"/>
            <w:hideMark/>
          </w:tcPr>
          <w:p w14:paraId="0C85101A"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21.64</w:t>
            </w:r>
          </w:p>
        </w:tc>
        <w:tc>
          <w:tcPr>
            <w:tcW w:w="672" w:type="dxa"/>
            <w:tcBorders>
              <w:top w:val="nil"/>
              <w:left w:val="nil"/>
              <w:bottom w:val="single" w:sz="8" w:space="0" w:color="auto"/>
              <w:right w:val="single" w:sz="4" w:space="0" w:color="auto"/>
            </w:tcBorders>
            <w:shd w:val="clear" w:color="auto" w:fill="FFFFFF" w:themeFill="background1"/>
            <w:noWrap/>
            <w:vAlign w:val="center"/>
            <w:hideMark/>
          </w:tcPr>
          <w:p w14:paraId="67C761BA"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25.14</w:t>
            </w:r>
          </w:p>
        </w:tc>
        <w:tc>
          <w:tcPr>
            <w:tcW w:w="672" w:type="dxa"/>
            <w:tcBorders>
              <w:top w:val="nil"/>
              <w:left w:val="nil"/>
              <w:bottom w:val="single" w:sz="8" w:space="0" w:color="auto"/>
              <w:right w:val="single" w:sz="4" w:space="0" w:color="auto"/>
            </w:tcBorders>
            <w:shd w:val="clear" w:color="auto" w:fill="FFFFFF" w:themeFill="background1"/>
            <w:noWrap/>
            <w:vAlign w:val="center"/>
            <w:hideMark/>
          </w:tcPr>
          <w:p w14:paraId="66FD03D2"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29.32</w:t>
            </w:r>
          </w:p>
        </w:tc>
        <w:tc>
          <w:tcPr>
            <w:tcW w:w="672" w:type="dxa"/>
            <w:tcBorders>
              <w:top w:val="nil"/>
              <w:left w:val="nil"/>
              <w:bottom w:val="single" w:sz="8" w:space="0" w:color="auto"/>
              <w:right w:val="nil"/>
            </w:tcBorders>
            <w:shd w:val="clear" w:color="auto" w:fill="FFFFFF" w:themeFill="background1"/>
          </w:tcPr>
          <w:p w14:paraId="6FC06D1B" w14:textId="77777777" w:rsidR="00B96DB1" w:rsidRPr="007E5D84" w:rsidRDefault="00B96DB1" w:rsidP="00215563">
            <w:pPr>
              <w:spacing w:after="0"/>
              <w:jc w:val="right"/>
              <w:rPr>
                <w:rFonts w:ascii="Calibri" w:eastAsia="Times New Roman" w:hAnsi="Calibri" w:cs="Calibri"/>
                <w:color w:val="000000"/>
                <w:sz w:val="20"/>
                <w:szCs w:val="20"/>
              </w:rPr>
            </w:pPr>
          </w:p>
        </w:tc>
        <w:tc>
          <w:tcPr>
            <w:tcW w:w="672" w:type="dxa"/>
            <w:tcBorders>
              <w:top w:val="nil"/>
              <w:left w:val="nil"/>
              <w:bottom w:val="single" w:sz="8" w:space="0" w:color="auto"/>
              <w:right w:val="single" w:sz="8" w:space="0" w:color="auto"/>
            </w:tcBorders>
            <w:shd w:val="clear" w:color="auto" w:fill="FFFFFF" w:themeFill="background1"/>
            <w:noWrap/>
            <w:vAlign w:val="center"/>
            <w:hideMark/>
          </w:tcPr>
          <w:p w14:paraId="138874AC" w14:textId="5C0CBD20"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35.34</w:t>
            </w:r>
          </w:p>
        </w:tc>
      </w:tr>
      <w:tr w:rsidR="00B96DB1" w:rsidRPr="007E5D84" w14:paraId="7FFDBB9A" w14:textId="77777777" w:rsidTr="00511D6E">
        <w:trPr>
          <w:trHeight w:val="290"/>
        </w:trPr>
        <w:tc>
          <w:tcPr>
            <w:tcW w:w="1180" w:type="dxa"/>
            <w:vMerge w:val="restart"/>
            <w:tcBorders>
              <w:top w:val="nil"/>
              <w:left w:val="single" w:sz="8" w:space="0" w:color="auto"/>
              <w:bottom w:val="single" w:sz="8" w:space="0" w:color="000000"/>
              <w:right w:val="single" w:sz="8" w:space="0" w:color="auto"/>
            </w:tcBorders>
            <w:shd w:val="clear" w:color="auto" w:fill="FFFFFF" w:themeFill="background1"/>
            <w:noWrap/>
            <w:vAlign w:val="center"/>
            <w:hideMark/>
          </w:tcPr>
          <w:p w14:paraId="4C8727F2" w14:textId="77777777" w:rsidR="00B96DB1" w:rsidRPr="007E5D84" w:rsidRDefault="00B96DB1" w:rsidP="00215563">
            <w:pPr>
              <w:spacing w:after="0"/>
              <w:jc w:val="center"/>
              <w:rPr>
                <w:rFonts w:ascii="Calibri" w:eastAsia="Times New Roman" w:hAnsi="Calibri" w:cs="Calibri"/>
                <w:b/>
                <w:bCs/>
                <w:color w:val="000000"/>
                <w:sz w:val="20"/>
                <w:szCs w:val="20"/>
              </w:rPr>
            </w:pPr>
            <w:r w:rsidRPr="007E5D84">
              <w:rPr>
                <w:rFonts w:ascii="Calibri" w:eastAsia="Times New Roman" w:hAnsi="Calibri" w:cs="Calibri"/>
                <w:b/>
                <w:bCs/>
                <w:color w:val="000000"/>
                <w:sz w:val="20"/>
                <w:szCs w:val="20"/>
              </w:rPr>
              <w:t>19+ years</w:t>
            </w:r>
          </w:p>
        </w:tc>
        <w:tc>
          <w:tcPr>
            <w:tcW w:w="950" w:type="dxa"/>
            <w:tcBorders>
              <w:top w:val="nil"/>
              <w:left w:val="nil"/>
              <w:bottom w:val="single" w:sz="4" w:space="0" w:color="auto"/>
              <w:right w:val="single" w:sz="4" w:space="0" w:color="auto"/>
            </w:tcBorders>
            <w:shd w:val="clear" w:color="auto" w:fill="FFFFFF" w:themeFill="background1"/>
            <w:noWrap/>
            <w:vAlign w:val="center"/>
            <w:hideMark/>
          </w:tcPr>
          <w:p w14:paraId="7814508B" w14:textId="77777777" w:rsidR="00B96DB1" w:rsidRPr="007E5D84" w:rsidRDefault="00B96DB1" w:rsidP="00215563">
            <w:pPr>
              <w:spacing w:after="0"/>
              <w:rPr>
                <w:rFonts w:ascii="Calibri" w:eastAsia="Times New Roman" w:hAnsi="Calibri" w:cs="Calibri"/>
                <w:color w:val="000000"/>
                <w:sz w:val="20"/>
                <w:szCs w:val="20"/>
              </w:rPr>
            </w:pPr>
            <w:r w:rsidRPr="007E5D84">
              <w:rPr>
                <w:rFonts w:ascii="Calibri" w:eastAsia="Times New Roman" w:hAnsi="Calibri" w:cs="Calibri"/>
                <w:color w:val="000000"/>
                <w:sz w:val="20"/>
                <w:szCs w:val="20"/>
              </w:rPr>
              <w:t>ACT</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3E62D856"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2.67</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71122E2F"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2.82</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6182C432"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3.07</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70ADAD91"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3.46</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51E89A19"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4.09</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636C85D3"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4.92</w:t>
            </w:r>
          </w:p>
        </w:tc>
        <w:tc>
          <w:tcPr>
            <w:tcW w:w="672" w:type="dxa"/>
            <w:tcBorders>
              <w:top w:val="nil"/>
              <w:left w:val="nil"/>
              <w:bottom w:val="single" w:sz="4" w:space="0" w:color="auto"/>
              <w:right w:val="nil"/>
            </w:tcBorders>
            <w:shd w:val="clear" w:color="auto" w:fill="FFFFFF" w:themeFill="background1"/>
          </w:tcPr>
          <w:p w14:paraId="1A0830AB" w14:textId="77777777" w:rsidR="00B96DB1" w:rsidRPr="007E5D84" w:rsidRDefault="00B96DB1" w:rsidP="00215563">
            <w:pPr>
              <w:spacing w:after="0"/>
              <w:jc w:val="right"/>
              <w:rPr>
                <w:rFonts w:ascii="Calibri" w:eastAsia="Times New Roman" w:hAnsi="Calibri" w:cs="Calibri"/>
                <w:color w:val="000000"/>
                <w:sz w:val="20"/>
                <w:szCs w:val="20"/>
              </w:rPr>
            </w:pPr>
          </w:p>
        </w:tc>
        <w:tc>
          <w:tcPr>
            <w:tcW w:w="672" w:type="dxa"/>
            <w:tcBorders>
              <w:top w:val="nil"/>
              <w:left w:val="nil"/>
              <w:bottom w:val="single" w:sz="4" w:space="0" w:color="auto"/>
              <w:right w:val="single" w:sz="8" w:space="0" w:color="auto"/>
            </w:tcBorders>
            <w:shd w:val="clear" w:color="auto" w:fill="FFFFFF" w:themeFill="background1"/>
            <w:noWrap/>
            <w:vAlign w:val="center"/>
            <w:hideMark/>
          </w:tcPr>
          <w:p w14:paraId="5556DA33" w14:textId="4426A802"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6.47</w:t>
            </w:r>
          </w:p>
        </w:tc>
      </w:tr>
      <w:tr w:rsidR="00B96DB1" w:rsidRPr="007E5D84" w14:paraId="688CD63E" w14:textId="77777777" w:rsidTr="00511D6E">
        <w:trPr>
          <w:trHeight w:val="290"/>
        </w:trPr>
        <w:tc>
          <w:tcPr>
            <w:tcW w:w="1180" w:type="dxa"/>
            <w:vMerge/>
            <w:tcBorders>
              <w:top w:val="nil"/>
              <w:left w:val="single" w:sz="8" w:space="0" w:color="auto"/>
              <w:bottom w:val="single" w:sz="8" w:space="0" w:color="000000"/>
              <w:right w:val="single" w:sz="8" w:space="0" w:color="auto"/>
            </w:tcBorders>
            <w:shd w:val="clear" w:color="auto" w:fill="FFFFFF" w:themeFill="background1"/>
            <w:vAlign w:val="center"/>
            <w:hideMark/>
          </w:tcPr>
          <w:p w14:paraId="4413046C" w14:textId="77777777" w:rsidR="00B96DB1" w:rsidRPr="007E5D84" w:rsidRDefault="00B96DB1" w:rsidP="00215563">
            <w:pPr>
              <w:spacing w:after="0"/>
              <w:rPr>
                <w:rFonts w:ascii="Calibri" w:eastAsia="Times New Roman" w:hAnsi="Calibri" w:cs="Calibri"/>
                <w:b/>
                <w:bCs/>
                <w:color w:val="000000"/>
                <w:sz w:val="20"/>
                <w:szCs w:val="20"/>
              </w:rPr>
            </w:pPr>
          </w:p>
        </w:tc>
        <w:tc>
          <w:tcPr>
            <w:tcW w:w="950" w:type="dxa"/>
            <w:tcBorders>
              <w:top w:val="nil"/>
              <w:left w:val="nil"/>
              <w:bottom w:val="single" w:sz="4" w:space="0" w:color="auto"/>
              <w:right w:val="single" w:sz="4" w:space="0" w:color="auto"/>
            </w:tcBorders>
            <w:shd w:val="clear" w:color="auto" w:fill="FFFFFF" w:themeFill="background1"/>
            <w:noWrap/>
            <w:vAlign w:val="center"/>
            <w:hideMark/>
          </w:tcPr>
          <w:p w14:paraId="289D7848" w14:textId="77777777" w:rsidR="00B96DB1" w:rsidRPr="007E5D84" w:rsidRDefault="00B96DB1" w:rsidP="00215563">
            <w:pPr>
              <w:spacing w:after="0"/>
              <w:rPr>
                <w:rFonts w:ascii="Calibri" w:eastAsia="Times New Roman" w:hAnsi="Calibri" w:cs="Calibri"/>
                <w:color w:val="000000"/>
                <w:sz w:val="20"/>
                <w:szCs w:val="20"/>
              </w:rPr>
            </w:pPr>
            <w:r w:rsidRPr="007E5D84">
              <w:rPr>
                <w:rFonts w:ascii="Calibri" w:eastAsia="Times New Roman" w:hAnsi="Calibri" w:cs="Calibri"/>
                <w:color w:val="000000"/>
                <w:sz w:val="20"/>
                <w:szCs w:val="20"/>
              </w:rPr>
              <w:t>NSW</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3C1C1BDA"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2.07</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1D654ECB"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2.28</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528C77FE"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2.55</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71E43897"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2.83</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5B5BF995"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3.23</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7282A55D"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3.73</w:t>
            </w:r>
          </w:p>
        </w:tc>
        <w:tc>
          <w:tcPr>
            <w:tcW w:w="672" w:type="dxa"/>
            <w:tcBorders>
              <w:top w:val="nil"/>
              <w:left w:val="nil"/>
              <w:bottom w:val="single" w:sz="4" w:space="0" w:color="auto"/>
              <w:right w:val="nil"/>
            </w:tcBorders>
            <w:shd w:val="clear" w:color="auto" w:fill="FFFFFF" w:themeFill="background1"/>
          </w:tcPr>
          <w:p w14:paraId="7384BEA8" w14:textId="77777777" w:rsidR="00B96DB1" w:rsidRPr="007E5D84" w:rsidRDefault="00B96DB1" w:rsidP="00215563">
            <w:pPr>
              <w:spacing w:after="0"/>
              <w:jc w:val="right"/>
              <w:rPr>
                <w:rFonts w:ascii="Calibri" w:eastAsia="Times New Roman" w:hAnsi="Calibri" w:cs="Calibri"/>
                <w:color w:val="000000"/>
                <w:sz w:val="20"/>
                <w:szCs w:val="20"/>
              </w:rPr>
            </w:pPr>
          </w:p>
        </w:tc>
        <w:tc>
          <w:tcPr>
            <w:tcW w:w="672" w:type="dxa"/>
            <w:tcBorders>
              <w:top w:val="nil"/>
              <w:left w:val="nil"/>
              <w:bottom w:val="single" w:sz="4" w:space="0" w:color="auto"/>
              <w:right w:val="single" w:sz="8" w:space="0" w:color="auto"/>
            </w:tcBorders>
            <w:shd w:val="clear" w:color="auto" w:fill="FFFFFF" w:themeFill="background1"/>
            <w:noWrap/>
            <w:vAlign w:val="center"/>
            <w:hideMark/>
          </w:tcPr>
          <w:p w14:paraId="190ED1A1" w14:textId="473FBEBA"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4.45</w:t>
            </w:r>
          </w:p>
        </w:tc>
      </w:tr>
      <w:tr w:rsidR="00B96DB1" w:rsidRPr="007E5D84" w14:paraId="404C0FF8" w14:textId="77777777" w:rsidTr="00511D6E">
        <w:trPr>
          <w:trHeight w:val="290"/>
        </w:trPr>
        <w:tc>
          <w:tcPr>
            <w:tcW w:w="1180" w:type="dxa"/>
            <w:vMerge/>
            <w:tcBorders>
              <w:top w:val="nil"/>
              <w:left w:val="single" w:sz="8" w:space="0" w:color="auto"/>
              <w:bottom w:val="single" w:sz="8" w:space="0" w:color="000000"/>
              <w:right w:val="single" w:sz="8" w:space="0" w:color="auto"/>
            </w:tcBorders>
            <w:shd w:val="clear" w:color="auto" w:fill="FFFFFF" w:themeFill="background1"/>
            <w:vAlign w:val="center"/>
            <w:hideMark/>
          </w:tcPr>
          <w:p w14:paraId="7E03F0AC" w14:textId="77777777" w:rsidR="00B96DB1" w:rsidRPr="007E5D84" w:rsidRDefault="00B96DB1" w:rsidP="00215563">
            <w:pPr>
              <w:spacing w:after="0"/>
              <w:rPr>
                <w:rFonts w:ascii="Calibri" w:eastAsia="Times New Roman" w:hAnsi="Calibri" w:cs="Calibri"/>
                <w:b/>
                <w:bCs/>
                <w:color w:val="000000"/>
                <w:sz w:val="20"/>
                <w:szCs w:val="20"/>
              </w:rPr>
            </w:pPr>
          </w:p>
        </w:tc>
        <w:tc>
          <w:tcPr>
            <w:tcW w:w="950" w:type="dxa"/>
            <w:tcBorders>
              <w:top w:val="nil"/>
              <w:left w:val="nil"/>
              <w:bottom w:val="single" w:sz="4" w:space="0" w:color="auto"/>
              <w:right w:val="single" w:sz="4" w:space="0" w:color="auto"/>
            </w:tcBorders>
            <w:shd w:val="clear" w:color="auto" w:fill="FFFFFF" w:themeFill="background1"/>
            <w:noWrap/>
            <w:vAlign w:val="center"/>
            <w:hideMark/>
          </w:tcPr>
          <w:p w14:paraId="7834E2C1" w14:textId="77777777" w:rsidR="00B96DB1" w:rsidRPr="007E5D84" w:rsidRDefault="00B96DB1" w:rsidP="00215563">
            <w:pPr>
              <w:spacing w:after="0"/>
              <w:rPr>
                <w:rFonts w:ascii="Calibri" w:eastAsia="Times New Roman" w:hAnsi="Calibri" w:cs="Calibri"/>
                <w:color w:val="000000"/>
                <w:sz w:val="20"/>
                <w:szCs w:val="20"/>
              </w:rPr>
            </w:pPr>
            <w:r w:rsidRPr="007E5D84">
              <w:rPr>
                <w:rFonts w:ascii="Calibri" w:eastAsia="Times New Roman" w:hAnsi="Calibri" w:cs="Calibri"/>
                <w:color w:val="000000"/>
                <w:sz w:val="20"/>
                <w:szCs w:val="20"/>
              </w:rPr>
              <w:t>NT</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1FEBF216"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1.13</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39B30617"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1.27</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23FD80DD"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1.36</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4F457653"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1.54</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36D93867"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1.87</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4655909F"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2.08</w:t>
            </w:r>
          </w:p>
        </w:tc>
        <w:tc>
          <w:tcPr>
            <w:tcW w:w="672" w:type="dxa"/>
            <w:tcBorders>
              <w:top w:val="nil"/>
              <w:left w:val="nil"/>
              <w:bottom w:val="single" w:sz="4" w:space="0" w:color="auto"/>
              <w:right w:val="nil"/>
            </w:tcBorders>
            <w:shd w:val="clear" w:color="auto" w:fill="FFFFFF" w:themeFill="background1"/>
          </w:tcPr>
          <w:p w14:paraId="17F63869" w14:textId="77777777" w:rsidR="00B96DB1" w:rsidRPr="007E5D84" w:rsidRDefault="00B96DB1" w:rsidP="00215563">
            <w:pPr>
              <w:spacing w:after="0"/>
              <w:jc w:val="right"/>
              <w:rPr>
                <w:rFonts w:ascii="Calibri" w:eastAsia="Times New Roman" w:hAnsi="Calibri" w:cs="Calibri"/>
                <w:color w:val="000000"/>
                <w:sz w:val="20"/>
                <w:szCs w:val="20"/>
              </w:rPr>
            </w:pPr>
          </w:p>
        </w:tc>
        <w:tc>
          <w:tcPr>
            <w:tcW w:w="672" w:type="dxa"/>
            <w:tcBorders>
              <w:top w:val="nil"/>
              <w:left w:val="nil"/>
              <w:bottom w:val="single" w:sz="4" w:space="0" w:color="auto"/>
              <w:right w:val="single" w:sz="8" w:space="0" w:color="auto"/>
            </w:tcBorders>
            <w:shd w:val="clear" w:color="auto" w:fill="FFFFFF" w:themeFill="background1"/>
            <w:noWrap/>
            <w:vAlign w:val="center"/>
            <w:hideMark/>
          </w:tcPr>
          <w:p w14:paraId="5B9A0F5B" w14:textId="4693321C"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2.3</w:t>
            </w:r>
          </w:p>
        </w:tc>
      </w:tr>
      <w:tr w:rsidR="00B96DB1" w:rsidRPr="007E5D84" w14:paraId="7D4F13C7" w14:textId="77777777" w:rsidTr="00511D6E">
        <w:trPr>
          <w:trHeight w:val="290"/>
        </w:trPr>
        <w:tc>
          <w:tcPr>
            <w:tcW w:w="1180" w:type="dxa"/>
            <w:vMerge/>
            <w:tcBorders>
              <w:top w:val="nil"/>
              <w:left w:val="single" w:sz="8" w:space="0" w:color="auto"/>
              <w:bottom w:val="single" w:sz="8" w:space="0" w:color="000000"/>
              <w:right w:val="single" w:sz="8" w:space="0" w:color="auto"/>
            </w:tcBorders>
            <w:shd w:val="clear" w:color="auto" w:fill="FFFFFF" w:themeFill="background1"/>
            <w:vAlign w:val="center"/>
            <w:hideMark/>
          </w:tcPr>
          <w:p w14:paraId="410D64E0" w14:textId="77777777" w:rsidR="00B96DB1" w:rsidRPr="007E5D84" w:rsidRDefault="00B96DB1" w:rsidP="00215563">
            <w:pPr>
              <w:spacing w:after="0"/>
              <w:rPr>
                <w:rFonts w:ascii="Calibri" w:eastAsia="Times New Roman" w:hAnsi="Calibri" w:cs="Calibri"/>
                <w:b/>
                <w:bCs/>
                <w:color w:val="000000"/>
                <w:sz w:val="20"/>
                <w:szCs w:val="20"/>
              </w:rPr>
            </w:pPr>
          </w:p>
        </w:tc>
        <w:tc>
          <w:tcPr>
            <w:tcW w:w="950" w:type="dxa"/>
            <w:tcBorders>
              <w:top w:val="nil"/>
              <w:left w:val="nil"/>
              <w:bottom w:val="single" w:sz="4" w:space="0" w:color="auto"/>
              <w:right w:val="single" w:sz="4" w:space="0" w:color="auto"/>
            </w:tcBorders>
            <w:shd w:val="clear" w:color="auto" w:fill="FFFFFF" w:themeFill="background1"/>
            <w:noWrap/>
            <w:vAlign w:val="center"/>
            <w:hideMark/>
          </w:tcPr>
          <w:p w14:paraId="39E3BFAA" w14:textId="77777777" w:rsidR="00B96DB1" w:rsidRPr="007E5D84" w:rsidRDefault="00B96DB1" w:rsidP="00215563">
            <w:pPr>
              <w:spacing w:after="0"/>
              <w:rPr>
                <w:rFonts w:ascii="Calibri" w:eastAsia="Times New Roman" w:hAnsi="Calibri" w:cs="Calibri"/>
                <w:color w:val="000000"/>
                <w:sz w:val="20"/>
                <w:szCs w:val="20"/>
              </w:rPr>
            </w:pPr>
            <w:r w:rsidRPr="007E5D84">
              <w:rPr>
                <w:rFonts w:ascii="Calibri" w:eastAsia="Times New Roman" w:hAnsi="Calibri" w:cs="Calibri"/>
                <w:color w:val="000000"/>
                <w:sz w:val="20"/>
                <w:szCs w:val="20"/>
              </w:rPr>
              <w:t>QLD</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713CB1E0"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1.89</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4080C567"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2.14</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2721D0F8"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2.46</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575A77AF"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2.77</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44AE5A40"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3.1</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6FC935BE"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3.5</w:t>
            </w:r>
          </w:p>
        </w:tc>
        <w:tc>
          <w:tcPr>
            <w:tcW w:w="672" w:type="dxa"/>
            <w:tcBorders>
              <w:top w:val="nil"/>
              <w:left w:val="nil"/>
              <w:bottom w:val="single" w:sz="4" w:space="0" w:color="auto"/>
              <w:right w:val="nil"/>
            </w:tcBorders>
            <w:shd w:val="clear" w:color="auto" w:fill="FFFFFF" w:themeFill="background1"/>
          </w:tcPr>
          <w:p w14:paraId="100F68BC" w14:textId="77777777" w:rsidR="00B96DB1" w:rsidRPr="007E5D84" w:rsidRDefault="00B96DB1" w:rsidP="00215563">
            <w:pPr>
              <w:spacing w:after="0"/>
              <w:jc w:val="right"/>
              <w:rPr>
                <w:rFonts w:ascii="Calibri" w:eastAsia="Times New Roman" w:hAnsi="Calibri" w:cs="Calibri"/>
                <w:color w:val="000000"/>
                <w:sz w:val="20"/>
                <w:szCs w:val="20"/>
              </w:rPr>
            </w:pPr>
          </w:p>
        </w:tc>
        <w:tc>
          <w:tcPr>
            <w:tcW w:w="672" w:type="dxa"/>
            <w:tcBorders>
              <w:top w:val="nil"/>
              <w:left w:val="nil"/>
              <w:bottom w:val="single" w:sz="4" w:space="0" w:color="auto"/>
              <w:right w:val="single" w:sz="8" w:space="0" w:color="auto"/>
            </w:tcBorders>
            <w:shd w:val="clear" w:color="auto" w:fill="FFFFFF" w:themeFill="background1"/>
            <w:noWrap/>
            <w:vAlign w:val="center"/>
            <w:hideMark/>
          </w:tcPr>
          <w:p w14:paraId="151FBAD4" w14:textId="5BDEDE9F"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4.17</w:t>
            </w:r>
          </w:p>
        </w:tc>
      </w:tr>
      <w:tr w:rsidR="00B96DB1" w:rsidRPr="007E5D84" w14:paraId="436D1AE0" w14:textId="77777777" w:rsidTr="00511D6E">
        <w:trPr>
          <w:trHeight w:val="290"/>
        </w:trPr>
        <w:tc>
          <w:tcPr>
            <w:tcW w:w="1180" w:type="dxa"/>
            <w:vMerge/>
            <w:tcBorders>
              <w:top w:val="nil"/>
              <w:left w:val="single" w:sz="8" w:space="0" w:color="auto"/>
              <w:bottom w:val="single" w:sz="8" w:space="0" w:color="000000"/>
              <w:right w:val="single" w:sz="8" w:space="0" w:color="auto"/>
            </w:tcBorders>
            <w:shd w:val="clear" w:color="auto" w:fill="FFFFFF" w:themeFill="background1"/>
            <w:vAlign w:val="center"/>
            <w:hideMark/>
          </w:tcPr>
          <w:p w14:paraId="5DB6C568" w14:textId="77777777" w:rsidR="00B96DB1" w:rsidRPr="007E5D84" w:rsidRDefault="00B96DB1" w:rsidP="00215563">
            <w:pPr>
              <w:spacing w:after="0"/>
              <w:rPr>
                <w:rFonts w:ascii="Calibri" w:eastAsia="Times New Roman" w:hAnsi="Calibri" w:cs="Calibri"/>
                <w:b/>
                <w:bCs/>
                <w:color w:val="000000"/>
                <w:sz w:val="20"/>
                <w:szCs w:val="20"/>
              </w:rPr>
            </w:pPr>
          </w:p>
        </w:tc>
        <w:tc>
          <w:tcPr>
            <w:tcW w:w="950" w:type="dxa"/>
            <w:tcBorders>
              <w:top w:val="nil"/>
              <w:left w:val="nil"/>
              <w:bottom w:val="single" w:sz="4" w:space="0" w:color="auto"/>
              <w:right w:val="single" w:sz="4" w:space="0" w:color="auto"/>
            </w:tcBorders>
            <w:shd w:val="clear" w:color="auto" w:fill="FFFFFF" w:themeFill="background1"/>
            <w:noWrap/>
            <w:vAlign w:val="center"/>
            <w:hideMark/>
          </w:tcPr>
          <w:p w14:paraId="47C01A65" w14:textId="77777777" w:rsidR="00B96DB1" w:rsidRPr="007E5D84" w:rsidRDefault="00B96DB1" w:rsidP="00215563">
            <w:pPr>
              <w:spacing w:after="0"/>
              <w:rPr>
                <w:rFonts w:ascii="Calibri" w:eastAsia="Times New Roman" w:hAnsi="Calibri" w:cs="Calibri"/>
                <w:color w:val="000000"/>
                <w:sz w:val="20"/>
                <w:szCs w:val="20"/>
              </w:rPr>
            </w:pPr>
            <w:r w:rsidRPr="007E5D84">
              <w:rPr>
                <w:rFonts w:ascii="Calibri" w:eastAsia="Times New Roman" w:hAnsi="Calibri" w:cs="Calibri"/>
                <w:color w:val="000000"/>
                <w:sz w:val="20"/>
                <w:szCs w:val="20"/>
              </w:rPr>
              <w:t>SA</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2FC178F2"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1.22</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2C49B71A"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1.29</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23023C76"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1.49</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27D63071"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1.62</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5F0D3405"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1.8</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18917CE9"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2.01</w:t>
            </w:r>
          </w:p>
        </w:tc>
        <w:tc>
          <w:tcPr>
            <w:tcW w:w="672" w:type="dxa"/>
            <w:tcBorders>
              <w:top w:val="nil"/>
              <w:left w:val="nil"/>
              <w:bottom w:val="single" w:sz="4" w:space="0" w:color="auto"/>
              <w:right w:val="nil"/>
            </w:tcBorders>
            <w:shd w:val="clear" w:color="auto" w:fill="FFFFFF" w:themeFill="background1"/>
          </w:tcPr>
          <w:p w14:paraId="1E0C87F5" w14:textId="77777777" w:rsidR="00B96DB1" w:rsidRPr="007E5D84" w:rsidRDefault="00B96DB1" w:rsidP="00215563">
            <w:pPr>
              <w:spacing w:after="0"/>
              <w:jc w:val="right"/>
              <w:rPr>
                <w:rFonts w:ascii="Calibri" w:eastAsia="Times New Roman" w:hAnsi="Calibri" w:cs="Calibri"/>
                <w:color w:val="000000"/>
                <w:sz w:val="20"/>
                <w:szCs w:val="20"/>
              </w:rPr>
            </w:pPr>
          </w:p>
        </w:tc>
        <w:tc>
          <w:tcPr>
            <w:tcW w:w="672" w:type="dxa"/>
            <w:tcBorders>
              <w:top w:val="nil"/>
              <w:left w:val="nil"/>
              <w:bottom w:val="single" w:sz="4" w:space="0" w:color="auto"/>
              <w:right w:val="single" w:sz="8" w:space="0" w:color="auto"/>
            </w:tcBorders>
            <w:shd w:val="clear" w:color="auto" w:fill="FFFFFF" w:themeFill="background1"/>
            <w:noWrap/>
            <w:vAlign w:val="center"/>
            <w:hideMark/>
          </w:tcPr>
          <w:p w14:paraId="2071A900" w14:textId="3A31A826"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2.48</w:t>
            </w:r>
          </w:p>
        </w:tc>
      </w:tr>
      <w:tr w:rsidR="00B96DB1" w:rsidRPr="007E5D84" w14:paraId="37794313" w14:textId="77777777" w:rsidTr="00511D6E">
        <w:trPr>
          <w:trHeight w:val="290"/>
        </w:trPr>
        <w:tc>
          <w:tcPr>
            <w:tcW w:w="1180" w:type="dxa"/>
            <w:vMerge/>
            <w:tcBorders>
              <w:top w:val="nil"/>
              <w:left w:val="single" w:sz="8" w:space="0" w:color="auto"/>
              <w:bottom w:val="single" w:sz="8" w:space="0" w:color="000000"/>
              <w:right w:val="single" w:sz="8" w:space="0" w:color="auto"/>
            </w:tcBorders>
            <w:shd w:val="clear" w:color="auto" w:fill="FFFFFF" w:themeFill="background1"/>
            <w:vAlign w:val="center"/>
            <w:hideMark/>
          </w:tcPr>
          <w:p w14:paraId="4BACCDDA" w14:textId="77777777" w:rsidR="00B96DB1" w:rsidRPr="007E5D84" w:rsidRDefault="00B96DB1" w:rsidP="00215563">
            <w:pPr>
              <w:spacing w:after="0"/>
              <w:rPr>
                <w:rFonts w:ascii="Calibri" w:eastAsia="Times New Roman" w:hAnsi="Calibri" w:cs="Calibri"/>
                <w:b/>
                <w:bCs/>
                <w:color w:val="000000"/>
                <w:sz w:val="20"/>
                <w:szCs w:val="20"/>
              </w:rPr>
            </w:pPr>
          </w:p>
        </w:tc>
        <w:tc>
          <w:tcPr>
            <w:tcW w:w="950" w:type="dxa"/>
            <w:tcBorders>
              <w:top w:val="nil"/>
              <w:left w:val="nil"/>
              <w:bottom w:val="single" w:sz="4" w:space="0" w:color="auto"/>
              <w:right w:val="single" w:sz="4" w:space="0" w:color="auto"/>
            </w:tcBorders>
            <w:shd w:val="clear" w:color="auto" w:fill="FFFFFF" w:themeFill="background1"/>
            <w:noWrap/>
            <w:vAlign w:val="center"/>
            <w:hideMark/>
          </w:tcPr>
          <w:p w14:paraId="3F62132A" w14:textId="77777777" w:rsidR="00B96DB1" w:rsidRPr="007E5D84" w:rsidRDefault="00B96DB1" w:rsidP="00215563">
            <w:pPr>
              <w:spacing w:after="0"/>
              <w:rPr>
                <w:rFonts w:ascii="Calibri" w:eastAsia="Times New Roman" w:hAnsi="Calibri" w:cs="Calibri"/>
                <w:color w:val="000000"/>
                <w:sz w:val="20"/>
                <w:szCs w:val="20"/>
              </w:rPr>
            </w:pPr>
            <w:r w:rsidRPr="007E5D84">
              <w:rPr>
                <w:rFonts w:ascii="Calibri" w:eastAsia="Times New Roman" w:hAnsi="Calibri" w:cs="Calibri"/>
                <w:color w:val="000000"/>
                <w:sz w:val="20"/>
                <w:szCs w:val="20"/>
              </w:rPr>
              <w:t>TAS</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30860C79"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0.99</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21994C1C"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1.17</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110992F6"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1.54</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3757911A"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1.94</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356672F4"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2.04</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3654D2AF"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2.39</w:t>
            </w:r>
          </w:p>
        </w:tc>
        <w:tc>
          <w:tcPr>
            <w:tcW w:w="672" w:type="dxa"/>
            <w:tcBorders>
              <w:top w:val="nil"/>
              <w:left w:val="nil"/>
              <w:bottom w:val="single" w:sz="4" w:space="0" w:color="auto"/>
              <w:right w:val="nil"/>
            </w:tcBorders>
            <w:shd w:val="clear" w:color="auto" w:fill="FFFFFF" w:themeFill="background1"/>
          </w:tcPr>
          <w:p w14:paraId="64E7C37B" w14:textId="77777777" w:rsidR="00B96DB1" w:rsidRPr="007E5D84" w:rsidRDefault="00B96DB1" w:rsidP="00215563">
            <w:pPr>
              <w:spacing w:after="0"/>
              <w:jc w:val="right"/>
              <w:rPr>
                <w:rFonts w:ascii="Calibri" w:eastAsia="Times New Roman" w:hAnsi="Calibri" w:cs="Calibri"/>
                <w:color w:val="000000"/>
                <w:sz w:val="20"/>
                <w:szCs w:val="20"/>
              </w:rPr>
            </w:pPr>
          </w:p>
        </w:tc>
        <w:tc>
          <w:tcPr>
            <w:tcW w:w="672" w:type="dxa"/>
            <w:tcBorders>
              <w:top w:val="nil"/>
              <w:left w:val="nil"/>
              <w:bottom w:val="single" w:sz="4" w:space="0" w:color="auto"/>
              <w:right w:val="single" w:sz="8" w:space="0" w:color="auto"/>
            </w:tcBorders>
            <w:shd w:val="clear" w:color="auto" w:fill="FFFFFF" w:themeFill="background1"/>
            <w:noWrap/>
            <w:vAlign w:val="center"/>
            <w:hideMark/>
          </w:tcPr>
          <w:p w14:paraId="6F234775" w14:textId="61C886C9"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3.12</w:t>
            </w:r>
          </w:p>
        </w:tc>
      </w:tr>
      <w:tr w:rsidR="00B96DB1" w:rsidRPr="007E5D84" w14:paraId="71EE7613" w14:textId="77777777" w:rsidTr="00511D6E">
        <w:trPr>
          <w:trHeight w:val="290"/>
        </w:trPr>
        <w:tc>
          <w:tcPr>
            <w:tcW w:w="1180" w:type="dxa"/>
            <w:vMerge/>
            <w:tcBorders>
              <w:top w:val="nil"/>
              <w:left w:val="single" w:sz="8" w:space="0" w:color="auto"/>
              <w:bottom w:val="single" w:sz="8" w:space="0" w:color="000000"/>
              <w:right w:val="single" w:sz="8" w:space="0" w:color="auto"/>
            </w:tcBorders>
            <w:shd w:val="clear" w:color="auto" w:fill="FFFFFF" w:themeFill="background1"/>
            <w:vAlign w:val="center"/>
            <w:hideMark/>
          </w:tcPr>
          <w:p w14:paraId="420EF536" w14:textId="77777777" w:rsidR="00B96DB1" w:rsidRPr="007E5D84" w:rsidRDefault="00B96DB1" w:rsidP="00215563">
            <w:pPr>
              <w:spacing w:after="0"/>
              <w:rPr>
                <w:rFonts w:ascii="Calibri" w:eastAsia="Times New Roman" w:hAnsi="Calibri" w:cs="Calibri"/>
                <w:b/>
                <w:bCs/>
                <w:color w:val="000000"/>
                <w:sz w:val="20"/>
                <w:szCs w:val="20"/>
              </w:rPr>
            </w:pPr>
          </w:p>
        </w:tc>
        <w:tc>
          <w:tcPr>
            <w:tcW w:w="950" w:type="dxa"/>
            <w:tcBorders>
              <w:top w:val="nil"/>
              <w:left w:val="nil"/>
              <w:bottom w:val="single" w:sz="4" w:space="0" w:color="auto"/>
              <w:right w:val="single" w:sz="4" w:space="0" w:color="auto"/>
            </w:tcBorders>
            <w:shd w:val="clear" w:color="auto" w:fill="FFFFFF" w:themeFill="background1"/>
            <w:noWrap/>
            <w:vAlign w:val="center"/>
            <w:hideMark/>
          </w:tcPr>
          <w:p w14:paraId="52E1F321" w14:textId="77777777" w:rsidR="00B96DB1" w:rsidRPr="007E5D84" w:rsidRDefault="00B96DB1" w:rsidP="00215563">
            <w:pPr>
              <w:spacing w:after="0"/>
              <w:rPr>
                <w:rFonts w:ascii="Calibri" w:eastAsia="Times New Roman" w:hAnsi="Calibri" w:cs="Calibri"/>
                <w:color w:val="000000"/>
                <w:sz w:val="20"/>
                <w:szCs w:val="20"/>
              </w:rPr>
            </w:pPr>
            <w:r w:rsidRPr="007E5D84">
              <w:rPr>
                <w:rFonts w:ascii="Calibri" w:eastAsia="Times New Roman" w:hAnsi="Calibri" w:cs="Calibri"/>
                <w:color w:val="000000"/>
                <w:sz w:val="20"/>
                <w:szCs w:val="20"/>
              </w:rPr>
              <w:t>VIC</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41392303"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1.27</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480104C1"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1.42</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6A2031B5"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1.61</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701FE589"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1.82</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12B5B17B"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2.11</w:t>
            </w:r>
          </w:p>
        </w:tc>
        <w:tc>
          <w:tcPr>
            <w:tcW w:w="672" w:type="dxa"/>
            <w:tcBorders>
              <w:top w:val="nil"/>
              <w:left w:val="nil"/>
              <w:bottom w:val="single" w:sz="4" w:space="0" w:color="auto"/>
              <w:right w:val="single" w:sz="4" w:space="0" w:color="auto"/>
            </w:tcBorders>
            <w:shd w:val="clear" w:color="auto" w:fill="FFFFFF" w:themeFill="background1"/>
            <w:noWrap/>
            <w:vAlign w:val="center"/>
            <w:hideMark/>
          </w:tcPr>
          <w:p w14:paraId="5F668723"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2.53</w:t>
            </w:r>
          </w:p>
        </w:tc>
        <w:tc>
          <w:tcPr>
            <w:tcW w:w="672" w:type="dxa"/>
            <w:tcBorders>
              <w:top w:val="nil"/>
              <w:left w:val="nil"/>
              <w:bottom w:val="single" w:sz="4" w:space="0" w:color="auto"/>
              <w:right w:val="nil"/>
            </w:tcBorders>
            <w:shd w:val="clear" w:color="auto" w:fill="FFFFFF" w:themeFill="background1"/>
          </w:tcPr>
          <w:p w14:paraId="6D1CFDD7" w14:textId="77777777" w:rsidR="00B96DB1" w:rsidRPr="007E5D84" w:rsidRDefault="00B96DB1" w:rsidP="00215563">
            <w:pPr>
              <w:spacing w:after="0"/>
              <w:jc w:val="right"/>
              <w:rPr>
                <w:rFonts w:ascii="Calibri" w:eastAsia="Times New Roman" w:hAnsi="Calibri" w:cs="Calibri"/>
                <w:color w:val="000000"/>
                <w:sz w:val="20"/>
                <w:szCs w:val="20"/>
              </w:rPr>
            </w:pPr>
          </w:p>
        </w:tc>
        <w:tc>
          <w:tcPr>
            <w:tcW w:w="672" w:type="dxa"/>
            <w:tcBorders>
              <w:top w:val="nil"/>
              <w:left w:val="nil"/>
              <w:bottom w:val="single" w:sz="4" w:space="0" w:color="auto"/>
              <w:right w:val="single" w:sz="8" w:space="0" w:color="auto"/>
            </w:tcBorders>
            <w:shd w:val="clear" w:color="auto" w:fill="FFFFFF" w:themeFill="background1"/>
            <w:noWrap/>
            <w:vAlign w:val="center"/>
            <w:hideMark/>
          </w:tcPr>
          <w:p w14:paraId="7B5B202E" w14:textId="2A432631"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3.21</w:t>
            </w:r>
          </w:p>
        </w:tc>
      </w:tr>
      <w:tr w:rsidR="00B96DB1" w:rsidRPr="007E5D84" w14:paraId="2858567B" w14:textId="77777777" w:rsidTr="00511D6E">
        <w:trPr>
          <w:trHeight w:val="300"/>
        </w:trPr>
        <w:tc>
          <w:tcPr>
            <w:tcW w:w="1180" w:type="dxa"/>
            <w:vMerge/>
            <w:tcBorders>
              <w:top w:val="nil"/>
              <w:left w:val="single" w:sz="8" w:space="0" w:color="auto"/>
              <w:bottom w:val="single" w:sz="8" w:space="0" w:color="000000"/>
              <w:right w:val="single" w:sz="8" w:space="0" w:color="auto"/>
            </w:tcBorders>
            <w:shd w:val="clear" w:color="auto" w:fill="FFFFFF" w:themeFill="background1"/>
            <w:vAlign w:val="center"/>
            <w:hideMark/>
          </w:tcPr>
          <w:p w14:paraId="6434B05C" w14:textId="77777777" w:rsidR="00B96DB1" w:rsidRPr="007E5D84" w:rsidRDefault="00B96DB1" w:rsidP="00215563">
            <w:pPr>
              <w:spacing w:after="0"/>
              <w:rPr>
                <w:rFonts w:ascii="Calibri" w:eastAsia="Times New Roman" w:hAnsi="Calibri" w:cs="Calibri"/>
                <w:b/>
                <w:bCs/>
                <w:color w:val="000000"/>
                <w:sz w:val="20"/>
                <w:szCs w:val="20"/>
              </w:rPr>
            </w:pPr>
          </w:p>
        </w:tc>
        <w:tc>
          <w:tcPr>
            <w:tcW w:w="950" w:type="dxa"/>
            <w:tcBorders>
              <w:top w:val="nil"/>
              <w:left w:val="nil"/>
              <w:bottom w:val="single" w:sz="8" w:space="0" w:color="auto"/>
              <w:right w:val="single" w:sz="4" w:space="0" w:color="auto"/>
            </w:tcBorders>
            <w:shd w:val="clear" w:color="auto" w:fill="FFFFFF" w:themeFill="background1"/>
            <w:noWrap/>
            <w:vAlign w:val="center"/>
            <w:hideMark/>
          </w:tcPr>
          <w:p w14:paraId="545EA432" w14:textId="77777777" w:rsidR="00B96DB1" w:rsidRPr="007E5D84" w:rsidRDefault="00B96DB1" w:rsidP="00215563">
            <w:pPr>
              <w:spacing w:after="0"/>
              <w:rPr>
                <w:rFonts w:ascii="Calibri" w:eastAsia="Times New Roman" w:hAnsi="Calibri" w:cs="Calibri"/>
                <w:color w:val="000000"/>
                <w:sz w:val="20"/>
                <w:szCs w:val="20"/>
              </w:rPr>
            </w:pPr>
            <w:r w:rsidRPr="007E5D84">
              <w:rPr>
                <w:rFonts w:ascii="Calibri" w:eastAsia="Times New Roman" w:hAnsi="Calibri" w:cs="Calibri"/>
                <w:color w:val="000000"/>
                <w:sz w:val="20"/>
                <w:szCs w:val="20"/>
              </w:rPr>
              <w:t>WA</w:t>
            </w:r>
          </w:p>
        </w:tc>
        <w:tc>
          <w:tcPr>
            <w:tcW w:w="672" w:type="dxa"/>
            <w:tcBorders>
              <w:top w:val="nil"/>
              <w:left w:val="nil"/>
              <w:bottom w:val="single" w:sz="8" w:space="0" w:color="auto"/>
              <w:right w:val="single" w:sz="4" w:space="0" w:color="auto"/>
            </w:tcBorders>
            <w:shd w:val="clear" w:color="auto" w:fill="FFFFFF" w:themeFill="background1"/>
            <w:noWrap/>
            <w:vAlign w:val="center"/>
            <w:hideMark/>
          </w:tcPr>
          <w:p w14:paraId="4DCDE5C9"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5.43</w:t>
            </w:r>
          </w:p>
        </w:tc>
        <w:tc>
          <w:tcPr>
            <w:tcW w:w="672" w:type="dxa"/>
            <w:tcBorders>
              <w:top w:val="nil"/>
              <w:left w:val="nil"/>
              <w:bottom w:val="single" w:sz="8" w:space="0" w:color="auto"/>
              <w:right w:val="single" w:sz="4" w:space="0" w:color="auto"/>
            </w:tcBorders>
            <w:shd w:val="clear" w:color="auto" w:fill="FFFFFF" w:themeFill="background1"/>
            <w:noWrap/>
            <w:vAlign w:val="center"/>
            <w:hideMark/>
          </w:tcPr>
          <w:p w14:paraId="6EF51EC4"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5.87</w:t>
            </w:r>
          </w:p>
        </w:tc>
        <w:tc>
          <w:tcPr>
            <w:tcW w:w="672" w:type="dxa"/>
            <w:tcBorders>
              <w:top w:val="nil"/>
              <w:left w:val="nil"/>
              <w:bottom w:val="single" w:sz="8" w:space="0" w:color="auto"/>
              <w:right w:val="single" w:sz="4" w:space="0" w:color="auto"/>
            </w:tcBorders>
            <w:shd w:val="clear" w:color="auto" w:fill="FFFFFF" w:themeFill="background1"/>
            <w:noWrap/>
            <w:vAlign w:val="center"/>
            <w:hideMark/>
          </w:tcPr>
          <w:p w14:paraId="4CAA41BC"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6.36</w:t>
            </w:r>
          </w:p>
        </w:tc>
        <w:tc>
          <w:tcPr>
            <w:tcW w:w="672" w:type="dxa"/>
            <w:tcBorders>
              <w:top w:val="nil"/>
              <w:left w:val="nil"/>
              <w:bottom w:val="single" w:sz="8" w:space="0" w:color="auto"/>
              <w:right w:val="single" w:sz="4" w:space="0" w:color="auto"/>
            </w:tcBorders>
            <w:shd w:val="clear" w:color="auto" w:fill="FFFFFF" w:themeFill="background1"/>
            <w:noWrap/>
            <w:vAlign w:val="center"/>
            <w:hideMark/>
          </w:tcPr>
          <w:p w14:paraId="3AA89EF1"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6.74</w:t>
            </w:r>
          </w:p>
        </w:tc>
        <w:tc>
          <w:tcPr>
            <w:tcW w:w="672" w:type="dxa"/>
            <w:tcBorders>
              <w:top w:val="nil"/>
              <w:left w:val="nil"/>
              <w:bottom w:val="single" w:sz="8" w:space="0" w:color="auto"/>
              <w:right w:val="single" w:sz="4" w:space="0" w:color="auto"/>
            </w:tcBorders>
            <w:shd w:val="clear" w:color="auto" w:fill="FFFFFF" w:themeFill="background1"/>
            <w:noWrap/>
            <w:vAlign w:val="center"/>
            <w:hideMark/>
          </w:tcPr>
          <w:p w14:paraId="71E64EA0"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7.3</w:t>
            </w:r>
          </w:p>
        </w:tc>
        <w:tc>
          <w:tcPr>
            <w:tcW w:w="672" w:type="dxa"/>
            <w:tcBorders>
              <w:top w:val="nil"/>
              <w:left w:val="nil"/>
              <w:bottom w:val="single" w:sz="8" w:space="0" w:color="auto"/>
              <w:right w:val="single" w:sz="4" w:space="0" w:color="auto"/>
            </w:tcBorders>
            <w:shd w:val="clear" w:color="auto" w:fill="FFFFFF" w:themeFill="background1"/>
            <w:noWrap/>
            <w:vAlign w:val="center"/>
            <w:hideMark/>
          </w:tcPr>
          <w:p w14:paraId="2B63507B" w14:textId="77777777"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8.07</w:t>
            </w:r>
          </w:p>
        </w:tc>
        <w:tc>
          <w:tcPr>
            <w:tcW w:w="672" w:type="dxa"/>
            <w:tcBorders>
              <w:top w:val="nil"/>
              <w:left w:val="nil"/>
              <w:bottom w:val="single" w:sz="8" w:space="0" w:color="auto"/>
              <w:right w:val="nil"/>
            </w:tcBorders>
            <w:shd w:val="clear" w:color="auto" w:fill="FFFFFF" w:themeFill="background1"/>
          </w:tcPr>
          <w:p w14:paraId="03176B6B" w14:textId="77777777" w:rsidR="00B96DB1" w:rsidRPr="007E5D84" w:rsidRDefault="00B96DB1" w:rsidP="00215563">
            <w:pPr>
              <w:spacing w:after="0"/>
              <w:jc w:val="right"/>
              <w:rPr>
                <w:rFonts w:ascii="Calibri" w:eastAsia="Times New Roman" w:hAnsi="Calibri" w:cs="Calibri"/>
                <w:color w:val="000000"/>
                <w:sz w:val="20"/>
                <w:szCs w:val="20"/>
              </w:rPr>
            </w:pPr>
          </w:p>
        </w:tc>
        <w:tc>
          <w:tcPr>
            <w:tcW w:w="672" w:type="dxa"/>
            <w:tcBorders>
              <w:top w:val="nil"/>
              <w:left w:val="nil"/>
              <w:bottom w:val="single" w:sz="8" w:space="0" w:color="auto"/>
              <w:right w:val="single" w:sz="8" w:space="0" w:color="auto"/>
            </w:tcBorders>
            <w:shd w:val="clear" w:color="auto" w:fill="FFFFFF" w:themeFill="background1"/>
            <w:noWrap/>
            <w:vAlign w:val="center"/>
            <w:hideMark/>
          </w:tcPr>
          <w:p w14:paraId="1C133802" w14:textId="0C430B5B" w:rsidR="00B96DB1" w:rsidRPr="007E5D84" w:rsidRDefault="00B96DB1" w:rsidP="00215563">
            <w:pPr>
              <w:spacing w:after="0"/>
              <w:jc w:val="right"/>
              <w:rPr>
                <w:rFonts w:ascii="Calibri" w:eastAsia="Times New Roman" w:hAnsi="Calibri" w:cs="Calibri"/>
                <w:color w:val="000000"/>
                <w:sz w:val="20"/>
                <w:szCs w:val="20"/>
              </w:rPr>
            </w:pPr>
            <w:r w:rsidRPr="007E5D84">
              <w:rPr>
                <w:rFonts w:ascii="Calibri" w:eastAsia="Times New Roman" w:hAnsi="Calibri" w:cs="Calibri"/>
                <w:color w:val="000000"/>
                <w:sz w:val="20"/>
                <w:szCs w:val="20"/>
              </w:rPr>
              <w:t>9.35</w:t>
            </w:r>
          </w:p>
        </w:tc>
      </w:tr>
    </w:tbl>
    <w:p w14:paraId="6ECA6A77" w14:textId="77777777" w:rsidR="007E5D84" w:rsidRPr="001D105D" w:rsidRDefault="007E5D84" w:rsidP="00215563">
      <w:pPr>
        <w:spacing w:after="0"/>
        <w:rPr>
          <w:sz w:val="20"/>
          <w:szCs w:val="20"/>
        </w:rPr>
      </w:pPr>
      <w:r w:rsidRPr="001D105D">
        <w:rPr>
          <w:sz w:val="20"/>
          <w:szCs w:val="20"/>
        </w:rPr>
        <w:t>Source: Services Australia prescriptions database, extracted March 2021, based on 2020 ABS estimated residential population data</w:t>
      </w:r>
    </w:p>
    <w:p w14:paraId="3FD11A7F" w14:textId="77777777" w:rsidR="007E5D84" w:rsidRDefault="007E5D84" w:rsidP="00215563">
      <w:pPr>
        <w:spacing w:after="0"/>
      </w:pPr>
    </w:p>
    <w:p w14:paraId="42B53FAB" w14:textId="3AE558D7" w:rsidR="00C2221C" w:rsidRDefault="007E5D84" w:rsidP="00215563">
      <w:r>
        <w:t xml:space="preserve">Table 5 </w:t>
      </w:r>
      <w:r w:rsidR="004615B7">
        <w:t xml:space="preserve">and Figure 10 </w:t>
      </w:r>
      <w:r>
        <w:t xml:space="preserve">show the increase use of ADHD medication since 2014 across all state and territories and age groups. </w:t>
      </w:r>
    </w:p>
    <w:p w14:paraId="33DC69E6" w14:textId="5B667619" w:rsidR="00C2221C" w:rsidRDefault="00C2221C" w:rsidP="00215563"/>
    <w:p w14:paraId="04CD88E8" w14:textId="5D64F168" w:rsidR="00C2221C" w:rsidRDefault="00B96DB1" w:rsidP="00215563">
      <w:pPr>
        <w:ind w:left="-426"/>
      </w:pPr>
      <w:r>
        <w:rPr>
          <w:noProof/>
        </w:rPr>
        <w:lastRenderedPageBreak/>
        <w:drawing>
          <wp:inline distT="0" distB="0" distL="0" distR="0" wp14:anchorId="048E0E02" wp14:editId="437339C2">
            <wp:extent cx="5952050" cy="5486400"/>
            <wp:effectExtent l="0" t="0" r="10795"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B1BCE24" w14:textId="2CCAAFE4" w:rsidR="00B96DB1" w:rsidRPr="001D105D" w:rsidRDefault="00B96DB1" w:rsidP="00215563">
      <w:pPr>
        <w:pStyle w:val="Tabletitle"/>
        <w:rPr>
          <w:sz w:val="20"/>
          <w:szCs w:val="20"/>
          <w:lang w:eastAsia="en-US"/>
        </w:rPr>
      </w:pPr>
      <w:r>
        <w:t>Figure 10:</w:t>
      </w:r>
      <w:r w:rsidRPr="001D105D">
        <w:t xml:space="preserve"> </w:t>
      </w:r>
      <w:r>
        <w:t>Number of people supplied an ADHD medicine (excluding clonidine) per 1000 population by state/territory and age group 2014-2020</w:t>
      </w:r>
    </w:p>
    <w:p w14:paraId="0E515E1A" w14:textId="77777777" w:rsidR="00B96DB1" w:rsidRPr="001D105D" w:rsidRDefault="00B96DB1" w:rsidP="00215563">
      <w:pPr>
        <w:spacing w:after="0"/>
        <w:rPr>
          <w:sz w:val="20"/>
          <w:szCs w:val="20"/>
        </w:rPr>
      </w:pPr>
      <w:r w:rsidRPr="001D105D">
        <w:rPr>
          <w:sz w:val="20"/>
          <w:szCs w:val="20"/>
        </w:rPr>
        <w:t>Source: Services Australia prescriptions database, extracted March 2021, based on 2020 ABS estimated residential population data</w:t>
      </w:r>
    </w:p>
    <w:p w14:paraId="7F9211C7" w14:textId="77777777" w:rsidR="00B96DB1" w:rsidRDefault="00B96DB1" w:rsidP="00215563"/>
    <w:p w14:paraId="2F4EB55D" w14:textId="4D45887D" w:rsidR="006E36EF" w:rsidRPr="001D105D" w:rsidRDefault="00BB5D54" w:rsidP="00215563">
      <w:r w:rsidRPr="001D105D">
        <w:t xml:space="preserve">For children under 6 years, the rate of ADHD medicine supply was low, ranging from </w:t>
      </w:r>
      <w:r w:rsidR="00783879">
        <w:t>1.6</w:t>
      </w:r>
      <w:r w:rsidRPr="001D105D">
        <w:t xml:space="preserve">/1000 population in the </w:t>
      </w:r>
      <w:r w:rsidR="00783879">
        <w:t>AC</w:t>
      </w:r>
      <w:r w:rsidRPr="001D105D">
        <w:t xml:space="preserve">T to </w:t>
      </w:r>
      <w:r w:rsidR="00783879">
        <w:t>4.79</w:t>
      </w:r>
      <w:r w:rsidR="006B2B56" w:rsidRPr="001D105D">
        <w:t>/1000 population in T</w:t>
      </w:r>
      <w:r w:rsidR="0072193D" w:rsidRPr="001D105D">
        <w:t>as</w:t>
      </w:r>
      <w:r w:rsidRPr="001D105D">
        <w:t>.</w:t>
      </w:r>
    </w:p>
    <w:p w14:paraId="3770E153" w14:textId="5BF9284E" w:rsidR="00645808" w:rsidRPr="001D105D" w:rsidRDefault="008C30DC" w:rsidP="00215563">
      <w:r w:rsidRPr="001D105D">
        <w:t xml:space="preserve">The rate of ADHD medicine supply </w:t>
      </w:r>
      <w:r w:rsidR="00BB5D54" w:rsidRPr="001D105D">
        <w:t xml:space="preserve">in the 6-12 year age group was highest in </w:t>
      </w:r>
      <w:r w:rsidR="00842974">
        <w:t>QLD</w:t>
      </w:r>
      <w:r w:rsidR="00783879">
        <w:t xml:space="preserve"> (57.81/1000 population), closely followed by Tas (56.03/1000 population)</w:t>
      </w:r>
      <w:r w:rsidR="00340BC1">
        <w:t>, with SA having the lowest rate amongst this age group (29.33/1000 population)</w:t>
      </w:r>
      <w:r w:rsidR="00BB5D54" w:rsidRPr="001D105D">
        <w:t xml:space="preserve">. </w:t>
      </w:r>
      <w:r w:rsidRPr="001D105D">
        <w:t xml:space="preserve">The rate of ADHD medicine supply in adolescents </w:t>
      </w:r>
      <w:r w:rsidR="007820F1" w:rsidRPr="001D105D">
        <w:t xml:space="preserve">(13-18 year </w:t>
      </w:r>
      <w:proofErr w:type="spellStart"/>
      <w:r w:rsidR="007820F1" w:rsidRPr="001D105D">
        <w:t>olds</w:t>
      </w:r>
      <w:proofErr w:type="spellEnd"/>
      <w:r w:rsidR="007820F1" w:rsidRPr="001D105D">
        <w:t xml:space="preserve">) </w:t>
      </w:r>
      <w:r w:rsidRPr="001D105D">
        <w:t>was highest in</w:t>
      </w:r>
      <w:r w:rsidR="00340BC1">
        <w:t xml:space="preserve"> the ACT (41.02/1000 population)</w:t>
      </w:r>
      <w:r w:rsidRPr="001D105D">
        <w:t xml:space="preserve"> </w:t>
      </w:r>
      <w:r w:rsidR="00340BC1">
        <w:t>an</w:t>
      </w:r>
      <w:r w:rsidR="00842974">
        <w:t>d lowest in SA</w:t>
      </w:r>
      <w:r w:rsidR="00340BC1">
        <w:t xml:space="preserve"> (14.74/1000 population)</w:t>
      </w:r>
      <w:r w:rsidRPr="001D105D">
        <w:t xml:space="preserve">. For adults, the rate of supply of ADHD medicine was </w:t>
      </w:r>
      <w:r w:rsidR="00BB5D54" w:rsidRPr="001D105D">
        <w:t>much higher</w:t>
      </w:r>
      <w:r w:rsidR="006B2B56" w:rsidRPr="001D105D">
        <w:t xml:space="preserve"> in WA</w:t>
      </w:r>
      <w:r w:rsidR="00BB5D54" w:rsidRPr="001D105D">
        <w:t xml:space="preserve"> </w:t>
      </w:r>
      <w:r w:rsidR="00842974">
        <w:t>(</w:t>
      </w:r>
      <w:r w:rsidR="00340BC1">
        <w:t>9.35</w:t>
      </w:r>
      <w:r w:rsidR="00842974">
        <w:t xml:space="preserve">/1000 population) </w:t>
      </w:r>
      <w:r w:rsidR="00BB5D54" w:rsidRPr="001D105D">
        <w:t>than all other states and territories</w:t>
      </w:r>
      <w:r w:rsidR="00842974">
        <w:t xml:space="preserve">, which ranged from </w:t>
      </w:r>
      <w:r w:rsidR="00340BC1">
        <w:t>2.3-6.47/1000 population.</w:t>
      </w:r>
      <w:r w:rsidR="00994AF2">
        <w:t xml:space="preserve"> This was </w:t>
      </w:r>
      <w:r w:rsidR="00CE4ECB" w:rsidRPr="001D105D">
        <w:t>consistent with the findings in previous DUSC reports</w:t>
      </w:r>
      <w:r w:rsidRPr="001D105D">
        <w:t>.</w:t>
      </w:r>
    </w:p>
    <w:p w14:paraId="00810F16" w14:textId="52B91996" w:rsidR="004C0B74" w:rsidRDefault="004C0B74" w:rsidP="00215563">
      <w:r w:rsidRPr="001D105D">
        <w:lastRenderedPageBreak/>
        <w:t>Figure</w:t>
      </w:r>
      <w:r w:rsidR="00C614E5" w:rsidRPr="001D105D">
        <w:t>s</w:t>
      </w:r>
      <w:r w:rsidRPr="001D105D">
        <w:t xml:space="preserve"> </w:t>
      </w:r>
      <w:r w:rsidR="002D397F" w:rsidRPr="001D105D">
        <w:t>1</w:t>
      </w:r>
      <w:r w:rsidR="004615B7">
        <w:t>1</w:t>
      </w:r>
      <w:r w:rsidRPr="001D105D">
        <w:t xml:space="preserve"> </w:t>
      </w:r>
      <w:r w:rsidR="002928DD" w:rsidRPr="001D105D">
        <w:t>and 1</w:t>
      </w:r>
      <w:r w:rsidR="004615B7">
        <w:t>2</w:t>
      </w:r>
      <w:r w:rsidR="002928DD" w:rsidRPr="001D105D">
        <w:t xml:space="preserve"> </w:t>
      </w:r>
      <w:r w:rsidR="00B924E5" w:rsidRPr="001D105D">
        <w:t>depict</w:t>
      </w:r>
      <w:r w:rsidRPr="001D105D">
        <w:t xml:space="preserve"> the number of people</w:t>
      </w:r>
      <w:r w:rsidR="00F672D7" w:rsidRPr="001D105D">
        <w:t xml:space="preserve"> </w:t>
      </w:r>
      <w:r w:rsidRPr="001D105D">
        <w:t>supplied ADHD medicine</w:t>
      </w:r>
      <w:r w:rsidR="00F672D7" w:rsidRPr="001D105D">
        <w:t>s</w:t>
      </w:r>
      <w:r w:rsidRPr="001D105D">
        <w:t xml:space="preserve"> per 1</w:t>
      </w:r>
      <w:r w:rsidR="005067DE" w:rsidRPr="001D105D">
        <w:t>,</w:t>
      </w:r>
      <w:r w:rsidRPr="001D105D">
        <w:t>000 population in 20</w:t>
      </w:r>
      <w:r w:rsidR="00B21A5E" w:rsidRPr="001D105D">
        <w:t>20</w:t>
      </w:r>
      <w:r w:rsidRPr="001D105D">
        <w:t xml:space="preserve"> </w:t>
      </w:r>
      <w:r w:rsidR="00A74D82" w:rsidRPr="001D105D">
        <w:t>for patients under the age of 1</w:t>
      </w:r>
      <w:r w:rsidR="007820F1" w:rsidRPr="001D105D">
        <w:t>9</w:t>
      </w:r>
      <w:r w:rsidR="002928DD" w:rsidRPr="001D105D">
        <w:t xml:space="preserve"> and those </w:t>
      </w:r>
      <w:r w:rsidR="007820F1" w:rsidRPr="001D105D">
        <w:t>19 and over</w:t>
      </w:r>
      <w:r w:rsidR="002928DD" w:rsidRPr="001D105D">
        <w:t>, respectively</w:t>
      </w:r>
      <w:r w:rsidR="00F672D7" w:rsidRPr="001D105D">
        <w:t xml:space="preserve">. </w:t>
      </w:r>
      <w:r w:rsidR="002928DD" w:rsidRPr="001D105D">
        <w:t>The figures are</w:t>
      </w:r>
      <w:r w:rsidR="0067110E" w:rsidRPr="001D105D">
        <w:t xml:space="preserve"> </w:t>
      </w:r>
      <w:r w:rsidR="002928DD" w:rsidRPr="001D105D">
        <w:t xml:space="preserve">presented by </w:t>
      </w:r>
      <w:r w:rsidR="00BB0DFB" w:rsidRPr="001D105D">
        <w:t>medicine</w:t>
      </w:r>
      <w:r w:rsidR="00C614E5" w:rsidRPr="001D105D">
        <w:t xml:space="preserve"> and</w:t>
      </w:r>
      <w:r w:rsidR="00BB0DFB" w:rsidRPr="001D105D">
        <w:t xml:space="preserve"> </w:t>
      </w:r>
      <w:r w:rsidR="002928DD" w:rsidRPr="001D105D">
        <w:t>patient state/</w:t>
      </w:r>
      <w:proofErr w:type="gramStart"/>
      <w:r w:rsidR="002928DD" w:rsidRPr="001D105D">
        <w:t>territory</w:t>
      </w:r>
      <w:r w:rsidR="00BB0DFB" w:rsidRPr="001D105D">
        <w:t>,</w:t>
      </w:r>
      <w:r w:rsidR="002928DD" w:rsidRPr="001D105D">
        <w:t xml:space="preserve"> and</w:t>
      </w:r>
      <w:proofErr w:type="gramEnd"/>
      <w:r w:rsidR="002928DD" w:rsidRPr="001D105D">
        <w:t xml:space="preserve"> </w:t>
      </w:r>
      <w:r w:rsidR="00A52E46" w:rsidRPr="001D105D">
        <w:t>are</w:t>
      </w:r>
      <w:r w:rsidR="002928DD" w:rsidRPr="001D105D">
        <w:t xml:space="preserve"> </w:t>
      </w:r>
      <w:r w:rsidR="0067110E" w:rsidRPr="001D105D">
        <w:t xml:space="preserve">adjusted to account for the </w:t>
      </w:r>
      <w:r w:rsidR="00200229" w:rsidRPr="001D105D">
        <w:t xml:space="preserve">population </w:t>
      </w:r>
      <w:r w:rsidR="0067110E" w:rsidRPr="001D105D">
        <w:t>size and age distribution in each state</w:t>
      </w:r>
      <w:r w:rsidR="00121427" w:rsidRPr="001D105D">
        <w:t>/territory in 20</w:t>
      </w:r>
      <w:r w:rsidR="00EF6FF2" w:rsidRPr="001D105D">
        <w:t>20</w:t>
      </w:r>
      <w:r w:rsidR="0067110E" w:rsidRPr="001D105D">
        <w:t>.</w:t>
      </w:r>
      <w:r w:rsidR="007820F1" w:rsidRPr="001D105D">
        <w:t xml:space="preserve"> The high use of clonidine in the under 19 age group (Figure 1</w:t>
      </w:r>
      <w:r w:rsidR="004615B7">
        <w:t>1</w:t>
      </w:r>
      <w:r w:rsidR="007820F1" w:rsidRPr="001D105D">
        <w:t>) indicates an even greater proportion of young people are being treated for ADHD</w:t>
      </w:r>
      <w:r w:rsidR="00994AF2">
        <w:t xml:space="preserve"> or side effects of ADHD medications</w:t>
      </w:r>
      <w:r w:rsidR="007820F1" w:rsidRPr="001D105D">
        <w:t>, than what is currently recognised.</w:t>
      </w:r>
    </w:p>
    <w:p w14:paraId="1D2F4CD3" w14:textId="5EB2595E" w:rsidR="00994AF2" w:rsidRDefault="00994AF2" w:rsidP="00215563">
      <w:r>
        <w:rPr>
          <w:noProof/>
        </w:rPr>
        <w:drawing>
          <wp:inline distT="0" distB="0" distL="0" distR="0" wp14:anchorId="7B1B462F" wp14:editId="3713B616">
            <wp:extent cx="5832475" cy="3796030"/>
            <wp:effectExtent l="0" t="0" r="15875" b="1397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1791285" w14:textId="5D2311D5" w:rsidR="008109BC" w:rsidRDefault="00B81928" w:rsidP="00215563">
      <w:pPr>
        <w:rPr>
          <w:sz w:val="20"/>
          <w:szCs w:val="20"/>
        </w:rPr>
      </w:pPr>
      <w:r w:rsidRPr="001D105D">
        <w:rPr>
          <w:rStyle w:val="FiguretitleChar"/>
        </w:rPr>
        <w:t>Figure</w:t>
      </w:r>
      <w:r w:rsidR="002D397F" w:rsidRPr="001D105D">
        <w:rPr>
          <w:rStyle w:val="FiguretitleChar"/>
        </w:rPr>
        <w:t xml:space="preserve"> </w:t>
      </w:r>
      <w:r w:rsidR="00EF6FF2" w:rsidRPr="001D105D">
        <w:rPr>
          <w:rStyle w:val="FiguretitleChar"/>
        </w:rPr>
        <w:t>1</w:t>
      </w:r>
      <w:r w:rsidR="004615B7">
        <w:rPr>
          <w:rStyle w:val="FiguretitleChar"/>
        </w:rPr>
        <w:t>1</w:t>
      </w:r>
      <w:r w:rsidR="004C0B74" w:rsidRPr="001D105D">
        <w:rPr>
          <w:rStyle w:val="FiguretitleChar"/>
        </w:rPr>
        <w:t>: Number of people</w:t>
      </w:r>
      <w:r w:rsidR="00C614E5" w:rsidRPr="001D105D">
        <w:rPr>
          <w:rStyle w:val="FiguretitleChar"/>
        </w:rPr>
        <w:t xml:space="preserve"> aged</w:t>
      </w:r>
      <w:r w:rsidR="004C0B74" w:rsidRPr="001D105D">
        <w:rPr>
          <w:rStyle w:val="FiguretitleChar"/>
        </w:rPr>
        <w:t xml:space="preserve"> </w:t>
      </w:r>
      <w:r w:rsidR="00A52E46" w:rsidRPr="001D105D">
        <w:rPr>
          <w:rStyle w:val="FiguretitleChar"/>
        </w:rPr>
        <w:t>≤1</w:t>
      </w:r>
      <w:r w:rsidR="00B21A5E" w:rsidRPr="001D105D">
        <w:rPr>
          <w:rStyle w:val="FiguretitleChar"/>
        </w:rPr>
        <w:t>8</w:t>
      </w:r>
      <w:r w:rsidR="00A52E46" w:rsidRPr="001D105D">
        <w:rPr>
          <w:rStyle w:val="FiguretitleChar"/>
        </w:rPr>
        <w:t xml:space="preserve"> years </w:t>
      </w:r>
      <w:r w:rsidR="004C0B74" w:rsidRPr="001D105D">
        <w:rPr>
          <w:rStyle w:val="FiguretitleChar"/>
        </w:rPr>
        <w:t>supplied an ADHD medicine</w:t>
      </w:r>
      <w:r w:rsidR="00D74622" w:rsidRPr="001D105D">
        <w:rPr>
          <w:rStyle w:val="FiguretitleChar"/>
        </w:rPr>
        <w:t xml:space="preserve"> or clonidine</w:t>
      </w:r>
      <w:r w:rsidR="004C0B74" w:rsidRPr="001D105D">
        <w:rPr>
          <w:rStyle w:val="FiguretitleChar"/>
        </w:rPr>
        <w:t xml:space="preserve"> per 1,000 population in 20</w:t>
      </w:r>
      <w:r w:rsidR="00D74622" w:rsidRPr="001D105D">
        <w:rPr>
          <w:rStyle w:val="FiguretitleChar"/>
        </w:rPr>
        <w:t>20</w:t>
      </w:r>
      <w:r w:rsidR="004C0B74" w:rsidRPr="001D105D">
        <w:rPr>
          <w:rStyle w:val="FiguretitleChar"/>
        </w:rPr>
        <w:t xml:space="preserve"> by patient state/territory and medicine </w:t>
      </w:r>
      <w:r w:rsidR="0067110E" w:rsidRPr="001D105D">
        <w:rPr>
          <w:rStyle w:val="FiguretitleChar"/>
        </w:rPr>
        <w:t>(</w:t>
      </w:r>
      <w:r w:rsidR="00BB5D54" w:rsidRPr="001D105D">
        <w:rPr>
          <w:rStyle w:val="FiguretitleChar"/>
        </w:rPr>
        <w:t xml:space="preserve">age </w:t>
      </w:r>
      <w:r w:rsidR="001C7F9C" w:rsidRPr="001D105D">
        <w:rPr>
          <w:rStyle w:val="FiguretitleChar"/>
        </w:rPr>
        <w:t xml:space="preserve">group </w:t>
      </w:r>
      <w:r w:rsidR="008109BC" w:rsidRPr="001D105D">
        <w:rPr>
          <w:rStyle w:val="FiguretitleChar"/>
        </w:rPr>
        <w:t>specific rate</w:t>
      </w:r>
      <w:r w:rsidR="001914FD" w:rsidRPr="001D105D">
        <w:rPr>
          <w:rStyle w:val="FiguretitleChar"/>
        </w:rPr>
        <w:t xml:space="preserve">) </w:t>
      </w:r>
      <w:r w:rsidR="004C0B74" w:rsidRPr="001D105D">
        <w:rPr>
          <w:rStyle w:val="FiguretitleChar"/>
        </w:rPr>
        <w:br/>
      </w:r>
      <w:r w:rsidR="008109BC" w:rsidRPr="001D105D">
        <w:rPr>
          <w:sz w:val="20"/>
          <w:szCs w:val="20"/>
        </w:rPr>
        <w:t>Source: Services Australia prescriptions database, extracted March 2021, based on 2020 ABS estimated residential population data</w:t>
      </w:r>
      <w:r w:rsidR="008109BC" w:rsidRPr="001D105D" w:rsidDel="008109BC">
        <w:rPr>
          <w:sz w:val="20"/>
          <w:szCs w:val="20"/>
        </w:rPr>
        <w:t xml:space="preserve"> </w:t>
      </w:r>
    </w:p>
    <w:p w14:paraId="40EF0C0D" w14:textId="3BED9AAB" w:rsidR="00994AF2" w:rsidRDefault="00994AF2" w:rsidP="00215563">
      <w:pPr>
        <w:rPr>
          <w:sz w:val="20"/>
          <w:szCs w:val="20"/>
        </w:rPr>
      </w:pPr>
      <w:r>
        <w:rPr>
          <w:noProof/>
        </w:rPr>
        <w:lastRenderedPageBreak/>
        <w:drawing>
          <wp:inline distT="0" distB="0" distL="0" distR="0" wp14:anchorId="229FC2F1" wp14:editId="1DD3F613">
            <wp:extent cx="5832475" cy="3794125"/>
            <wp:effectExtent l="0" t="0" r="15875" b="1587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543C8A1" w14:textId="3A8D16F6" w:rsidR="001C7F9C" w:rsidRPr="001D105D" w:rsidRDefault="00A52E46" w:rsidP="00215563">
      <w:pPr>
        <w:rPr>
          <w:sz w:val="20"/>
          <w:szCs w:val="20"/>
        </w:rPr>
      </w:pPr>
      <w:r w:rsidRPr="001D105D">
        <w:rPr>
          <w:rStyle w:val="FiguretitleChar"/>
        </w:rPr>
        <w:t>Figure 1</w:t>
      </w:r>
      <w:r w:rsidR="004615B7">
        <w:rPr>
          <w:rStyle w:val="FiguretitleChar"/>
        </w:rPr>
        <w:t>2</w:t>
      </w:r>
      <w:r w:rsidRPr="001D105D">
        <w:rPr>
          <w:rStyle w:val="FiguretitleChar"/>
        </w:rPr>
        <w:t>: Number of people</w:t>
      </w:r>
      <w:r w:rsidR="00C614E5" w:rsidRPr="001D105D">
        <w:rPr>
          <w:rStyle w:val="FiguretitleChar"/>
        </w:rPr>
        <w:t xml:space="preserve"> aged</w:t>
      </w:r>
      <w:r w:rsidRPr="001D105D">
        <w:rPr>
          <w:rStyle w:val="FiguretitleChar"/>
        </w:rPr>
        <w:t xml:space="preserve"> </w:t>
      </w:r>
      <w:r w:rsidR="00D74622" w:rsidRPr="001D105D">
        <w:rPr>
          <w:rStyle w:val="FiguretitleChar"/>
        </w:rPr>
        <w:t>&gt;</w:t>
      </w:r>
      <w:r w:rsidRPr="001D105D">
        <w:rPr>
          <w:rStyle w:val="FiguretitleChar"/>
        </w:rPr>
        <w:t xml:space="preserve">18 years supplied an ADHD medicine </w:t>
      </w:r>
      <w:r w:rsidR="00D74622" w:rsidRPr="001D105D">
        <w:rPr>
          <w:rStyle w:val="FiguretitleChar"/>
        </w:rPr>
        <w:t xml:space="preserve">or clonidine </w:t>
      </w:r>
      <w:r w:rsidRPr="001D105D">
        <w:rPr>
          <w:rStyle w:val="FiguretitleChar"/>
        </w:rPr>
        <w:t>per 1,000 population in 20</w:t>
      </w:r>
      <w:r w:rsidR="00D74622" w:rsidRPr="001D105D">
        <w:rPr>
          <w:rStyle w:val="FiguretitleChar"/>
        </w:rPr>
        <w:t>20</w:t>
      </w:r>
      <w:r w:rsidRPr="001D105D">
        <w:rPr>
          <w:rStyle w:val="FiguretitleChar"/>
        </w:rPr>
        <w:t xml:space="preserve"> by patient state/territory and medicine (age</w:t>
      </w:r>
      <w:r w:rsidR="001C7F9C" w:rsidRPr="001D105D">
        <w:rPr>
          <w:rStyle w:val="FiguretitleChar"/>
        </w:rPr>
        <w:t xml:space="preserve"> group</w:t>
      </w:r>
      <w:r w:rsidRPr="001D105D">
        <w:rPr>
          <w:rStyle w:val="FiguretitleChar"/>
        </w:rPr>
        <w:t xml:space="preserve"> </w:t>
      </w:r>
      <w:r w:rsidR="00BA65CA" w:rsidRPr="001D105D">
        <w:rPr>
          <w:rStyle w:val="FiguretitleChar"/>
        </w:rPr>
        <w:t>specific rate</w:t>
      </w:r>
      <w:r w:rsidRPr="001D105D">
        <w:rPr>
          <w:rStyle w:val="FiguretitleChar"/>
        </w:rPr>
        <w:t xml:space="preserve">) </w:t>
      </w:r>
      <w:r w:rsidRPr="001D105D">
        <w:rPr>
          <w:rStyle w:val="FiguretitleChar"/>
        </w:rPr>
        <w:br/>
      </w:r>
      <w:r w:rsidR="005000BB" w:rsidRPr="001D105D">
        <w:rPr>
          <w:sz w:val="20"/>
          <w:szCs w:val="20"/>
        </w:rPr>
        <w:t>Source: Services Australia prescriptions database, extracted March 2021, based on 2020 ABS estimated residential population data</w:t>
      </w:r>
      <w:r w:rsidR="005000BB" w:rsidRPr="001D105D" w:rsidDel="008109BC">
        <w:rPr>
          <w:sz w:val="20"/>
          <w:szCs w:val="20"/>
        </w:rPr>
        <w:t xml:space="preserve"> </w:t>
      </w:r>
    </w:p>
    <w:p w14:paraId="58C658B8" w14:textId="3C5AA9AA" w:rsidR="00BA2D8E" w:rsidRPr="001D105D" w:rsidRDefault="005067DE" w:rsidP="00215563">
      <w:r w:rsidRPr="001D105D">
        <w:t xml:space="preserve">The pattern of ADHD medicines </w:t>
      </w:r>
      <w:r w:rsidR="00A66E27" w:rsidRPr="001D105D">
        <w:t xml:space="preserve">use </w:t>
      </w:r>
      <w:r w:rsidRPr="001D105D">
        <w:t>var</w:t>
      </w:r>
      <w:r w:rsidR="00A66E27" w:rsidRPr="001D105D">
        <w:t>ied</w:t>
      </w:r>
      <w:r w:rsidRPr="001D105D">
        <w:t xml:space="preserve"> across the states and territories.</w:t>
      </w:r>
      <w:r w:rsidR="00C614E5" w:rsidRPr="001D105D">
        <w:t xml:space="preserve"> </w:t>
      </w:r>
      <w:r w:rsidR="00A52E46" w:rsidRPr="001D105D">
        <w:t xml:space="preserve">In </w:t>
      </w:r>
      <w:r w:rsidR="00444E40" w:rsidRPr="001D105D">
        <w:t>age</w:t>
      </w:r>
      <w:r w:rsidR="00A52E46" w:rsidRPr="001D105D">
        <w:t xml:space="preserve"> groups (under 1</w:t>
      </w:r>
      <w:r w:rsidR="00B62948" w:rsidRPr="001D105D">
        <w:t>9</w:t>
      </w:r>
      <w:r w:rsidR="00A52E46" w:rsidRPr="001D105D">
        <w:t xml:space="preserve">s and </w:t>
      </w:r>
      <w:r w:rsidR="00C614E5" w:rsidRPr="001D105D">
        <w:t>those 1</w:t>
      </w:r>
      <w:r w:rsidR="00B62948" w:rsidRPr="001D105D">
        <w:t>9</w:t>
      </w:r>
      <w:r w:rsidR="00C614E5" w:rsidRPr="001D105D">
        <w:t xml:space="preserve"> and older</w:t>
      </w:r>
      <w:r w:rsidR="00A52E46" w:rsidRPr="001D105D">
        <w:t>), t</w:t>
      </w:r>
      <w:r w:rsidRPr="001D105D">
        <w:t>he</w:t>
      </w:r>
      <w:r w:rsidR="006B2B56" w:rsidRPr="001D105D">
        <w:t xml:space="preserve"> rate</w:t>
      </w:r>
      <w:r w:rsidRPr="001D105D">
        <w:t xml:space="preserve"> of patients supplied </w:t>
      </w:r>
      <w:proofErr w:type="spellStart"/>
      <w:r w:rsidRPr="001D105D">
        <w:t>dexamfetamine</w:t>
      </w:r>
      <w:proofErr w:type="spellEnd"/>
      <w:r w:rsidRPr="001D105D">
        <w:t xml:space="preserve"> </w:t>
      </w:r>
      <w:r w:rsidR="00994AF2">
        <w:t xml:space="preserve">and </w:t>
      </w:r>
      <w:proofErr w:type="spellStart"/>
      <w:r w:rsidR="00994AF2" w:rsidRPr="001D105D">
        <w:t>lisdexamfetamine</w:t>
      </w:r>
      <w:proofErr w:type="spellEnd"/>
      <w:r w:rsidR="00994AF2" w:rsidRPr="001D105D">
        <w:t xml:space="preserve"> </w:t>
      </w:r>
      <w:r w:rsidR="006B2B56" w:rsidRPr="001D105D">
        <w:t xml:space="preserve">is higher </w:t>
      </w:r>
      <w:r w:rsidRPr="001D105D">
        <w:t>in W</w:t>
      </w:r>
      <w:r w:rsidR="00765EC5" w:rsidRPr="001D105D">
        <w:t xml:space="preserve">estern </w:t>
      </w:r>
      <w:r w:rsidRPr="001D105D">
        <w:t>A</w:t>
      </w:r>
      <w:r w:rsidR="00765EC5" w:rsidRPr="001D105D">
        <w:t>ustralia</w:t>
      </w:r>
      <w:r w:rsidRPr="001D105D">
        <w:t xml:space="preserve"> compared to other states and territories.</w:t>
      </w:r>
      <w:r w:rsidR="00BA2D8E" w:rsidRPr="001D105D">
        <w:t xml:space="preserve"> </w:t>
      </w:r>
    </w:p>
    <w:p w14:paraId="21C9829E" w14:textId="21CE5CA3" w:rsidR="00B62948" w:rsidRPr="001D105D" w:rsidRDefault="00B62948" w:rsidP="00215563">
      <w:r w:rsidRPr="001D105D">
        <w:t xml:space="preserve">Tasmania had the highest rate of supply to under 19 year </w:t>
      </w:r>
      <w:proofErr w:type="spellStart"/>
      <w:r w:rsidRPr="001D105D">
        <w:t>olds</w:t>
      </w:r>
      <w:proofErr w:type="spellEnd"/>
      <w:r w:rsidRPr="001D105D">
        <w:t xml:space="preserve"> for short-acting methylphenidate, long-acting methylphenidate, clonidine and</w:t>
      </w:r>
      <w:r w:rsidR="00AA0968">
        <w:t xml:space="preserve"> the second highest rate of</w:t>
      </w:r>
      <w:r w:rsidRPr="001D105D">
        <w:t xml:space="preserve"> </w:t>
      </w:r>
      <w:proofErr w:type="spellStart"/>
      <w:r w:rsidRPr="001D105D">
        <w:t>lisdexamfetamine</w:t>
      </w:r>
      <w:proofErr w:type="spellEnd"/>
      <w:r w:rsidRPr="001D105D">
        <w:t xml:space="preserve">. The rate of supply of clonidine to under 19 year </w:t>
      </w:r>
      <w:proofErr w:type="spellStart"/>
      <w:r w:rsidRPr="001D105D">
        <w:t>olds</w:t>
      </w:r>
      <w:proofErr w:type="spellEnd"/>
      <w:r w:rsidRPr="001D105D">
        <w:t xml:space="preserve"> in Tasmania is almost double compared to other states and territories.</w:t>
      </w:r>
    </w:p>
    <w:p w14:paraId="205B9F67" w14:textId="77777777" w:rsidR="00994AF2" w:rsidRPr="001D105D" w:rsidRDefault="00994AF2" w:rsidP="00215563">
      <w:r w:rsidRPr="001D105D">
        <w:t>Conversely, South Australia had the lowest rate of supply in patients aged under 18 years for ADHD medicines (</w:t>
      </w:r>
      <w:proofErr w:type="spellStart"/>
      <w:r w:rsidRPr="001D105D">
        <w:t>lisdexamfetamine</w:t>
      </w:r>
      <w:proofErr w:type="spellEnd"/>
      <w:r w:rsidRPr="001D105D">
        <w:t>, short-acting methylphenidate, long-acting methylphenidate and guanfacine).</w:t>
      </w:r>
    </w:p>
    <w:p w14:paraId="069580C7" w14:textId="77777777" w:rsidR="00A87BA1" w:rsidRPr="001D105D" w:rsidRDefault="00A87BA1" w:rsidP="00215563"/>
    <w:p w14:paraId="6340BB2C" w14:textId="77777777" w:rsidR="008D0A2B" w:rsidRPr="001D105D" w:rsidRDefault="008D0A2B" w:rsidP="00215563">
      <w:pPr>
        <w:spacing w:line="276" w:lineRule="auto"/>
        <w:rPr>
          <w:b/>
          <w:sz w:val="28"/>
        </w:rPr>
      </w:pPr>
      <w:r w:rsidRPr="001D105D">
        <w:br w:type="page"/>
      </w:r>
    </w:p>
    <w:p w14:paraId="58EF6913" w14:textId="100D2492" w:rsidR="00A87BA1" w:rsidRPr="001D105D" w:rsidRDefault="00A87BA1" w:rsidP="00215563">
      <w:pPr>
        <w:pStyle w:val="Heading2"/>
      </w:pPr>
      <w:r w:rsidRPr="001D105D">
        <w:lastRenderedPageBreak/>
        <w:t>Guanfacine predicted versus actual analysis</w:t>
      </w:r>
    </w:p>
    <w:p w14:paraId="46CA5A21" w14:textId="6FE2554D" w:rsidR="00113DF6" w:rsidRPr="001D105D" w:rsidRDefault="00113DF6" w:rsidP="00215563">
      <w:pPr>
        <w:pStyle w:val="Heading3"/>
      </w:pPr>
      <w:r w:rsidRPr="001D105D">
        <w:t>Approach taken to estimate utilisation</w:t>
      </w:r>
    </w:p>
    <w:p w14:paraId="12106FEC" w14:textId="413013BE" w:rsidR="00A87BA1" w:rsidRPr="001D105D" w:rsidRDefault="00A87BA1" w:rsidP="00215563">
      <w:pPr>
        <w:spacing w:after="0"/>
      </w:pPr>
      <w:r w:rsidRPr="001D105D">
        <w:t xml:space="preserve">A market share approach was used to inform the utilisation and financial estimates of guanfacine. Guanfacine was assumed to substitute for the following PBS listings: </w:t>
      </w:r>
      <w:r w:rsidR="00EA1D54" w:rsidRPr="001D105D">
        <w:t>a</w:t>
      </w:r>
      <w:r w:rsidRPr="001D105D">
        <w:t xml:space="preserve">tomoxetine; clonidine; methylphenidate; and </w:t>
      </w:r>
      <w:proofErr w:type="spellStart"/>
      <w:r w:rsidRPr="001D105D">
        <w:t>lisdexamfetamine</w:t>
      </w:r>
      <w:proofErr w:type="spellEnd"/>
      <w:r w:rsidRPr="001D105D">
        <w:t>.</w:t>
      </w:r>
    </w:p>
    <w:p w14:paraId="1BA25B99" w14:textId="77777777" w:rsidR="00A87BA1" w:rsidRPr="001D105D" w:rsidRDefault="00A87BA1" w:rsidP="00215563">
      <w:pPr>
        <w:spacing w:after="0"/>
      </w:pPr>
    </w:p>
    <w:p w14:paraId="3EA0AC29" w14:textId="77777777" w:rsidR="00A87BA1" w:rsidRPr="001D105D" w:rsidRDefault="00A87BA1" w:rsidP="00215563">
      <w:pPr>
        <w:spacing w:after="0"/>
      </w:pPr>
      <w:r w:rsidRPr="001D105D">
        <w:t xml:space="preserve">The script volumes for the substituted drugs were obtained from the Services Australia (formerly Medicare Australia) Pharmaceutical Benefits Schedule Item reports, available at: </w:t>
      </w:r>
      <w:hyperlink r:id="rId24" w:history="1">
        <w:r w:rsidRPr="001D105D">
          <w:rPr>
            <w:rStyle w:val="Hyperlink"/>
          </w:rPr>
          <w:t>http://medicarestatistics.humanservices.gov.au/statistics/pbs_item.jsp</w:t>
        </w:r>
      </w:hyperlink>
      <w:r w:rsidRPr="001D105D">
        <w:t>. The script data was extracted based on the date of processing.</w:t>
      </w:r>
    </w:p>
    <w:p w14:paraId="34F987D9" w14:textId="77777777" w:rsidR="00A87BA1" w:rsidRPr="001D105D" w:rsidRDefault="00A87BA1" w:rsidP="00215563">
      <w:pPr>
        <w:spacing w:after="0"/>
      </w:pPr>
    </w:p>
    <w:p w14:paraId="63DD5956" w14:textId="77777777" w:rsidR="00A87BA1" w:rsidRPr="001D105D" w:rsidRDefault="00A87BA1" w:rsidP="00215563">
      <w:pPr>
        <w:spacing w:after="0"/>
      </w:pPr>
      <w:r w:rsidRPr="001D105D">
        <w:t>Clonidine was an unrestricted listing. Clonidine was assumed to be used for ADHD if the script was dispensed for:</w:t>
      </w:r>
    </w:p>
    <w:p w14:paraId="3DB9195A" w14:textId="77777777" w:rsidR="00A87BA1" w:rsidRPr="001D105D" w:rsidRDefault="00A87BA1" w:rsidP="00215563">
      <w:pPr>
        <w:pStyle w:val="ListParagraph"/>
        <w:numPr>
          <w:ilvl w:val="0"/>
          <w:numId w:val="24"/>
        </w:numPr>
        <w:spacing w:after="0"/>
      </w:pPr>
      <w:r w:rsidRPr="001D105D">
        <w:t>persons aged 6 to 17 years; and</w:t>
      </w:r>
    </w:p>
    <w:p w14:paraId="010E54C3" w14:textId="77777777" w:rsidR="00A87BA1" w:rsidRPr="001D105D" w:rsidRDefault="00A87BA1" w:rsidP="00215563">
      <w:pPr>
        <w:pStyle w:val="ListParagraph"/>
        <w:numPr>
          <w:ilvl w:val="0"/>
          <w:numId w:val="24"/>
        </w:numPr>
        <w:spacing w:after="0"/>
      </w:pPr>
      <w:r w:rsidRPr="001D105D">
        <w:t>there was a switch from a stimulant to clonidine; or</w:t>
      </w:r>
    </w:p>
    <w:p w14:paraId="1DD65FC2" w14:textId="77777777" w:rsidR="00A87BA1" w:rsidRPr="001D105D" w:rsidRDefault="00A87BA1" w:rsidP="00215563">
      <w:pPr>
        <w:pStyle w:val="ListParagraph"/>
        <w:numPr>
          <w:ilvl w:val="0"/>
          <w:numId w:val="24"/>
        </w:numPr>
        <w:spacing w:after="0"/>
      </w:pPr>
      <w:r w:rsidRPr="001D105D">
        <w:t>a stimulant was used as add on to clonidine; or</w:t>
      </w:r>
    </w:p>
    <w:p w14:paraId="442461AE" w14:textId="77777777" w:rsidR="00A87BA1" w:rsidRPr="001D105D" w:rsidRDefault="00A87BA1" w:rsidP="00215563">
      <w:pPr>
        <w:pStyle w:val="ListParagraph"/>
        <w:numPr>
          <w:ilvl w:val="0"/>
          <w:numId w:val="24"/>
        </w:numPr>
        <w:spacing w:after="0"/>
      </w:pPr>
      <w:r w:rsidRPr="001D105D">
        <w:t>a switch from atomoxetine to clonidine; or</w:t>
      </w:r>
    </w:p>
    <w:p w14:paraId="42C42B23" w14:textId="77777777" w:rsidR="00A87BA1" w:rsidRPr="001D105D" w:rsidRDefault="00A87BA1" w:rsidP="00215563">
      <w:pPr>
        <w:pStyle w:val="ListParagraph"/>
        <w:numPr>
          <w:ilvl w:val="0"/>
          <w:numId w:val="24"/>
        </w:numPr>
        <w:spacing w:after="0"/>
      </w:pPr>
      <w:r w:rsidRPr="001D105D">
        <w:t>the patient commenced on clonidine and remained on this therapy.</w:t>
      </w:r>
    </w:p>
    <w:p w14:paraId="7AB7B47B" w14:textId="77777777" w:rsidR="00A87BA1" w:rsidRPr="001D105D" w:rsidRDefault="00A87BA1" w:rsidP="00215563">
      <w:pPr>
        <w:spacing w:after="0"/>
      </w:pPr>
    </w:p>
    <w:p w14:paraId="7493B98F" w14:textId="77777777" w:rsidR="00A87BA1" w:rsidRPr="001D105D" w:rsidRDefault="00A87BA1" w:rsidP="00215563">
      <w:r w:rsidRPr="001D105D">
        <w:t>Of clonidine scripts identified as being used for ADHD, it was assumed that 51.7 percent of this use would be in persons eligible for guanfacine.</w:t>
      </w:r>
    </w:p>
    <w:p w14:paraId="62428BEC" w14:textId="3EA51093" w:rsidR="00A87BA1" w:rsidRDefault="00A87BA1" w:rsidP="00215563">
      <w:pPr>
        <w:spacing w:after="0"/>
      </w:pPr>
      <w:r w:rsidRPr="001D105D">
        <w:t>The following treatment uptake assumptions were applied to all substituted drugs:</w:t>
      </w:r>
    </w:p>
    <w:p w14:paraId="5D79A1A8" w14:textId="77777777" w:rsidR="00F82BB0" w:rsidRPr="001D105D" w:rsidRDefault="00F82BB0" w:rsidP="00215563">
      <w:pPr>
        <w:spacing w:after="0"/>
      </w:pP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A87BA1" w:rsidRPr="001D105D" w14:paraId="69324AE2" w14:textId="77777777" w:rsidTr="00B645A0">
        <w:tc>
          <w:tcPr>
            <w:tcW w:w="1502" w:type="dxa"/>
          </w:tcPr>
          <w:p w14:paraId="2DFEC902" w14:textId="77777777" w:rsidR="00A87BA1" w:rsidRPr="001D105D" w:rsidRDefault="00A87BA1" w:rsidP="00215563">
            <w:pPr>
              <w:jc w:val="center"/>
            </w:pPr>
            <w:r w:rsidRPr="001D105D">
              <w:t>Year 1 (2018)</w:t>
            </w:r>
          </w:p>
        </w:tc>
        <w:tc>
          <w:tcPr>
            <w:tcW w:w="1502" w:type="dxa"/>
          </w:tcPr>
          <w:p w14:paraId="22721743" w14:textId="77777777" w:rsidR="00A87BA1" w:rsidRPr="001D105D" w:rsidRDefault="00A87BA1" w:rsidP="00215563">
            <w:pPr>
              <w:jc w:val="center"/>
            </w:pPr>
            <w:r w:rsidRPr="001D105D">
              <w:t>Year 2</w:t>
            </w:r>
          </w:p>
          <w:p w14:paraId="0DF32E66" w14:textId="77777777" w:rsidR="00A87BA1" w:rsidRPr="001D105D" w:rsidRDefault="00A87BA1" w:rsidP="00215563">
            <w:pPr>
              <w:jc w:val="center"/>
            </w:pPr>
            <w:r w:rsidRPr="001D105D">
              <w:t>(2019)</w:t>
            </w:r>
          </w:p>
        </w:tc>
        <w:tc>
          <w:tcPr>
            <w:tcW w:w="1503" w:type="dxa"/>
          </w:tcPr>
          <w:p w14:paraId="4547B65A" w14:textId="77777777" w:rsidR="00A87BA1" w:rsidRPr="001D105D" w:rsidRDefault="00A87BA1" w:rsidP="00215563">
            <w:pPr>
              <w:jc w:val="center"/>
            </w:pPr>
            <w:r w:rsidRPr="001D105D">
              <w:t>Year 3</w:t>
            </w:r>
          </w:p>
          <w:p w14:paraId="6B2B767B" w14:textId="77777777" w:rsidR="00A87BA1" w:rsidRPr="001D105D" w:rsidRDefault="00A87BA1" w:rsidP="00215563">
            <w:pPr>
              <w:jc w:val="center"/>
            </w:pPr>
            <w:r w:rsidRPr="001D105D">
              <w:t>(2020)</w:t>
            </w:r>
          </w:p>
        </w:tc>
        <w:tc>
          <w:tcPr>
            <w:tcW w:w="1503" w:type="dxa"/>
          </w:tcPr>
          <w:p w14:paraId="7D6D3A13" w14:textId="77777777" w:rsidR="00A87BA1" w:rsidRPr="001D105D" w:rsidRDefault="00A87BA1" w:rsidP="00215563">
            <w:pPr>
              <w:jc w:val="center"/>
            </w:pPr>
            <w:r w:rsidRPr="001D105D">
              <w:t>Year 4</w:t>
            </w:r>
          </w:p>
          <w:p w14:paraId="6259F299" w14:textId="77777777" w:rsidR="00A87BA1" w:rsidRPr="001D105D" w:rsidRDefault="00A87BA1" w:rsidP="00215563">
            <w:pPr>
              <w:jc w:val="center"/>
            </w:pPr>
            <w:r w:rsidRPr="001D105D">
              <w:t>(2021)</w:t>
            </w:r>
          </w:p>
        </w:tc>
        <w:tc>
          <w:tcPr>
            <w:tcW w:w="1503" w:type="dxa"/>
          </w:tcPr>
          <w:p w14:paraId="2FBCAFA0" w14:textId="77777777" w:rsidR="00A87BA1" w:rsidRPr="001D105D" w:rsidRDefault="00A87BA1" w:rsidP="00215563">
            <w:pPr>
              <w:jc w:val="center"/>
            </w:pPr>
            <w:r w:rsidRPr="001D105D">
              <w:t>Year 5</w:t>
            </w:r>
          </w:p>
          <w:p w14:paraId="74AA5102" w14:textId="77777777" w:rsidR="00A87BA1" w:rsidRPr="001D105D" w:rsidRDefault="00A87BA1" w:rsidP="00215563">
            <w:pPr>
              <w:jc w:val="center"/>
            </w:pPr>
            <w:r w:rsidRPr="001D105D">
              <w:t>(2022)</w:t>
            </w:r>
          </w:p>
        </w:tc>
        <w:tc>
          <w:tcPr>
            <w:tcW w:w="1503" w:type="dxa"/>
          </w:tcPr>
          <w:p w14:paraId="44F2A94B" w14:textId="77777777" w:rsidR="00A87BA1" w:rsidRPr="001D105D" w:rsidRDefault="00A87BA1" w:rsidP="00215563">
            <w:pPr>
              <w:jc w:val="center"/>
            </w:pPr>
            <w:r w:rsidRPr="001D105D">
              <w:t>Year 6</w:t>
            </w:r>
          </w:p>
          <w:p w14:paraId="2C558DEB" w14:textId="77777777" w:rsidR="00A87BA1" w:rsidRPr="001D105D" w:rsidRDefault="00A87BA1" w:rsidP="00215563">
            <w:pPr>
              <w:jc w:val="center"/>
            </w:pPr>
            <w:r w:rsidRPr="001D105D">
              <w:t>(2023)</w:t>
            </w:r>
          </w:p>
        </w:tc>
      </w:tr>
      <w:tr w:rsidR="009960BB" w:rsidRPr="001D105D" w14:paraId="6486E203" w14:textId="77777777" w:rsidTr="00B645A0">
        <w:tc>
          <w:tcPr>
            <w:tcW w:w="1502" w:type="dxa"/>
          </w:tcPr>
          <w:p w14:paraId="496FAA20" w14:textId="6AE1187D" w:rsidR="009960BB" w:rsidRPr="001D105D" w:rsidRDefault="009960BB" w:rsidP="009960BB">
            <w:pPr>
              <w:jc w:val="center"/>
            </w:pPr>
            <w:r w:rsidRPr="009960BB">
              <w:rPr>
                <w:highlight w:val="black"/>
              </w:rPr>
              <w:t>xxx</w:t>
            </w:r>
          </w:p>
        </w:tc>
        <w:tc>
          <w:tcPr>
            <w:tcW w:w="1502" w:type="dxa"/>
          </w:tcPr>
          <w:p w14:paraId="5BDE6849" w14:textId="38F938C8" w:rsidR="009960BB" w:rsidRPr="001D105D" w:rsidRDefault="009960BB" w:rsidP="009960BB">
            <w:pPr>
              <w:jc w:val="center"/>
            </w:pPr>
            <w:r w:rsidRPr="001D7EEF">
              <w:rPr>
                <w:highlight w:val="black"/>
              </w:rPr>
              <w:t>xxx</w:t>
            </w:r>
          </w:p>
        </w:tc>
        <w:tc>
          <w:tcPr>
            <w:tcW w:w="1503" w:type="dxa"/>
          </w:tcPr>
          <w:p w14:paraId="7E53B07A" w14:textId="580CEE3A" w:rsidR="009960BB" w:rsidRPr="001D105D" w:rsidRDefault="009960BB" w:rsidP="009960BB">
            <w:pPr>
              <w:jc w:val="center"/>
            </w:pPr>
            <w:r w:rsidRPr="001D7EEF">
              <w:rPr>
                <w:highlight w:val="black"/>
              </w:rPr>
              <w:t>xxx</w:t>
            </w:r>
          </w:p>
        </w:tc>
        <w:tc>
          <w:tcPr>
            <w:tcW w:w="1503" w:type="dxa"/>
          </w:tcPr>
          <w:p w14:paraId="6BA6311A" w14:textId="686F2D5E" w:rsidR="009960BB" w:rsidRPr="001D105D" w:rsidRDefault="009960BB" w:rsidP="009960BB">
            <w:pPr>
              <w:jc w:val="center"/>
            </w:pPr>
            <w:r w:rsidRPr="001D7EEF">
              <w:rPr>
                <w:highlight w:val="black"/>
              </w:rPr>
              <w:t>xxx</w:t>
            </w:r>
          </w:p>
        </w:tc>
        <w:tc>
          <w:tcPr>
            <w:tcW w:w="1503" w:type="dxa"/>
          </w:tcPr>
          <w:p w14:paraId="61B6AB27" w14:textId="1FB018C3" w:rsidR="009960BB" w:rsidRPr="001D105D" w:rsidRDefault="009960BB" w:rsidP="009960BB">
            <w:pPr>
              <w:jc w:val="center"/>
            </w:pPr>
            <w:r w:rsidRPr="001D7EEF">
              <w:rPr>
                <w:highlight w:val="black"/>
              </w:rPr>
              <w:t>xxx</w:t>
            </w:r>
          </w:p>
        </w:tc>
        <w:tc>
          <w:tcPr>
            <w:tcW w:w="1503" w:type="dxa"/>
          </w:tcPr>
          <w:p w14:paraId="37D0E8FC" w14:textId="7DC3C42E" w:rsidR="009960BB" w:rsidRPr="001D105D" w:rsidRDefault="009960BB" w:rsidP="009960BB">
            <w:pPr>
              <w:jc w:val="center"/>
            </w:pPr>
            <w:r w:rsidRPr="001D7EEF">
              <w:rPr>
                <w:highlight w:val="black"/>
              </w:rPr>
              <w:t>xxx</w:t>
            </w:r>
          </w:p>
        </w:tc>
      </w:tr>
    </w:tbl>
    <w:p w14:paraId="25997E75" w14:textId="77777777" w:rsidR="00A87BA1" w:rsidRPr="001D105D" w:rsidRDefault="00A87BA1" w:rsidP="00215563">
      <w:pPr>
        <w:spacing w:after="0"/>
      </w:pPr>
    </w:p>
    <w:p w14:paraId="0C952187" w14:textId="1E3B8419" w:rsidR="00A87BA1" w:rsidRDefault="00A87BA1" w:rsidP="00215563">
      <w:pPr>
        <w:spacing w:after="0"/>
      </w:pPr>
      <w:r w:rsidRPr="001D105D">
        <w:t>The estimated offset from drug substitutions is presented in the following table.</w:t>
      </w:r>
    </w:p>
    <w:p w14:paraId="6C47734B" w14:textId="77777777" w:rsidR="00F82BB0" w:rsidRPr="001D105D" w:rsidRDefault="00F82BB0" w:rsidP="00215563">
      <w:pPr>
        <w:spacing w:after="0"/>
      </w:pPr>
    </w:p>
    <w:tbl>
      <w:tblPr>
        <w:tblStyle w:val="TableGrid"/>
        <w:tblW w:w="0" w:type="auto"/>
        <w:tblLook w:val="04A0" w:firstRow="1" w:lastRow="0" w:firstColumn="1" w:lastColumn="0" w:noHBand="0" w:noVBand="1"/>
      </w:tblPr>
      <w:tblGrid>
        <w:gridCol w:w="1696"/>
        <w:gridCol w:w="1308"/>
        <w:gridCol w:w="1503"/>
        <w:gridCol w:w="1503"/>
        <w:gridCol w:w="1503"/>
      </w:tblGrid>
      <w:tr w:rsidR="00A87BA1" w:rsidRPr="001D105D" w14:paraId="2C4553AF" w14:textId="77777777" w:rsidTr="00B645A0">
        <w:tc>
          <w:tcPr>
            <w:tcW w:w="1696" w:type="dxa"/>
          </w:tcPr>
          <w:p w14:paraId="745A8DEA" w14:textId="77777777" w:rsidR="00A87BA1" w:rsidRPr="001D105D" w:rsidRDefault="00A87BA1" w:rsidP="00215563">
            <w:pPr>
              <w:jc w:val="center"/>
            </w:pPr>
            <w:r w:rsidRPr="001D105D">
              <w:t>Year 1 (2018)</w:t>
            </w:r>
          </w:p>
          <w:p w14:paraId="510342DE" w14:textId="77777777" w:rsidR="00A87BA1" w:rsidRPr="001D105D" w:rsidRDefault="00A87BA1" w:rsidP="00215563">
            <w:pPr>
              <w:jc w:val="center"/>
            </w:pPr>
            <w:r w:rsidRPr="001D105D">
              <w:t>($m)</w:t>
            </w:r>
          </w:p>
        </w:tc>
        <w:tc>
          <w:tcPr>
            <w:tcW w:w="1308" w:type="dxa"/>
          </w:tcPr>
          <w:p w14:paraId="0529180B" w14:textId="77777777" w:rsidR="00A87BA1" w:rsidRPr="001D105D" w:rsidRDefault="00A87BA1" w:rsidP="00215563">
            <w:pPr>
              <w:jc w:val="center"/>
            </w:pPr>
            <w:r w:rsidRPr="001D105D">
              <w:t>Year 2</w:t>
            </w:r>
          </w:p>
          <w:p w14:paraId="148C05DC" w14:textId="77777777" w:rsidR="00A87BA1" w:rsidRPr="001D105D" w:rsidRDefault="00A87BA1" w:rsidP="00215563">
            <w:pPr>
              <w:jc w:val="center"/>
            </w:pPr>
            <w:r w:rsidRPr="001D105D">
              <w:t>($m)</w:t>
            </w:r>
          </w:p>
        </w:tc>
        <w:tc>
          <w:tcPr>
            <w:tcW w:w="1503" w:type="dxa"/>
          </w:tcPr>
          <w:p w14:paraId="5AC994AC" w14:textId="77777777" w:rsidR="00A87BA1" w:rsidRPr="001D105D" w:rsidRDefault="00A87BA1" w:rsidP="00215563">
            <w:pPr>
              <w:jc w:val="center"/>
            </w:pPr>
            <w:r w:rsidRPr="001D105D">
              <w:t>Year 3</w:t>
            </w:r>
          </w:p>
          <w:p w14:paraId="02597CD4" w14:textId="77777777" w:rsidR="00A87BA1" w:rsidRPr="001D105D" w:rsidRDefault="00A87BA1" w:rsidP="00215563">
            <w:pPr>
              <w:jc w:val="center"/>
            </w:pPr>
            <w:r w:rsidRPr="001D105D">
              <w:t>($m)</w:t>
            </w:r>
          </w:p>
        </w:tc>
        <w:tc>
          <w:tcPr>
            <w:tcW w:w="1503" w:type="dxa"/>
          </w:tcPr>
          <w:p w14:paraId="3E168B89" w14:textId="77777777" w:rsidR="00A87BA1" w:rsidRPr="001D105D" w:rsidRDefault="00A87BA1" w:rsidP="00215563">
            <w:pPr>
              <w:jc w:val="center"/>
            </w:pPr>
            <w:r w:rsidRPr="001D105D">
              <w:t>Year 4</w:t>
            </w:r>
          </w:p>
          <w:p w14:paraId="01F3DB4C" w14:textId="77777777" w:rsidR="00A87BA1" w:rsidRPr="001D105D" w:rsidRDefault="00A87BA1" w:rsidP="00215563">
            <w:pPr>
              <w:jc w:val="center"/>
            </w:pPr>
            <w:r w:rsidRPr="001D105D">
              <w:t>($m)</w:t>
            </w:r>
          </w:p>
        </w:tc>
        <w:tc>
          <w:tcPr>
            <w:tcW w:w="1503" w:type="dxa"/>
          </w:tcPr>
          <w:p w14:paraId="03309288" w14:textId="77777777" w:rsidR="00A87BA1" w:rsidRPr="001D105D" w:rsidRDefault="00A87BA1" w:rsidP="00215563">
            <w:pPr>
              <w:jc w:val="center"/>
            </w:pPr>
            <w:r w:rsidRPr="001D105D">
              <w:t>Year 5</w:t>
            </w:r>
          </w:p>
          <w:p w14:paraId="79722D6B" w14:textId="77777777" w:rsidR="00A87BA1" w:rsidRPr="001D105D" w:rsidRDefault="00A87BA1" w:rsidP="00215563">
            <w:pPr>
              <w:jc w:val="center"/>
            </w:pPr>
            <w:r w:rsidRPr="001D105D">
              <w:t>($m)</w:t>
            </w:r>
          </w:p>
        </w:tc>
      </w:tr>
      <w:tr w:rsidR="009960BB" w:rsidRPr="001D105D" w14:paraId="49B9B8CC" w14:textId="77777777" w:rsidTr="00B645A0">
        <w:tc>
          <w:tcPr>
            <w:tcW w:w="1696" w:type="dxa"/>
          </w:tcPr>
          <w:p w14:paraId="7AA82F78" w14:textId="46CBA1D7" w:rsidR="009960BB" w:rsidRPr="001D105D" w:rsidRDefault="009960BB" w:rsidP="009960BB">
            <w:pPr>
              <w:jc w:val="center"/>
            </w:pPr>
            <w:proofErr w:type="spellStart"/>
            <w:r w:rsidRPr="00CB4DEB">
              <w:rPr>
                <w:highlight w:val="black"/>
              </w:rPr>
              <w:t>xx</w:t>
            </w:r>
            <w:r>
              <w:rPr>
                <w:highlight w:val="black"/>
              </w:rPr>
              <w:t>x</w:t>
            </w:r>
            <w:r w:rsidRPr="00CB4DEB">
              <w:rPr>
                <w:highlight w:val="black"/>
              </w:rPr>
              <w:t>x</w:t>
            </w:r>
            <w:proofErr w:type="spellEnd"/>
          </w:p>
        </w:tc>
        <w:tc>
          <w:tcPr>
            <w:tcW w:w="1308" w:type="dxa"/>
          </w:tcPr>
          <w:p w14:paraId="21321910" w14:textId="0D0C9039" w:rsidR="009960BB" w:rsidRPr="001D105D" w:rsidRDefault="009960BB" w:rsidP="009960BB">
            <w:pPr>
              <w:jc w:val="center"/>
            </w:pPr>
            <w:proofErr w:type="spellStart"/>
            <w:r w:rsidRPr="00CB4DEB">
              <w:rPr>
                <w:highlight w:val="black"/>
              </w:rPr>
              <w:t>xx</w:t>
            </w:r>
            <w:r>
              <w:rPr>
                <w:highlight w:val="black"/>
              </w:rPr>
              <w:t>x</w:t>
            </w:r>
            <w:r w:rsidRPr="00CB4DEB">
              <w:rPr>
                <w:highlight w:val="black"/>
              </w:rPr>
              <w:t>x</w:t>
            </w:r>
            <w:proofErr w:type="spellEnd"/>
          </w:p>
        </w:tc>
        <w:tc>
          <w:tcPr>
            <w:tcW w:w="1503" w:type="dxa"/>
          </w:tcPr>
          <w:p w14:paraId="19F84811" w14:textId="36058963" w:rsidR="009960BB" w:rsidRPr="001D105D" w:rsidRDefault="009960BB" w:rsidP="009960BB">
            <w:pPr>
              <w:jc w:val="center"/>
            </w:pPr>
            <w:proofErr w:type="spellStart"/>
            <w:r w:rsidRPr="00CB4DEB">
              <w:rPr>
                <w:highlight w:val="black"/>
              </w:rPr>
              <w:t>xx</w:t>
            </w:r>
            <w:r>
              <w:rPr>
                <w:highlight w:val="black"/>
              </w:rPr>
              <w:t>x</w:t>
            </w:r>
            <w:r w:rsidRPr="00CB4DEB">
              <w:rPr>
                <w:highlight w:val="black"/>
              </w:rPr>
              <w:t>x</w:t>
            </w:r>
            <w:proofErr w:type="spellEnd"/>
          </w:p>
        </w:tc>
        <w:tc>
          <w:tcPr>
            <w:tcW w:w="1503" w:type="dxa"/>
          </w:tcPr>
          <w:p w14:paraId="64F17211" w14:textId="0D747B07" w:rsidR="009960BB" w:rsidRPr="001D105D" w:rsidRDefault="009960BB" w:rsidP="009960BB">
            <w:pPr>
              <w:jc w:val="center"/>
            </w:pPr>
            <w:proofErr w:type="spellStart"/>
            <w:r w:rsidRPr="00CB4DEB">
              <w:rPr>
                <w:highlight w:val="black"/>
              </w:rPr>
              <w:t>xx</w:t>
            </w:r>
            <w:r>
              <w:rPr>
                <w:highlight w:val="black"/>
              </w:rPr>
              <w:t>x</w:t>
            </w:r>
            <w:r w:rsidRPr="00CB4DEB">
              <w:rPr>
                <w:highlight w:val="black"/>
              </w:rPr>
              <w:t>x</w:t>
            </w:r>
            <w:proofErr w:type="spellEnd"/>
          </w:p>
        </w:tc>
        <w:tc>
          <w:tcPr>
            <w:tcW w:w="1503" w:type="dxa"/>
          </w:tcPr>
          <w:p w14:paraId="1DB1D15E" w14:textId="48A069C6" w:rsidR="009960BB" w:rsidRPr="001D105D" w:rsidRDefault="009960BB" w:rsidP="009960BB">
            <w:pPr>
              <w:jc w:val="center"/>
            </w:pPr>
            <w:proofErr w:type="spellStart"/>
            <w:r w:rsidRPr="00CB4DEB">
              <w:rPr>
                <w:highlight w:val="black"/>
              </w:rPr>
              <w:t>x</w:t>
            </w:r>
            <w:r>
              <w:rPr>
                <w:highlight w:val="black"/>
              </w:rPr>
              <w:t>x</w:t>
            </w:r>
            <w:r w:rsidRPr="00CB4DEB">
              <w:rPr>
                <w:highlight w:val="black"/>
              </w:rPr>
              <w:t>xx</w:t>
            </w:r>
            <w:proofErr w:type="spellEnd"/>
          </w:p>
        </w:tc>
      </w:tr>
    </w:tbl>
    <w:p w14:paraId="74F3460B" w14:textId="77777777" w:rsidR="00A87BA1" w:rsidRPr="001D105D" w:rsidRDefault="00A87BA1" w:rsidP="00215563">
      <w:pPr>
        <w:pStyle w:val="Notes"/>
      </w:pPr>
      <w:r w:rsidRPr="001D105D">
        <w:t>Note: Figures are based on calendar years.</w:t>
      </w:r>
    </w:p>
    <w:p w14:paraId="33D30F54" w14:textId="77777777" w:rsidR="00A87BA1" w:rsidRPr="001D105D" w:rsidRDefault="00A87BA1" w:rsidP="00215563">
      <w:r w:rsidRPr="001D105D">
        <w:t>It was estimated that there would be 15.52 scripts of guanfacine per year. This was calculated as 365.25 x (1.19 units per day / 28 units per pack).</w:t>
      </w:r>
    </w:p>
    <w:p w14:paraId="36F751B2" w14:textId="77777777" w:rsidR="008C30DC" w:rsidRPr="001D105D" w:rsidRDefault="008C30DC" w:rsidP="00215563">
      <w:pPr>
        <w:pStyle w:val="Heading3"/>
      </w:pPr>
      <w:r w:rsidRPr="001D105D">
        <w:t>Analysis of actual versus predicted utilisation</w:t>
      </w:r>
    </w:p>
    <w:p w14:paraId="4905E63E" w14:textId="0C1EF7A4" w:rsidR="008C30DC" w:rsidRDefault="00446DBA" w:rsidP="00215563">
      <w:r w:rsidRPr="001D105D">
        <w:t xml:space="preserve">Table </w:t>
      </w:r>
      <w:r w:rsidR="00C70185">
        <w:t>6</w:t>
      </w:r>
      <w:r w:rsidR="008C30DC" w:rsidRPr="001D105D">
        <w:t xml:space="preserve"> presents the</w:t>
      </w:r>
      <w:r w:rsidR="00633A89" w:rsidRPr="001D105D">
        <w:t xml:space="preserve"> predic</w:t>
      </w:r>
      <w:r w:rsidR="008C30DC" w:rsidRPr="001D105D">
        <w:t xml:space="preserve">ted versus actual utilisation </w:t>
      </w:r>
      <w:r w:rsidR="00545341" w:rsidRPr="001D105D">
        <w:t>of</w:t>
      </w:r>
      <w:r w:rsidR="008C30DC" w:rsidRPr="001D105D">
        <w:t xml:space="preserve"> </w:t>
      </w:r>
      <w:r w:rsidR="00A87BA1" w:rsidRPr="001D105D">
        <w:t>guanfacine</w:t>
      </w:r>
      <w:r w:rsidR="008C30DC" w:rsidRPr="001D105D">
        <w:t xml:space="preserve">. The results presented are based on date of supply. As a result, there may be small differences between publicly available </w:t>
      </w:r>
      <w:r w:rsidR="00A87BA1" w:rsidRPr="001D105D">
        <w:t>Services Australia</w:t>
      </w:r>
      <w:r w:rsidR="008C30DC" w:rsidRPr="001D105D">
        <w:t xml:space="preserve"> dates of processing data.</w:t>
      </w:r>
    </w:p>
    <w:p w14:paraId="1B0EF791" w14:textId="77777777" w:rsidR="00F82BB0" w:rsidRPr="001D105D" w:rsidRDefault="00F82BB0" w:rsidP="00215563"/>
    <w:p w14:paraId="13FEDF6E" w14:textId="2907B60C" w:rsidR="00A87BA1" w:rsidRPr="001D105D" w:rsidRDefault="00A87BA1" w:rsidP="00215563">
      <w:pPr>
        <w:pStyle w:val="Tabletitle"/>
      </w:pPr>
      <w:r w:rsidRPr="001D105D">
        <w:lastRenderedPageBreak/>
        <w:t xml:space="preserve">Table </w:t>
      </w:r>
      <w:r w:rsidR="00C70185">
        <w:t>6</w:t>
      </w:r>
      <w:r w:rsidRPr="001D105D">
        <w:t xml:space="preserve">. Guanfacine: actual versus predicted utilisation </w:t>
      </w:r>
    </w:p>
    <w:tbl>
      <w:tblPr>
        <w:tblStyle w:val="TableGrid"/>
        <w:tblW w:w="9067" w:type="dxa"/>
        <w:tblLook w:val="04A0" w:firstRow="1" w:lastRow="0" w:firstColumn="1" w:lastColumn="0" w:noHBand="0" w:noVBand="1"/>
      </w:tblPr>
      <w:tblGrid>
        <w:gridCol w:w="1921"/>
        <w:gridCol w:w="1726"/>
        <w:gridCol w:w="1861"/>
        <w:gridCol w:w="1771"/>
        <w:gridCol w:w="1788"/>
      </w:tblGrid>
      <w:tr w:rsidR="00A87BA1" w:rsidRPr="001D105D" w14:paraId="039863E8" w14:textId="77777777" w:rsidTr="00215563">
        <w:tc>
          <w:tcPr>
            <w:tcW w:w="1921" w:type="dxa"/>
            <w:tcBorders>
              <w:bottom w:val="single" w:sz="4" w:space="0" w:color="auto"/>
            </w:tcBorders>
            <w:shd w:val="clear" w:color="auto" w:fill="BFBFBF" w:themeFill="background1" w:themeFillShade="BF"/>
          </w:tcPr>
          <w:p w14:paraId="33599B9D" w14:textId="77777777" w:rsidR="00A87BA1" w:rsidRPr="001D105D" w:rsidRDefault="00A87BA1" w:rsidP="00215563">
            <w:pPr>
              <w:rPr>
                <w:b/>
                <w:sz w:val="20"/>
                <w:szCs w:val="20"/>
              </w:rPr>
            </w:pPr>
            <w:r w:rsidRPr="001D105D">
              <w:rPr>
                <w:b/>
                <w:sz w:val="20"/>
                <w:szCs w:val="20"/>
              </w:rPr>
              <w:t>Parameter</w:t>
            </w:r>
          </w:p>
        </w:tc>
        <w:tc>
          <w:tcPr>
            <w:tcW w:w="1726" w:type="dxa"/>
            <w:shd w:val="clear" w:color="auto" w:fill="BFBFBF" w:themeFill="background1" w:themeFillShade="BF"/>
          </w:tcPr>
          <w:p w14:paraId="0FB397E7" w14:textId="77777777" w:rsidR="00A87BA1" w:rsidRPr="001D105D" w:rsidRDefault="00A87BA1" w:rsidP="00215563">
            <w:pPr>
              <w:jc w:val="center"/>
              <w:rPr>
                <w:b/>
                <w:sz w:val="20"/>
                <w:szCs w:val="20"/>
              </w:rPr>
            </w:pPr>
            <w:r w:rsidRPr="001D105D">
              <w:rPr>
                <w:b/>
                <w:sz w:val="20"/>
                <w:szCs w:val="20"/>
              </w:rPr>
              <w:t>Difference</w:t>
            </w:r>
          </w:p>
        </w:tc>
        <w:tc>
          <w:tcPr>
            <w:tcW w:w="1861" w:type="dxa"/>
            <w:shd w:val="clear" w:color="auto" w:fill="BFBFBF" w:themeFill="background1" w:themeFillShade="BF"/>
          </w:tcPr>
          <w:p w14:paraId="77D71F6E" w14:textId="008FA49B" w:rsidR="00A87BA1" w:rsidRPr="001D105D" w:rsidRDefault="00A87BA1" w:rsidP="00215563">
            <w:pPr>
              <w:jc w:val="center"/>
              <w:rPr>
                <w:b/>
                <w:sz w:val="20"/>
                <w:szCs w:val="20"/>
              </w:rPr>
            </w:pPr>
            <w:r w:rsidRPr="001D105D">
              <w:rPr>
                <w:b/>
                <w:sz w:val="20"/>
                <w:szCs w:val="20"/>
              </w:rPr>
              <w:t>Year 1</w:t>
            </w:r>
          </w:p>
          <w:p w14:paraId="12DDA6BD" w14:textId="77777777" w:rsidR="00A87BA1" w:rsidRPr="001D105D" w:rsidRDefault="00A87BA1" w:rsidP="00215563">
            <w:pPr>
              <w:jc w:val="center"/>
              <w:rPr>
                <w:b/>
                <w:sz w:val="20"/>
                <w:szCs w:val="20"/>
              </w:rPr>
            </w:pPr>
            <w:r w:rsidRPr="001D105D">
              <w:rPr>
                <w:b/>
                <w:sz w:val="20"/>
                <w:szCs w:val="20"/>
              </w:rPr>
              <w:t>(Sept 2018 – Aug 2019)</w:t>
            </w:r>
          </w:p>
        </w:tc>
        <w:tc>
          <w:tcPr>
            <w:tcW w:w="1771" w:type="dxa"/>
            <w:shd w:val="clear" w:color="auto" w:fill="BFBFBF" w:themeFill="background1" w:themeFillShade="BF"/>
          </w:tcPr>
          <w:p w14:paraId="5C526A2A" w14:textId="77777777" w:rsidR="00A87BA1" w:rsidRPr="001D105D" w:rsidRDefault="00A87BA1" w:rsidP="00215563">
            <w:pPr>
              <w:jc w:val="center"/>
              <w:rPr>
                <w:b/>
                <w:sz w:val="20"/>
                <w:szCs w:val="20"/>
              </w:rPr>
            </w:pPr>
            <w:r w:rsidRPr="001D105D">
              <w:rPr>
                <w:b/>
                <w:sz w:val="20"/>
                <w:szCs w:val="20"/>
              </w:rPr>
              <w:t>Year 2</w:t>
            </w:r>
          </w:p>
          <w:p w14:paraId="60BFAE5D" w14:textId="77777777" w:rsidR="00A87BA1" w:rsidRPr="001D105D" w:rsidRDefault="00A87BA1" w:rsidP="00215563">
            <w:pPr>
              <w:jc w:val="center"/>
              <w:rPr>
                <w:b/>
                <w:sz w:val="20"/>
                <w:szCs w:val="20"/>
              </w:rPr>
            </w:pPr>
            <w:r w:rsidRPr="001D105D">
              <w:rPr>
                <w:b/>
                <w:sz w:val="20"/>
                <w:szCs w:val="20"/>
              </w:rPr>
              <w:t>(Sept 2019 – Aug 2020)</w:t>
            </w:r>
          </w:p>
        </w:tc>
        <w:tc>
          <w:tcPr>
            <w:tcW w:w="1788" w:type="dxa"/>
            <w:shd w:val="clear" w:color="auto" w:fill="BFBFBF" w:themeFill="background1" w:themeFillShade="BF"/>
          </w:tcPr>
          <w:p w14:paraId="34910F36" w14:textId="77777777" w:rsidR="00A87BA1" w:rsidRPr="001D105D" w:rsidRDefault="00A87BA1" w:rsidP="00215563">
            <w:pPr>
              <w:jc w:val="center"/>
              <w:rPr>
                <w:b/>
                <w:sz w:val="20"/>
                <w:szCs w:val="20"/>
              </w:rPr>
            </w:pPr>
            <w:r w:rsidRPr="001D105D">
              <w:rPr>
                <w:b/>
                <w:sz w:val="20"/>
                <w:szCs w:val="20"/>
              </w:rPr>
              <w:t>Year 3</w:t>
            </w:r>
          </w:p>
          <w:p w14:paraId="3C0153E6" w14:textId="77777777" w:rsidR="00A87BA1" w:rsidRPr="001D105D" w:rsidRDefault="00A87BA1" w:rsidP="00215563">
            <w:pPr>
              <w:jc w:val="center"/>
              <w:rPr>
                <w:b/>
                <w:sz w:val="20"/>
                <w:szCs w:val="20"/>
              </w:rPr>
            </w:pPr>
            <w:r w:rsidRPr="001D105D">
              <w:rPr>
                <w:b/>
                <w:sz w:val="20"/>
                <w:szCs w:val="20"/>
              </w:rPr>
              <w:t>YTD</w:t>
            </w:r>
          </w:p>
          <w:p w14:paraId="19FC6AC2" w14:textId="57E83712" w:rsidR="00A87BA1" w:rsidRPr="001D105D" w:rsidRDefault="00A87BA1" w:rsidP="00215563">
            <w:pPr>
              <w:jc w:val="center"/>
              <w:rPr>
                <w:b/>
                <w:sz w:val="20"/>
                <w:szCs w:val="20"/>
              </w:rPr>
            </w:pPr>
            <w:r w:rsidRPr="001D105D">
              <w:rPr>
                <w:b/>
                <w:sz w:val="20"/>
                <w:szCs w:val="20"/>
              </w:rPr>
              <w:t>(Sept 20</w:t>
            </w:r>
            <w:r w:rsidR="00EC1AD9" w:rsidRPr="001D105D">
              <w:rPr>
                <w:b/>
                <w:sz w:val="20"/>
                <w:szCs w:val="20"/>
              </w:rPr>
              <w:t>20</w:t>
            </w:r>
            <w:r w:rsidRPr="001D105D">
              <w:rPr>
                <w:b/>
                <w:sz w:val="20"/>
                <w:szCs w:val="20"/>
              </w:rPr>
              <w:t xml:space="preserve"> – </w:t>
            </w:r>
            <w:r w:rsidR="00EC1AD9" w:rsidRPr="001D105D">
              <w:rPr>
                <w:b/>
                <w:sz w:val="20"/>
                <w:szCs w:val="20"/>
              </w:rPr>
              <w:t>Aug</w:t>
            </w:r>
            <w:r w:rsidRPr="001D105D">
              <w:rPr>
                <w:b/>
                <w:sz w:val="20"/>
                <w:szCs w:val="20"/>
              </w:rPr>
              <w:t xml:space="preserve"> 2021)</w:t>
            </w:r>
          </w:p>
        </w:tc>
      </w:tr>
      <w:tr w:rsidR="00A87BA1" w:rsidRPr="001D105D" w14:paraId="0F7954BE" w14:textId="77777777" w:rsidTr="00215563">
        <w:tc>
          <w:tcPr>
            <w:tcW w:w="1921" w:type="dxa"/>
            <w:tcBorders>
              <w:bottom w:val="nil"/>
            </w:tcBorders>
          </w:tcPr>
          <w:p w14:paraId="083D5D14" w14:textId="77777777" w:rsidR="00A87BA1" w:rsidRPr="001D105D" w:rsidRDefault="00A87BA1" w:rsidP="00215563">
            <w:pPr>
              <w:rPr>
                <w:sz w:val="20"/>
                <w:szCs w:val="20"/>
              </w:rPr>
            </w:pPr>
            <w:r w:rsidRPr="001D105D">
              <w:rPr>
                <w:sz w:val="20"/>
                <w:szCs w:val="20"/>
              </w:rPr>
              <w:t>Number of scripts dispensed</w:t>
            </w:r>
          </w:p>
        </w:tc>
        <w:tc>
          <w:tcPr>
            <w:tcW w:w="1726" w:type="dxa"/>
          </w:tcPr>
          <w:p w14:paraId="352878AC" w14:textId="77777777" w:rsidR="00A87BA1" w:rsidRPr="001D105D" w:rsidRDefault="00A87BA1" w:rsidP="00215563">
            <w:pPr>
              <w:jc w:val="center"/>
              <w:rPr>
                <w:sz w:val="20"/>
                <w:szCs w:val="20"/>
              </w:rPr>
            </w:pPr>
            <w:r w:rsidRPr="001D105D">
              <w:rPr>
                <w:sz w:val="20"/>
                <w:szCs w:val="20"/>
              </w:rPr>
              <w:t>Predicted (P)</w:t>
            </w:r>
          </w:p>
          <w:p w14:paraId="6CAA1EFF" w14:textId="77777777" w:rsidR="00A87BA1" w:rsidRPr="001D105D" w:rsidRDefault="00A87BA1" w:rsidP="00215563">
            <w:pPr>
              <w:jc w:val="center"/>
              <w:rPr>
                <w:sz w:val="20"/>
                <w:szCs w:val="20"/>
              </w:rPr>
            </w:pPr>
          </w:p>
        </w:tc>
        <w:tc>
          <w:tcPr>
            <w:tcW w:w="1861" w:type="dxa"/>
          </w:tcPr>
          <w:p w14:paraId="55740589" w14:textId="77777777" w:rsidR="00A87BA1" w:rsidRPr="001D105D" w:rsidRDefault="00A87BA1" w:rsidP="00215563">
            <w:pPr>
              <w:jc w:val="center"/>
              <w:rPr>
                <w:sz w:val="20"/>
                <w:szCs w:val="20"/>
              </w:rPr>
            </w:pPr>
            <w:r w:rsidRPr="001D105D">
              <w:rPr>
                <w:sz w:val="20"/>
                <w:szCs w:val="20"/>
              </w:rPr>
              <w:t>35,335</w:t>
            </w:r>
          </w:p>
        </w:tc>
        <w:tc>
          <w:tcPr>
            <w:tcW w:w="1771" w:type="dxa"/>
          </w:tcPr>
          <w:p w14:paraId="5F053DFF" w14:textId="77777777" w:rsidR="00A87BA1" w:rsidRPr="001D105D" w:rsidRDefault="00A87BA1" w:rsidP="00215563">
            <w:pPr>
              <w:jc w:val="center"/>
              <w:rPr>
                <w:sz w:val="20"/>
                <w:szCs w:val="20"/>
              </w:rPr>
            </w:pPr>
            <w:r w:rsidRPr="001D105D">
              <w:rPr>
                <w:sz w:val="20"/>
                <w:szCs w:val="20"/>
              </w:rPr>
              <w:t>49,926</w:t>
            </w:r>
          </w:p>
        </w:tc>
        <w:tc>
          <w:tcPr>
            <w:tcW w:w="1788" w:type="dxa"/>
          </w:tcPr>
          <w:p w14:paraId="672848AF" w14:textId="08D90C19" w:rsidR="00A87BA1" w:rsidRPr="001D105D" w:rsidRDefault="009960BB" w:rsidP="00215563">
            <w:pPr>
              <w:jc w:val="center"/>
              <w:rPr>
                <w:sz w:val="20"/>
                <w:szCs w:val="20"/>
              </w:rPr>
            </w:pPr>
            <w:proofErr w:type="spellStart"/>
            <w:r w:rsidRPr="009960BB">
              <w:rPr>
                <w:sz w:val="20"/>
                <w:szCs w:val="20"/>
                <w:highlight w:val="black"/>
              </w:rPr>
              <w:t>xxxxxx</w:t>
            </w:r>
            <w:proofErr w:type="spellEnd"/>
          </w:p>
        </w:tc>
      </w:tr>
      <w:tr w:rsidR="00A87BA1" w:rsidRPr="001D105D" w14:paraId="62F47D95" w14:textId="77777777" w:rsidTr="00215563">
        <w:tc>
          <w:tcPr>
            <w:tcW w:w="1921" w:type="dxa"/>
            <w:tcBorders>
              <w:top w:val="nil"/>
              <w:bottom w:val="nil"/>
            </w:tcBorders>
          </w:tcPr>
          <w:p w14:paraId="3CB4B778" w14:textId="77777777" w:rsidR="00A87BA1" w:rsidRPr="001D105D" w:rsidRDefault="00A87BA1" w:rsidP="00215563">
            <w:pPr>
              <w:rPr>
                <w:sz w:val="20"/>
                <w:szCs w:val="20"/>
              </w:rPr>
            </w:pPr>
          </w:p>
        </w:tc>
        <w:tc>
          <w:tcPr>
            <w:tcW w:w="1726" w:type="dxa"/>
          </w:tcPr>
          <w:p w14:paraId="7BEF4424" w14:textId="77777777" w:rsidR="00A87BA1" w:rsidRPr="001D105D" w:rsidRDefault="00A87BA1" w:rsidP="00215563">
            <w:pPr>
              <w:jc w:val="center"/>
              <w:rPr>
                <w:sz w:val="20"/>
                <w:szCs w:val="20"/>
              </w:rPr>
            </w:pPr>
            <w:r w:rsidRPr="001D105D">
              <w:rPr>
                <w:sz w:val="20"/>
                <w:szCs w:val="20"/>
              </w:rPr>
              <w:t>Actual (A)</w:t>
            </w:r>
          </w:p>
        </w:tc>
        <w:tc>
          <w:tcPr>
            <w:tcW w:w="1861" w:type="dxa"/>
          </w:tcPr>
          <w:p w14:paraId="25161935" w14:textId="0DC15455" w:rsidR="00A87BA1" w:rsidRPr="001D105D" w:rsidRDefault="00EC1AD9" w:rsidP="00215563">
            <w:pPr>
              <w:jc w:val="center"/>
              <w:rPr>
                <w:sz w:val="20"/>
                <w:szCs w:val="20"/>
              </w:rPr>
            </w:pPr>
            <w:r w:rsidRPr="001D105D">
              <w:rPr>
                <w:sz w:val="20"/>
                <w:szCs w:val="20"/>
              </w:rPr>
              <w:t>74,725</w:t>
            </w:r>
          </w:p>
        </w:tc>
        <w:tc>
          <w:tcPr>
            <w:tcW w:w="1771" w:type="dxa"/>
          </w:tcPr>
          <w:p w14:paraId="5BD1D11B" w14:textId="76BF730D" w:rsidR="00A87BA1" w:rsidRPr="001D105D" w:rsidRDefault="00EC1AD9" w:rsidP="00215563">
            <w:pPr>
              <w:jc w:val="center"/>
              <w:rPr>
                <w:sz w:val="20"/>
                <w:szCs w:val="20"/>
              </w:rPr>
            </w:pPr>
            <w:r w:rsidRPr="001D105D">
              <w:rPr>
                <w:sz w:val="20"/>
                <w:szCs w:val="20"/>
              </w:rPr>
              <w:t>177,301</w:t>
            </w:r>
          </w:p>
        </w:tc>
        <w:tc>
          <w:tcPr>
            <w:tcW w:w="1788" w:type="dxa"/>
          </w:tcPr>
          <w:p w14:paraId="1B4FE442" w14:textId="280DD38A" w:rsidR="00A87BA1" w:rsidRPr="001D105D" w:rsidRDefault="00EC1AD9" w:rsidP="00215563">
            <w:pPr>
              <w:jc w:val="center"/>
              <w:rPr>
                <w:sz w:val="20"/>
                <w:szCs w:val="20"/>
              </w:rPr>
            </w:pPr>
            <w:r w:rsidRPr="001D105D">
              <w:rPr>
                <w:sz w:val="20"/>
                <w:szCs w:val="20"/>
              </w:rPr>
              <w:t>Incomplete data</w:t>
            </w:r>
          </w:p>
        </w:tc>
      </w:tr>
      <w:tr w:rsidR="00A87BA1" w:rsidRPr="001D105D" w14:paraId="27F74150" w14:textId="77777777" w:rsidTr="00215563">
        <w:tc>
          <w:tcPr>
            <w:tcW w:w="1921" w:type="dxa"/>
            <w:tcBorders>
              <w:top w:val="nil"/>
              <w:bottom w:val="single" w:sz="4" w:space="0" w:color="auto"/>
            </w:tcBorders>
          </w:tcPr>
          <w:p w14:paraId="5882B384" w14:textId="77777777" w:rsidR="00A87BA1" w:rsidRPr="001D105D" w:rsidRDefault="00A87BA1" w:rsidP="00215563">
            <w:pPr>
              <w:rPr>
                <w:sz w:val="20"/>
                <w:szCs w:val="20"/>
              </w:rPr>
            </w:pPr>
          </w:p>
        </w:tc>
        <w:tc>
          <w:tcPr>
            <w:tcW w:w="1726" w:type="dxa"/>
          </w:tcPr>
          <w:p w14:paraId="292DA87F" w14:textId="77777777" w:rsidR="00A87BA1" w:rsidRPr="001D105D" w:rsidRDefault="00A87BA1" w:rsidP="00215563">
            <w:pPr>
              <w:jc w:val="center"/>
              <w:rPr>
                <w:sz w:val="20"/>
                <w:szCs w:val="20"/>
              </w:rPr>
            </w:pPr>
            <w:r w:rsidRPr="001D105D">
              <w:rPr>
                <w:sz w:val="20"/>
                <w:szCs w:val="20"/>
              </w:rPr>
              <w:t>Difference (%)</w:t>
            </w:r>
          </w:p>
          <w:p w14:paraId="57A5C5EF" w14:textId="0D0CF619" w:rsidR="00A87BA1" w:rsidRPr="001D105D" w:rsidRDefault="00A87BA1" w:rsidP="00215563">
            <w:pPr>
              <w:jc w:val="center"/>
              <w:rPr>
                <w:sz w:val="20"/>
                <w:szCs w:val="20"/>
              </w:rPr>
            </w:pPr>
            <w:r w:rsidRPr="001D105D">
              <w:rPr>
                <w:sz w:val="20"/>
                <w:szCs w:val="20"/>
              </w:rPr>
              <w:t>((P-A)/</w:t>
            </w:r>
            <w:r w:rsidR="00FB614B" w:rsidRPr="001D105D">
              <w:rPr>
                <w:sz w:val="20"/>
                <w:szCs w:val="20"/>
              </w:rPr>
              <w:t>P</w:t>
            </w:r>
            <w:r w:rsidRPr="001D105D">
              <w:rPr>
                <w:sz w:val="20"/>
                <w:szCs w:val="20"/>
              </w:rPr>
              <w:t>) x 100</w:t>
            </w:r>
          </w:p>
        </w:tc>
        <w:tc>
          <w:tcPr>
            <w:tcW w:w="1861" w:type="dxa"/>
          </w:tcPr>
          <w:p w14:paraId="45A5756A" w14:textId="4B59944D" w:rsidR="00A87BA1" w:rsidRPr="001D105D" w:rsidRDefault="00FB614B" w:rsidP="00215563">
            <w:pPr>
              <w:jc w:val="center"/>
              <w:rPr>
                <w:sz w:val="20"/>
                <w:szCs w:val="20"/>
              </w:rPr>
            </w:pPr>
            <w:r w:rsidRPr="001D105D">
              <w:rPr>
                <w:sz w:val="20"/>
                <w:szCs w:val="20"/>
              </w:rPr>
              <w:t>111%</w:t>
            </w:r>
          </w:p>
          <w:p w14:paraId="0DA74BB4" w14:textId="4846227A" w:rsidR="00FB614B" w:rsidRPr="001D105D" w:rsidRDefault="00FB614B" w:rsidP="00215563">
            <w:pPr>
              <w:jc w:val="center"/>
              <w:rPr>
                <w:sz w:val="20"/>
                <w:szCs w:val="20"/>
              </w:rPr>
            </w:pPr>
          </w:p>
        </w:tc>
        <w:tc>
          <w:tcPr>
            <w:tcW w:w="1771" w:type="dxa"/>
          </w:tcPr>
          <w:p w14:paraId="660FDEC0" w14:textId="68547A0F" w:rsidR="00A87BA1" w:rsidRPr="001D105D" w:rsidRDefault="001C7F9C" w:rsidP="00215563">
            <w:pPr>
              <w:jc w:val="center"/>
              <w:rPr>
                <w:sz w:val="20"/>
                <w:szCs w:val="20"/>
              </w:rPr>
            </w:pPr>
            <w:r w:rsidRPr="001D105D">
              <w:rPr>
                <w:sz w:val="20"/>
                <w:szCs w:val="20"/>
              </w:rPr>
              <w:t>255</w:t>
            </w:r>
            <w:r w:rsidR="00FB614B" w:rsidRPr="001D105D">
              <w:rPr>
                <w:sz w:val="20"/>
                <w:szCs w:val="20"/>
              </w:rPr>
              <w:t>%</w:t>
            </w:r>
          </w:p>
        </w:tc>
        <w:tc>
          <w:tcPr>
            <w:tcW w:w="1788" w:type="dxa"/>
          </w:tcPr>
          <w:p w14:paraId="09E16BF5" w14:textId="4ECD73EB" w:rsidR="00A87BA1" w:rsidRPr="001D105D" w:rsidRDefault="00FB614B" w:rsidP="00215563">
            <w:pPr>
              <w:jc w:val="center"/>
              <w:rPr>
                <w:sz w:val="20"/>
                <w:szCs w:val="20"/>
              </w:rPr>
            </w:pPr>
            <w:r w:rsidRPr="001D105D">
              <w:rPr>
                <w:sz w:val="20"/>
                <w:szCs w:val="20"/>
              </w:rPr>
              <w:t>-</w:t>
            </w:r>
          </w:p>
        </w:tc>
      </w:tr>
    </w:tbl>
    <w:p w14:paraId="2F8FD13E" w14:textId="1A6770C7" w:rsidR="00A87BA1" w:rsidRPr="001D105D" w:rsidRDefault="00A87BA1" w:rsidP="00215563">
      <w:pPr>
        <w:spacing w:after="0"/>
        <w:rPr>
          <w:sz w:val="20"/>
          <w:szCs w:val="20"/>
        </w:rPr>
      </w:pPr>
      <w:r w:rsidRPr="001D105D">
        <w:rPr>
          <w:sz w:val="20"/>
          <w:szCs w:val="20"/>
        </w:rPr>
        <w:t xml:space="preserve">Note: The estimated figures are based on the agreed financial estimates model. The estimated figures are adjusted for the listing date of 1 September and presented in listing years. e.g. The first listing year figures for September 2018 to August 2019 are calculated as: 4/12 x 2018 calendar year + 8/12 x 2019 calendar year. </w:t>
      </w:r>
    </w:p>
    <w:p w14:paraId="0C4B74B0" w14:textId="348E48C9" w:rsidR="008C30DC" w:rsidRPr="001D105D" w:rsidRDefault="008C30DC" w:rsidP="00215563">
      <w:pPr>
        <w:pStyle w:val="Figurecaption"/>
      </w:pPr>
    </w:p>
    <w:p w14:paraId="45C84427" w14:textId="41CA58D8" w:rsidR="00C21B9D" w:rsidRPr="001D105D" w:rsidRDefault="008C30DC" w:rsidP="00215563">
      <w:r w:rsidRPr="001D105D">
        <w:t xml:space="preserve">In the first year of listing, </w:t>
      </w:r>
      <w:r w:rsidR="003C4AB2" w:rsidRPr="001D105D">
        <w:t>the number of p</w:t>
      </w:r>
      <w:r w:rsidR="00FB614B" w:rsidRPr="001D105D">
        <w:t xml:space="preserve">rescriptions dispensed </w:t>
      </w:r>
      <w:r w:rsidRPr="001D105D">
        <w:t xml:space="preserve">for </w:t>
      </w:r>
      <w:r w:rsidR="00FB614B" w:rsidRPr="001D105D">
        <w:t xml:space="preserve">guanfacine </w:t>
      </w:r>
      <w:r w:rsidRPr="001D105D">
        <w:t xml:space="preserve">was </w:t>
      </w:r>
      <w:r w:rsidR="002C2B59" w:rsidRPr="001D105D">
        <w:t>much</w:t>
      </w:r>
      <w:r w:rsidR="00A46FA4" w:rsidRPr="001D105D">
        <w:t xml:space="preserve"> </w:t>
      </w:r>
      <w:r w:rsidRPr="001D105D">
        <w:t xml:space="preserve">higher </w:t>
      </w:r>
      <w:r w:rsidR="002C2B59" w:rsidRPr="001D105D">
        <w:t>(</w:t>
      </w:r>
      <w:r w:rsidR="00342CDC" w:rsidRPr="001D105D">
        <w:t>2.</w:t>
      </w:r>
      <w:r w:rsidR="002C3C1E" w:rsidRPr="001D105D">
        <w:t>1</w:t>
      </w:r>
      <w:r w:rsidR="00342CDC" w:rsidRPr="001D105D">
        <w:t xml:space="preserve"> fold</w:t>
      </w:r>
      <w:r w:rsidR="002C2B59" w:rsidRPr="001D105D">
        <w:t xml:space="preserve">) </w:t>
      </w:r>
      <w:r w:rsidRPr="001D105D">
        <w:t xml:space="preserve">than the number predicted. </w:t>
      </w:r>
    </w:p>
    <w:p w14:paraId="2EEB5932" w14:textId="2B780C06" w:rsidR="00DF3A50" w:rsidRPr="001D105D" w:rsidRDefault="008C30DC" w:rsidP="00215563">
      <w:r w:rsidRPr="001D105D">
        <w:t>In the second ye</w:t>
      </w:r>
      <w:r w:rsidR="00EC4729" w:rsidRPr="001D105D">
        <w:t xml:space="preserve">ar of listing, the number of </w:t>
      </w:r>
      <w:r w:rsidR="00FB614B" w:rsidRPr="001D105D">
        <w:t xml:space="preserve">prescriptions dispensed </w:t>
      </w:r>
      <w:r w:rsidR="00EC4729" w:rsidRPr="001D105D">
        <w:t xml:space="preserve">was </w:t>
      </w:r>
      <w:r w:rsidR="002C2B59" w:rsidRPr="001D105D">
        <w:t xml:space="preserve">also </w:t>
      </w:r>
      <w:r w:rsidRPr="001D105D">
        <w:t xml:space="preserve">substantially </w:t>
      </w:r>
      <w:r w:rsidR="00EC4729" w:rsidRPr="001D105D">
        <w:t xml:space="preserve">higher at </w:t>
      </w:r>
      <w:r w:rsidR="002C3C1E" w:rsidRPr="001D105D">
        <w:t>3.6</w:t>
      </w:r>
      <w:r w:rsidR="00342CDC" w:rsidRPr="001D105D">
        <w:t xml:space="preserve"> fold</w:t>
      </w:r>
      <w:r w:rsidRPr="001D105D">
        <w:t xml:space="preserve"> above the expected number. </w:t>
      </w:r>
    </w:p>
    <w:p w14:paraId="15C9A284" w14:textId="77777777" w:rsidR="00C21B9D" w:rsidRPr="001D105D" w:rsidRDefault="00C21B9D" w:rsidP="00215563">
      <w:pPr>
        <w:spacing w:line="276" w:lineRule="auto"/>
        <w:rPr>
          <w:b/>
          <w:i/>
          <w:szCs w:val="28"/>
        </w:rPr>
      </w:pPr>
      <w:r w:rsidRPr="001D105D">
        <w:rPr>
          <w:b/>
          <w:i/>
        </w:rPr>
        <w:t>Prescriptions per patient</w:t>
      </w:r>
    </w:p>
    <w:p w14:paraId="73C50022" w14:textId="2CD6EE9D" w:rsidR="00EA7E34" w:rsidRPr="001D105D" w:rsidRDefault="002B0389" w:rsidP="00215563">
      <w:r w:rsidRPr="001D105D">
        <w:t>The number of prescriptions per patient in the 12 months after ini</w:t>
      </w:r>
      <w:r w:rsidR="00D47DCF" w:rsidRPr="001D105D">
        <w:t>t</w:t>
      </w:r>
      <w:r w:rsidR="00446DBA" w:rsidRPr="001D105D">
        <w:t xml:space="preserve">iation was calculated </w:t>
      </w:r>
      <w:r w:rsidRPr="001D105D">
        <w:t xml:space="preserve">for </w:t>
      </w:r>
      <w:proofErr w:type="gramStart"/>
      <w:r w:rsidR="00EA7E34" w:rsidRPr="001D105D">
        <w:t xml:space="preserve">guanfacine </w:t>
      </w:r>
      <w:r w:rsidRPr="001D105D">
        <w:t xml:space="preserve"> patients</w:t>
      </w:r>
      <w:proofErr w:type="gramEnd"/>
      <w:r w:rsidRPr="001D105D">
        <w:t xml:space="preserve"> that initiated from September 201</w:t>
      </w:r>
      <w:r w:rsidR="00EA7E34" w:rsidRPr="001D105D">
        <w:t>8</w:t>
      </w:r>
      <w:r w:rsidR="00F61A67" w:rsidRPr="001D105D">
        <w:t xml:space="preserve"> to the end of </w:t>
      </w:r>
      <w:r w:rsidR="00EA7E34" w:rsidRPr="001D105D">
        <w:t xml:space="preserve">January 2020 (n=19,647) to allow for 12 months of follow-up for each patient. </w:t>
      </w:r>
    </w:p>
    <w:p w14:paraId="0B0D84F9" w14:textId="1D027B22" w:rsidR="00EA7E34" w:rsidRPr="001D105D" w:rsidRDefault="00EA7E34" w:rsidP="00215563">
      <w:pPr>
        <w:pStyle w:val="Tabletitle"/>
      </w:pPr>
      <w:r w:rsidRPr="001D105D">
        <w:t xml:space="preserve">Table </w:t>
      </w:r>
      <w:r w:rsidR="00C70185">
        <w:t>7</w:t>
      </w:r>
      <w:r w:rsidRPr="001D105D">
        <w:t xml:space="preserve"> Distribution prescription per patient</w:t>
      </w:r>
    </w:p>
    <w:tbl>
      <w:tblPr>
        <w:tblStyle w:val="TableGrid"/>
        <w:tblW w:w="0" w:type="auto"/>
        <w:tblLook w:val="04A0" w:firstRow="1" w:lastRow="0" w:firstColumn="1" w:lastColumn="0" w:noHBand="0" w:noVBand="1"/>
      </w:tblPr>
      <w:tblGrid>
        <w:gridCol w:w="1789"/>
        <w:gridCol w:w="1789"/>
        <w:gridCol w:w="1789"/>
        <w:gridCol w:w="1790"/>
        <w:gridCol w:w="1790"/>
      </w:tblGrid>
      <w:tr w:rsidR="00EA7E34" w:rsidRPr="00511D6E" w14:paraId="04C31F89" w14:textId="77777777" w:rsidTr="00511D6E">
        <w:tc>
          <w:tcPr>
            <w:tcW w:w="1789" w:type="dxa"/>
            <w:shd w:val="clear" w:color="auto" w:fill="BFBFBF" w:themeFill="background1" w:themeFillShade="BF"/>
          </w:tcPr>
          <w:p w14:paraId="27288455" w14:textId="5372CEE4" w:rsidR="00EA7E34" w:rsidRPr="00511D6E" w:rsidRDefault="00EA7E34" w:rsidP="00215563">
            <w:pPr>
              <w:rPr>
                <w:sz w:val="20"/>
                <w:szCs w:val="20"/>
              </w:rPr>
            </w:pPr>
            <w:r w:rsidRPr="00511D6E">
              <w:rPr>
                <w:sz w:val="20"/>
                <w:szCs w:val="20"/>
              </w:rPr>
              <w:t>Drug</w:t>
            </w:r>
          </w:p>
        </w:tc>
        <w:tc>
          <w:tcPr>
            <w:tcW w:w="1789" w:type="dxa"/>
            <w:shd w:val="clear" w:color="auto" w:fill="BFBFBF" w:themeFill="background1" w:themeFillShade="BF"/>
          </w:tcPr>
          <w:p w14:paraId="58696D32" w14:textId="0A283A7D" w:rsidR="00EA7E34" w:rsidRPr="00511D6E" w:rsidRDefault="00EA7E34" w:rsidP="00215563">
            <w:pPr>
              <w:rPr>
                <w:sz w:val="20"/>
                <w:szCs w:val="20"/>
              </w:rPr>
            </w:pPr>
            <w:r w:rsidRPr="00511D6E">
              <w:rPr>
                <w:sz w:val="20"/>
                <w:szCs w:val="20"/>
              </w:rPr>
              <w:t>Patient count</w:t>
            </w:r>
          </w:p>
        </w:tc>
        <w:tc>
          <w:tcPr>
            <w:tcW w:w="1789" w:type="dxa"/>
            <w:shd w:val="clear" w:color="auto" w:fill="BFBFBF" w:themeFill="background1" w:themeFillShade="BF"/>
          </w:tcPr>
          <w:p w14:paraId="5F8EF978" w14:textId="01AF0AF3" w:rsidR="00EA7E34" w:rsidRPr="00511D6E" w:rsidRDefault="00EA7E34" w:rsidP="00215563">
            <w:pPr>
              <w:rPr>
                <w:sz w:val="20"/>
                <w:szCs w:val="20"/>
              </w:rPr>
            </w:pPr>
            <w:r w:rsidRPr="00511D6E">
              <w:rPr>
                <w:sz w:val="20"/>
                <w:szCs w:val="20"/>
              </w:rPr>
              <w:t>Mean</w:t>
            </w:r>
          </w:p>
        </w:tc>
        <w:tc>
          <w:tcPr>
            <w:tcW w:w="1790" w:type="dxa"/>
            <w:shd w:val="clear" w:color="auto" w:fill="BFBFBF" w:themeFill="background1" w:themeFillShade="BF"/>
          </w:tcPr>
          <w:p w14:paraId="0B05566D" w14:textId="58D29F09" w:rsidR="00EA7E34" w:rsidRPr="00511D6E" w:rsidRDefault="00EA7E34" w:rsidP="00215563">
            <w:pPr>
              <w:rPr>
                <w:sz w:val="20"/>
                <w:szCs w:val="20"/>
              </w:rPr>
            </w:pPr>
            <w:r w:rsidRPr="00511D6E">
              <w:rPr>
                <w:sz w:val="20"/>
                <w:szCs w:val="20"/>
              </w:rPr>
              <w:t>Median</w:t>
            </w:r>
          </w:p>
        </w:tc>
        <w:tc>
          <w:tcPr>
            <w:tcW w:w="1790" w:type="dxa"/>
            <w:shd w:val="clear" w:color="auto" w:fill="BFBFBF" w:themeFill="background1" w:themeFillShade="BF"/>
          </w:tcPr>
          <w:p w14:paraId="66D1414D" w14:textId="4F1791A9" w:rsidR="00EA7E34" w:rsidRPr="00511D6E" w:rsidRDefault="00EA7E34" w:rsidP="00215563">
            <w:pPr>
              <w:rPr>
                <w:sz w:val="20"/>
                <w:szCs w:val="20"/>
              </w:rPr>
            </w:pPr>
            <w:r w:rsidRPr="00511D6E">
              <w:rPr>
                <w:sz w:val="20"/>
                <w:szCs w:val="20"/>
              </w:rPr>
              <w:t>Mode</w:t>
            </w:r>
          </w:p>
        </w:tc>
      </w:tr>
      <w:tr w:rsidR="00EA7E34" w:rsidRPr="00511D6E" w14:paraId="5ED5BBC1" w14:textId="77777777" w:rsidTr="00EA7E34">
        <w:tc>
          <w:tcPr>
            <w:tcW w:w="1789" w:type="dxa"/>
          </w:tcPr>
          <w:p w14:paraId="4C9D8836" w14:textId="4676F1C1" w:rsidR="00EA7E34" w:rsidRPr="00511D6E" w:rsidRDefault="00EA7E34" w:rsidP="00215563">
            <w:pPr>
              <w:rPr>
                <w:sz w:val="20"/>
                <w:szCs w:val="20"/>
              </w:rPr>
            </w:pPr>
            <w:r w:rsidRPr="00511D6E">
              <w:rPr>
                <w:sz w:val="20"/>
                <w:szCs w:val="20"/>
              </w:rPr>
              <w:t>Guanfacine</w:t>
            </w:r>
          </w:p>
        </w:tc>
        <w:tc>
          <w:tcPr>
            <w:tcW w:w="1789" w:type="dxa"/>
          </w:tcPr>
          <w:p w14:paraId="527F575B" w14:textId="60F38BB2" w:rsidR="00EA7E34" w:rsidRPr="00511D6E" w:rsidRDefault="00EA7E34" w:rsidP="00215563">
            <w:pPr>
              <w:rPr>
                <w:sz w:val="20"/>
                <w:szCs w:val="20"/>
              </w:rPr>
            </w:pPr>
            <w:r w:rsidRPr="00511D6E">
              <w:rPr>
                <w:sz w:val="20"/>
                <w:szCs w:val="20"/>
              </w:rPr>
              <w:t>19,647</w:t>
            </w:r>
          </w:p>
        </w:tc>
        <w:tc>
          <w:tcPr>
            <w:tcW w:w="1789" w:type="dxa"/>
          </w:tcPr>
          <w:p w14:paraId="7A4732CB" w14:textId="077D24DA" w:rsidR="00EA7E34" w:rsidRPr="00511D6E" w:rsidRDefault="00EA7E34" w:rsidP="00215563">
            <w:pPr>
              <w:rPr>
                <w:sz w:val="20"/>
                <w:szCs w:val="20"/>
              </w:rPr>
            </w:pPr>
            <w:r w:rsidRPr="00511D6E">
              <w:rPr>
                <w:sz w:val="20"/>
                <w:szCs w:val="20"/>
              </w:rPr>
              <w:t>9.48</w:t>
            </w:r>
          </w:p>
        </w:tc>
        <w:tc>
          <w:tcPr>
            <w:tcW w:w="1790" w:type="dxa"/>
          </w:tcPr>
          <w:p w14:paraId="187495CD" w14:textId="0F7D40E4" w:rsidR="00EA7E34" w:rsidRPr="00511D6E" w:rsidRDefault="00EA7E34" w:rsidP="00215563">
            <w:pPr>
              <w:rPr>
                <w:sz w:val="20"/>
                <w:szCs w:val="20"/>
              </w:rPr>
            </w:pPr>
            <w:r w:rsidRPr="00511D6E">
              <w:rPr>
                <w:sz w:val="20"/>
                <w:szCs w:val="20"/>
              </w:rPr>
              <w:t>11</w:t>
            </w:r>
          </w:p>
        </w:tc>
        <w:tc>
          <w:tcPr>
            <w:tcW w:w="1790" w:type="dxa"/>
          </w:tcPr>
          <w:p w14:paraId="4BA39D48" w14:textId="1CB65E3E" w:rsidR="00EA7E34" w:rsidRPr="00511D6E" w:rsidRDefault="00EA7E34" w:rsidP="00215563">
            <w:pPr>
              <w:rPr>
                <w:sz w:val="20"/>
                <w:szCs w:val="20"/>
              </w:rPr>
            </w:pPr>
            <w:r w:rsidRPr="00511D6E">
              <w:rPr>
                <w:sz w:val="20"/>
                <w:szCs w:val="20"/>
              </w:rPr>
              <w:t>14</w:t>
            </w:r>
          </w:p>
        </w:tc>
      </w:tr>
    </w:tbl>
    <w:p w14:paraId="43067113" w14:textId="3D0CFE07" w:rsidR="00EA7E34" w:rsidRPr="001D105D" w:rsidRDefault="00EA7E34" w:rsidP="00215563"/>
    <w:p w14:paraId="5225ADEB" w14:textId="6D60D783" w:rsidR="00446DBA" w:rsidRPr="002A0397" w:rsidRDefault="00D65739" w:rsidP="00215563">
      <w:r w:rsidRPr="001D105D">
        <w:t>O</w:t>
      </w:r>
      <w:r w:rsidR="00446DBA" w:rsidRPr="001D105D">
        <w:t>ut of the</w:t>
      </w:r>
      <w:r w:rsidR="006D5593" w:rsidRPr="001D105D">
        <w:t xml:space="preserve"> </w:t>
      </w:r>
      <w:r w:rsidR="00446DBA" w:rsidRPr="001D105D">
        <w:t>1</w:t>
      </w:r>
      <w:r w:rsidR="00EA7E34" w:rsidRPr="001D105D">
        <w:t>9</w:t>
      </w:r>
      <w:r w:rsidR="00446DBA" w:rsidRPr="001D105D">
        <w:t>,</w:t>
      </w:r>
      <w:r w:rsidR="00EA7E34" w:rsidRPr="001D105D">
        <w:t>647</w:t>
      </w:r>
      <w:r w:rsidR="00446DBA" w:rsidRPr="001D105D">
        <w:t xml:space="preserve"> patients starting on </w:t>
      </w:r>
      <w:r w:rsidR="00EA7E34" w:rsidRPr="001D105D">
        <w:t>guanfacine</w:t>
      </w:r>
      <w:r w:rsidR="00446DBA" w:rsidRPr="001D105D">
        <w:t>, 1</w:t>
      </w:r>
      <w:r w:rsidR="00C42589" w:rsidRPr="001D105D">
        <w:t>1</w:t>
      </w:r>
      <w:r w:rsidR="00446DBA" w:rsidRPr="001D105D">
        <w:t>% received no further prescriptions in the 12 month period</w:t>
      </w:r>
      <w:r w:rsidRPr="001D105D">
        <w:t xml:space="preserve"> (</w:t>
      </w:r>
      <w:r w:rsidR="00C70185">
        <w:t>Table 7</w:t>
      </w:r>
      <w:r w:rsidRPr="001D105D">
        <w:t>)</w:t>
      </w:r>
      <w:r w:rsidR="00446DBA" w:rsidRPr="001D105D">
        <w:t xml:space="preserve">. On average, patients </w:t>
      </w:r>
      <w:r w:rsidR="005A1A97" w:rsidRPr="001D105D">
        <w:t>received</w:t>
      </w:r>
      <w:r w:rsidR="00446DBA" w:rsidRPr="001D105D">
        <w:t xml:space="preserve"> </w:t>
      </w:r>
      <w:r w:rsidR="00C42589" w:rsidRPr="001D105D">
        <w:t>9.48</w:t>
      </w:r>
      <w:r w:rsidR="00446DBA" w:rsidRPr="001D105D">
        <w:t xml:space="preserve"> prescriptions per year in the first year of therapy</w:t>
      </w:r>
      <w:r w:rsidR="00C42589" w:rsidRPr="001D105D">
        <w:t>. The most frequent amount of prescriptions dispensed in the first year was 14.</w:t>
      </w:r>
    </w:p>
    <w:p w14:paraId="0A8DF7ED" w14:textId="150C226B" w:rsidR="00DF3A50" w:rsidRDefault="00215BA6" w:rsidP="00215563">
      <w:r>
        <w:t>First prescriptions of guanfacine were largely prescribed by paediatricians, followed by psychiatrists (Figure 1</w:t>
      </w:r>
      <w:r w:rsidR="00EF6FF2">
        <w:t>3</w:t>
      </w:r>
      <w:r>
        <w:t xml:space="preserve">). </w:t>
      </w:r>
    </w:p>
    <w:p w14:paraId="50A63C1C" w14:textId="3779862D" w:rsidR="004B356E" w:rsidRDefault="004B356E" w:rsidP="00215563">
      <w:pPr>
        <w:jc w:val="center"/>
      </w:pPr>
      <w:r>
        <w:rPr>
          <w:noProof/>
        </w:rPr>
        <w:lastRenderedPageBreak/>
        <w:drawing>
          <wp:inline distT="0" distB="0" distL="0" distR="0" wp14:anchorId="4C1D2E0F" wp14:editId="57158225">
            <wp:extent cx="5687695" cy="3706495"/>
            <wp:effectExtent l="0" t="0" r="8255" b="8255"/>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0074567" w14:textId="748AA0CE" w:rsidR="004B356E" w:rsidRPr="002A0397" w:rsidRDefault="004B356E" w:rsidP="00215563">
      <w:r w:rsidRPr="00FD7DFD">
        <w:rPr>
          <w:rStyle w:val="FiguretitleChar"/>
        </w:rPr>
        <w:t>Figure 1</w:t>
      </w:r>
      <w:r w:rsidR="00EF6FF2">
        <w:rPr>
          <w:rStyle w:val="FiguretitleChar"/>
        </w:rPr>
        <w:t>3</w:t>
      </w:r>
      <w:r w:rsidRPr="00FD7DFD">
        <w:rPr>
          <w:rStyle w:val="FiguretitleChar"/>
        </w:rPr>
        <w:t>: Prescriber type for patients initiating ADH</w:t>
      </w:r>
      <w:r w:rsidR="007C03F1">
        <w:rPr>
          <w:rStyle w:val="FiguretitleChar"/>
        </w:rPr>
        <w:t>D therapy on guan</w:t>
      </w:r>
      <w:r w:rsidRPr="00FD7DFD">
        <w:rPr>
          <w:rStyle w:val="FiguretitleChar"/>
        </w:rPr>
        <w:t>facine by year</w:t>
      </w:r>
      <w:r w:rsidRPr="002A0397">
        <w:rPr>
          <w:rStyle w:val="FiguretitleChar"/>
          <w:b w:val="0"/>
        </w:rPr>
        <w:t xml:space="preserve"> </w:t>
      </w:r>
      <w:r w:rsidRPr="002A0397">
        <w:rPr>
          <w:rStyle w:val="FiguretitleChar"/>
          <w:b w:val="0"/>
        </w:rPr>
        <w:br/>
      </w:r>
      <w:r w:rsidRPr="00FD7DFD">
        <w:rPr>
          <w:sz w:val="20"/>
          <w:szCs w:val="20"/>
        </w:rPr>
        <w:t>Source: Services Australia prescriptions database, extracted April 2021</w:t>
      </w:r>
    </w:p>
    <w:p w14:paraId="584A3543" w14:textId="0BC548A9" w:rsidR="009D4E93" w:rsidRDefault="009D4E93" w:rsidP="00215563">
      <w:r w:rsidRPr="001D105D">
        <w:t>Figure 1</w:t>
      </w:r>
      <w:r w:rsidR="00EF6FF2" w:rsidRPr="001D105D">
        <w:t>3</w:t>
      </w:r>
      <w:r w:rsidRPr="001D105D">
        <w:t xml:space="preserve"> depicts the prescriber type for patients initiating ADHD therapy on guanfacine since </w:t>
      </w:r>
      <w:r w:rsidR="004100AB" w:rsidRPr="001D105D">
        <w:t>R/</w:t>
      </w:r>
      <w:r w:rsidRPr="001D105D">
        <w:t>PBS listing.</w:t>
      </w:r>
      <w:r>
        <w:t xml:space="preserve"> </w:t>
      </w:r>
    </w:p>
    <w:p w14:paraId="5359583F" w14:textId="77777777" w:rsidR="00FF611A" w:rsidRDefault="00FF611A" w:rsidP="00215563">
      <w:r>
        <w:t>As clonidine was used as a market comparator for guanfacine it is useful to compare the utilisation of both medicines (Figures 14, 15 and 16).</w:t>
      </w:r>
    </w:p>
    <w:p w14:paraId="5FE52659" w14:textId="055612C0" w:rsidR="00FF611A" w:rsidRDefault="00FF611A" w:rsidP="00215563">
      <w:r>
        <w:t xml:space="preserve">Figure 14 depicts the prescriber type for initiating </w:t>
      </w:r>
      <w:proofErr w:type="gramStart"/>
      <w:r>
        <w:t>guanfacine</w:t>
      </w:r>
      <w:proofErr w:type="gramEnd"/>
      <w:r>
        <w:t xml:space="preserve"> or clonidine patients and Figure 15 depicts the prescriptions by paediatrician or psychiatrist for guanfacine or clonidine by month. Figure 16 shows the t</w:t>
      </w:r>
      <w:r w:rsidR="007C03F1">
        <w:t>otal prescription count for guan</w:t>
      </w:r>
      <w:r>
        <w:t xml:space="preserve">facine and clonidine by month. </w:t>
      </w:r>
      <w:r w:rsidR="009F12AF">
        <w:t>Of interest is that the rate of increase in clonidine appear consistent despite guanfacine becoming available in September 2018, indicating that paediatricians and psychiatrists have continued to prescribe clonidine.</w:t>
      </w:r>
      <w:r>
        <w:t xml:space="preserve">   </w:t>
      </w:r>
    </w:p>
    <w:p w14:paraId="48B2AD59" w14:textId="2869B914" w:rsidR="009D4E93" w:rsidRDefault="009F12AF" w:rsidP="00215563">
      <w:r>
        <w:t>A noticeable dip can be seen in Figure 15</w:t>
      </w:r>
      <w:r w:rsidR="00D812D5">
        <w:t xml:space="preserve"> over April 2020, this is most likely attributed to specialists’ availability to see new patients over the covid-19 shut-down period. Interestingly, over the same month, there is a noticeable increase in the number of prescriptions dispensed for guanfacine and clonidine (Figure 16).  </w:t>
      </w:r>
    </w:p>
    <w:p w14:paraId="5EB24570" w14:textId="49272A45" w:rsidR="00687A11" w:rsidRDefault="004B356E" w:rsidP="00215563">
      <w:pPr>
        <w:rPr>
          <w:b/>
          <w:i/>
        </w:rPr>
      </w:pPr>
      <w:r>
        <w:rPr>
          <w:noProof/>
        </w:rPr>
        <w:lastRenderedPageBreak/>
        <w:drawing>
          <wp:inline distT="0" distB="0" distL="0" distR="0" wp14:anchorId="7E8D73F3" wp14:editId="7184E8EB">
            <wp:extent cx="5366084" cy="3681663"/>
            <wp:effectExtent l="0" t="0" r="6350" b="14605"/>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D929A3B" w14:textId="6A2CE074" w:rsidR="00B51D25" w:rsidRDefault="00687A11" w:rsidP="00215563">
      <w:pPr>
        <w:pStyle w:val="Tabletitle"/>
      </w:pPr>
      <w:r w:rsidRPr="001D105D">
        <w:rPr>
          <w:rStyle w:val="FiguretitleChar"/>
          <w:b/>
        </w:rPr>
        <w:t>Figure 1</w:t>
      </w:r>
      <w:r w:rsidR="00EF6FF2" w:rsidRPr="001D105D">
        <w:rPr>
          <w:rStyle w:val="FiguretitleChar"/>
          <w:b/>
        </w:rPr>
        <w:t>4</w:t>
      </w:r>
      <w:r w:rsidRPr="001D105D">
        <w:rPr>
          <w:rStyle w:val="FiguretitleChar"/>
          <w:b/>
        </w:rPr>
        <w:t>: Prescriber type for patients initiating guanfacine</w:t>
      </w:r>
      <w:r w:rsidR="00E56706" w:rsidRPr="001D105D">
        <w:rPr>
          <w:rStyle w:val="FiguretitleChar"/>
          <w:b/>
        </w:rPr>
        <w:t xml:space="preserve"> or clonidine</w:t>
      </w:r>
      <w:r w:rsidR="00207E89" w:rsidRPr="001D105D">
        <w:rPr>
          <w:rStyle w:val="FiguretitleChar"/>
          <w:b/>
        </w:rPr>
        <w:t xml:space="preserve"> by </w:t>
      </w:r>
      <w:r w:rsidR="004B356E" w:rsidRPr="001D105D">
        <w:rPr>
          <w:rStyle w:val="FiguretitleChar"/>
          <w:b/>
        </w:rPr>
        <w:t>year</w:t>
      </w:r>
      <w:r w:rsidRPr="001D105D">
        <w:rPr>
          <w:rStyle w:val="FiguretitleChar"/>
          <w:b/>
        </w:rPr>
        <w:t xml:space="preserve"> </w:t>
      </w:r>
      <w:r w:rsidRPr="001D105D">
        <w:rPr>
          <w:rStyle w:val="FiguretitleChar"/>
          <w:b/>
        </w:rPr>
        <w:br/>
      </w:r>
      <w:r w:rsidRPr="001D105D">
        <w:rPr>
          <w:b w:val="0"/>
          <w:sz w:val="20"/>
          <w:szCs w:val="20"/>
        </w:rPr>
        <w:t>Source: Services Australia prescriptions database, extracted April 2021</w:t>
      </w:r>
      <w:r w:rsidRPr="002A0397">
        <w:rPr>
          <w:b w:val="0"/>
          <w:sz w:val="20"/>
          <w:szCs w:val="20"/>
        </w:rPr>
        <w:br/>
      </w:r>
    </w:p>
    <w:p w14:paraId="6C65D921" w14:textId="77777777" w:rsidR="004B356E" w:rsidRDefault="00B51D25" w:rsidP="00215563">
      <w:pPr>
        <w:keepNext/>
        <w:rPr>
          <w:b/>
          <w:i/>
        </w:rPr>
      </w:pPr>
      <w:r>
        <w:rPr>
          <w:noProof/>
        </w:rPr>
        <w:drawing>
          <wp:inline distT="0" distB="0" distL="0" distR="0" wp14:anchorId="6A6834CE" wp14:editId="572AB06C">
            <wp:extent cx="5365750" cy="3513221"/>
            <wp:effectExtent l="0" t="0" r="6350" b="1143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17196C2" w14:textId="56895C89" w:rsidR="00207E89" w:rsidRDefault="00207E89" w:rsidP="00215563">
      <w:pPr>
        <w:rPr>
          <w:b/>
          <w:i/>
        </w:rPr>
      </w:pPr>
      <w:r w:rsidRPr="005000BB">
        <w:rPr>
          <w:rStyle w:val="FiguretitleChar"/>
        </w:rPr>
        <w:t>Figure 1</w:t>
      </w:r>
      <w:r w:rsidR="00EF6FF2">
        <w:rPr>
          <w:rStyle w:val="FiguretitleChar"/>
        </w:rPr>
        <w:t>5</w:t>
      </w:r>
      <w:r w:rsidRPr="005000BB">
        <w:rPr>
          <w:rStyle w:val="FiguretitleChar"/>
        </w:rPr>
        <w:t xml:space="preserve">: </w:t>
      </w:r>
      <w:r w:rsidR="00DA1A53" w:rsidRPr="005000BB">
        <w:rPr>
          <w:rStyle w:val="FiguretitleChar"/>
        </w:rPr>
        <w:t xml:space="preserve">Prescriptions </w:t>
      </w:r>
      <w:r w:rsidR="004F519D" w:rsidRPr="005000BB">
        <w:rPr>
          <w:rStyle w:val="FiguretitleChar"/>
        </w:rPr>
        <w:t xml:space="preserve">by </w:t>
      </w:r>
      <w:proofErr w:type="spellStart"/>
      <w:r w:rsidR="005000BB" w:rsidRPr="005000BB">
        <w:rPr>
          <w:rStyle w:val="FiguretitleChar"/>
        </w:rPr>
        <w:t>paediatrician</w:t>
      </w:r>
      <w:proofErr w:type="spellEnd"/>
      <w:r w:rsidR="005000BB" w:rsidRPr="005000BB">
        <w:rPr>
          <w:rStyle w:val="FiguretitleChar"/>
        </w:rPr>
        <w:t xml:space="preserve"> or psychiatrist </w:t>
      </w:r>
      <w:r w:rsidR="004F519D" w:rsidRPr="005000BB">
        <w:rPr>
          <w:rStyle w:val="FiguretitleChar"/>
        </w:rPr>
        <w:t xml:space="preserve">for </w:t>
      </w:r>
      <w:r w:rsidRPr="005000BB">
        <w:rPr>
          <w:rStyle w:val="FiguretitleChar"/>
        </w:rPr>
        <w:t>guanfacine or clonidine</w:t>
      </w:r>
      <w:r w:rsidR="00E56706" w:rsidRPr="005000BB">
        <w:rPr>
          <w:rStyle w:val="FiguretitleChar"/>
        </w:rPr>
        <w:t xml:space="preserve"> by</w:t>
      </w:r>
      <w:r w:rsidR="00E56706">
        <w:rPr>
          <w:rStyle w:val="FiguretitleChar"/>
          <w:b w:val="0"/>
        </w:rPr>
        <w:t xml:space="preserve"> </w:t>
      </w:r>
      <w:r w:rsidR="00060AA4">
        <w:rPr>
          <w:rStyle w:val="FiguretitleChar"/>
        </w:rPr>
        <w:t>month</w:t>
      </w:r>
      <w:r w:rsidR="00B51D25" w:rsidRPr="005000BB">
        <w:rPr>
          <w:rStyle w:val="FiguretitleChar"/>
        </w:rPr>
        <w:t>.</w:t>
      </w:r>
      <w:r w:rsidRPr="005000BB">
        <w:rPr>
          <w:rStyle w:val="FiguretitleChar"/>
        </w:rPr>
        <w:br/>
      </w:r>
      <w:r w:rsidRPr="005000BB">
        <w:rPr>
          <w:sz w:val="20"/>
          <w:szCs w:val="20"/>
        </w:rPr>
        <w:t>Source: Services Australia prescriptions database, extracted April 2021</w:t>
      </w:r>
    </w:p>
    <w:p w14:paraId="3A5C67E9" w14:textId="5CC6A94C" w:rsidR="00E56706" w:rsidRPr="00215BA6" w:rsidRDefault="00E56706" w:rsidP="00215563">
      <w:pPr>
        <w:rPr>
          <w:highlight w:val="green"/>
        </w:rPr>
      </w:pPr>
      <w:r>
        <w:rPr>
          <w:noProof/>
        </w:rPr>
        <w:lastRenderedPageBreak/>
        <w:drawing>
          <wp:inline distT="0" distB="0" distL="0" distR="0" wp14:anchorId="4C599DBA" wp14:editId="7D28B81D">
            <wp:extent cx="5687695" cy="3706495"/>
            <wp:effectExtent l="0" t="0" r="8255" b="825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23070CF4" w14:textId="1CD8EB30" w:rsidR="005000BB" w:rsidRDefault="005000BB" w:rsidP="00215563">
      <w:pPr>
        <w:rPr>
          <w:b/>
          <w:i/>
        </w:rPr>
      </w:pPr>
      <w:r w:rsidRPr="005000BB">
        <w:rPr>
          <w:rStyle w:val="FiguretitleChar"/>
        </w:rPr>
        <w:t>Figure 1</w:t>
      </w:r>
      <w:r w:rsidR="00EF6FF2">
        <w:rPr>
          <w:rStyle w:val="FiguretitleChar"/>
        </w:rPr>
        <w:t>6</w:t>
      </w:r>
      <w:r w:rsidRPr="005000BB">
        <w:rPr>
          <w:rStyle w:val="FiguretitleChar"/>
        </w:rPr>
        <w:t xml:space="preserve">: </w:t>
      </w:r>
      <w:r w:rsidR="00EF6FF2">
        <w:rPr>
          <w:rStyle w:val="FiguretitleChar"/>
        </w:rPr>
        <w:t xml:space="preserve">Total prescriptions </w:t>
      </w:r>
      <w:r w:rsidRPr="005000BB">
        <w:rPr>
          <w:rStyle w:val="FiguretitleChar"/>
        </w:rPr>
        <w:t xml:space="preserve">for guanfacine </w:t>
      </w:r>
      <w:r w:rsidR="00EF6FF2">
        <w:rPr>
          <w:rStyle w:val="FiguretitleChar"/>
        </w:rPr>
        <w:t xml:space="preserve">and </w:t>
      </w:r>
      <w:r w:rsidRPr="005000BB">
        <w:rPr>
          <w:rStyle w:val="FiguretitleChar"/>
        </w:rPr>
        <w:t>clonidine by</w:t>
      </w:r>
      <w:r>
        <w:rPr>
          <w:rStyle w:val="FiguretitleChar"/>
          <w:b w:val="0"/>
        </w:rPr>
        <w:t xml:space="preserve"> </w:t>
      </w:r>
      <w:r w:rsidR="00060AA4">
        <w:rPr>
          <w:rStyle w:val="FiguretitleChar"/>
        </w:rPr>
        <w:t>month</w:t>
      </w:r>
      <w:r w:rsidRPr="005000BB">
        <w:rPr>
          <w:rStyle w:val="FiguretitleChar"/>
        </w:rPr>
        <w:t>.</w:t>
      </w:r>
      <w:r w:rsidRPr="005000BB">
        <w:rPr>
          <w:rStyle w:val="FiguretitleChar"/>
        </w:rPr>
        <w:br/>
      </w:r>
      <w:r w:rsidRPr="009D3701">
        <w:rPr>
          <w:sz w:val="20"/>
          <w:szCs w:val="20"/>
        </w:rPr>
        <w:t>Source: Services Australia prescriptions database, extracted April 2021</w:t>
      </w:r>
    </w:p>
    <w:p w14:paraId="05CB0144" w14:textId="4F7C5E0E" w:rsidR="00CF507E" w:rsidRPr="002A0397" w:rsidRDefault="00CF507E" w:rsidP="00215563">
      <w:pPr>
        <w:rPr>
          <w:b/>
          <w:i/>
        </w:rPr>
      </w:pPr>
      <w:r w:rsidRPr="002A0397">
        <w:rPr>
          <w:b/>
          <w:i/>
        </w:rPr>
        <w:t>Changes in the use of other medicines for A</w:t>
      </w:r>
      <w:r w:rsidR="005165EF" w:rsidRPr="002A0397">
        <w:rPr>
          <w:b/>
          <w:i/>
        </w:rPr>
        <w:t>DHD</w:t>
      </w:r>
    </w:p>
    <w:p w14:paraId="3016FC64" w14:textId="23FDCCCB" w:rsidR="00CF507E" w:rsidRPr="002A0397" w:rsidRDefault="00CF507E" w:rsidP="00215563">
      <w:r w:rsidRPr="001D105D">
        <w:t xml:space="preserve">The </w:t>
      </w:r>
      <w:r w:rsidR="00BC1E23" w:rsidRPr="001D105D">
        <w:t xml:space="preserve">rate of </w:t>
      </w:r>
      <w:r w:rsidR="006D14F1" w:rsidRPr="001D105D">
        <w:t xml:space="preserve">growth in </w:t>
      </w:r>
      <w:r w:rsidRPr="001D105D">
        <w:t xml:space="preserve">prescriptions </w:t>
      </w:r>
      <w:r w:rsidR="00B94275" w:rsidRPr="001D105D">
        <w:t xml:space="preserve">for other medicines </w:t>
      </w:r>
      <w:r w:rsidRPr="001D105D">
        <w:t xml:space="preserve">supplied for </w:t>
      </w:r>
      <w:r w:rsidR="00F763B6" w:rsidRPr="001D105D">
        <w:t xml:space="preserve">ADHD </w:t>
      </w:r>
      <w:r w:rsidR="006D14F1" w:rsidRPr="001D105D">
        <w:t>w</w:t>
      </w:r>
      <w:r w:rsidR="00C13D25" w:rsidRPr="001D105D">
        <w:t>ere</w:t>
      </w:r>
      <w:r w:rsidR="00B37A3B" w:rsidRPr="001D105D">
        <w:t xml:space="preserve"> largely</w:t>
      </w:r>
      <w:r w:rsidR="00735FA3" w:rsidRPr="001D105D">
        <w:t xml:space="preserve"> unchanged by the listing of </w:t>
      </w:r>
      <w:r w:rsidR="00F763B6" w:rsidRPr="001D105D">
        <w:t xml:space="preserve">guanfacine, indicating that the listing of guanfacine </w:t>
      </w:r>
      <w:r w:rsidR="00316ABF" w:rsidRPr="001D105D">
        <w:t xml:space="preserve">has resulted in growth of the overall </w:t>
      </w:r>
      <w:r w:rsidR="004100AB" w:rsidRPr="001D105D">
        <w:t>R/</w:t>
      </w:r>
      <w:r w:rsidR="00316ABF" w:rsidRPr="001D105D">
        <w:t xml:space="preserve">PBS ADHD medicine market. </w:t>
      </w:r>
    </w:p>
    <w:p w14:paraId="7CDD6469" w14:textId="77777777" w:rsidR="00F02CD0" w:rsidRPr="002A0397" w:rsidRDefault="00F02CD0" w:rsidP="00215563">
      <w:pPr>
        <w:pStyle w:val="Heading1"/>
      </w:pPr>
      <w:r w:rsidRPr="002A0397">
        <w:br w:type="page"/>
      </w:r>
    </w:p>
    <w:p w14:paraId="5462196A" w14:textId="77777777" w:rsidR="00591512" w:rsidRPr="002A0397" w:rsidRDefault="00AB3733" w:rsidP="00215563">
      <w:pPr>
        <w:pStyle w:val="Heading1"/>
      </w:pPr>
      <w:r w:rsidRPr="002A0397">
        <w:lastRenderedPageBreak/>
        <w:t>D</w:t>
      </w:r>
      <w:r w:rsidR="007346C7" w:rsidRPr="002A0397">
        <w:t>iscussion</w:t>
      </w:r>
    </w:p>
    <w:p w14:paraId="7B2FAFF9" w14:textId="6BFFB14F" w:rsidR="006548A4" w:rsidRDefault="00B04C7F" w:rsidP="00215563">
      <w:r>
        <w:t>This</w:t>
      </w:r>
      <w:r w:rsidR="006548A4">
        <w:t xml:space="preserve"> ADHD utilisation report examines the use of clonidine as a medication prescribed for ADHD. While definitive results are difficult to establish, it is estimated that clonidine is being used as an ADHD medication across all age groups. There is a high level of confidence that clonidine is being prescribed for patients 18 years and under, as this age group would not usually be prescribed clonidine for other diseases/disorders. As a result of this analysis, it appears that the ADHD market, and corresponding number of patients is potentially significantly la</w:t>
      </w:r>
      <w:r w:rsidR="000F66C2">
        <w:t>rger than previously reported.</w:t>
      </w:r>
      <w:r w:rsidR="006548A4">
        <w:t xml:space="preserve"> </w:t>
      </w:r>
    </w:p>
    <w:p w14:paraId="5275C85B" w14:textId="4D9F8149" w:rsidR="00DE0FCE" w:rsidRDefault="00DE0FCE" w:rsidP="00215563">
      <w:r w:rsidRPr="00B2760A">
        <w:t>Overall, the utilisation of ADHD medicines listed on the R/PBS increase</w:t>
      </w:r>
      <w:r w:rsidR="00534549" w:rsidRPr="00B2760A">
        <w:t>d</w:t>
      </w:r>
      <w:r w:rsidRPr="00B2760A">
        <w:t xml:space="preserve"> between 201</w:t>
      </w:r>
      <w:r w:rsidR="001D105D" w:rsidRPr="00B2760A">
        <w:t>4</w:t>
      </w:r>
      <w:r w:rsidRPr="00B2760A">
        <w:t xml:space="preserve"> and 20</w:t>
      </w:r>
      <w:r w:rsidR="001D105D" w:rsidRPr="00B2760A">
        <w:t>20</w:t>
      </w:r>
      <w:r w:rsidRPr="00B2760A">
        <w:t xml:space="preserve">. This trend is consistent </w:t>
      </w:r>
      <w:r w:rsidR="0078410B" w:rsidRPr="00B2760A">
        <w:t xml:space="preserve">for </w:t>
      </w:r>
      <w:r w:rsidRPr="00B2760A">
        <w:t>prescription</w:t>
      </w:r>
      <w:r w:rsidR="00AF135A" w:rsidRPr="00B2760A">
        <w:t>s</w:t>
      </w:r>
      <w:r w:rsidR="00880393" w:rsidRPr="00B2760A">
        <w:t xml:space="preserve"> and</w:t>
      </w:r>
      <w:r w:rsidRPr="00B2760A">
        <w:t xml:space="preserve"> patient data </w:t>
      </w:r>
      <w:r w:rsidR="0078410B" w:rsidRPr="00B2760A">
        <w:t xml:space="preserve">over </w:t>
      </w:r>
      <w:r w:rsidRPr="00B2760A">
        <w:t xml:space="preserve">this period. </w:t>
      </w:r>
    </w:p>
    <w:p w14:paraId="0B942487" w14:textId="6F3733BF" w:rsidR="00C90252" w:rsidRPr="00B2760A" w:rsidRDefault="00446D64" w:rsidP="00215563">
      <w:r w:rsidRPr="00B2760A">
        <w:t xml:space="preserve">Children aged 6-12 years old continue to be the highest percentage (42%) of patients treated with ADHD medicines. Males continue to be treated at much higher rates than females across all age groups. </w:t>
      </w:r>
      <w:r w:rsidR="00534549" w:rsidRPr="00B2760A">
        <w:t xml:space="preserve">The </w:t>
      </w:r>
      <w:r w:rsidR="007C63B6" w:rsidRPr="00B2760A">
        <w:t xml:space="preserve">rate of ADHD medicine supply </w:t>
      </w:r>
      <w:r w:rsidRPr="00B2760A">
        <w:t xml:space="preserve">per 1000 population </w:t>
      </w:r>
      <w:r w:rsidR="007C63B6" w:rsidRPr="00B2760A">
        <w:t xml:space="preserve">shows that Tas has the highest rate of supply for under 6 year </w:t>
      </w:r>
      <w:proofErr w:type="spellStart"/>
      <w:r w:rsidR="007C63B6" w:rsidRPr="00B2760A">
        <w:t>olds</w:t>
      </w:r>
      <w:proofErr w:type="spellEnd"/>
      <w:r w:rsidR="007C63B6" w:rsidRPr="00B2760A">
        <w:t xml:space="preserve"> (</w:t>
      </w:r>
      <w:r w:rsidR="002C5DA1">
        <w:t>4.79</w:t>
      </w:r>
      <w:r w:rsidR="007C63B6" w:rsidRPr="00B2760A">
        <w:t>), w</w:t>
      </w:r>
      <w:r w:rsidRPr="00B2760A">
        <w:t xml:space="preserve">hile </w:t>
      </w:r>
      <w:r w:rsidR="00183CC1">
        <w:t xml:space="preserve">the </w:t>
      </w:r>
      <w:r w:rsidR="002C5DA1">
        <w:t>AC</w:t>
      </w:r>
      <w:r w:rsidR="007C63B6" w:rsidRPr="00B2760A">
        <w:t>T ha</w:t>
      </w:r>
      <w:r w:rsidRPr="00B2760A">
        <w:t>s t</w:t>
      </w:r>
      <w:r w:rsidR="007C63B6" w:rsidRPr="00B2760A">
        <w:t>he lowest (</w:t>
      </w:r>
      <w:r w:rsidR="002C5DA1">
        <w:t>1.6</w:t>
      </w:r>
      <w:r w:rsidR="007C63B6" w:rsidRPr="00B2760A">
        <w:t>)</w:t>
      </w:r>
      <w:r w:rsidRPr="00B2760A">
        <w:t>.</w:t>
      </w:r>
      <w:r w:rsidR="007C63B6" w:rsidRPr="00B2760A">
        <w:t xml:space="preserve"> </w:t>
      </w:r>
      <w:r w:rsidRPr="00B2760A">
        <w:t>R</w:t>
      </w:r>
      <w:r w:rsidR="007C63B6" w:rsidRPr="00B2760A">
        <w:t xml:space="preserve">ates in the 6-12 year old group were </w:t>
      </w:r>
      <w:r w:rsidR="00183CC1">
        <w:t>highest i</w:t>
      </w:r>
      <w:r w:rsidR="007C63B6" w:rsidRPr="00B2760A">
        <w:t xml:space="preserve">n </w:t>
      </w:r>
      <w:r w:rsidR="00183CC1">
        <w:t>QLD (</w:t>
      </w:r>
      <w:r w:rsidR="002C5DA1">
        <w:t>57.81</w:t>
      </w:r>
      <w:r w:rsidR="00183CC1">
        <w:t>)</w:t>
      </w:r>
      <w:r w:rsidR="002C5DA1">
        <w:t xml:space="preserve"> and </w:t>
      </w:r>
      <w:r w:rsidR="00183CC1">
        <w:t>Tas (</w:t>
      </w:r>
      <w:r w:rsidR="002C5DA1">
        <w:t>56.03</w:t>
      </w:r>
      <w:r w:rsidR="00183CC1">
        <w:t>)</w:t>
      </w:r>
      <w:r w:rsidR="007C63B6" w:rsidRPr="00B2760A">
        <w:t>, while SA</w:t>
      </w:r>
      <w:r w:rsidR="002C5DA1">
        <w:t xml:space="preserve"> </w:t>
      </w:r>
      <w:r w:rsidR="007C63B6" w:rsidRPr="00B2760A">
        <w:t xml:space="preserve">had </w:t>
      </w:r>
      <w:r w:rsidR="002C5DA1">
        <w:t xml:space="preserve">a </w:t>
      </w:r>
      <w:r w:rsidR="007C63B6" w:rsidRPr="00B2760A">
        <w:t xml:space="preserve">much lower rates of </w:t>
      </w:r>
      <w:r w:rsidR="002C5DA1">
        <w:t>29.33</w:t>
      </w:r>
      <w:r w:rsidR="007C63B6" w:rsidRPr="00B2760A">
        <w:t xml:space="preserve"> per 1000 population respectively. </w:t>
      </w:r>
      <w:r w:rsidRPr="00B2760A">
        <w:t xml:space="preserve">It is unknown what the reason for this difference is, however if the trend prevails it might be worth exploring in a future analysis.  </w:t>
      </w:r>
      <w:r w:rsidR="007C63B6" w:rsidRPr="00B2760A">
        <w:t xml:space="preserve"> </w:t>
      </w:r>
    </w:p>
    <w:p w14:paraId="4D49FDDF" w14:textId="54240664" w:rsidR="006D145B" w:rsidRPr="00B2760A" w:rsidRDefault="009E3482" w:rsidP="00215563">
      <w:r w:rsidRPr="00B2760A">
        <w:t>The</w:t>
      </w:r>
      <w:r w:rsidR="006D145B" w:rsidRPr="00B2760A">
        <w:t xml:space="preserve"> </w:t>
      </w:r>
      <w:r w:rsidR="000B01B5" w:rsidRPr="00B2760A">
        <w:t xml:space="preserve">greater </w:t>
      </w:r>
      <w:r w:rsidR="006D145B" w:rsidRPr="00B2760A">
        <w:t xml:space="preserve">rate of </w:t>
      </w:r>
      <w:proofErr w:type="spellStart"/>
      <w:r w:rsidR="00446D64" w:rsidRPr="00B2760A">
        <w:t>dexamfetamine</w:t>
      </w:r>
      <w:proofErr w:type="spellEnd"/>
      <w:r w:rsidR="00446D64" w:rsidRPr="00B2760A">
        <w:t xml:space="preserve"> </w:t>
      </w:r>
      <w:r w:rsidR="006D145B" w:rsidRPr="00B2760A">
        <w:t xml:space="preserve">supplied to adults in WA </w:t>
      </w:r>
      <w:r w:rsidRPr="00B2760A">
        <w:t xml:space="preserve">compared with other states </w:t>
      </w:r>
      <w:r w:rsidR="006D145B" w:rsidRPr="00B2760A">
        <w:t>was consistent in 2014</w:t>
      </w:r>
      <w:r w:rsidR="00446D64" w:rsidRPr="00B2760A">
        <w:t>,</w:t>
      </w:r>
      <w:r w:rsidR="006D145B" w:rsidRPr="00B2760A">
        <w:t xml:space="preserve"> 2017</w:t>
      </w:r>
      <w:r w:rsidR="00446D64" w:rsidRPr="00B2760A">
        <w:t xml:space="preserve"> and 2020</w:t>
      </w:r>
      <w:r w:rsidR="006D145B" w:rsidRPr="00B2760A">
        <w:t xml:space="preserve">. </w:t>
      </w:r>
      <w:r w:rsidR="00D30392" w:rsidRPr="00B2760A">
        <w:t>A</w:t>
      </w:r>
      <w:r w:rsidR="006D145B" w:rsidRPr="00B2760A">
        <w:t xml:space="preserve"> </w:t>
      </w:r>
      <w:r w:rsidR="000B01B5" w:rsidRPr="00B2760A">
        <w:t xml:space="preserve">higher </w:t>
      </w:r>
      <w:r w:rsidR="006D145B" w:rsidRPr="00B2760A">
        <w:t xml:space="preserve">rate of </w:t>
      </w:r>
      <w:proofErr w:type="spellStart"/>
      <w:r w:rsidR="006D145B" w:rsidRPr="00B2760A">
        <w:t>dexamfetamine</w:t>
      </w:r>
      <w:proofErr w:type="spellEnd"/>
      <w:r w:rsidR="006D145B" w:rsidRPr="00B2760A">
        <w:t xml:space="preserve"> supply was </w:t>
      </w:r>
      <w:r w:rsidR="000B01B5" w:rsidRPr="00B2760A">
        <w:t xml:space="preserve">also </w:t>
      </w:r>
      <w:r w:rsidR="007B451B" w:rsidRPr="00B2760A">
        <w:t>observed in WA</w:t>
      </w:r>
      <w:r w:rsidR="00A74D82" w:rsidRPr="00B2760A">
        <w:t xml:space="preserve"> </w:t>
      </w:r>
      <w:r w:rsidR="00B2760A">
        <w:t xml:space="preserve">patients </w:t>
      </w:r>
      <w:r w:rsidR="000B01B5" w:rsidRPr="00B2760A">
        <w:t>1</w:t>
      </w:r>
      <w:r w:rsidR="005A1A97" w:rsidRPr="00B2760A">
        <w:t>8</w:t>
      </w:r>
      <w:r w:rsidR="000B01B5" w:rsidRPr="00B2760A">
        <w:t xml:space="preserve"> years</w:t>
      </w:r>
      <w:r w:rsidR="00F66025" w:rsidRPr="00B2760A">
        <w:t xml:space="preserve"> and under</w:t>
      </w:r>
      <w:r w:rsidR="006D145B" w:rsidRPr="00B2760A">
        <w:t>.</w:t>
      </w:r>
      <w:r w:rsidR="00F66025" w:rsidRPr="00B2760A">
        <w:t xml:space="preserve"> Tas had the highest supply rates of short and long acting methylphenidate in 18 year </w:t>
      </w:r>
      <w:proofErr w:type="spellStart"/>
      <w:r w:rsidR="00F66025" w:rsidRPr="00B2760A">
        <w:t>olds</w:t>
      </w:r>
      <w:proofErr w:type="spellEnd"/>
      <w:r w:rsidR="00F66025" w:rsidRPr="00B2760A">
        <w:t xml:space="preserve"> and under, as well as having a much higher rate of supply </w:t>
      </w:r>
      <w:r w:rsidR="00B2760A">
        <w:t xml:space="preserve">to this age group </w:t>
      </w:r>
      <w:r w:rsidR="00F66025" w:rsidRPr="00B2760A">
        <w:t xml:space="preserve">of clonidine (13.43/1000 population), compared to </w:t>
      </w:r>
      <w:r w:rsidR="00B2760A">
        <w:t xml:space="preserve">the other states and territories with </w:t>
      </w:r>
      <w:r w:rsidR="00F66025" w:rsidRPr="00B2760A">
        <w:t xml:space="preserve">the next highest rate </w:t>
      </w:r>
      <w:r w:rsidR="00B2760A">
        <w:t xml:space="preserve">being </w:t>
      </w:r>
      <w:r w:rsidR="00F66025" w:rsidRPr="00B2760A">
        <w:t xml:space="preserve">8.57/1000 population in NSW. </w:t>
      </w:r>
      <w:r w:rsidR="00B2760A" w:rsidRPr="00B2760A">
        <w:t xml:space="preserve">Guanfacine was prescribed in higher rates in ACT and Tas in </w:t>
      </w:r>
      <w:r w:rsidR="00B2760A">
        <w:t xml:space="preserve">patients </w:t>
      </w:r>
      <w:r w:rsidR="00B2760A" w:rsidRPr="00B2760A">
        <w:t>18 years and under.</w:t>
      </w:r>
    </w:p>
    <w:p w14:paraId="2A9D4202" w14:textId="008F4097" w:rsidR="00FE2953" w:rsidRPr="00B2760A" w:rsidRDefault="00D301AB" w:rsidP="00215563">
      <w:r w:rsidRPr="00B2760A">
        <w:t xml:space="preserve">The </w:t>
      </w:r>
      <w:r w:rsidR="00A172AA" w:rsidRPr="00B2760A">
        <w:t>sponsor</w:t>
      </w:r>
      <w:r w:rsidRPr="00B2760A">
        <w:t xml:space="preserve"> of </w:t>
      </w:r>
      <w:r w:rsidR="0048585C" w:rsidRPr="00B2760A">
        <w:t xml:space="preserve">guanfacine </w:t>
      </w:r>
      <w:r w:rsidR="00FE2953" w:rsidRPr="00B2760A">
        <w:t>anticipated substitution of other ADHD treatments and</w:t>
      </w:r>
      <w:r w:rsidR="00A172AA" w:rsidRPr="00B2760A">
        <w:t xml:space="preserve"> considered that the listing </w:t>
      </w:r>
      <w:r w:rsidR="00FE2953" w:rsidRPr="00B2760A">
        <w:t xml:space="preserve">would not </w:t>
      </w:r>
      <w:r w:rsidR="00A172AA" w:rsidRPr="00B2760A">
        <w:t>cause</w:t>
      </w:r>
      <w:r w:rsidR="00FE2953" w:rsidRPr="00B2760A">
        <w:t xml:space="preserve"> growth in the market.</w:t>
      </w:r>
      <w:r w:rsidR="001C3D68" w:rsidRPr="00B2760A">
        <w:t xml:space="preserve"> However, </w:t>
      </w:r>
      <w:r w:rsidR="001628FD" w:rsidRPr="00B2760A">
        <w:t xml:space="preserve">there </w:t>
      </w:r>
      <w:r w:rsidR="0048585C" w:rsidRPr="00B2760A">
        <w:t>is a distinct increase in the prescriptions supplied and prevalent patients from 2018, indicating that t</w:t>
      </w:r>
      <w:r w:rsidR="00A172AA" w:rsidRPr="00B2760A">
        <w:t xml:space="preserve">he listing of </w:t>
      </w:r>
      <w:r w:rsidR="0048585C" w:rsidRPr="00B2760A">
        <w:t>guanfacine has i</w:t>
      </w:r>
      <w:r w:rsidR="00A172AA" w:rsidRPr="00B2760A">
        <w:t>ncreased the rate of growth beyond the previous trend</w:t>
      </w:r>
      <w:r w:rsidR="00365D41" w:rsidRPr="00B2760A">
        <w:t xml:space="preserve">. </w:t>
      </w:r>
    </w:p>
    <w:p w14:paraId="6DFA1313" w14:textId="4E4B09FD" w:rsidR="00930E4A" w:rsidRPr="00B2760A" w:rsidRDefault="00593227" w:rsidP="00215563">
      <w:r w:rsidRPr="00B2760A">
        <w:t xml:space="preserve">In the first two years of </w:t>
      </w:r>
      <w:r w:rsidR="0048585C" w:rsidRPr="00B2760A">
        <w:t>guanfacine</w:t>
      </w:r>
      <w:r w:rsidR="00B2760A" w:rsidRPr="00B2760A">
        <w:t xml:space="preserve"> being listed on the R/PBS</w:t>
      </w:r>
      <w:r w:rsidR="0048585C" w:rsidRPr="00B2760A">
        <w:t xml:space="preserve">, </w:t>
      </w:r>
      <w:r w:rsidRPr="00B2760A">
        <w:t xml:space="preserve">the total number of patients </w:t>
      </w:r>
      <w:r w:rsidR="00B2760A" w:rsidRPr="00B2760A">
        <w:t xml:space="preserve">has been </w:t>
      </w:r>
      <w:r w:rsidR="006D0BB8" w:rsidRPr="00B2760A">
        <w:t xml:space="preserve">much </w:t>
      </w:r>
      <w:r w:rsidRPr="00B2760A">
        <w:t xml:space="preserve">higher than the number </w:t>
      </w:r>
      <w:r w:rsidR="00151043" w:rsidRPr="00B2760A">
        <w:t>projected</w:t>
      </w:r>
      <w:r w:rsidR="00B2760A" w:rsidRPr="00B2760A">
        <w:t xml:space="preserve">. In the first year of listing </w:t>
      </w:r>
      <w:r w:rsidR="0048585C" w:rsidRPr="00B2760A">
        <w:t xml:space="preserve">the </w:t>
      </w:r>
      <w:r w:rsidR="00DB546F" w:rsidRPr="00B2760A">
        <w:t xml:space="preserve">number of patients supplied </w:t>
      </w:r>
      <w:r w:rsidR="0048585C" w:rsidRPr="00B2760A">
        <w:t xml:space="preserve">guanfacine </w:t>
      </w:r>
      <w:r w:rsidR="00B2760A" w:rsidRPr="00B2760A">
        <w:t xml:space="preserve">has been </w:t>
      </w:r>
      <w:r w:rsidR="0048585C" w:rsidRPr="00B2760A">
        <w:t xml:space="preserve">more than double the predicted number </w:t>
      </w:r>
      <w:r w:rsidR="00B2760A" w:rsidRPr="00B2760A">
        <w:t xml:space="preserve">(111% increase), </w:t>
      </w:r>
      <w:r w:rsidR="0048585C" w:rsidRPr="00B2760A">
        <w:t xml:space="preserve">and this </w:t>
      </w:r>
      <w:r w:rsidR="00B2760A" w:rsidRPr="00B2760A">
        <w:t xml:space="preserve">rate has </w:t>
      </w:r>
      <w:r w:rsidR="0048585C" w:rsidRPr="00B2760A">
        <w:t>more than quadrupled in the second year of listing (an increase of 255% over the predicted amount).</w:t>
      </w:r>
    </w:p>
    <w:p w14:paraId="7A426D1F" w14:textId="12AD9CA7" w:rsidR="00905003" w:rsidRPr="002A0397" w:rsidRDefault="00B2760A" w:rsidP="00215563">
      <w:r w:rsidRPr="00B2760A">
        <w:t>A breakdown of total prescriptions by medicine did not show substitution of guanfacine for other ADHD treatments. Therefore, the drug cost offsets estimated in the submission have not been realised.</w:t>
      </w:r>
    </w:p>
    <w:p w14:paraId="32D593AE" w14:textId="77777777" w:rsidR="00477343" w:rsidRPr="006A0864" w:rsidRDefault="00477343" w:rsidP="00477343">
      <w:pPr>
        <w:pStyle w:val="Heading1"/>
      </w:pPr>
      <w:r w:rsidRPr="006A0864">
        <w:t>Actions undertaken by the DUSC Secretariat</w:t>
      </w:r>
    </w:p>
    <w:p w14:paraId="468F46B6" w14:textId="77777777" w:rsidR="00477343" w:rsidRPr="006A0864" w:rsidRDefault="00477343" w:rsidP="00477343">
      <w:pPr>
        <w:rPr>
          <w:highlight w:val="cyan"/>
        </w:rPr>
      </w:pPr>
      <w:r w:rsidRPr="006A0864">
        <w:t xml:space="preserve">A copy of the report was sent to the </w:t>
      </w:r>
      <w:r>
        <w:t>sponsor of guanfacine</w:t>
      </w:r>
      <w:r w:rsidRPr="006A0864">
        <w:t>.</w:t>
      </w:r>
    </w:p>
    <w:p w14:paraId="4B5A8D10" w14:textId="09BC69BF" w:rsidR="00F82BB0" w:rsidRDefault="00F82BB0" w:rsidP="00F82BB0">
      <w:pPr>
        <w:pStyle w:val="Heading1"/>
      </w:pPr>
      <w:r>
        <w:lastRenderedPageBreak/>
        <w:t>DUSC Consideration</w:t>
      </w:r>
    </w:p>
    <w:p w14:paraId="079C30FD" w14:textId="77777777" w:rsidR="0089286B" w:rsidRPr="00766CC1" w:rsidRDefault="0089286B" w:rsidP="0089286B">
      <w:pPr>
        <w:rPr>
          <w:rFonts w:eastAsia="MS Mincho" w:cs="Times New Roman"/>
          <w:iCs/>
        </w:rPr>
      </w:pPr>
      <w:r w:rsidRPr="00766CC1">
        <w:rPr>
          <w:rFonts w:eastAsia="MS Mincho" w:cs="Times New Roman"/>
          <w:iCs/>
        </w:rPr>
        <w:t xml:space="preserve">DUSC noted this was the first time DUSC had investigated ADHD utilisation which included clonidine as a medication prescribed for ADHD. While definitive results are difficult to establish, it was estimated that clonidine was being used as an ADHD medication across all age groups. There was a high level of confidence that clonidine was being prescribed for patients 18 years and under, as this age group would not usually be prescribed clonidine for other diseases/disorders. DUSC considered that clonidine may be used as a sedative in children and adolescents due to the side effects of psychostimulant medications used to treat ADHD. As a result of this analysis, it appeared that the ADHD market, and corresponding number of patients was potentially significantly larger than previously reported. </w:t>
      </w:r>
    </w:p>
    <w:p w14:paraId="0E1011A9" w14:textId="77777777" w:rsidR="0089286B" w:rsidRPr="00766CC1" w:rsidRDefault="0089286B" w:rsidP="0089286B">
      <w:pPr>
        <w:rPr>
          <w:rFonts w:eastAsia="MS Mincho" w:cs="Times New Roman"/>
          <w:iCs/>
        </w:rPr>
      </w:pPr>
      <w:r w:rsidRPr="00766CC1">
        <w:rPr>
          <w:rFonts w:eastAsia="MS Mincho" w:cs="Times New Roman"/>
          <w:iCs/>
        </w:rPr>
        <w:t xml:space="preserve">Overall, the utilisation of ADHD medicines listed on the R/PBS increased between 2014 and 2020. This trend was consistent for prescriptions and patient data over this period. DUSC noted that the prevalence of ADHD medications did not appear saturated and considered that patients are beginning therapy and not stopping. </w:t>
      </w:r>
    </w:p>
    <w:p w14:paraId="19823945" w14:textId="77777777" w:rsidR="0089286B" w:rsidRPr="00766CC1" w:rsidRDefault="0089286B" w:rsidP="0089286B">
      <w:pPr>
        <w:rPr>
          <w:rFonts w:eastAsia="MS Mincho" w:cs="Times New Roman"/>
          <w:iCs/>
        </w:rPr>
      </w:pPr>
      <w:r w:rsidRPr="00766CC1">
        <w:rPr>
          <w:rFonts w:eastAsia="MS Mincho" w:cs="Times New Roman"/>
          <w:iCs/>
        </w:rPr>
        <w:t xml:space="preserve">Children aged 6-12 years old continued to be the highest percentage (42%) of patients treated with ADHD medicines. Males continued to be treated at much higher rates than females across all age groups. The rate of ADHD medicine supply per 1000 population showed that Tas had the highest rate of supply for under 6 year </w:t>
      </w:r>
      <w:proofErr w:type="spellStart"/>
      <w:r w:rsidRPr="00766CC1">
        <w:rPr>
          <w:rFonts w:eastAsia="MS Mincho" w:cs="Times New Roman"/>
          <w:iCs/>
        </w:rPr>
        <w:t>olds</w:t>
      </w:r>
      <w:proofErr w:type="spellEnd"/>
      <w:r w:rsidRPr="00766CC1">
        <w:rPr>
          <w:rFonts w:eastAsia="MS Mincho" w:cs="Times New Roman"/>
          <w:iCs/>
        </w:rPr>
        <w:t xml:space="preserve"> (4.8), while the ACT had the lowest (1.6). Rates in the 6-12 year old group were highest in QLD (57.8) and Tas (56.0), while SA had a much lower rates of 29.3 per 1000 population respectively. It was unknown what the reason for this difference was, however if the trend prevails it might be worth exploring in a future analysis. DUSC noted that there was regional variability in prescribing and prevalence. DUSC noted that it is common to see low rates of medicine use in NT however this data indicates similar use of ADHD medications to the rest of Australia. DUSC considered that this may be due to overdiagnosis in some groups of children in NT and may need further investigation. DUSC was also interested in the how Australia compared to the rest of the world regarding the prevalence of ADHD. DUSC noted a review done by </w:t>
      </w:r>
      <w:proofErr w:type="spellStart"/>
      <w:r w:rsidRPr="00766CC1">
        <w:rPr>
          <w:rFonts w:eastAsia="MS Mincho" w:cs="Times New Roman"/>
          <w:iCs/>
        </w:rPr>
        <w:t>Sayal</w:t>
      </w:r>
      <w:proofErr w:type="spellEnd"/>
      <w:r w:rsidRPr="00766CC1">
        <w:rPr>
          <w:rFonts w:eastAsia="MS Mincho" w:cs="Times New Roman"/>
          <w:iCs/>
        </w:rPr>
        <w:t xml:space="preserve"> et al. 2018</w:t>
      </w:r>
      <w:r w:rsidRPr="00766CC1">
        <w:rPr>
          <w:rStyle w:val="FootnoteReference"/>
          <w:rFonts w:eastAsia="MS Mincho" w:cs="Times New Roman"/>
          <w:iCs/>
        </w:rPr>
        <w:footnoteReference w:id="27"/>
      </w:r>
      <w:r w:rsidRPr="00766CC1">
        <w:rPr>
          <w:rFonts w:eastAsia="MS Mincho" w:cs="Times New Roman"/>
          <w:iCs/>
        </w:rPr>
        <w:t xml:space="preserve"> where administrative prevalence of ADHD in children and adolescents was between 2-7% with an average of 5%. Administrative prevalence was described as the number of people with a diagnosis or recording of ADHD either in clinical notes or through prescription data. The data from Australian sources indicated the administrative prevalence ranged from 1.24-2.4%. </w:t>
      </w:r>
    </w:p>
    <w:p w14:paraId="33DBBA60" w14:textId="77777777" w:rsidR="0089286B" w:rsidRPr="00766CC1" w:rsidRDefault="0089286B" w:rsidP="0089286B">
      <w:pPr>
        <w:rPr>
          <w:rFonts w:eastAsia="MS Mincho" w:cs="Times New Roman"/>
          <w:iCs/>
        </w:rPr>
      </w:pPr>
      <w:r w:rsidRPr="00766CC1">
        <w:rPr>
          <w:rFonts w:eastAsia="MS Mincho" w:cs="Times New Roman"/>
          <w:iCs/>
        </w:rPr>
        <w:t xml:space="preserve">The greater rate of </w:t>
      </w:r>
      <w:proofErr w:type="spellStart"/>
      <w:r w:rsidRPr="00766CC1">
        <w:rPr>
          <w:rFonts w:eastAsia="MS Mincho" w:cs="Times New Roman"/>
          <w:iCs/>
        </w:rPr>
        <w:t>dexamfetamine</w:t>
      </w:r>
      <w:proofErr w:type="spellEnd"/>
      <w:r w:rsidRPr="00766CC1">
        <w:rPr>
          <w:rFonts w:eastAsia="MS Mincho" w:cs="Times New Roman"/>
          <w:iCs/>
        </w:rPr>
        <w:t xml:space="preserve"> supplied to adults in WA compared with other states was consistent in 2014, 2017 and 2020. A higher rate of </w:t>
      </w:r>
      <w:proofErr w:type="spellStart"/>
      <w:r w:rsidRPr="00766CC1">
        <w:rPr>
          <w:rFonts w:eastAsia="MS Mincho" w:cs="Times New Roman"/>
          <w:iCs/>
        </w:rPr>
        <w:t>dexamfetamine</w:t>
      </w:r>
      <w:proofErr w:type="spellEnd"/>
      <w:r w:rsidRPr="00766CC1">
        <w:rPr>
          <w:rFonts w:eastAsia="MS Mincho" w:cs="Times New Roman"/>
          <w:iCs/>
        </w:rPr>
        <w:t xml:space="preserve"> supply was also observed in WA patients 18 years and under. Tas had the highest supply rates of short and long acting methylphenidate in 18 year </w:t>
      </w:r>
      <w:proofErr w:type="spellStart"/>
      <w:r w:rsidRPr="00766CC1">
        <w:rPr>
          <w:rFonts w:eastAsia="MS Mincho" w:cs="Times New Roman"/>
          <w:iCs/>
        </w:rPr>
        <w:t>olds</w:t>
      </w:r>
      <w:proofErr w:type="spellEnd"/>
      <w:r w:rsidRPr="00766CC1">
        <w:rPr>
          <w:rFonts w:eastAsia="MS Mincho" w:cs="Times New Roman"/>
          <w:iCs/>
        </w:rPr>
        <w:t xml:space="preserve"> and under, as well as having a much higher rate of supply to this age group of clonidine (13.4/1000 population) compared to the other states and territories with the next highest rate being 8.6/1000 population in NSW. Guanfacine was prescribed in higher rates in ACT and Tas in patients 18 years and under. DUSC noted that </w:t>
      </w:r>
      <w:r w:rsidRPr="00766CC1">
        <w:rPr>
          <w:rFonts w:eastAsia="MS Mincho" w:cs="Times New Roman"/>
          <w:iCs/>
        </w:rPr>
        <w:lastRenderedPageBreak/>
        <w:t xml:space="preserve">clonidine use was greater than expected and considered that clonidine may be initiated by GPs due to access issues to psychiatrists/paediatricians. </w:t>
      </w:r>
    </w:p>
    <w:p w14:paraId="0F89B218" w14:textId="77777777" w:rsidR="0089286B" w:rsidRPr="00766CC1" w:rsidRDefault="0089286B" w:rsidP="0089286B">
      <w:pPr>
        <w:rPr>
          <w:rFonts w:eastAsia="MS Mincho" w:cs="Times New Roman"/>
          <w:iCs/>
        </w:rPr>
      </w:pPr>
      <w:r w:rsidRPr="00766CC1">
        <w:rPr>
          <w:rFonts w:eastAsia="MS Mincho" w:cs="Times New Roman"/>
          <w:iCs/>
        </w:rPr>
        <w:t xml:space="preserve">The sponsor of guanfacine anticipated substitution of other ADHD treatments and considered that the listing would not cause growth in the market. However, there was a distinct increase in the prescriptions supplied and prevalent patients from 2018, indicating that the listing of guanfacine has increased the rate of growth beyond the previous trend. </w:t>
      </w:r>
    </w:p>
    <w:p w14:paraId="3082058E" w14:textId="77777777" w:rsidR="0089286B" w:rsidRPr="00766CC1" w:rsidRDefault="0089286B" w:rsidP="0089286B">
      <w:pPr>
        <w:rPr>
          <w:rFonts w:eastAsia="MS Mincho" w:cs="Times New Roman"/>
          <w:iCs/>
        </w:rPr>
      </w:pPr>
      <w:r w:rsidRPr="00766CC1">
        <w:rPr>
          <w:rFonts w:eastAsia="MS Mincho" w:cs="Times New Roman"/>
          <w:iCs/>
        </w:rPr>
        <w:t>In the first two years of guanfacine being listed on the R/PBS, the total number of patients had been much higher than the number projected. In the first year of listing the number of patients supplied guanfacine was more than double the predicted number (111% increase), and this rate had more than quadrupled in the second year of listing (an increase of 255% over the predicted amount). DUSC noted that guanfacine appeared to have grown the market.</w:t>
      </w:r>
    </w:p>
    <w:p w14:paraId="071BF354" w14:textId="77777777" w:rsidR="0089286B" w:rsidRPr="00766CC1" w:rsidRDefault="0089286B" w:rsidP="0089286B">
      <w:pPr>
        <w:rPr>
          <w:rFonts w:eastAsia="MS Mincho" w:cs="Times New Roman"/>
          <w:iCs/>
        </w:rPr>
      </w:pPr>
      <w:r w:rsidRPr="00766CC1">
        <w:rPr>
          <w:rFonts w:eastAsia="MS Mincho" w:cs="Times New Roman"/>
          <w:iCs/>
        </w:rPr>
        <w:t xml:space="preserve">A breakdown of total prescriptions by medicine did not show substitution of guanfacine for other ADHD treatments. Therefore, the drug cost offsets estimated in the submission had not been realised. DUSC considered that guanfacine was being used </w:t>
      </w:r>
      <w:proofErr w:type="gramStart"/>
      <w:r w:rsidRPr="00766CC1">
        <w:rPr>
          <w:rFonts w:eastAsia="MS Mincho" w:cs="Times New Roman"/>
          <w:iCs/>
        </w:rPr>
        <w:t>similar to</w:t>
      </w:r>
      <w:proofErr w:type="gramEnd"/>
      <w:r w:rsidRPr="00766CC1">
        <w:rPr>
          <w:rFonts w:eastAsia="MS Mincho" w:cs="Times New Roman"/>
          <w:iCs/>
        </w:rPr>
        <w:t xml:space="preserve"> clonidine where it was being added to existing regimens of treatment rather than being supplied as monotherapy. DUSC noted that paediatricians and psychiatrists had continued to prescribe clonidine at similar rates after the introduction of guanfacine. </w:t>
      </w:r>
    </w:p>
    <w:p w14:paraId="56528FB7" w14:textId="77777777" w:rsidR="0089286B" w:rsidRPr="00766CC1" w:rsidRDefault="0089286B" w:rsidP="0089286B">
      <w:pPr>
        <w:rPr>
          <w:rFonts w:eastAsia="MS Mincho" w:cs="Times New Roman"/>
          <w:iCs/>
        </w:rPr>
      </w:pPr>
      <w:r w:rsidRPr="00766CC1">
        <w:rPr>
          <w:rFonts w:eastAsia="MS Mincho" w:cs="Times New Roman"/>
          <w:iCs/>
        </w:rPr>
        <w:t xml:space="preserve">DUSC noted that the prevalence of ADHD was increasing. DUSC considered that this may be due to an increasing awareness of ADHD in schools and by parents where symptoms were being identified and referred to doctors. DUSC noted that there is some controversy surrounding the over and underdiagnosis of ADHD particularly in children. DUSC noted a recent journal article by </w:t>
      </w:r>
      <w:proofErr w:type="spellStart"/>
      <w:r w:rsidRPr="00766CC1">
        <w:rPr>
          <w:rFonts w:eastAsia="MS Mincho" w:cs="Times New Roman"/>
          <w:iCs/>
        </w:rPr>
        <w:t>Kazda</w:t>
      </w:r>
      <w:proofErr w:type="spellEnd"/>
      <w:r w:rsidRPr="00766CC1">
        <w:rPr>
          <w:rFonts w:eastAsia="MS Mincho" w:cs="Times New Roman"/>
          <w:iCs/>
        </w:rPr>
        <w:t xml:space="preserve"> et al. 2021</w:t>
      </w:r>
      <w:r w:rsidRPr="00766CC1">
        <w:rPr>
          <w:rStyle w:val="FootnoteReference"/>
          <w:rFonts w:eastAsia="MS Mincho" w:cs="Times New Roman"/>
          <w:iCs/>
        </w:rPr>
        <w:footnoteReference w:id="28"/>
      </w:r>
      <w:r w:rsidRPr="00766CC1">
        <w:rPr>
          <w:rFonts w:eastAsia="MS Mincho" w:cs="Times New Roman"/>
          <w:iCs/>
        </w:rPr>
        <w:t xml:space="preserve"> which suggested that ADHD was </w:t>
      </w:r>
      <w:proofErr w:type="spellStart"/>
      <w:r w:rsidRPr="00766CC1">
        <w:rPr>
          <w:rFonts w:eastAsia="MS Mincho" w:cs="Times New Roman"/>
          <w:iCs/>
        </w:rPr>
        <w:t>overdiagnosed</w:t>
      </w:r>
      <w:proofErr w:type="spellEnd"/>
      <w:r w:rsidRPr="00766CC1">
        <w:rPr>
          <w:rFonts w:eastAsia="MS Mincho" w:cs="Times New Roman"/>
          <w:iCs/>
        </w:rPr>
        <w:t xml:space="preserve"> and overtreated in children and adolescents. The article stated that further research needed to be done on the long-term benefits and harms of treating mild ADHD symptoms with medications. DUSC noted in contrast that there is a negative stigma towards those with ADHD. DUSC noted this stigma could potentially cause underdiagnosis in children and adolescents as parents and carers actively avoid referrals to doctors.  DUSC was concerned about the potential for polypharmacy in this group of patients.</w:t>
      </w:r>
    </w:p>
    <w:p w14:paraId="0356D2F6" w14:textId="77777777" w:rsidR="00F82BB0" w:rsidRDefault="00F82BB0" w:rsidP="00F82BB0">
      <w:pPr>
        <w:pStyle w:val="Heading1"/>
      </w:pPr>
      <w:r>
        <w:t>DUSC Actions</w:t>
      </w:r>
    </w:p>
    <w:p w14:paraId="34E7D9A5" w14:textId="77777777" w:rsidR="00F82BB0" w:rsidRPr="006855E4" w:rsidRDefault="00F82BB0" w:rsidP="00F82BB0">
      <w:r w:rsidRPr="006855E4">
        <w:t xml:space="preserve">DUSC requested that the report be provided to the PBAC for consideration. </w:t>
      </w:r>
    </w:p>
    <w:p w14:paraId="3D956436" w14:textId="77777777" w:rsidR="00F82BB0" w:rsidRDefault="00F82BB0" w:rsidP="00F82BB0">
      <w:pPr>
        <w:pStyle w:val="Heading1"/>
      </w:pPr>
      <w:r>
        <w:t>Context for A</w:t>
      </w:r>
      <w:r w:rsidRPr="0092516A">
        <w:t>nalysis</w:t>
      </w:r>
    </w:p>
    <w:p w14:paraId="27323A38" w14:textId="77777777" w:rsidR="00F82BB0" w:rsidRDefault="00F82BB0" w:rsidP="00F82BB0">
      <w:r>
        <w:t>The DUSC is a Sub Committee of the Pharmaceutical Benefits Advisory Committee (PBAC). The DUSC assesses estimates on projected usage and financial cost of medicines.</w:t>
      </w:r>
    </w:p>
    <w:p w14:paraId="4CF03E93" w14:textId="77777777" w:rsidR="00F82BB0" w:rsidRDefault="00F82BB0" w:rsidP="00F82BB0">
      <w:r>
        <w:lastRenderedPageBreak/>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14:paraId="379D6B23" w14:textId="77777777" w:rsidR="00F82BB0" w:rsidRDefault="00F82BB0" w:rsidP="00F82BB0">
      <w:pPr>
        <w:ind w:right="-115"/>
      </w:pPr>
      <w:r>
        <w:t xml:space="preserve">The DUSC operates in accordance with the quality use of medicines objective of the National Medicines Policy and considers that the DUSC utilisation analyses will assist consumers and health professionals to better understand the costs, </w:t>
      </w:r>
      <w:proofErr w:type="gramStart"/>
      <w:r>
        <w:t>benefits</w:t>
      </w:r>
      <w:proofErr w:type="gramEnd"/>
      <w:r>
        <w:t xml:space="preserve"> and risks of medicines.</w:t>
      </w:r>
    </w:p>
    <w:p w14:paraId="2D240079" w14:textId="77777777" w:rsidR="00F82BB0" w:rsidRDefault="00F82BB0" w:rsidP="00F82BB0">
      <w:pPr>
        <w:ind w:right="-257"/>
      </w:pPr>
      <w:r>
        <w:t>The utilisation analysis report was provided to the pharmaceutical sponsors of each drug and comments on the report were provided to DUSC prior to its consideration of the analysis.</w:t>
      </w:r>
    </w:p>
    <w:p w14:paraId="5932E4DE" w14:textId="590C7AFE" w:rsidR="00F82BB0" w:rsidRDefault="00F82BB0" w:rsidP="00F82BB0">
      <w:pPr>
        <w:pStyle w:val="Heading1"/>
      </w:pPr>
      <w:r>
        <w:t>Sponsor</w:t>
      </w:r>
      <w:r w:rsidRPr="0092516A">
        <w:t>s</w:t>
      </w:r>
      <w:r>
        <w:t>’</w:t>
      </w:r>
      <w:r w:rsidRPr="0092516A">
        <w:t xml:space="preserve"> </w:t>
      </w:r>
      <w:r>
        <w:t>C</w:t>
      </w:r>
      <w:r w:rsidRPr="0092516A">
        <w:t>omments</w:t>
      </w:r>
    </w:p>
    <w:p w14:paraId="53B77FE9" w14:textId="79AE8246" w:rsidR="0089286B" w:rsidRDefault="0089286B" w:rsidP="0089286B">
      <w:r w:rsidRPr="009960BB">
        <w:t>The sponsor has no comment.</w:t>
      </w:r>
    </w:p>
    <w:p w14:paraId="0BCB4982" w14:textId="77777777" w:rsidR="00F82BB0" w:rsidRDefault="00F82BB0" w:rsidP="00F82BB0">
      <w:pPr>
        <w:pStyle w:val="Heading1"/>
      </w:pPr>
      <w:r w:rsidRPr="00A4020E">
        <w:t>Disclaimer</w:t>
      </w:r>
    </w:p>
    <w:p w14:paraId="10CFA88B" w14:textId="77777777" w:rsidR="00F82BB0" w:rsidRDefault="00F82BB0" w:rsidP="00F82BB0">
      <w:r>
        <w:t xml:space="preserve">The information provided in this report does not constitute medical advice and is not intended to take the place of professional medical advice or care.  It is not intended to define what constitutes reasonable, </w:t>
      </w:r>
      <w:proofErr w:type="gramStart"/>
      <w:r>
        <w:t>appropriate</w:t>
      </w:r>
      <w:proofErr w:type="gramEnd"/>
      <w:r>
        <w:t xml:space="preserve"> or best care for any individual for any given health issue.  The information should not be used as a substitute for the judgement and skill of a medical practitioner.</w:t>
      </w:r>
    </w:p>
    <w:p w14:paraId="09818556" w14:textId="77777777" w:rsidR="00F82BB0" w:rsidRDefault="00F82BB0" w:rsidP="00F82BB0">
      <w:r>
        <w:t>The Department of Health (</w:t>
      </w:r>
      <w:proofErr w:type="spellStart"/>
      <w:r>
        <w:t>DoH</w:t>
      </w:r>
      <w:proofErr w:type="spellEnd"/>
      <w:r>
        <w:t>) has made all reasonable efforts to ensure that information provided in this report is accurate. The information provided in this report was up-to-date when it was considered by the Drug Utilisation Sub-committee of the Pharmaceutical Benefits Advisory Committee.  The context for that information may have changed since publication.</w:t>
      </w:r>
    </w:p>
    <w:p w14:paraId="48E4E77E" w14:textId="77777777" w:rsidR="00F82BB0" w:rsidRDefault="00F82BB0" w:rsidP="00F82BB0">
      <w:r>
        <w:t xml:space="preserve">To the extent provided by law, </w:t>
      </w:r>
      <w:proofErr w:type="spellStart"/>
      <w:proofErr w:type="gramStart"/>
      <w:r>
        <w:t>DoH</w:t>
      </w:r>
      <w:proofErr w:type="spellEnd"/>
      <w:proofErr w:type="gramEnd"/>
      <w:r>
        <w:t xml:space="preserve"> makes no warranties or representations as to accuracy or completeness of information contained in this report. </w:t>
      </w:r>
    </w:p>
    <w:p w14:paraId="1091AFE8" w14:textId="77777777" w:rsidR="00F82BB0" w:rsidRDefault="00F82BB0" w:rsidP="00F82BB0">
      <w:r>
        <w:t xml:space="preserve">To the fullest extent permitted by law, neither the </w:t>
      </w:r>
      <w:proofErr w:type="spellStart"/>
      <w:r>
        <w:t>DoH</w:t>
      </w:r>
      <w:proofErr w:type="spellEnd"/>
      <w:r>
        <w:t xml:space="preserve"> nor any </w:t>
      </w:r>
      <w:proofErr w:type="spellStart"/>
      <w:r>
        <w:t>DoH</w:t>
      </w:r>
      <w:proofErr w:type="spellEnd"/>
      <w:r>
        <w:t xml:space="preserve">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information available from this report or contained on any third party website referred to in this report.</w:t>
      </w:r>
    </w:p>
    <w:p w14:paraId="6161286F" w14:textId="32473389" w:rsidR="00181466" w:rsidRPr="00B2760A" w:rsidRDefault="00C1251B" w:rsidP="00215563">
      <w:r w:rsidRPr="002A0397">
        <w:rPr>
          <w:b/>
        </w:rPr>
        <w:br w:type="page"/>
      </w:r>
    </w:p>
    <w:p w14:paraId="5264755F" w14:textId="3C2C5864" w:rsidR="00684D77" w:rsidRPr="00B2760A" w:rsidRDefault="002B5FCF" w:rsidP="00215563">
      <w:pPr>
        <w:pStyle w:val="Heading1"/>
      </w:pPr>
      <w:r w:rsidRPr="00B2760A">
        <w:lastRenderedPageBreak/>
        <w:t xml:space="preserve">Appendix </w:t>
      </w:r>
      <w:r w:rsidR="00702204" w:rsidRPr="00B2760A">
        <w:t>A</w:t>
      </w:r>
      <w:r w:rsidRPr="00B2760A">
        <w:t xml:space="preserve">: </w:t>
      </w:r>
      <w:r w:rsidR="005D0578" w:rsidRPr="00B2760A">
        <w:t xml:space="preserve">Key </w:t>
      </w:r>
      <w:r w:rsidR="00ED7B9F" w:rsidRPr="00B2760A">
        <w:t>R/</w:t>
      </w:r>
      <w:r w:rsidR="00684D77" w:rsidRPr="00B2760A">
        <w:t>PBS listing dates</w:t>
      </w:r>
      <w:r w:rsidRPr="00B2760A">
        <w:t xml:space="preserve"> for ADHD medicines</w:t>
      </w:r>
      <w:r w:rsidR="00684D77" w:rsidRPr="00B2760A">
        <w:t xml:space="preserve"> and changes to listing dates</w:t>
      </w:r>
    </w:p>
    <w:p w14:paraId="216772FF" w14:textId="640EC219" w:rsidR="00684D77" w:rsidRPr="00B2760A" w:rsidRDefault="00684D77" w:rsidP="00215563">
      <w:pPr>
        <w:pStyle w:val="Tabletitle"/>
      </w:pPr>
      <w:r w:rsidRPr="00B2760A">
        <w:t xml:space="preserve">Table </w:t>
      </w:r>
      <w:r w:rsidR="00702204" w:rsidRPr="00B2760A">
        <w:t>A</w:t>
      </w:r>
      <w:r w:rsidRPr="00B2760A">
        <w:t>.</w:t>
      </w:r>
      <w:r w:rsidR="00511D6E">
        <w:t>1:</w:t>
      </w:r>
      <w:r w:rsidRPr="00B2760A">
        <w:t xml:space="preserve"> Date of listing of PBS medicine</w:t>
      </w:r>
      <w:r w:rsidR="002B5FCF" w:rsidRPr="00B2760A">
        <w:t>s used in the treatment of ADHD</w:t>
      </w:r>
      <w:r w:rsidRPr="00B2760A">
        <w:t xml:space="preserve"> </w:t>
      </w:r>
    </w:p>
    <w:tbl>
      <w:tblPr>
        <w:tblW w:w="7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985"/>
        <w:gridCol w:w="1559"/>
        <w:gridCol w:w="1134"/>
        <w:gridCol w:w="1134"/>
      </w:tblGrid>
      <w:tr w:rsidR="00684D77" w:rsidRPr="00B2760A" w14:paraId="48F27C64" w14:textId="77777777" w:rsidTr="000241D7">
        <w:trPr>
          <w:cantSplit/>
          <w:tblHeader/>
        </w:trPr>
        <w:tc>
          <w:tcPr>
            <w:tcW w:w="1384" w:type="dxa"/>
            <w:shd w:val="clear" w:color="auto" w:fill="BFBFBF" w:themeFill="background1" w:themeFillShade="BF"/>
          </w:tcPr>
          <w:p w14:paraId="18B363B3" w14:textId="77777777" w:rsidR="00684D77" w:rsidRPr="00B2760A" w:rsidRDefault="00684D77" w:rsidP="00215563">
            <w:pPr>
              <w:pStyle w:val="Tableheading"/>
            </w:pPr>
            <w:r w:rsidRPr="00B2760A">
              <w:t>Date</w:t>
            </w:r>
          </w:p>
        </w:tc>
        <w:tc>
          <w:tcPr>
            <w:tcW w:w="1985" w:type="dxa"/>
            <w:shd w:val="clear" w:color="auto" w:fill="BFBFBF" w:themeFill="background1" w:themeFillShade="BF"/>
          </w:tcPr>
          <w:p w14:paraId="3504934F" w14:textId="77777777" w:rsidR="00684D77" w:rsidRPr="00B2760A" w:rsidRDefault="00684D77" w:rsidP="00215563">
            <w:pPr>
              <w:pStyle w:val="Tableheading"/>
            </w:pPr>
            <w:r w:rsidRPr="00B2760A">
              <w:t>Drug name</w:t>
            </w:r>
          </w:p>
        </w:tc>
        <w:tc>
          <w:tcPr>
            <w:tcW w:w="1559" w:type="dxa"/>
            <w:shd w:val="clear" w:color="auto" w:fill="BFBFBF" w:themeFill="background1" w:themeFillShade="BF"/>
          </w:tcPr>
          <w:p w14:paraId="0B9409E8" w14:textId="77777777" w:rsidR="00684D77" w:rsidRPr="00B2760A" w:rsidRDefault="00684D77" w:rsidP="00215563">
            <w:pPr>
              <w:pStyle w:val="Tableheading"/>
            </w:pPr>
            <w:r w:rsidRPr="00B2760A">
              <w:t>Brand name</w:t>
            </w:r>
          </w:p>
        </w:tc>
        <w:tc>
          <w:tcPr>
            <w:tcW w:w="1134" w:type="dxa"/>
            <w:shd w:val="clear" w:color="auto" w:fill="BFBFBF" w:themeFill="background1" w:themeFillShade="BF"/>
          </w:tcPr>
          <w:p w14:paraId="494CB257" w14:textId="77777777" w:rsidR="00684D77" w:rsidRPr="00B2760A" w:rsidRDefault="00684D77" w:rsidP="00215563">
            <w:pPr>
              <w:pStyle w:val="Tableheading"/>
            </w:pPr>
            <w:r w:rsidRPr="00B2760A">
              <w:t>Strength</w:t>
            </w:r>
          </w:p>
        </w:tc>
        <w:tc>
          <w:tcPr>
            <w:tcW w:w="1134" w:type="dxa"/>
            <w:shd w:val="clear" w:color="auto" w:fill="BFBFBF" w:themeFill="background1" w:themeFillShade="BF"/>
          </w:tcPr>
          <w:p w14:paraId="1E62A221" w14:textId="77777777" w:rsidR="00684D77" w:rsidRPr="00B2760A" w:rsidRDefault="00684D77" w:rsidP="00215563">
            <w:pPr>
              <w:pStyle w:val="Tableheading"/>
            </w:pPr>
            <w:r w:rsidRPr="00B2760A">
              <w:t>Item</w:t>
            </w:r>
          </w:p>
        </w:tc>
      </w:tr>
      <w:tr w:rsidR="00684D77" w:rsidRPr="00B2760A" w14:paraId="2992648A" w14:textId="77777777" w:rsidTr="000241D7">
        <w:trPr>
          <w:trHeight w:val="405"/>
        </w:trPr>
        <w:tc>
          <w:tcPr>
            <w:tcW w:w="1384" w:type="dxa"/>
          </w:tcPr>
          <w:p w14:paraId="199AEF35" w14:textId="77777777" w:rsidR="00684D77" w:rsidRPr="00B2760A" w:rsidRDefault="00684D77" w:rsidP="00215563">
            <w:pPr>
              <w:pStyle w:val="Tablewriting"/>
              <w:rPr>
                <w:b/>
              </w:rPr>
            </w:pPr>
            <w:r w:rsidRPr="00B2760A">
              <w:t>Dec 1973</w:t>
            </w:r>
          </w:p>
        </w:tc>
        <w:tc>
          <w:tcPr>
            <w:tcW w:w="1985" w:type="dxa"/>
          </w:tcPr>
          <w:p w14:paraId="67D786CA" w14:textId="77777777" w:rsidR="00684D77" w:rsidRPr="00B2760A" w:rsidRDefault="00E56C55" w:rsidP="00215563">
            <w:pPr>
              <w:pStyle w:val="Tablewriting"/>
              <w:jc w:val="center"/>
            </w:pPr>
            <w:proofErr w:type="spellStart"/>
            <w:r w:rsidRPr="00B2760A">
              <w:t>Dexamf</w:t>
            </w:r>
            <w:r w:rsidR="00684D77" w:rsidRPr="00B2760A">
              <w:t>etamine</w:t>
            </w:r>
            <w:proofErr w:type="spellEnd"/>
          </w:p>
        </w:tc>
        <w:tc>
          <w:tcPr>
            <w:tcW w:w="1559" w:type="dxa"/>
          </w:tcPr>
          <w:p w14:paraId="525AD89C" w14:textId="77777777" w:rsidR="00684D77" w:rsidRPr="00B2760A" w:rsidRDefault="00684D77" w:rsidP="00215563">
            <w:pPr>
              <w:pStyle w:val="Tablewriting"/>
              <w:jc w:val="center"/>
            </w:pPr>
            <w:r w:rsidRPr="00B2760A">
              <w:t>-</w:t>
            </w:r>
          </w:p>
        </w:tc>
        <w:tc>
          <w:tcPr>
            <w:tcW w:w="1134" w:type="dxa"/>
          </w:tcPr>
          <w:p w14:paraId="0234C1BA" w14:textId="77777777" w:rsidR="00684D77" w:rsidRPr="00B2760A" w:rsidRDefault="00684D77" w:rsidP="00215563">
            <w:pPr>
              <w:pStyle w:val="Tablewriting"/>
              <w:jc w:val="center"/>
            </w:pPr>
            <w:r w:rsidRPr="00B2760A">
              <w:t>5 mg</w:t>
            </w:r>
          </w:p>
        </w:tc>
        <w:tc>
          <w:tcPr>
            <w:tcW w:w="1134" w:type="dxa"/>
          </w:tcPr>
          <w:p w14:paraId="3CF8A302" w14:textId="77777777" w:rsidR="00684D77" w:rsidRPr="00B2760A" w:rsidRDefault="00684D77" w:rsidP="00215563">
            <w:pPr>
              <w:pStyle w:val="Tablewriting"/>
              <w:jc w:val="center"/>
            </w:pPr>
            <w:r w:rsidRPr="00B2760A">
              <w:t>1165H</w:t>
            </w:r>
          </w:p>
        </w:tc>
      </w:tr>
      <w:tr w:rsidR="00684D77" w:rsidRPr="00B2760A" w14:paraId="5BF15640" w14:textId="77777777" w:rsidTr="000241D7">
        <w:tc>
          <w:tcPr>
            <w:tcW w:w="1384" w:type="dxa"/>
          </w:tcPr>
          <w:p w14:paraId="7027C052" w14:textId="77777777" w:rsidR="00684D77" w:rsidRPr="00B2760A" w:rsidRDefault="00684D77" w:rsidP="00215563">
            <w:pPr>
              <w:pStyle w:val="Tablewriting"/>
            </w:pPr>
            <w:r w:rsidRPr="00B2760A">
              <w:t>Aug 2005</w:t>
            </w:r>
          </w:p>
        </w:tc>
        <w:tc>
          <w:tcPr>
            <w:tcW w:w="1985" w:type="dxa"/>
          </w:tcPr>
          <w:p w14:paraId="400A00DA" w14:textId="77777777" w:rsidR="00684D77" w:rsidRPr="00B2760A" w:rsidRDefault="00684D77" w:rsidP="00215563">
            <w:pPr>
              <w:pStyle w:val="Tablewriting"/>
              <w:jc w:val="center"/>
            </w:pPr>
            <w:r w:rsidRPr="00B2760A">
              <w:t>Methylphenidate IR</w:t>
            </w:r>
          </w:p>
        </w:tc>
        <w:tc>
          <w:tcPr>
            <w:tcW w:w="1559" w:type="dxa"/>
          </w:tcPr>
          <w:p w14:paraId="5ACF76CC" w14:textId="77777777" w:rsidR="00684D77" w:rsidRPr="00B2760A" w:rsidRDefault="00684D77" w:rsidP="00215563">
            <w:pPr>
              <w:pStyle w:val="Tablewriting"/>
              <w:jc w:val="center"/>
            </w:pPr>
            <w:r w:rsidRPr="00B2760A">
              <w:t>Ritalin 10</w:t>
            </w:r>
          </w:p>
        </w:tc>
        <w:tc>
          <w:tcPr>
            <w:tcW w:w="1134" w:type="dxa"/>
          </w:tcPr>
          <w:p w14:paraId="640D5483" w14:textId="77777777" w:rsidR="00684D77" w:rsidRPr="00B2760A" w:rsidRDefault="00684D77" w:rsidP="00215563">
            <w:pPr>
              <w:pStyle w:val="Tablewriting"/>
              <w:jc w:val="center"/>
            </w:pPr>
            <w:r w:rsidRPr="00B2760A">
              <w:t>10 mg</w:t>
            </w:r>
          </w:p>
        </w:tc>
        <w:tc>
          <w:tcPr>
            <w:tcW w:w="1134" w:type="dxa"/>
          </w:tcPr>
          <w:p w14:paraId="6E700EB6" w14:textId="77777777" w:rsidR="00684D77" w:rsidRPr="00B2760A" w:rsidRDefault="00684D77" w:rsidP="00215563">
            <w:pPr>
              <w:pStyle w:val="Tablewriting"/>
              <w:jc w:val="center"/>
            </w:pPr>
            <w:r w:rsidRPr="00B2760A">
              <w:t>8839F</w:t>
            </w:r>
          </w:p>
        </w:tc>
      </w:tr>
      <w:tr w:rsidR="00684D77" w:rsidRPr="00B2760A" w14:paraId="2F3D658E" w14:textId="77777777" w:rsidTr="000241D7">
        <w:tc>
          <w:tcPr>
            <w:tcW w:w="1384" w:type="dxa"/>
          </w:tcPr>
          <w:p w14:paraId="5486B216" w14:textId="77777777" w:rsidR="00684D77" w:rsidRPr="00B2760A" w:rsidRDefault="00684D77" w:rsidP="00215563">
            <w:pPr>
              <w:pStyle w:val="Tablewriting"/>
            </w:pPr>
            <w:r w:rsidRPr="00B2760A">
              <w:t>Dec 2005</w:t>
            </w:r>
          </w:p>
        </w:tc>
        <w:tc>
          <w:tcPr>
            <w:tcW w:w="1985" w:type="dxa"/>
          </w:tcPr>
          <w:p w14:paraId="4E6AD1DB" w14:textId="77777777" w:rsidR="00684D77" w:rsidRPr="00B2760A" w:rsidRDefault="00684D77" w:rsidP="00215563">
            <w:pPr>
              <w:pStyle w:val="Tablewriting"/>
              <w:jc w:val="center"/>
            </w:pPr>
            <w:r w:rsidRPr="00B2760A">
              <w:t>Methylphenidate IR</w:t>
            </w:r>
          </w:p>
        </w:tc>
        <w:tc>
          <w:tcPr>
            <w:tcW w:w="1559" w:type="dxa"/>
          </w:tcPr>
          <w:p w14:paraId="73018C8E" w14:textId="77777777" w:rsidR="00684D77" w:rsidRPr="00B2760A" w:rsidRDefault="00684D77" w:rsidP="00215563">
            <w:pPr>
              <w:pStyle w:val="Tablewriting"/>
              <w:jc w:val="center"/>
            </w:pPr>
            <w:proofErr w:type="spellStart"/>
            <w:r w:rsidRPr="00B2760A">
              <w:t>Attenta</w:t>
            </w:r>
            <w:proofErr w:type="spellEnd"/>
            <w:r w:rsidRPr="00B2760A">
              <w:t>*</w:t>
            </w:r>
          </w:p>
        </w:tc>
        <w:tc>
          <w:tcPr>
            <w:tcW w:w="1134" w:type="dxa"/>
          </w:tcPr>
          <w:p w14:paraId="1D7A272A" w14:textId="77777777" w:rsidR="00684D77" w:rsidRPr="00B2760A" w:rsidRDefault="00684D77" w:rsidP="00215563">
            <w:pPr>
              <w:pStyle w:val="Tablewriting"/>
              <w:jc w:val="center"/>
            </w:pPr>
            <w:r w:rsidRPr="00B2760A">
              <w:t>10 mg</w:t>
            </w:r>
          </w:p>
        </w:tc>
        <w:tc>
          <w:tcPr>
            <w:tcW w:w="1134" w:type="dxa"/>
          </w:tcPr>
          <w:p w14:paraId="723D283B" w14:textId="77777777" w:rsidR="00684D77" w:rsidRPr="00B2760A" w:rsidRDefault="00684D77" w:rsidP="00215563">
            <w:pPr>
              <w:pStyle w:val="Tablewriting"/>
              <w:jc w:val="center"/>
            </w:pPr>
            <w:r w:rsidRPr="00B2760A">
              <w:t>8829F</w:t>
            </w:r>
          </w:p>
        </w:tc>
      </w:tr>
      <w:tr w:rsidR="00684D77" w:rsidRPr="00B2760A" w14:paraId="4668A12E" w14:textId="77777777" w:rsidTr="000241D7">
        <w:tc>
          <w:tcPr>
            <w:tcW w:w="1384" w:type="dxa"/>
            <w:vMerge w:val="restart"/>
          </w:tcPr>
          <w:p w14:paraId="616DD7D1" w14:textId="77777777" w:rsidR="00684D77" w:rsidRPr="00B2760A" w:rsidRDefault="00684D77" w:rsidP="00215563">
            <w:pPr>
              <w:pStyle w:val="Tablewriting"/>
              <w:rPr>
                <w:b/>
              </w:rPr>
            </w:pPr>
            <w:r w:rsidRPr="00B2760A">
              <w:t>April 2007</w:t>
            </w:r>
          </w:p>
        </w:tc>
        <w:tc>
          <w:tcPr>
            <w:tcW w:w="1985" w:type="dxa"/>
            <w:vMerge w:val="restart"/>
          </w:tcPr>
          <w:p w14:paraId="4DFD67F5" w14:textId="77777777" w:rsidR="00684D77" w:rsidRPr="00B2760A" w:rsidRDefault="00684D77" w:rsidP="00215563">
            <w:pPr>
              <w:pStyle w:val="Tablewriting"/>
              <w:jc w:val="center"/>
            </w:pPr>
            <w:r w:rsidRPr="00B2760A">
              <w:t>Methylphenidate MR</w:t>
            </w:r>
          </w:p>
        </w:tc>
        <w:tc>
          <w:tcPr>
            <w:tcW w:w="1559" w:type="dxa"/>
            <w:vMerge w:val="restart"/>
          </w:tcPr>
          <w:p w14:paraId="0D8A0596" w14:textId="77777777" w:rsidR="00684D77" w:rsidRPr="00B2760A" w:rsidRDefault="00684D77" w:rsidP="00215563">
            <w:pPr>
              <w:pStyle w:val="Tablewriting"/>
              <w:jc w:val="center"/>
            </w:pPr>
            <w:proofErr w:type="spellStart"/>
            <w:r w:rsidRPr="00B2760A">
              <w:t>Concerta</w:t>
            </w:r>
            <w:proofErr w:type="spellEnd"/>
          </w:p>
        </w:tc>
        <w:tc>
          <w:tcPr>
            <w:tcW w:w="1134" w:type="dxa"/>
          </w:tcPr>
          <w:p w14:paraId="03050E55" w14:textId="77777777" w:rsidR="00684D77" w:rsidRPr="00B2760A" w:rsidRDefault="00684D77" w:rsidP="00215563">
            <w:pPr>
              <w:pStyle w:val="Tablewriting"/>
              <w:jc w:val="center"/>
            </w:pPr>
            <w:r w:rsidRPr="00B2760A">
              <w:t>18 mg</w:t>
            </w:r>
          </w:p>
        </w:tc>
        <w:tc>
          <w:tcPr>
            <w:tcW w:w="1134" w:type="dxa"/>
          </w:tcPr>
          <w:p w14:paraId="74038740" w14:textId="77777777" w:rsidR="00684D77" w:rsidRPr="00B2760A" w:rsidRDefault="00684D77" w:rsidP="00215563">
            <w:pPr>
              <w:pStyle w:val="Tablewriting"/>
              <w:jc w:val="center"/>
            </w:pPr>
            <w:r w:rsidRPr="00B2760A">
              <w:t>2387P</w:t>
            </w:r>
          </w:p>
        </w:tc>
      </w:tr>
      <w:tr w:rsidR="00684D77" w:rsidRPr="00B2760A" w14:paraId="54F4E221" w14:textId="77777777" w:rsidTr="000241D7">
        <w:tc>
          <w:tcPr>
            <w:tcW w:w="1384" w:type="dxa"/>
            <w:vMerge/>
          </w:tcPr>
          <w:p w14:paraId="36FC4717" w14:textId="77777777" w:rsidR="00684D77" w:rsidRPr="00B2760A" w:rsidRDefault="00684D77" w:rsidP="00215563">
            <w:pPr>
              <w:pStyle w:val="Tablewriting"/>
            </w:pPr>
          </w:p>
        </w:tc>
        <w:tc>
          <w:tcPr>
            <w:tcW w:w="1985" w:type="dxa"/>
            <w:vMerge/>
          </w:tcPr>
          <w:p w14:paraId="07400DFB" w14:textId="77777777" w:rsidR="00684D77" w:rsidRPr="00B2760A" w:rsidRDefault="00684D77" w:rsidP="00215563">
            <w:pPr>
              <w:pStyle w:val="Tablewriting"/>
              <w:jc w:val="center"/>
            </w:pPr>
          </w:p>
        </w:tc>
        <w:tc>
          <w:tcPr>
            <w:tcW w:w="1559" w:type="dxa"/>
            <w:vMerge/>
          </w:tcPr>
          <w:p w14:paraId="3F651ABE" w14:textId="77777777" w:rsidR="00684D77" w:rsidRPr="00B2760A" w:rsidRDefault="00684D77" w:rsidP="00215563">
            <w:pPr>
              <w:pStyle w:val="Tablewriting"/>
              <w:jc w:val="center"/>
            </w:pPr>
          </w:p>
        </w:tc>
        <w:tc>
          <w:tcPr>
            <w:tcW w:w="1134" w:type="dxa"/>
          </w:tcPr>
          <w:p w14:paraId="24BFCC95" w14:textId="77777777" w:rsidR="00684D77" w:rsidRPr="00B2760A" w:rsidRDefault="00684D77" w:rsidP="00215563">
            <w:pPr>
              <w:pStyle w:val="Tablewriting"/>
              <w:jc w:val="center"/>
            </w:pPr>
            <w:r w:rsidRPr="00B2760A">
              <w:t>36 mg</w:t>
            </w:r>
          </w:p>
        </w:tc>
        <w:tc>
          <w:tcPr>
            <w:tcW w:w="1134" w:type="dxa"/>
          </w:tcPr>
          <w:p w14:paraId="6D1836A2" w14:textId="77777777" w:rsidR="00684D77" w:rsidRPr="00B2760A" w:rsidRDefault="00684D77" w:rsidP="00215563">
            <w:pPr>
              <w:pStyle w:val="Tablewriting"/>
              <w:jc w:val="center"/>
            </w:pPr>
            <w:r w:rsidRPr="00B2760A">
              <w:t>2388Q</w:t>
            </w:r>
          </w:p>
        </w:tc>
      </w:tr>
      <w:tr w:rsidR="00684D77" w:rsidRPr="00B2760A" w14:paraId="59F580AA" w14:textId="77777777" w:rsidTr="000241D7">
        <w:tc>
          <w:tcPr>
            <w:tcW w:w="1384" w:type="dxa"/>
            <w:vMerge/>
          </w:tcPr>
          <w:p w14:paraId="519400CD" w14:textId="77777777" w:rsidR="00684D77" w:rsidRPr="00B2760A" w:rsidRDefault="00684D77" w:rsidP="00215563">
            <w:pPr>
              <w:pStyle w:val="Tablewriting"/>
            </w:pPr>
          </w:p>
        </w:tc>
        <w:tc>
          <w:tcPr>
            <w:tcW w:w="1985" w:type="dxa"/>
            <w:vMerge/>
          </w:tcPr>
          <w:p w14:paraId="35EF9922" w14:textId="77777777" w:rsidR="00684D77" w:rsidRPr="00B2760A" w:rsidRDefault="00684D77" w:rsidP="00215563">
            <w:pPr>
              <w:pStyle w:val="Tablewriting"/>
              <w:jc w:val="center"/>
            </w:pPr>
          </w:p>
        </w:tc>
        <w:tc>
          <w:tcPr>
            <w:tcW w:w="1559" w:type="dxa"/>
            <w:vMerge/>
          </w:tcPr>
          <w:p w14:paraId="43D26CF7" w14:textId="77777777" w:rsidR="00684D77" w:rsidRPr="00B2760A" w:rsidRDefault="00684D77" w:rsidP="00215563">
            <w:pPr>
              <w:pStyle w:val="Tablewriting"/>
              <w:jc w:val="center"/>
            </w:pPr>
          </w:p>
        </w:tc>
        <w:tc>
          <w:tcPr>
            <w:tcW w:w="1134" w:type="dxa"/>
          </w:tcPr>
          <w:p w14:paraId="7AAB21BC" w14:textId="77777777" w:rsidR="00684D77" w:rsidRPr="00B2760A" w:rsidRDefault="00684D77" w:rsidP="00215563">
            <w:pPr>
              <w:pStyle w:val="Tablewriting"/>
              <w:jc w:val="center"/>
            </w:pPr>
            <w:r w:rsidRPr="00B2760A">
              <w:t>54 mg</w:t>
            </w:r>
          </w:p>
        </w:tc>
        <w:tc>
          <w:tcPr>
            <w:tcW w:w="1134" w:type="dxa"/>
          </w:tcPr>
          <w:p w14:paraId="123A199E" w14:textId="77777777" w:rsidR="00684D77" w:rsidRPr="00B2760A" w:rsidRDefault="00684D77" w:rsidP="00215563">
            <w:pPr>
              <w:pStyle w:val="Tablewriting"/>
              <w:jc w:val="center"/>
            </w:pPr>
            <w:r w:rsidRPr="00B2760A">
              <w:t>2432B</w:t>
            </w:r>
          </w:p>
        </w:tc>
      </w:tr>
      <w:tr w:rsidR="00684D77" w:rsidRPr="00B2760A" w14:paraId="5D9DA15C" w14:textId="77777777" w:rsidTr="000241D7">
        <w:tc>
          <w:tcPr>
            <w:tcW w:w="1384" w:type="dxa"/>
            <w:vMerge w:val="restart"/>
          </w:tcPr>
          <w:p w14:paraId="3A55D16D" w14:textId="77777777" w:rsidR="00684D77" w:rsidRPr="00B2760A" w:rsidRDefault="00684D77" w:rsidP="00215563">
            <w:pPr>
              <w:pStyle w:val="Tablewriting"/>
            </w:pPr>
            <w:r w:rsidRPr="00B2760A">
              <w:t>July 2007</w:t>
            </w:r>
          </w:p>
        </w:tc>
        <w:tc>
          <w:tcPr>
            <w:tcW w:w="1985" w:type="dxa"/>
            <w:vMerge w:val="restart"/>
          </w:tcPr>
          <w:p w14:paraId="09500A02" w14:textId="77777777" w:rsidR="00684D77" w:rsidRPr="00B2760A" w:rsidRDefault="00684D77" w:rsidP="00215563">
            <w:pPr>
              <w:pStyle w:val="Tablewriting"/>
              <w:jc w:val="center"/>
            </w:pPr>
            <w:r w:rsidRPr="00B2760A">
              <w:t>Atomoxetine</w:t>
            </w:r>
          </w:p>
        </w:tc>
        <w:tc>
          <w:tcPr>
            <w:tcW w:w="1559" w:type="dxa"/>
            <w:vMerge w:val="restart"/>
          </w:tcPr>
          <w:p w14:paraId="5E9CA62C" w14:textId="77777777" w:rsidR="00684D77" w:rsidRPr="00B2760A" w:rsidRDefault="00684D77" w:rsidP="00215563">
            <w:pPr>
              <w:pStyle w:val="Tablewriting"/>
              <w:jc w:val="center"/>
            </w:pPr>
            <w:r w:rsidRPr="00B2760A">
              <w:t>Strattera</w:t>
            </w:r>
          </w:p>
        </w:tc>
        <w:tc>
          <w:tcPr>
            <w:tcW w:w="1134" w:type="dxa"/>
          </w:tcPr>
          <w:p w14:paraId="3A9FCFB5" w14:textId="77777777" w:rsidR="00684D77" w:rsidRPr="00B2760A" w:rsidRDefault="00684D77" w:rsidP="00215563">
            <w:pPr>
              <w:pStyle w:val="Tablewriting"/>
              <w:jc w:val="center"/>
            </w:pPr>
            <w:r w:rsidRPr="00B2760A">
              <w:t>10 mg</w:t>
            </w:r>
          </w:p>
        </w:tc>
        <w:tc>
          <w:tcPr>
            <w:tcW w:w="1134" w:type="dxa"/>
          </w:tcPr>
          <w:p w14:paraId="1FF037E9" w14:textId="77777777" w:rsidR="00684D77" w:rsidRPr="00B2760A" w:rsidRDefault="00684D77" w:rsidP="00215563">
            <w:pPr>
              <w:pStyle w:val="Tablewriting"/>
              <w:jc w:val="center"/>
            </w:pPr>
            <w:r w:rsidRPr="00B2760A">
              <w:t>9092M</w:t>
            </w:r>
          </w:p>
        </w:tc>
      </w:tr>
      <w:tr w:rsidR="00684D77" w:rsidRPr="00B2760A" w14:paraId="2D5D2397" w14:textId="77777777" w:rsidTr="000241D7">
        <w:tc>
          <w:tcPr>
            <w:tcW w:w="1384" w:type="dxa"/>
            <w:vMerge/>
          </w:tcPr>
          <w:p w14:paraId="03443DB6" w14:textId="77777777" w:rsidR="00684D77" w:rsidRPr="00B2760A" w:rsidRDefault="00684D77" w:rsidP="00215563">
            <w:pPr>
              <w:pStyle w:val="Tablewriting"/>
            </w:pPr>
          </w:p>
        </w:tc>
        <w:tc>
          <w:tcPr>
            <w:tcW w:w="1985" w:type="dxa"/>
            <w:vMerge/>
          </w:tcPr>
          <w:p w14:paraId="6C00292F" w14:textId="77777777" w:rsidR="00684D77" w:rsidRPr="00B2760A" w:rsidRDefault="00684D77" w:rsidP="00215563">
            <w:pPr>
              <w:pStyle w:val="Tablewriting"/>
              <w:jc w:val="center"/>
            </w:pPr>
          </w:p>
        </w:tc>
        <w:tc>
          <w:tcPr>
            <w:tcW w:w="1559" w:type="dxa"/>
            <w:vMerge/>
          </w:tcPr>
          <w:p w14:paraId="5D38E783" w14:textId="77777777" w:rsidR="00684D77" w:rsidRPr="00B2760A" w:rsidRDefault="00684D77" w:rsidP="00215563">
            <w:pPr>
              <w:pStyle w:val="Tablewriting"/>
              <w:jc w:val="center"/>
            </w:pPr>
          </w:p>
        </w:tc>
        <w:tc>
          <w:tcPr>
            <w:tcW w:w="1134" w:type="dxa"/>
          </w:tcPr>
          <w:p w14:paraId="6B166BAC" w14:textId="77777777" w:rsidR="00684D77" w:rsidRPr="00B2760A" w:rsidRDefault="00684D77" w:rsidP="00215563">
            <w:pPr>
              <w:pStyle w:val="Tablewriting"/>
              <w:jc w:val="center"/>
            </w:pPr>
            <w:r w:rsidRPr="00B2760A">
              <w:t>18 mg</w:t>
            </w:r>
          </w:p>
        </w:tc>
        <w:tc>
          <w:tcPr>
            <w:tcW w:w="1134" w:type="dxa"/>
          </w:tcPr>
          <w:p w14:paraId="562D9294" w14:textId="77777777" w:rsidR="00684D77" w:rsidRPr="00B2760A" w:rsidRDefault="00684D77" w:rsidP="00215563">
            <w:pPr>
              <w:pStyle w:val="Tablewriting"/>
              <w:jc w:val="center"/>
            </w:pPr>
            <w:r w:rsidRPr="00B2760A">
              <w:t>9093N</w:t>
            </w:r>
          </w:p>
        </w:tc>
      </w:tr>
      <w:tr w:rsidR="00684D77" w:rsidRPr="00B2760A" w14:paraId="4532D574" w14:textId="77777777" w:rsidTr="000241D7">
        <w:tc>
          <w:tcPr>
            <w:tcW w:w="1384" w:type="dxa"/>
            <w:vMerge/>
          </w:tcPr>
          <w:p w14:paraId="692B19F1" w14:textId="77777777" w:rsidR="00684D77" w:rsidRPr="00B2760A" w:rsidRDefault="00684D77" w:rsidP="00215563">
            <w:pPr>
              <w:pStyle w:val="Tablewriting"/>
            </w:pPr>
          </w:p>
        </w:tc>
        <w:tc>
          <w:tcPr>
            <w:tcW w:w="1985" w:type="dxa"/>
            <w:vMerge/>
          </w:tcPr>
          <w:p w14:paraId="358F1455" w14:textId="77777777" w:rsidR="00684D77" w:rsidRPr="00B2760A" w:rsidRDefault="00684D77" w:rsidP="00215563">
            <w:pPr>
              <w:pStyle w:val="Tablewriting"/>
              <w:jc w:val="center"/>
            </w:pPr>
          </w:p>
        </w:tc>
        <w:tc>
          <w:tcPr>
            <w:tcW w:w="1559" w:type="dxa"/>
            <w:vMerge/>
          </w:tcPr>
          <w:p w14:paraId="4D0BDC4A" w14:textId="77777777" w:rsidR="00684D77" w:rsidRPr="00B2760A" w:rsidRDefault="00684D77" w:rsidP="00215563">
            <w:pPr>
              <w:pStyle w:val="Tablewriting"/>
              <w:jc w:val="center"/>
            </w:pPr>
          </w:p>
        </w:tc>
        <w:tc>
          <w:tcPr>
            <w:tcW w:w="1134" w:type="dxa"/>
          </w:tcPr>
          <w:p w14:paraId="5B0EF3CC" w14:textId="77777777" w:rsidR="00684D77" w:rsidRPr="00B2760A" w:rsidRDefault="00684D77" w:rsidP="00215563">
            <w:pPr>
              <w:pStyle w:val="Tablewriting"/>
              <w:jc w:val="center"/>
            </w:pPr>
            <w:r w:rsidRPr="00B2760A">
              <w:t>25 mg</w:t>
            </w:r>
          </w:p>
        </w:tc>
        <w:tc>
          <w:tcPr>
            <w:tcW w:w="1134" w:type="dxa"/>
          </w:tcPr>
          <w:p w14:paraId="67ABCF0B" w14:textId="77777777" w:rsidR="00684D77" w:rsidRPr="00B2760A" w:rsidRDefault="00684D77" w:rsidP="00215563">
            <w:pPr>
              <w:pStyle w:val="Tablewriting"/>
              <w:jc w:val="center"/>
            </w:pPr>
            <w:r w:rsidRPr="00B2760A">
              <w:t>9094P</w:t>
            </w:r>
          </w:p>
        </w:tc>
      </w:tr>
      <w:tr w:rsidR="00684D77" w:rsidRPr="00B2760A" w14:paraId="2FB52681" w14:textId="77777777" w:rsidTr="000241D7">
        <w:tc>
          <w:tcPr>
            <w:tcW w:w="1384" w:type="dxa"/>
            <w:vMerge/>
          </w:tcPr>
          <w:p w14:paraId="4A3391AA" w14:textId="77777777" w:rsidR="00684D77" w:rsidRPr="00B2760A" w:rsidRDefault="00684D77" w:rsidP="00215563">
            <w:pPr>
              <w:pStyle w:val="Tablewriting"/>
            </w:pPr>
          </w:p>
        </w:tc>
        <w:tc>
          <w:tcPr>
            <w:tcW w:w="1985" w:type="dxa"/>
            <w:vMerge/>
          </w:tcPr>
          <w:p w14:paraId="37680E62" w14:textId="77777777" w:rsidR="00684D77" w:rsidRPr="00B2760A" w:rsidRDefault="00684D77" w:rsidP="00215563">
            <w:pPr>
              <w:pStyle w:val="Tablewriting"/>
              <w:jc w:val="center"/>
            </w:pPr>
          </w:p>
        </w:tc>
        <w:tc>
          <w:tcPr>
            <w:tcW w:w="1559" w:type="dxa"/>
            <w:vMerge/>
          </w:tcPr>
          <w:p w14:paraId="2DFCA776" w14:textId="77777777" w:rsidR="00684D77" w:rsidRPr="00B2760A" w:rsidRDefault="00684D77" w:rsidP="00215563">
            <w:pPr>
              <w:pStyle w:val="Tablewriting"/>
              <w:jc w:val="center"/>
            </w:pPr>
          </w:p>
        </w:tc>
        <w:tc>
          <w:tcPr>
            <w:tcW w:w="1134" w:type="dxa"/>
          </w:tcPr>
          <w:p w14:paraId="50B115E2" w14:textId="77777777" w:rsidR="00684D77" w:rsidRPr="00B2760A" w:rsidRDefault="00684D77" w:rsidP="00215563">
            <w:pPr>
              <w:pStyle w:val="Tablewriting"/>
              <w:jc w:val="center"/>
            </w:pPr>
            <w:r w:rsidRPr="00B2760A">
              <w:t>40 mg</w:t>
            </w:r>
          </w:p>
        </w:tc>
        <w:tc>
          <w:tcPr>
            <w:tcW w:w="1134" w:type="dxa"/>
          </w:tcPr>
          <w:p w14:paraId="34A16BE6" w14:textId="77777777" w:rsidR="00684D77" w:rsidRPr="00B2760A" w:rsidRDefault="00684D77" w:rsidP="00215563">
            <w:pPr>
              <w:pStyle w:val="Tablewriting"/>
              <w:jc w:val="center"/>
            </w:pPr>
            <w:r w:rsidRPr="00B2760A">
              <w:t>9095Q</w:t>
            </w:r>
          </w:p>
        </w:tc>
      </w:tr>
      <w:tr w:rsidR="00684D77" w:rsidRPr="00B2760A" w14:paraId="359CBDB9" w14:textId="77777777" w:rsidTr="000241D7">
        <w:tc>
          <w:tcPr>
            <w:tcW w:w="1384" w:type="dxa"/>
            <w:vMerge/>
          </w:tcPr>
          <w:p w14:paraId="5392F56F" w14:textId="77777777" w:rsidR="00684D77" w:rsidRPr="00B2760A" w:rsidRDefault="00684D77" w:rsidP="00215563">
            <w:pPr>
              <w:pStyle w:val="Tablewriting"/>
            </w:pPr>
          </w:p>
        </w:tc>
        <w:tc>
          <w:tcPr>
            <w:tcW w:w="1985" w:type="dxa"/>
            <w:vMerge/>
          </w:tcPr>
          <w:p w14:paraId="47DE839B" w14:textId="77777777" w:rsidR="00684D77" w:rsidRPr="00B2760A" w:rsidRDefault="00684D77" w:rsidP="00215563">
            <w:pPr>
              <w:pStyle w:val="Tablewriting"/>
              <w:jc w:val="center"/>
            </w:pPr>
          </w:p>
        </w:tc>
        <w:tc>
          <w:tcPr>
            <w:tcW w:w="1559" w:type="dxa"/>
            <w:vMerge/>
          </w:tcPr>
          <w:p w14:paraId="3E6BBACF" w14:textId="77777777" w:rsidR="00684D77" w:rsidRPr="00B2760A" w:rsidRDefault="00684D77" w:rsidP="00215563">
            <w:pPr>
              <w:pStyle w:val="Tablewriting"/>
              <w:jc w:val="center"/>
            </w:pPr>
          </w:p>
        </w:tc>
        <w:tc>
          <w:tcPr>
            <w:tcW w:w="1134" w:type="dxa"/>
          </w:tcPr>
          <w:p w14:paraId="45EA6773" w14:textId="77777777" w:rsidR="00684D77" w:rsidRPr="00B2760A" w:rsidRDefault="00684D77" w:rsidP="00215563">
            <w:pPr>
              <w:pStyle w:val="Tablewriting"/>
              <w:jc w:val="center"/>
            </w:pPr>
            <w:r w:rsidRPr="00B2760A">
              <w:t>60 mg</w:t>
            </w:r>
          </w:p>
        </w:tc>
        <w:tc>
          <w:tcPr>
            <w:tcW w:w="1134" w:type="dxa"/>
          </w:tcPr>
          <w:p w14:paraId="4C8F6EDC" w14:textId="77777777" w:rsidR="00684D77" w:rsidRPr="00B2760A" w:rsidRDefault="00684D77" w:rsidP="00215563">
            <w:pPr>
              <w:pStyle w:val="Tablewriting"/>
              <w:jc w:val="center"/>
            </w:pPr>
            <w:r w:rsidRPr="00B2760A">
              <w:t>9096R</w:t>
            </w:r>
          </w:p>
        </w:tc>
      </w:tr>
      <w:tr w:rsidR="00684D77" w:rsidRPr="00B2760A" w14:paraId="09E64577" w14:textId="77777777" w:rsidTr="000241D7">
        <w:tc>
          <w:tcPr>
            <w:tcW w:w="1384" w:type="dxa"/>
          </w:tcPr>
          <w:p w14:paraId="592726D7" w14:textId="77777777" w:rsidR="00684D77" w:rsidRPr="00B2760A" w:rsidRDefault="00684D77" w:rsidP="00215563">
            <w:pPr>
              <w:pStyle w:val="Tablewriting"/>
            </w:pPr>
            <w:r w:rsidRPr="00B2760A">
              <w:t>Aug 2007</w:t>
            </w:r>
          </w:p>
        </w:tc>
        <w:tc>
          <w:tcPr>
            <w:tcW w:w="1985" w:type="dxa"/>
          </w:tcPr>
          <w:p w14:paraId="4E09EEA1" w14:textId="77777777" w:rsidR="00684D77" w:rsidRPr="00B2760A" w:rsidRDefault="00684D77" w:rsidP="00215563">
            <w:pPr>
              <w:pStyle w:val="Tablewriting"/>
              <w:jc w:val="center"/>
            </w:pPr>
            <w:r w:rsidRPr="00B2760A">
              <w:t>Methylphenidate MR</w:t>
            </w:r>
          </w:p>
        </w:tc>
        <w:tc>
          <w:tcPr>
            <w:tcW w:w="1559" w:type="dxa"/>
          </w:tcPr>
          <w:p w14:paraId="6E147F3C" w14:textId="77777777" w:rsidR="00684D77" w:rsidRPr="00B2760A" w:rsidRDefault="00684D77" w:rsidP="00215563">
            <w:pPr>
              <w:pStyle w:val="Tablewriting"/>
              <w:jc w:val="center"/>
            </w:pPr>
            <w:proofErr w:type="spellStart"/>
            <w:r w:rsidRPr="00B2760A">
              <w:t>Concerta</w:t>
            </w:r>
            <w:proofErr w:type="spellEnd"/>
          </w:p>
        </w:tc>
        <w:tc>
          <w:tcPr>
            <w:tcW w:w="1134" w:type="dxa"/>
          </w:tcPr>
          <w:p w14:paraId="23621E74" w14:textId="77777777" w:rsidR="00684D77" w:rsidRPr="00B2760A" w:rsidRDefault="00684D77" w:rsidP="00215563">
            <w:pPr>
              <w:pStyle w:val="Tablewriting"/>
              <w:jc w:val="center"/>
            </w:pPr>
            <w:r w:rsidRPr="00B2760A">
              <w:t>27 mg</w:t>
            </w:r>
          </w:p>
        </w:tc>
        <w:tc>
          <w:tcPr>
            <w:tcW w:w="1134" w:type="dxa"/>
          </w:tcPr>
          <w:p w14:paraId="06371326" w14:textId="77777777" w:rsidR="00684D77" w:rsidRPr="00B2760A" w:rsidRDefault="00684D77" w:rsidP="00215563">
            <w:pPr>
              <w:pStyle w:val="Tablewriting"/>
              <w:jc w:val="center"/>
            </w:pPr>
            <w:r w:rsidRPr="00B2760A">
              <w:t>2172H</w:t>
            </w:r>
          </w:p>
        </w:tc>
      </w:tr>
      <w:tr w:rsidR="00684D77" w:rsidRPr="00B2760A" w14:paraId="0252AD4D" w14:textId="77777777" w:rsidTr="000241D7">
        <w:tc>
          <w:tcPr>
            <w:tcW w:w="1384" w:type="dxa"/>
            <w:vMerge w:val="restart"/>
          </w:tcPr>
          <w:p w14:paraId="6203A398" w14:textId="77777777" w:rsidR="00684D77" w:rsidRPr="00B2760A" w:rsidRDefault="00684D77" w:rsidP="00215563">
            <w:pPr>
              <w:pStyle w:val="Tablewriting"/>
            </w:pPr>
            <w:r w:rsidRPr="00B2760A">
              <w:t>April 2008</w:t>
            </w:r>
          </w:p>
        </w:tc>
        <w:tc>
          <w:tcPr>
            <w:tcW w:w="1985" w:type="dxa"/>
            <w:vMerge w:val="restart"/>
          </w:tcPr>
          <w:p w14:paraId="40A7F55B" w14:textId="77777777" w:rsidR="00684D77" w:rsidRPr="00B2760A" w:rsidRDefault="00684D77" w:rsidP="00215563">
            <w:pPr>
              <w:pStyle w:val="Tablewriting"/>
              <w:jc w:val="center"/>
            </w:pPr>
            <w:r w:rsidRPr="00B2760A">
              <w:t>Methylphenidate MR</w:t>
            </w:r>
          </w:p>
        </w:tc>
        <w:tc>
          <w:tcPr>
            <w:tcW w:w="1559" w:type="dxa"/>
            <w:vMerge w:val="restart"/>
          </w:tcPr>
          <w:p w14:paraId="067C768F" w14:textId="77777777" w:rsidR="00684D77" w:rsidRPr="00B2760A" w:rsidRDefault="00684D77" w:rsidP="00215563">
            <w:pPr>
              <w:pStyle w:val="Tablewriting"/>
              <w:jc w:val="center"/>
            </w:pPr>
            <w:r w:rsidRPr="00B2760A">
              <w:t>Ritalin LA</w:t>
            </w:r>
          </w:p>
        </w:tc>
        <w:tc>
          <w:tcPr>
            <w:tcW w:w="1134" w:type="dxa"/>
          </w:tcPr>
          <w:p w14:paraId="6FDCFEE6" w14:textId="77777777" w:rsidR="00684D77" w:rsidRPr="00B2760A" w:rsidRDefault="00684D77" w:rsidP="00215563">
            <w:pPr>
              <w:pStyle w:val="Tablewriting"/>
              <w:jc w:val="center"/>
            </w:pPr>
            <w:r w:rsidRPr="00B2760A">
              <w:t>20 mg</w:t>
            </w:r>
          </w:p>
        </w:tc>
        <w:tc>
          <w:tcPr>
            <w:tcW w:w="1134" w:type="dxa"/>
          </w:tcPr>
          <w:p w14:paraId="0C2BAB2E" w14:textId="77777777" w:rsidR="00684D77" w:rsidRPr="00B2760A" w:rsidRDefault="00684D77" w:rsidP="00215563">
            <w:pPr>
              <w:pStyle w:val="Tablewriting"/>
              <w:jc w:val="center"/>
            </w:pPr>
            <w:r w:rsidRPr="00B2760A">
              <w:t>2276T</w:t>
            </w:r>
          </w:p>
        </w:tc>
      </w:tr>
      <w:tr w:rsidR="00684D77" w:rsidRPr="00B2760A" w14:paraId="72C56FAF" w14:textId="77777777" w:rsidTr="000241D7">
        <w:tc>
          <w:tcPr>
            <w:tcW w:w="1384" w:type="dxa"/>
            <w:vMerge/>
          </w:tcPr>
          <w:p w14:paraId="38CF0F2E" w14:textId="77777777" w:rsidR="00684D77" w:rsidRPr="00B2760A" w:rsidRDefault="00684D77" w:rsidP="00215563">
            <w:pPr>
              <w:pStyle w:val="Tablewriting"/>
            </w:pPr>
          </w:p>
        </w:tc>
        <w:tc>
          <w:tcPr>
            <w:tcW w:w="1985" w:type="dxa"/>
            <w:vMerge/>
          </w:tcPr>
          <w:p w14:paraId="7A8637FE" w14:textId="77777777" w:rsidR="00684D77" w:rsidRPr="00B2760A" w:rsidRDefault="00684D77" w:rsidP="00215563">
            <w:pPr>
              <w:pStyle w:val="Tablewriting"/>
              <w:jc w:val="center"/>
            </w:pPr>
          </w:p>
        </w:tc>
        <w:tc>
          <w:tcPr>
            <w:tcW w:w="1559" w:type="dxa"/>
            <w:vMerge/>
          </w:tcPr>
          <w:p w14:paraId="0A1F0BC7" w14:textId="77777777" w:rsidR="00684D77" w:rsidRPr="00B2760A" w:rsidRDefault="00684D77" w:rsidP="00215563">
            <w:pPr>
              <w:pStyle w:val="Tablewriting"/>
              <w:jc w:val="center"/>
            </w:pPr>
          </w:p>
        </w:tc>
        <w:tc>
          <w:tcPr>
            <w:tcW w:w="1134" w:type="dxa"/>
          </w:tcPr>
          <w:p w14:paraId="6413988C" w14:textId="77777777" w:rsidR="00684D77" w:rsidRPr="00B2760A" w:rsidRDefault="00684D77" w:rsidP="00215563">
            <w:pPr>
              <w:pStyle w:val="Tablewriting"/>
              <w:jc w:val="center"/>
            </w:pPr>
            <w:r w:rsidRPr="00B2760A">
              <w:t>30 mg</w:t>
            </w:r>
          </w:p>
        </w:tc>
        <w:tc>
          <w:tcPr>
            <w:tcW w:w="1134" w:type="dxa"/>
          </w:tcPr>
          <w:p w14:paraId="5ED02918" w14:textId="77777777" w:rsidR="00684D77" w:rsidRPr="00B2760A" w:rsidRDefault="00684D77" w:rsidP="00215563">
            <w:pPr>
              <w:pStyle w:val="Tablewriting"/>
              <w:jc w:val="center"/>
            </w:pPr>
            <w:r w:rsidRPr="00B2760A">
              <w:t>2280B</w:t>
            </w:r>
          </w:p>
        </w:tc>
      </w:tr>
      <w:tr w:rsidR="00684D77" w:rsidRPr="00B2760A" w14:paraId="562E4ABA" w14:textId="77777777" w:rsidTr="000241D7">
        <w:tc>
          <w:tcPr>
            <w:tcW w:w="1384" w:type="dxa"/>
            <w:vMerge/>
          </w:tcPr>
          <w:p w14:paraId="1B5A70FB" w14:textId="77777777" w:rsidR="00684D77" w:rsidRPr="00B2760A" w:rsidRDefault="00684D77" w:rsidP="00215563">
            <w:pPr>
              <w:pStyle w:val="Tablewriting"/>
            </w:pPr>
          </w:p>
        </w:tc>
        <w:tc>
          <w:tcPr>
            <w:tcW w:w="1985" w:type="dxa"/>
            <w:vMerge/>
          </w:tcPr>
          <w:p w14:paraId="77AD0FF1" w14:textId="77777777" w:rsidR="00684D77" w:rsidRPr="00B2760A" w:rsidRDefault="00684D77" w:rsidP="00215563">
            <w:pPr>
              <w:pStyle w:val="Tablewriting"/>
              <w:jc w:val="center"/>
            </w:pPr>
          </w:p>
        </w:tc>
        <w:tc>
          <w:tcPr>
            <w:tcW w:w="1559" w:type="dxa"/>
            <w:vMerge/>
          </w:tcPr>
          <w:p w14:paraId="45498AAF" w14:textId="77777777" w:rsidR="00684D77" w:rsidRPr="00B2760A" w:rsidRDefault="00684D77" w:rsidP="00215563">
            <w:pPr>
              <w:pStyle w:val="Tablewriting"/>
              <w:jc w:val="center"/>
            </w:pPr>
          </w:p>
        </w:tc>
        <w:tc>
          <w:tcPr>
            <w:tcW w:w="1134" w:type="dxa"/>
          </w:tcPr>
          <w:p w14:paraId="315A3869" w14:textId="77777777" w:rsidR="00684D77" w:rsidRPr="00B2760A" w:rsidRDefault="00684D77" w:rsidP="00215563">
            <w:pPr>
              <w:pStyle w:val="Tablewriting"/>
              <w:jc w:val="center"/>
            </w:pPr>
            <w:r w:rsidRPr="00B2760A">
              <w:t>40 mg</w:t>
            </w:r>
          </w:p>
        </w:tc>
        <w:tc>
          <w:tcPr>
            <w:tcW w:w="1134" w:type="dxa"/>
          </w:tcPr>
          <w:p w14:paraId="6D32F001" w14:textId="77777777" w:rsidR="00684D77" w:rsidRPr="00B2760A" w:rsidRDefault="00684D77" w:rsidP="00215563">
            <w:pPr>
              <w:pStyle w:val="Tablewriting"/>
              <w:jc w:val="center"/>
            </w:pPr>
            <w:r w:rsidRPr="00B2760A">
              <w:t>2283E</w:t>
            </w:r>
          </w:p>
        </w:tc>
      </w:tr>
      <w:tr w:rsidR="00684D77" w:rsidRPr="00B2760A" w14:paraId="139BF6E9" w14:textId="77777777" w:rsidTr="000241D7">
        <w:tc>
          <w:tcPr>
            <w:tcW w:w="1384" w:type="dxa"/>
            <w:vMerge w:val="restart"/>
            <w:tcBorders>
              <w:top w:val="single" w:sz="4" w:space="0" w:color="auto"/>
              <w:left w:val="single" w:sz="4" w:space="0" w:color="auto"/>
              <w:right w:val="single" w:sz="4" w:space="0" w:color="auto"/>
            </w:tcBorders>
          </w:tcPr>
          <w:p w14:paraId="48F59EDB" w14:textId="77777777" w:rsidR="00684D77" w:rsidRPr="00B2760A" w:rsidRDefault="00684D77" w:rsidP="00215563">
            <w:pPr>
              <w:pStyle w:val="Tablewriting"/>
            </w:pPr>
            <w:r w:rsidRPr="00B2760A">
              <w:t>Dec 2008</w:t>
            </w:r>
          </w:p>
        </w:tc>
        <w:tc>
          <w:tcPr>
            <w:tcW w:w="1985" w:type="dxa"/>
            <w:vMerge w:val="restart"/>
            <w:tcBorders>
              <w:top w:val="single" w:sz="4" w:space="0" w:color="auto"/>
              <w:left w:val="single" w:sz="4" w:space="0" w:color="auto"/>
              <w:right w:val="single" w:sz="4" w:space="0" w:color="auto"/>
            </w:tcBorders>
          </w:tcPr>
          <w:p w14:paraId="11DC16DF" w14:textId="77777777" w:rsidR="00684D77" w:rsidRPr="00B2760A" w:rsidRDefault="00684D77" w:rsidP="00215563">
            <w:pPr>
              <w:pStyle w:val="Tablewriting"/>
              <w:jc w:val="center"/>
            </w:pPr>
            <w:r w:rsidRPr="00B2760A">
              <w:t>Atomoxetine</w:t>
            </w:r>
          </w:p>
        </w:tc>
        <w:tc>
          <w:tcPr>
            <w:tcW w:w="1559" w:type="dxa"/>
            <w:vMerge w:val="restart"/>
            <w:tcBorders>
              <w:top w:val="single" w:sz="4" w:space="0" w:color="auto"/>
              <w:left w:val="single" w:sz="4" w:space="0" w:color="auto"/>
              <w:right w:val="single" w:sz="4" w:space="0" w:color="auto"/>
            </w:tcBorders>
          </w:tcPr>
          <w:p w14:paraId="43661E49" w14:textId="77777777" w:rsidR="00684D77" w:rsidRPr="00B2760A" w:rsidRDefault="00684D77" w:rsidP="00215563">
            <w:pPr>
              <w:pStyle w:val="Tablewriting"/>
              <w:jc w:val="center"/>
            </w:pPr>
            <w:r w:rsidRPr="00B2760A">
              <w:t>Strattera</w:t>
            </w:r>
          </w:p>
        </w:tc>
        <w:tc>
          <w:tcPr>
            <w:tcW w:w="1134" w:type="dxa"/>
            <w:tcBorders>
              <w:top w:val="single" w:sz="4" w:space="0" w:color="auto"/>
              <w:left w:val="single" w:sz="4" w:space="0" w:color="auto"/>
              <w:bottom w:val="single" w:sz="4" w:space="0" w:color="auto"/>
              <w:right w:val="single" w:sz="4" w:space="0" w:color="auto"/>
            </w:tcBorders>
          </w:tcPr>
          <w:p w14:paraId="3FA4B5FB" w14:textId="068310C2" w:rsidR="00684D77" w:rsidRPr="00B2760A" w:rsidRDefault="00684D77" w:rsidP="00215563">
            <w:pPr>
              <w:pStyle w:val="Tablewriting"/>
              <w:jc w:val="center"/>
            </w:pPr>
            <w:r w:rsidRPr="00B2760A">
              <w:t>80</w:t>
            </w:r>
            <w:r w:rsidR="00D434BC" w:rsidRPr="00B2760A">
              <w:t xml:space="preserve"> </w:t>
            </w:r>
            <w:r w:rsidRPr="00B2760A">
              <w:t>mg</w:t>
            </w:r>
          </w:p>
        </w:tc>
        <w:tc>
          <w:tcPr>
            <w:tcW w:w="1134" w:type="dxa"/>
            <w:tcBorders>
              <w:top w:val="single" w:sz="4" w:space="0" w:color="auto"/>
              <w:left w:val="single" w:sz="4" w:space="0" w:color="auto"/>
              <w:bottom w:val="single" w:sz="4" w:space="0" w:color="auto"/>
              <w:right w:val="single" w:sz="4" w:space="0" w:color="auto"/>
            </w:tcBorders>
          </w:tcPr>
          <w:p w14:paraId="2CE62165" w14:textId="77777777" w:rsidR="00684D77" w:rsidRPr="00B2760A" w:rsidRDefault="00684D77" w:rsidP="00215563">
            <w:pPr>
              <w:pStyle w:val="Tablewriting"/>
              <w:jc w:val="center"/>
            </w:pPr>
            <w:r w:rsidRPr="00B2760A">
              <w:t>9289X</w:t>
            </w:r>
          </w:p>
        </w:tc>
      </w:tr>
      <w:tr w:rsidR="00684D77" w:rsidRPr="00B2760A" w14:paraId="009EA120" w14:textId="77777777" w:rsidTr="000241D7">
        <w:tc>
          <w:tcPr>
            <w:tcW w:w="1384" w:type="dxa"/>
            <w:vMerge/>
            <w:tcBorders>
              <w:left w:val="single" w:sz="4" w:space="0" w:color="auto"/>
              <w:bottom w:val="single" w:sz="4" w:space="0" w:color="auto"/>
              <w:right w:val="single" w:sz="4" w:space="0" w:color="auto"/>
            </w:tcBorders>
          </w:tcPr>
          <w:p w14:paraId="615C0C9A" w14:textId="77777777" w:rsidR="00684D77" w:rsidRPr="00B2760A" w:rsidRDefault="00684D77" w:rsidP="00215563">
            <w:pPr>
              <w:pStyle w:val="Tablewriting"/>
            </w:pPr>
          </w:p>
        </w:tc>
        <w:tc>
          <w:tcPr>
            <w:tcW w:w="1985" w:type="dxa"/>
            <w:vMerge/>
            <w:tcBorders>
              <w:left w:val="single" w:sz="4" w:space="0" w:color="auto"/>
              <w:bottom w:val="single" w:sz="4" w:space="0" w:color="auto"/>
              <w:right w:val="single" w:sz="4" w:space="0" w:color="auto"/>
            </w:tcBorders>
          </w:tcPr>
          <w:p w14:paraId="235C667C" w14:textId="77777777" w:rsidR="00684D77" w:rsidRPr="00B2760A" w:rsidRDefault="00684D77" w:rsidP="00215563">
            <w:pPr>
              <w:pStyle w:val="Tablewriting"/>
              <w:jc w:val="center"/>
            </w:pPr>
          </w:p>
        </w:tc>
        <w:tc>
          <w:tcPr>
            <w:tcW w:w="1559" w:type="dxa"/>
            <w:vMerge/>
            <w:tcBorders>
              <w:left w:val="single" w:sz="4" w:space="0" w:color="auto"/>
              <w:bottom w:val="single" w:sz="4" w:space="0" w:color="auto"/>
              <w:right w:val="single" w:sz="4" w:space="0" w:color="auto"/>
            </w:tcBorders>
          </w:tcPr>
          <w:p w14:paraId="2AD46429" w14:textId="77777777" w:rsidR="00684D77" w:rsidRPr="00B2760A" w:rsidRDefault="00684D77" w:rsidP="00215563">
            <w:pPr>
              <w:pStyle w:val="Tablewriting"/>
              <w:jc w:val="center"/>
            </w:pPr>
          </w:p>
        </w:tc>
        <w:tc>
          <w:tcPr>
            <w:tcW w:w="1134" w:type="dxa"/>
            <w:tcBorders>
              <w:top w:val="single" w:sz="4" w:space="0" w:color="auto"/>
              <w:left w:val="single" w:sz="4" w:space="0" w:color="auto"/>
              <w:bottom w:val="single" w:sz="4" w:space="0" w:color="auto"/>
              <w:right w:val="single" w:sz="4" w:space="0" w:color="auto"/>
            </w:tcBorders>
          </w:tcPr>
          <w:p w14:paraId="31134CD1" w14:textId="77777777" w:rsidR="00684D77" w:rsidRPr="00B2760A" w:rsidRDefault="00684D77" w:rsidP="00215563">
            <w:pPr>
              <w:pStyle w:val="Tablewriting"/>
              <w:jc w:val="center"/>
            </w:pPr>
            <w:r w:rsidRPr="00B2760A">
              <w:t>100 mg</w:t>
            </w:r>
          </w:p>
        </w:tc>
        <w:tc>
          <w:tcPr>
            <w:tcW w:w="1134" w:type="dxa"/>
            <w:tcBorders>
              <w:top w:val="single" w:sz="4" w:space="0" w:color="auto"/>
              <w:left w:val="single" w:sz="4" w:space="0" w:color="auto"/>
              <w:bottom w:val="single" w:sz="4" w:space="0" w:color="auto"/>
              <w:right w:val="single" w:sz="4" w:space="0" w:color="auto"/>
            </w:tcBorders>
          </w:tcPr>
          <w:p w14:paraId="4C76B22F" w14:textId="77777777" w:rsidR="00684D77" w:rsidRPr="00B2760A" w:rsidRDefault="00684D77" w:rsidP="00215563">
            <w:pPr>
              <w:pStyle w:val="Tablewriting"/>
              <w:jc w:val="center"/>
            </w:pPr>
            <w:r w:rsidRPr="00B2760A">
              <w:t>9290Y</w:t>
            </w:r>
          </w:p>
        </w:tc>
      </w:tr>
      <w:tr w:rsidR="00684D77" w:rsidRPr="00B2760A" w14:paraId="144D71CE" w14:textId="77777777" w:rsidTr="000241D7">
        <w:tc>
          <w:tcPr>
            <w:tcW w:w="1384" w:type="dxa"/>
            <w:tcBorders>
              <w:left w:val="single" w:sz="4" w:space="0" w:color="auto"/>
              <w:right w:val="single" w:sz="4" w:space="0" w:color="auto"/>
            </w:tcBorders>
          </w:tcPr>
          <w:p w14:paraId="6097F940" w14:textId="77777777" w:rsidR="00684D77" w:rsidRPr="00B2760A" w:rsidRDefault="00684D77" w:rsidP="00215563">
            <w:pPr>
              <w:pStyle w:val="Tablewriting"/>
            </w:pPr>
            <w:r w:rsidRPr="00B2760A">
              <w:t>Aug 2010</w:t>
            </w:r>
          </w:p>
        </w:tc>
        <w:tc>
          <w:tcPr>
            <w:tcW w:w="1985" w:type="dxa"/>
            <w:tcBorders>
              <w:left w:val="single" w:sz="4" w:space="0" w:color="auto"/>
              <w:right w:val="single" w:sz="4" w:space="0" w:color="auto"/>
            </w:tcBorders>
          </w:tcPr>
          <w:p w14:paraId="41420808" w14:textId="77777777" w:rsidR="00684D77" w:rsidRPr="00B2760A" w:rsidRDefault="00684D77" w:rsidP="00215563">
            <w:pPr>
              <w:pStyle w:val="Tablewriting"/>
              <w:jc w:val="center"/>
            </w:pPr>
            <w:r w:rsidRPr="00B2760A">
              <w:t>Methylphenidate MR</w:t>
            </w:r>
          </w:p>
        </w:tc>
        <w:tc>
          <w:tcPr>
            <w:tcW w:w="1559" w:type="dxa"/>
            <w:tcBorders>
              <w:left w:val="single" w:sz="4" w:space="0" w:color="auto"/>
              <w:right w:val="single" w:sz="4" w:space="0" w:color="auto"/>
            </w:tcBorders>
          </w:tcPr>
          <w:p w14:paraId="1D3B02E9" w14:textId="77777777" w:rsidR="00684D77" w:rsidRPr="00B2760A" w:rsidRDefault="00684D77" w:rsidP="00215563">
            <w:pPr>
              <w:pStyle w:val="Tablewriting"/>
              <w:jc w:val="center"/>
            </w:pPr>
            <w:r w:rsidRPr="00B2760A">
              <w:t>Ritalin LA</w:t>
            </w:r>
          </w:p>
        </w:tc>
        <w:tc>
          <w:tcPr>
            <w:tcW w:w="1134" w:type="dxa"/>
            <w:tcBorders>
              <w:top w:val="single" w:sz="4" w:space="0" w:color="auto"/>
              <w:left w:val="single" w:sz="4" w:space="0" w:color="auto"/>
              <w:bottom w:val="single" w:sz="4" w:space="0" w:color="auto"/>
              <w:right w:val="single" w:sz="4" w:space="0" w:color="auto"/>
            </w:tcBorders>
          </w:tcPr>
          <w:p w14:paraId="7BEB5C9D" w14:textId="1AC75BDF" w:rsidR="00684D77" w:rsidRPr="00B2760A" w:rsidRDefault="00684D77" w:rsidP="00215563">
            <w:pPr>
              <w:pStyle w:val="Tablewriting"/>
              <w:jc w:val="center"/>
            </w:pPr>
            <w:r w:rsidRPr="00B2760A">
              <w:t>10</w:t>
            </w:r>
            <w:r w:rsidR="00D434BC" w:rsidRPr="00B2760A">
              <w:t xml:space="preserve"> </w:t>
            </w:r>
            <w:r w:rsidRPr="00B2760A">
              <w:t>mg</w:t>
            </w:r>
          </w:p>
        </w:tc>
        <w:tc>
          <w:tcPr>
            <w:tcW w:w="1134" w:type="dxa"/>
            <w:tcBorders>
              <w:top w:val="single" w:sz="4" w:space="0" w:color="auto"/>
              <w:left w:val="single" w:sz="4" w:space="0" w:color="auto"/>
              <w:bottom w:val="single" w:sz="4" w:space="0" w:color="auto"/>
              <w:right w:val="single" w:sz="4" w:space="0" w:color="auto"/>
            </w:tcBorders>
          </w:tcPr>
          <w:p w14:paraId="0F4CE72D" w14:textId="77777777" w:rsidR="00684D77" w:rsidRPr="00B2760A" w:rsidRDefault="00684D77" w:rsidP="00215563">
            <w:pPr>
              <w:pStyle w:val="Tablewriting"/>
              <w:jc w:val="center"/>
            </w:pPr>
            <w:r w:rsidRPr="00B2760A">
              <w:t>3440C</w:t>
            </w:r>
          </w:p>
        </w:tc>
      </w:tr>
      <w:tr w:rsidR="00684D77" w:rsidRPr="00B2760A" w14:paraId="026A044E" w14:textId="77777777" w:rsidTr="000241D7">
        <w:tc>
          <w:tcPr>
            <w:tcW w:w="1384" w:type="dxa"/>
            <w:vMerge w:val="restart"/>
            <w:tcBorders>
              <w:left w:val="single" w:sz="4" w:space="0" w:color="auto"/>
              <w:right w:val="single" w:sz="4" w:space="0" w:color="auto"/>
            </w:tcBorders>
          </w:tcPr>
          <w:p w14:paraId="7A13B81C" w14:textId="77777777" w:rsidR="00684D77" w:rsidRPr="00B2760A" w:rsidRDefault="00684D77" w:rsidP="00215563">
            <w:pPr>
              <w:pStyle w:val="Tablewriting"/>
            </w:pPr>
            <w:r w:rsidRPr="00B2760A">
              <w:t>Sep 2015</w:t>
            </w:r>
          </w:p>
        </w:tc>
        <w:tc>
          <w:tcPr>
            <w:tcW w:w="1985" w:type="dxa"/>
            <w:vMerge w:val="restart"/>
            <w:tcBorders>
              <w:left w:val="single" w:sz="4" w:space="0" w:color="auto"/>
              <w:right w:val="single" w:sz="4" w:space="0" w:color="auto"/>
            </w:tcBorders>
          </w:tcPr>
          <w:p w14:paraId="618B06ED" w14:textId="77777777" w:rsidR="00684D77" w:rsidRPr="00B2760A" w:rsidRDefault="00684D77" w:rsidP="00215563">
            <w:pPr>
              <w:pStyle w:val="Tablewriting"/>
              <w:jc w:val="center"/>
            </w:pPr>
            <w:proofErr w:type="spellStart"/>
            <w:r w:rsidRPr="00B2760A">
              <w:t>Lisdexamfetamine</w:t>
            </w:r>
            <w:proofErr w:type="spellEnd"/>
          </w:p>
        </w:tc>
        <w:tc>
          <w:tcPr>
            <w:tcW w:w="1559" w:type="dxa"/>
            <w:vMerge w:val="restart"/>
            <w:tcBorders>
              <w:left w:val="single" w:sz="4" w:space="0" w:color="auto"/>
              <w:right w:val="single" w:sz="4" w:space="0" w:color="auto"/>
            </w:tcBorders>
          </w:tcPr>
          <w:p w14:paraId="2D959C92" w14:textId="77777777" w:rsidR="00684D77" w:rsidRPr="00B2760A" w:rsidRDefault="00684D77" w:rsidP="00215563">
            <w:pPr>
              <w:pStyle w:val="Tablewriting"/>
              <w:jc w:val="center"/>
            </w:pPr>
            <w:r w:rsidRPr="00B2760A">
              <w:t>Vyvanse</w:t>
            </w:r>
          </w:p>
        </w:tc>
        <w:tc>
          <w:tcPr>
            <w:tcW w:w="1134" w:type="dxa"/>
            <w:tcBorders>
              <w:top w:val="single" w:sz="4" w:space="0" w:color="auto"/>
              <w:left w:val="single" w:sz="4" w:space="0" w:color="auto"/>
              <w:bottom w:val="single" w:sz="4" w:space="0" w:color="auto"/>
              <w:right w:val="single" w:sz="4" w:space="0" w:color="auto"/>
            </w:tcBorders>
          </w:tcPr>
          <w:p w14:paraId="5FA46B26" w14:textId="56C22483" w:rsidR="00684D77" w:rsidRPr="00B2760A" w:rsidRDefault="00684D77" w:rsidP="00215563">
            <w:pPr>
              <w:pStyle w:val="Tablewriting"/>
              <w:jc w:val="center"/>
            </w:pPr>
            <w:r w:rsidRPr="00B2760A">
              <w:t>30</w:t>
            </w:r>
            <w:r w:rsidR="00D434BC" w:rsidRPr="00B2760A">
              <w:t xml:space="preserve"> </w:t>
            </w:r>
            <w:r w:rsidRPr="00B2760A">
              <w:t>mg</w:t>
            </w:r>
          </w:p>
        </w:tc>
        <w:tc>
          <w:tcPr>
            <w:tcW w:w="1134" w:type="dxa"/>
            <w:tcBorders>
              <w:top w:val="single" w:sz="4" w:space="0" w:color="auto"/>
              <w:left w:val="single" w:sz="4" w:space="0" w:color="auto"/>
              <w:bottom w:val="single" w:sz="4" w:space="0" w:color="auto"/>
              <w:right w:val="single" w:sz="4" w:space="0" w:color="auto"/>
            </w:tcBorders>
          </w:tcPr>
          <w:p w14:paraId="41AF700A" w14:textId="77777777" w:rsidR="00684D77" w:rsidRPr="00B2760A" w:rsidRDefault="00684D77" w:rsidP="00215563">
            <w:pPr>
              <w:pStyle w:val="Tablewriting"/>
              <w:jc w:val="center"/>
            </w:pPr>
            <w:r w:rsidRPr="00B2760A">
              <w:t>10486X</w:t>
            </w:r>
          </w:p>
        </w:tc>
      </w:tr>
      <w:tr w:rsidR="00684D77" w:rsidRPr="00B2760A" w14:paraId="2FA9A8A8" w14:textId="77777777" w:rsidTr="000241D7">
        <w:tc>
          <w:tcPr>
            <w:tcW w:w="1384" w:type="dxa"/>
            <w:vMerge/>
            <w:tcBorders>
              <w:left w:val="single" w:sz="4" w:space="0" w:color="auto"/>
              <w:right w:val="single" w:sz="4" w:space="0" w:color="auto"/>
            </w:tcBorders>
          </w:tcPr>
          <w:p w14:paraId="3833E18E" w14:textId="77777777" w:rsidR="00684D77" w:rsidRPr="00B2760A" w:rsidRDefault="00684D77" w:rsidP="00215563">
            <w:pPr>
              <w:pStyle w:val="Tablewriting"/>
            </w:pPr>
          </w:p>
        </w:tc>
        <w:tc>
          <w:tcPr>
            <w:tcW w:w="1985" w:type="dxa"/>
            <w:vMerge/>
            <w:tcBorders>
              <w:left w:val="single" w:sz="4" w:space="0" w:color="auto"/>
              <w:right w:val="single" w:sz="4" w:space="0" w:color="auto"/>
            </w:tcBorders>
          </w:tcPr>
          <w:p w14:paraId="3960C76D" w14:textId="77777777" w:rsidR="00684D77" w:rsidRPr="00B2760A" w:rsidRDefault="00684D77" w:rsidP="00215563">
            <w:pPr>
              <w:pStyle w:val="Tablewriting"/>
              <w:jc w:val="center"/>
            </w:pPr>
          </w:p>
        </w:tc>
        <w:tc>
          <w:tcPr>
            <w:tcW w:w="1559" w:type="dxa"/>
            <w:vMerge/>
            <w:tcBorders>
              <w:left w:val="single" w:sz="4" w:space="0" w:color="auto"/>
              <w:right w:val="single" w:sz="4" w:space="0" w:color="auto"/>
            </w:tcBorders>
          </w:tcPr>
          <w:p w14:paraId="50CF6BFA" w14:textId="77777777" w:rsidR="00684D77" w:rsidRPr="00B2760A" w:rsidRDefault="00684D77" w:rsidP="00215563">
            <w:pPr>
              <w:pStyle w:val="Tablewriting"/>
              <w:jc w:val="center"/>
            </w:pPr>
          </w:p>
        </w:tc>
        <w:tc>
          <w:tcPr>
            <w:tcW w:w="1134" w:type="dxa"/>
            <w:tcBorders>
              <w:top w:val="single" w:sz="4" w:space="0" w:color="auto"/>
              <w:left w:val="single" w:sz="4" w:space="0" w:color="auto"/>
              <w:bottom w:val="single" w:sz="4" w:space="0" w:color="auto"/>
              <w:right w:val="single" w:sz="4" w:space="0" w:color="auto"/>
            </w:tcBorders>
          </w:tcPr>
          <w:p w14:paraId="406E2552" w14:textId="71C2ACB8" w:rsidR="00684D77" w:rsidRPr="00B2760A" w:rsidRDefault="00684D77" w:rsidP="00215563">
            <w:pPr>
              <w:pStyle w:val="Tablewriting"/>
              <w:jc w:val="center"/>
            </w:pPr>
            <w:r w:rsidRPr="00B2760A">
              <w:t>50</w:t>
            </w:r>
            <w:r w:rsidR="00D434BC" w:rsidRPr="00B2760A">
              <w:t xml:space="preserve"> </w:t>
            </w:r>
            <w:r w:rsidRPr="00B2760A">
              <w:t>mg</w:t>
            </w:r>
          </w:p>
        </w:tc>
        <w:tc>
          <w:tcPr>
            <w:tcW w:w="1134" w:type="dxa"/>
            <w:tcBorders>
              <w:top w:val="single" w:sz="4" w:space="0" w:color="auto"/>
              <w:left w:val="single" w:sz="4" w:space="0" w:color="auto"/>
              <w:bottom w:val="single" w:sz="4" w:space="0" w:color="auto"/>
              <w:right w:val="single" w:sz="4" w:space="0" w:color="auto"/>
            </w:tcBorders>
          </w:tcPr>
          <w:p w14:paraId="5C9A89E9" w14:textId="77777777" w:rsidR="00684D77" w:rsidRPr="00B2760A" w:rsidRDefault="00684D77" w:rsidP="00215563">
            <w:pPr>
              <w:pStyle w:val="Tablewriting"/>
              <w:jc w:val="center"/>
            </w:pPr>
            <w:r w:rsidRPr="00B2760A">
              <w:t>10474G</w:t>
            </w:r>
          </w:p>
        </w:tc>
      </w:tr>
      <w:tr w:rsidR="00684D77" w:rsidRPr="00B2760A" w14:paraId="523A759C" w14:textId="77777777" w:rsidTr="000241D7">
        <w:tc>
          <w:tcPr>
            <w:tcW w:w="1384" w:type="dxa"/>
            <w:vMerge/>
            <w:tcBorders>
              <w:left w:val="single" w:sz="4" w:space="0" w:color="auto"/>
              <w:right w:val="single" w:sz="4" w:space="0" w:color="auto"/>
            </w:tcBorders>
          </w:tcPr>
          <w:p w14:paraId="1AB7F5EC" w14:textId="77777777" w:rsidR="00684D77" w:rsidRPr="00B2760A" w:rsidRDefault="00684D77" w:rsidP="00215563">
            <w:pPr>
              <w:pStyle w:val="Tablewriting"/>
            </w:pPr>
          </w:p>
        </w:tc>
        <w:tc>
          <w:tcPr>
            <w:tcW w:w="1985" w:type="dxa"/>
            <w:vMerge/>
            <w:tcBorders>
              <w:left w:val="single" w:sz="4" w:space="0" w:color="auto"/>
              <w:right w:val="single" w:sz="4" w:space="0" w:color="auto"/>
            </w:tcBorders>
          </w:tcPr>
          <w:p w14:paraId="1E621DC0" w14:textId="77777777" w:rsidR="00684D77" w:rsidRPr="00B2760A" w:rsidRDefault="00684D77" w:rsidP="00215563">
            <w:pPr>
              <w:pStyle w:val="Tablewriting"/>
              <w:jc w:val="center"/>
            </w:pPr>
          </w:p>
        </w:tc>
        <w:tc>
          <w:tcPr>
            <w:tcW w:w="1559" w:type="dxa"/>
            <w:vMerge/>
            <w:tcBorders>
              <w:left w:val="single" w:sz="4" w:space="0" w:color="auto"/>
              <w:right w:val="single" w:sz="4" w:space="0" w:color="auto"/>
            </w:tcBorders>
          </w:tcPr>
          <w:p w14:paraId="351C1F60" w14:textId="77777777" w:rsidR="00684D77" w:rsidRPr="00B2760A" w:rsidRDefault="00684D77" w:rsidP="00215563">
            <w:pPr>
              <w:pStyle w:val="Tablewriting"/>
              <w:jc w:val="center"/>
            </w:pPr>
          </w:p>
        </w:tc>
        <w:tc>
          <w:tcPr>
            <w:tcW w:w="1134" w:type="dxa"/>
            <w:tcBorders>
              <w:top w:val="single" w:sz="4" w:space="0" w:color="auto"/>
              <w:left w:val="single" w:sz="4" w:space="0" w:color="auto"/>
              <w:bottom w:val="single" w:sz="4" w:space="0" w:color="auto"/>
              <w:right w:val="single" w:sz="4" w:space="0" w:color="auto"/>
            </w:tcBorders>
          </w:tcPr>
          <w:p w14:paraId="12EC6A70" w14:textId="29F01ACF" w:rsidR="00684D77" w:rsidRPr="00B2760A" w:rsidRDefault="00684D77" w:rsidP="00215563">
            <w:pPr>
              <w:pStyle w:val="Tablewriting"/>
              <w:jc w:val="center"/>
            </w:pPr>
            <w:r w:rsidRPr="00B2760A">
              <w:t>70</w:t>
            </w:r>
            <w:r w:rsidR="00D434BC" w:rsidRPr="00B2760A">
              <w:t xml:space="preserve"> </w:t>
            </w:r>
            <w:r w:rsidRPr="00B2760A">
              <w:t>mg</w:t>
            </w:r>
          </w:p>
        </w:tc>
        <w:tc>
          <w:tcPr>
            <w:tcW w:w="1134" w:type="dxa"/>
            <w:tcBorders>
              <w:top w:val="single" w:sz="4" w:space="0" w:color="auto"/>
              <w:left w:val="single" w:sz="4" w:space="0" w:color="auto"/>
              <w:bottom w:val="single" w:sz="4" w:space="0" w:color="auto"/>
              <w:right w:val="single" w:sz="4" w:space="0" w:color="auto"/>
            </w:tcBorders>
          </w:tcPr>
          <w:p w14:paraId="12BC05E2" w14:textId="77777777" w:rsidR="00684D77" w:rsidRPr="00B2760A" w:rsidRDefault="00684D77" w:rsidP="00215563">
            <w:pPr>
              <w:pStyle w:val="Tablewriting"/>
              <w:jc w:val="center"/>
            </w:pPr>
            <w:r w:rsidRPr="00B2760A">
              <w:t>10492F</w:t>
            </w:r>
          </w:p>
        </w:tc>
      </w:tr>
      <w:tr w:rsidR="00702204" w:rsidRPr="00B2760A" w14:paraId="75DC0E8F" w14:textId="77777777" w:rsidTr="00702204">
        <w:trPr>
          <w:trHeight w:val="258"/>
        </w:trPr>
        <w:tc>
          <w:tcPr>
            <w:tcW w:w="1384" w:type="dxa"/>
            <w:vMerge w:val="restart"/>
            <w:tcBorders>
              <w:left w:val="single" w:sz="4" w:space="0" w:color="auto"/>
              <w:right w:val="single" w:sz="4" w:space="0" w:color="auto"/>
            </w:tcBorders>
          </w:tcPr>
          <w:p w14:paraId="3C27C0C0" w14:textId="01AE90CF" w:rsidR="00702204" w:rsidRPr="00B2760A" w:rsidRDefault="00702204" w:rsidP="00215563">
            <w:pPr>
              <w:pStyle w:val="Tablewriting"/>
            </w:pPr>
            <w:r w:rsidRPr="00B2760A">
              <w:t>Sep 2018</w:t>
            </w:r>
          </w:p>
        </w:tc>
        <w:tc>
          <w:tcPr>
            <w:tcW w:w="1985" w:type="dxa"/>
            <w:vMerge w:val="restart"/>
            <w:tcBorders>
              <w:left w:val="single" w:sz="4" w:space="0" w:color="auto"/>
              <w:right w:val="single" w:sz="4" w:space="0" w:color="auto"/>
            </w:tcBorders>
          </w:tcPr>
          <w:p w14:paraId="5C1A5FF6" w14:textId="52EEA8DA" w:rsidR="00702204" w:rsidRPr="00B2760A" w:rsidRDefault="00702204" w:rsidP="00215563">
            <w:pPr>
              <w:pStyle w:val="Tablewriting"/>
              <w:jc w:val="center"/>
            </w:pPr>
            <w:r w:rsidRPr="00B2760A">
              <w:t>Guanfacine</w:t>
            </w:r>
          </w:p>
        </w:tc>
        <w:tc>
          <w:tcPr>
            <w:tcW w:w="1559" w:type="dxa"/>
            <w:vMerge w:val="restart"/>
            <w:tcBorders>
              <w:left w:val="single" w:sz="4" w:space="0" w:color="auto"/>
              <w:right w:val="single" w:sz="4" w:space="0" w:color="auto"/>
            </w:tcBorders>
          </w:tcPr>
          <w:p w14:paraId="7AE054E1" w14:textId="772DA606" w:rsidR="00702204" w:rsidRPr="00B2760A" w:rsidRDefault="00702204" w:rsidP="00215563">
            <w:pPr>
              <w:pStyle w:val="Tablewriting"/>
              <w:jc w:val="center"/>
            </w:pPr>
            <w:proofErr w:type="spellStart"/>
            <w:r w:rsidRPr="00B2760A">
              <w:t>Intuniv</w:t>
            </w:r>
            <w:proofErr w:type="spellEnd"/>
          </w:p>
        </w:tc>
        <w:tc>
          <w:tcPr>
            <w:tcW w:w="1134" w:type="dxa"/>
            <w:tcBorders>
              <w:top w:val="single" w:sz="4" w:space="0" w:color="auto"/>
              <w:left w:val="single" w:sz="4" w:space="0" w:color="auto"/>
              <w:bottom w:val="single" w:sz="4" w:space="0" w:color="auto"/>
              <w:right w:val="single" w:sz="4" w:space="0" w:color="auto"/>
            </w:tcBorders>
          </w:tcPr>
          <w:p w14:paraId="0B2526E4" w14:textId="706EE3B4" w:rsidR="00702204" w:rsidRPr="00B2760A" w:rsidRDefault="00702204" w:rsidP="00215563">
            <w:pPr>
              <w:pStyle w:val="Tablewriting"/>
              <w:jc w:val="center"/>
            </w:pPr>
            <w:r w:rsidRPr="00B2760A">
              <w:t>1 mg</w:t>
            </w:r>
          </w:p>
        </w:tc>
        <w:tc>
          <w:tcPr>
            <w:tcW w:w="1134" w:type="dxa"/>
            <w:tcBorders>
              <w:top w:val="single" w:sz="4" w:space="0" w:color="auto"/>
              <w:left w:val="single" w:sz="4" w:space="0" w:color="auto"/>
              <w:right w:val="single" w:sz="4" w:space="0" w:color="auto"/>
            </w:tcBorders>
          </w:tcPr>
          <w:p w14:paraId="2B51A2B7" w14:textId="0BDE0048" w:rsidR="00702204" w:rsidRPr="00B2760A" w:rsidRDefault="00702204" w:rsidP="00215563">
            <w:pPr>
              <w:pStyle w:val="Tablewriting"/>
              <w:jc w:val="center"/>
            </w:pPr>
            <w:r w:rsidRPr="00B2760A">
              <w:t>11452R</w:t>
            </w:r>
          </w:p>
        </w:tc>
      </w:tr>
      <w:tr w:rsidR="00702204" w:rsidRPr="00B2760A" w14:paraId="7687A6B3" w14:textId="77777777" w:rsidTr="00702204">
        <w:trPr>
          <w:trHeight w:val="139"/>
        </w:trPr>
        <w:tc>
          <w:tcPr>
            <w:tcW w:w="1384" w:type="dxa"/>
            <w:vMerge/>
            <w:tcBorders>
              <w:left w:val="single" w:sz="4" w:space="0" w:color="auto"/>
              <w:right w:val="single" w:sz="4" w:space="0" w:color="auto"/>
            </w:tcBorders>
          </w:tcPr>
          <w:p w14:paraId="44125CED" w14:textId="77777777" w:rsidR="00702204" w:rsidRPr="00B2760A" w:rsidRDefault="00702204" w:rsidP="00215563">
            <w:pPr>
              <w:pStyle w:val="Tablewriting"/>
            </w:pPr>
          </w:p>
        </w:tc>
        <w:tc>
          <w:tcPr>
            <w:tcW w:w="1985" w:type="dxa"/>
            <w:vMerge/>
            <w:tcBorders>
              <w:left w:val="single" w:sz="4" w:space="0" w:color="auto"/>
              <w:right w:val="single" w:sz="4" w:space="0" w:color="auto"/>
            </w:tcBorders>
          </w:tcPr>
          <w:p w14:paraId="0F83BE2D" w14:textId="77777777" w:rsidR="00702204" w:rsidRPr="00B2760A" w:rsidRDefault="00702204" w:rsidP="00215563">
            <w:pPr>
              <w:pStyle w:val="Tablewriting"/>
              <w:jc w:val="center"/>
            </w:pPr>
          </w:p>
        </w:tc>
        <w:tc>
          <w:tcPr>
            <w:tcW w:w="1559" w:type="dxa"/>
            <w:vMerge/>
            <w:tcBorders>
              <w:left w:val="single" w:sz="4" w:space="0" w:color="auto"/>
              <w:right w:val="single" w:sz="4" w:space="0" w:color="auto"/>
            </w:tcBorders>
          </w:tcPr>
          <w:p w14:paraId="4C23822A" w14:textId="77777777" w:rsidR="00702204" w:rsidRPr="00B2760A" w:rsidRDefault="00702204" w:rsidP="00215563">
            <w:pPr>
              <w:pStyle w:val="Tablewriting"/>
              <w:jc w:val="center"/>
            </w:pPr>
          </w:p>
        </w:tc>
        <w:tc>
          <w:tcPr>
            <w:tcW w:w="1134" w:type="dxa"/>
            <w:tcBorders>
              <w:top w:val="single" w:sz="4" w:space="0" w:color="auto"/>
              <w:left w:val="single" w:sz="4" w:space="0" w:color="auto"/>
              <w:bottom w:val="single" w:sz="4" w:space="0" w:color="auto"/>
              <w:right w:val="single" w:sz="4" w:space="0" w:color="auto"/>
            </w:tcBorders>
          </w:tcPr>
          <w:p w14:paraId="0945597B" w14:textId="2F6FA64A" w:rsidR="00702204" w:rsidRPr="00B2760A" w:rsidRDefault="00702204" w:rsidP="00215563">
            <w:pPr>
              <w:pStyle w:val="Tablewriting"/>
              <w:jc w:val="center"/>
            </w:pPr>
            <w:r w:rsidRPr="00B2760A">
              <w:t>2 mg</w:t>
            </w:r>
          </w:p>
        </w:tc>
        <w:tc>
          <w:tcPr>
            <w:tcW w:w="1134" w:type="dxa"/>
            <w:tcBorders>
              <w:left w:val="single" w:sz="4" w:space="0" w:color="auto"/>
              <w:right w:val="single" w:sz="4" w:space="0" w:color="auto"/>
            </w:tcBorders>
          </w:tcPr>
          <w:p w14:paraId="44867D74" w14:textId="15AA18AF" w:rsidR="00702204" w:rsidRPr="00B2760A" w:rsidRDefault="00702204" w:rsidP="00215563">
            <w:pPr>
              <w:pStyle w:val="Tablewriting"/>
              <w:jc w:val="center"/>
            </w:pPr>
            <w:r w:rsidRPr="00B2760A">
              <w:t>11451Q</w:t>
            </w:r>
          </w:p>
        </w:tc>
      </w:tr>
      <w:tr w:rsidR="00702204" w:rsidRPr="00B2760A" w14:paraId="3B554BCF" w14:textId="77777777" w:rsidTr="00FD5344">
        <w:trPr>
          <w:trHeight w:val="138"/>
        </w:trPr>
        <w:tc>
          <w:tcPr>
            <w:tcW w:w="1384" w:type="dxa"/>
            <w:vMerge/>
            <w:tcBorders>
              <w:left w:val="single" w:sz="4" w:space="0" w:color="auto"/>
              <w:right w:val="single" w:sz="4" w:space="0" w:color="auto"/>
            </w:tcBorders>
          </w:tcPr>
          <w:p w14:paraId="1CA730B6" w14:textId="77777777" w:rsidR="00702204" w:rsidRPr="00B2760A" w:rsidRDefault="00702204" w:rsidP="00215563">
            <w:pPr>
              <w:pStyle w:val="Tablewriting"/>
            </w:pPr>
          </w:p>
        </w:tc>
        <w:tc>
          <w:tcPr>
            <w:tcW w:w="1985" w:type="dxa"/>
            <w:vMerge/>
            <w:tcBorders>
              <w:left w:val="single" w:sz="4" w:space="0" w:color="auto"/>
              <w:right w:val="single" w:sz="4" w:space="0" w:color="auto"/>
            </w:tcBorders>
          </w:tcPr>
          <w:p w14:paraId="5504870A" w14:textId="77777777" w:rsidR="00702204" w:rsidRPr="00B2760A" w:rsidRDefault="00702204" w:rsidP="00215563">
            <w:pPr>
              <w:pStyle w:val="Tablewriting"/>
              <w:jc w:val="center"/>
            </w:pPr>
          </w:p>
        </w:tc>
        <w:tc>
          <w:tcPr>
            <w:tcW w:w="1559" w:type="dxa"/>
            <w:vMerge/>
            <w:tcBorders>
              <w:left w:val="single" w:sz="4" w:space="0" w:color="auto"/>
              <w:right w:val="single" w:sz="4" w:space="0" w:color="auto"/>
            </w:tcBorders>
          </w:tcPr>
          <w:p w14:paraId="29BD6B11" w14:textId="77777777" w:rsidR="00702204" w:rsidRPr="00B2760A" w:rsidRDefault="00702204" w:rsidP="00215563">
            <w:pPr>
              <w:pStyle w:val="Tablewriting"/>
              <w:jc w:val="center"/>
            </w:pPr>
          </w:p>
        </w:tc>
        <w:tc>
          <w:tcPr>
            <w:tcW w:w="1134" w:type="dxa"/>
            <w:tcBorders>
              <w:top w:val="single" w:sz="4" w:space="0" w:color="auto"/>
              <w:left w:val="single" w:sz="4" w:space="0" w:color="auto"/>
              <w:bottom w:val="single" w:sz="4" w:space="0" w:color="auto"/>
              <w:right w:val="single" w:sz="4" w:space="0" w:color="auto"/>
            </w:tcBorders>
          </w:tcPr>
          <w:p w14:paraId="62C13C3F" w14:textId="350953E0" w:rsidR="00702204" w:rsidRPr="00B2760A" w:rsidRDefault="00702204" w:rsidP="00215563">
            <w:pPr>
              <w:pStyle w:val="Tablewriting"/>
              <w:jc w:val="center"/>
            </w:pPr>
            <w:r w:rsidRPr="00B2760A">
              <w:t>3 mg</w:t>
            </w:r>
          </w:p>
        </w:tc>
        <w:tc>
          <w:tcPr>
            <w:tcW w:w="1134" w:type="dxa"/>
            <w:tcBorders>
              <w:left w:val="single" w:sz="4" w:space="0" w:color="auto"/>
              <w:right w:val="single" w:sz="4" w:space="0" w:color="auto"/>
            </w:tcBorders>
          </w:tcPr>
          <w:p w14:paraId="2A312B42" w14:textId="64926F02" w:rsidR="00702204" w:rsidRPr="00B2760A" w:rsidRDefault="00702204" w:rsidP="00215563">
            <w:pPr>
              <w:pStyle w:val="Tablewriting"/>
              <w:jc w:val="center"/>
            </w:pPr>
            <w:r w:rsidRPr="00B2760A">
              <w:t>11440D</w:t>
            </w:r>
          </w:p>
        </w:tc>
      </w:tr>
      <w:tr w:rsidR="00702204" w:rsidRPr="00B2760A" w14:paraId="141BFF6E" w14:textId="77777777" w:rsidTr="008E14FA">
        <w:trPr>
          <w:trHeight w:val="305"/>
        </w:trPr>
        <w:tc>
          <w:tcPr>
            <w:tcW w:w="1384" w:type="dxa"/>
            <w:vMerge/>
            <w:tcBorders>
              <w:left w:val="single" w:sz="4" w:space="0" w:color="auto"/>
              <w:right w:val="single" w:sz="4" w:space="0" w:color="auto"/>
            </w:tcBorders>
          </w:tcPr>
          <w:p w14:paraId="55A4DCFF" w14:textId="77777777" w:rsidR="00702204" w:rsidRPr="00B2760A" w:rsidRDefault="00702204" w:rsidP="00215563">
            <w:pPr>
              <w:pStyle w:val="Tablewriting"/>
            </w:pPr>
          </w:p>
        </w:tc>
        <w:tc>
          <w:tcPr>
            <w:tcW w:w="1985" w:type="dxa"/>
            <w:vMerge/>
            <w:tcBorders>
              <w:left w:val="single" w:sz="4" w:space="0" w:color="auto"/>
              <w:right w:val="single" w:sz="4" w:space="0" w:color="auto"/>
            </w:tcBorders>
          </w:tcPr>
          <w:p w14:paraId="30BF13DB" w14:textId="77777777" w:rsidR="00702204" w:rsidRPr="00B2760A" w:rsidRDefault="00702204" w:rsidP="00215563">
            <w:pPr>
              <w:pStyle w:val="Tablewriting"/>
              <w:jc w:val="center"/>
            </w:pPr>
          </w:p>
        </w:tc>
        <w:tc>
          <w:tcPr>
            <w:tcW w:w="1559" w:type="dxa"/>
            <w:vMerge/>
            <w:tcBorders>
              <w:left w:val="single" w:sz="4" w:space="0" w:color="auto"/>
              <w:right w:val="single" w:sz="4" w:space="0" w:color="auto"/>
            </w:tcBorders>
          </w:tcPr>
          <w:p w14:paraId="2D697DA5" w14:textId="77777777" w:rsidR="00702204" w:rsidRPr="00B2760A" w:rsidRDefault="00702204" w:rsidP="00215563">
            <w:pPr>
              <w:pStyle w:val="Tablewriting"/>
              <w:jc w:val="center"/>
            </w:pPr>
          </w:p>
        </w:tc>
        <w:tc>
          <w:tcPr>
            <w:tcW w:w="1134" w:type="dxa"/>
            <w:tcBorders>
              <w:top w:val="single" w:sz="4" w:space="0" w:color="auto"/>
              <w:left w:val="single" w:sz="4" w:space="0" w:color="auto"/>
              <w:bottom w:val="single" w:sz="4" w:space="0" w:color="auto"/>
              <w:right w:val="single" w:sz="4" w:space="0" w:color="auto"/>
            </w:tcBorders>
          </w:tcPr>
          <w:p w14:paraId="4305E88D" w14:textId="36B7C206" w:rsidR="00702204" w:rsidRPr="00B2760A" w:rsidRDefault="00702204" w:rsidP="00215563">
            <w:pPr>
              <w:pStyle w:val="Tablewriting"/>
              <w:jc w:val="center"/>
            </w:pPr>
            <w:r w:rsidRPr="00B2760A">
              <w:t>4 mg</w:t>
            </w:r>
          </w:p>
        </w:tc>
        <w:tc>
          <w:tcPr>
            <w:tcW w:w="1134" w:type="dxa"/>
            <w:tcBorders>
              <w:left w:val="single" w:sz="4" w:space="0" w:color="auto"/>
              <w:bottom w:val="single" w:sz="4" w:space="0" w:color="auto"/>
              <w:right w:val="single" w:sz="4" w:space="0" w:color="auto"/>
            </w:tcBorders>
          </w:tcPr>
          <w:p w14:paraId="54B7393F" w14:textId="69186E25" w:rsidR="00702204" w:rsidRPr="00B2760A" w:rsidRDefault="00702204" w:rsidP="00215563">
            <w:pPr>
              <w:pStyle w:val="Tablewriting"/>
              <w:jc w:val="center"/>
            </w:pPr>
            <w:r w:rsidRPr="00B2760A">
              <w:t>11441E</w:t>
            </w:r>
          </w:p>
        </w:tc>
      </w:tr>
    </w:tbl>
    <w:p w14:paraId="27BEB897" w14:textId="77777777" w:rsidR="00684D77" w:rsidRPr="00B2760A" w:rsidRDefault="00684D77" w:rsidP="00215563">
      <w:pPr>
        <w:pStyle w:val="Notes"/>
      </w:pPr>
      <w:r w:rsidRPr="00B2760A">
        <w:t xml:space="preserve">Notes: * The </w:t>
      </w:r>
      <w:proofErr w:type="spellStart"/>
      <w:r w:rsidRPr="00B2760A">
        <w:t>Attenta</w:t>
      </w:r>
      <w:proofErr w:type="spellEnd"/>
      <w:r w:rsidRPr="00B2760A">
        <w:t>® brand of methylphenidate IR was delisted in March 2009.</w:t>
      </w:r>
    </w:p>
    <w:p w14:paraId="5ABC474E" w14:textId="3683F033" w:rsidR="00684D77" w:rsidRPr="00B2760A" w:rsidRDefault="00C1251B" w:rsidP="00215563">
      <w:pPr>
        <w:pStyle w:val="Tabletitle"/>
      </w:pPr>
      <w:r w:rsidRPr="00B2760A">
        <w:br w:type="page"/>
      </w:r>
      <w:r w:rsidR="00684D77" w:rsidRPr="00B2760A">
        <w:lastRenderedPageBreak/>
        <w:t xml:space="preserve">Table </w:t>
      </w:r>
      <w:r w:rsidR="00686028" w:rsidRPr="00B2760A">
        <w:t>A</w:t>
      </w:r>
      <w:r w:rsidR="00684D77" w:rsidRPr="00B2760A">
        <w:t xml:space="preserve">.2. Changes to </w:t>
      </w:r>
      <w:r w:rsidR="00ED7B9F" w:rsidRPr="00B2760A">
        <w:t>R/</w:t>
      </w:r>
      <w:r w:rsidR="00684D77" w:rsidRPr="00B2760A">
        <w:t xml:space="preserve">PBS restrictions of </w:t>
      </w:r>
      <w:r w:rsidR="002C37C2" w:rsidRPr="00B2760A">
        <w:t>ADHD medicines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842"/>
        <w:gridCol w:w="6237"/>
      </w:tblGrid>
      <w:tr w:rsidR="00684D77" w:rsidRPr="00B2760A" w14:paraId="69198FEE" w14:textId="77777777" w:rsidTr="000241D7">
        <w:trPr>
          <w:cantSplit/>
          <w:tblHeader/>
        </w:trPr>
        <w:tc>
          <w:tcPr>
            <w:tcW w:w="1101" w:type="dxa"/>
            <w:shd w:val="clear" w:color="auto" w:fill="BFBFBF" w:themeFill="background1" w:themeFillShade="BF"/>
          </w:tcPr>
          <w:p w14:paraId="04085BFF" w14:textId="77777777" w:rsidR="00684D77" w:rsidRPr="00B2760A" w:rsidRDefault="00684D77" w:rsidP="00215563">
            <w:pPr>
              <w:pStyle w:val="Tableheading"/>
            </w:pPr>
            <w:r w:rsidRPr="00B2760A">
              <w:t>Date</w:t>
            </w:r>
          </w:p>
        </w:tc>
        <w:tc>
          <w:tcPr>
            <w:tcW w:w="1842" w:type="dxa"/>
            <w:shd w:val="clear" w:color="auto" w:fill="BFBFBF" w:themeFill="background1" w:themeFillShade="BF"/>
          </w:tcPr>
          <w:p w14:paraId="4FBE0540" w14:textId="77777777" w:rsidR="00684D77" w:rsidRPr="00B2760A" w:rsidRDefault="00684D77" w:rsidP="00215563">
            <w:pPr>
              <w:pStyle w:val="Tableheading"/>
            </w:pPr>
            <w:r w:rsidRPr="00B2760A">
              <w:t>Drug name</w:t>
            </w:r>
          </w:p>
        </w:tc>
        <w:tc>
          <w:tcPr>
            <w:tcW w:w="6237" w:type="dxa"/>
            <w:shd w:val="clear" w:color="auto" w:fill="BFBFBF" w:themeFill="background1" w:themeFillShade="BF"/>
          </w:tcPr>
          <w:p w14:paraId="47DC4A42" w14:textId="77777777" w:rsidR="00684D77" w:rsidRPr="00B2760A" w:rsidRDefault="00684D77" w:rsidP="00215563">
            <w:pPr>
              <w:pStyle w:val="Tableheading"/>
            </w:pPr>
            <w:r w:rsidRPr="00B2760A">
              <w:t>Change to the restriction/s</w:t>
            </w:r>
          </w:p>
        </w:tc>
      </w:tr>
      <w:tr w:rsidR="00684D77" w:rsidRPr="00B2760A" w14:paraId="3AFA851A" w14:textId="77777777" w:rsidTr="000241D7">
        <w:trPr>
          <w:trHeight w:val="405"/>
        </w:trPr>
        <w:tc>
          <w:tcPr>
            <w:tcW w:w="1101" w:type="dxa"/>
          </w:tcPr>
          <w:p w14:paraId="14B38205" w14:textId="77777777" w:rsidR="00684D77" w:rsidRPr="00B2760A" w:rsidRDefault="00684D77" w:rsidP="00215563">
            <w:pPr>
              <w:pStyle w:val="Tablewriting"/>
              <w:keepNext/>
              <w:keepLines/>
            </w:pPr>
            <w:r w:rsidRPr="00B2760A">
              <w:t>Aug 2007</w:t>
            </w:r>
          </w:p>
        </w:tc>
        <w:tc>
          <w:tcPr>
            <w:tcW w:w="1842" w:type="dxa"/>
          </w:tcPr>
          <w:p w14:paraId="458FA427" w14:textId="77777777" w:rsidR="00684D77" w:rsidRPr="00B2760A" w:rsidRDefault="00684D77" w:rsidP="00215563">
            <w:pPr>
              <w:pStyle w:val="Tablewriting"/>
              <w:keepNext/>
              <w:keepLines/>
            </w:pPr>
            <w:r w:rsidRPr="00B2760A">
              <w:t>Methylphenidate MR (</w:t>
            </w:r>
            <w:proofErr w:type="spellStart"/>
            <w:r w:rsidRPr="00B2760A">
              <w:t>Concerta</w:t>
            </w:r>
            <w:proofErr w:type="spellEnd"/>
            <w:r w:rsidRPr="00B2760A">
              <w:t>®)</w:t>
            </w:r>
          </w:p>
        </w:tc>
        <w:tc>
          <w:tcPr>
            <w:tcW w:w="6237" w:type="dxa"/>
          </w:tcPr>
          <w:p w14:paraId="329937B2" w14:textId="77777777" w:rsidR="00684D77" w:rsidRPr="00B2760A" w:rsidRDefault="00684D77" w:rsidP="00215563">
            <w:pPr>
              <w:pStyle w:val="Tablewriting"/>
              <w:keepNext/>
              <w:keepLines/>
            </w:pPr>
            <w:r w:rsidRPr="00B2760A">
              <w:t>Replacement of “…child or adolescent aged 6 to 18 years inclusive” with “…patient aged 6 to 18 years inclusive”.</w:t>
            </w:r>
          </w:p>
        </w:tc>
      </w:tr>
      <w:tr w:rsidR="00684D77" w:rsidRPr="00B2760A" w14:paraId="1F6B8542" w14:textId="77777777" w:rsidTr="000241D7">
        <w:trPr>
          <w:trHeight w:val="405"/>
        </w:trPr>
        <w:tc>
          <w:tcPr>
            <w:tcW w:w="1101" w:type="dxa"/>
          </w:tcPr>
          <w:p w14:paraId="37D0FD54" w14:textId="77777777" w:rsidR="00684D77" w:rsidRPr="00B2760A" w:rsidRDefault="00684D77" w:rsidP="00215563">
            <w:pPr>
              <w:pStyle w:val="Tablewriting"/>
              <w:keepNext/>
              <w:keepLines/>
            </w:pPr>
            <w:r w:rsidRPr="00B2760A">
              <w:t>Nov 2008</w:t>
            </w:r>
          </w:p>
        </w:tc>
        <w:tc>
          <w:tcPr>
            <w:tcW w:w="1842" w:type="dxa"/>
          </w:tcPr>
          <w:p w14:paraId="679352E9" w14:textId="77777777" w:rsidR="00684D77" w:rsidRPr="00B2760A" w:rsidRDefault="00684D77" w:rsidP="00215563">
            <w:pPr>
              <w:pStyle w:val="Tablewriting"/>
              <w:keepNext/>
              <w:keepLines/>
            </w:pPr>
            <w:r w:rsidRPr="00B2760A">
              <w:t xml:space="preserve">Atomoxetine </w:t>
            </w:r>
          </w:p>
          <w:p w14:paraId="19E094DB" w14:textId="77777777" w:rsidR="00684D77" w:rsidRPr="00B2760A" w:rsidRDefault="00684D77" w:rsidP="00215563">
            <w:pPr>
              <w:pStyle w:val="Tablewriting"/>
              <w:keepNext/>
              <w:keepLines/>
            </w:pPr>
            <w:r w:rsidRPr="00B2760A">
              <w:t>(all items)</w:t>
            </w:r>
          </w:p>
        </w:tc>
        <w:tc>
          <w:tcPr>
            <w:tcW w:w="6237" w:type="dxa"/>
          </w:tcPr>
          <w:p w14:paraId="57BB51BA" w14:textId="77777777" w:rsidR="00684D77" w:rsidRPr="00B2760A" w:rsidRDefault="00684D77" w:rsidP="00215563">
            <w:pPr>
              <w:pStyle w:val="Tablewriting"/>
              <w:keepNext/>
              <w:keepLines/>
            </w:pPr>
            <w:r w:rsidRPr="00B2760A">
              <w:t>The restrictions were changed to remind prescribers that atomoxetine is not PBS subsidised for use with other ADHD medicines. “Initial treatment…” was replaced by “Initial sole PBS-subsidised treatment…”, and “Continuing treatment…” was replaced by “Continuing sole PBS-subsidised treatment…”.</w:t>
            </w:r>
          </w:p>
          <w:p w14:paraId="483B20F0" w14:textId="77777777" w:rsidR="00684D77" w:rsidRPr="00B2760A" w:rsidRDefault="00684D77" w:rsidP="00215563">
            <w:pPr>
              <w:pStyle w:val="Tablewriting"/>
              <w:keepNext/>
              <w:keepLines/>
            </w:pPr>
            <w:r w:rsidRPr="00B2760A">
              <w:t>A note was also added, “No applications for increased maximum quantities and/or repeats will be authorised”, as the listing of the 80 mg and 100 mg doses was considered to negate the need for increased maximum quantities.</w:t>
            </w:r>
          </w:p>
        </w:tc>
      </w:tr>
      <w:tr w:rsidR="00684D77" w:rsidRPr="00B2760A" w14:paraId="4B8B6BE9" w14:textId="77777777" w:rsidTr="000241D7">
        <w:tc>
          <w:tcPr>
            <w:tcW w:w="1101" w:type="dxa"/>
          </w:tcPr>
          <w:p w14:paraId="7AE4084B" w14:textId="77777777" w:rsidR="00684D77" w:rsidRPr="00B2760A" w:rsidRDefault="00684D77" w:rsidP="00215563">
            <w:pPr>
              <w:pStyle w:val="Tablewriting"/>
            </w:pPr>
            <w:r w:rsidRPr="00B2760A">
              <w:t>Oct 2009</w:t>
            </w:r>
          </w:p>
        </w:tc>
        <w:tc>
          <w:tcPr>
            <w:tcW w:w="1842" w:type="dxa"/>
          </w:tcPr>
          <w:p w14:paraId="191F24DA" w14:textId="77777777" w:rsidR="00684D77" w:rsidRPr="00B2760A" w:rsidRDefault="00684D77" w:rsidP="00215563">
            <w:pPr>
              <w:pStyle w:val="Tablewriting"/>
            </w:pPr>
            <w:r w:rsidRPr="00B2760A">
              <w:t>Methylphenidate (modified release) (all items)</w:t>
            </w:r>
          </w:p>
        </w:tc>
        <w:tc>
          <w:tcPr>
            <w:tcW w:w="6237" w:type="dxa"/>
          </w:tcPr>
          <w:p w14:paraId="5AD57F8F" w14:textId="77777777" w:rsidR="00684D77" w:rsidRPr="00B2760A" w:rsidRDefault="00684D77" w:rsidP="00215563">
            <w:pPr>
              <w:pStyle w:val="Tablewriting"/>
            </w:pPr>
            <w:r w:rsidRPr="00B2760A">
              <w:t xml:space="preserve">The restrictions were modified to extend the listing to the treatment of patients aged over 18 years who were diagnosed between ages 6–18. “Treatment of attention deficit hyperactivity disorder (ADHD) in a patient between the ages of 6 and 18 years inclusive” was changed to “'Treatment of attention deficit hyperactivity disorder (ADHD) in a patient </w:t>
            </w:r>
            <w:r w:rsidRPr="00B2760A">
              <w:rPr>
                <w:rStyle w:val="Emphasis"/>
              </w:rPr>
              <w:t>diagnosed</w:t>
            </w:r>
            <w:r w:rsidRPr="00B2760A">
              <w:t xml:space="preserve"> between the ages of 6 and 18 years inclusive”. </w:t>
            </w:r>
          </w:p>
        </w:tc>
      </w:tr>
      <w:tr w:rsidR="00684D77" w:rsidRPr="00B2760A" w14:paraId="4D24159C" w14:textId="77777777" w:rsidTr="000241D7">
        <w:tc>
          <w:tcPr>
            <w:tcW w:w="1101" w:type="dxa"/>
          </w:tcPr>
          <w:p w14:paraId="3EB7B71D" w14:textId="77777777" w:rsidR="00684D77" w:rsidRPr="00B2760A" w:rsidRDefault="00684D77" w:rsidP="00215563">
            <w:pPr>
              <w:pStyle w:val="Tablewriting"/>
            </w:pPr>
            <w:r w:rsidRPr="00B2760A">
              <w:t>Aug 2014</w:t>
            </w:r>
          </w:p>
        </w:tc>
        <w:tc>
          <w:tcPr>
            <w:tcW w:w="1842" w:type="dxa"/>
          </w:tcPr>
          <w:p w14:paraId="28F8BBD6" w14:textId="77777777" w:rsidR="00684D77" w:rsidRPr="00B2760A" w:rsidRDefault="00684D77" w:rsidP="00215563">
            <w:pPr>
              <w:pStyle w:val="Tablewriting"/>
            </w:pPr>
            <w:r w:rsidRPr="00B2760A">
              <w:t>Atomoxetine</w:t>
            </w:r>
          </w:p>
          <w:p w14:paraId="694AD496" w14:textId="77777777" w:rsidR="00684D77" w:rsidRPr="00B2760A" w:rsidRDefault="00684D77" w:rsidP="00215563">
            <w:pPr>
              <w:pStyle w:val="Tablewriting"/>
            </w:pPr>
            <w:r w:rsidRPr="00B2760A">
              <w:t>(all items)</w:t>
            </w:r>
          </w:p>
        </w:tc>
        <w:tc>
          <w:tcPr>
            <w:tcW w:w="6237" w:type="dxa"/>
          </w:tcPr>
          <w:p w14:paraId="76CA6225" w14:textId="77777777" w:rsidR="00684D77" w:rsidRPr="00B2760A" w:rsidRDefault="00684D77" w:rsidP="00215563">
            <w:pPr>
              <w:pStyle w:val="Tablewriting"/>
            </w:pPr>
            <w:r w:rsidRPr="00B2760A">
              <w:t>The restriction was simplified and changed from Authority Required to Authority Required (STREAMLINED). The requirement for diagnosis using the DSM-IV criteria was updated to the DSM-V. The emphasis on “sole PBS-subsidised treatment” use was removed. References in the previous restriction to specific contraindications and adverse events were generally removed.</w:t>
            </w:r>
          </w:p>
        </w:tc>
      </w:tr>
      <w:tr w:rsidR="00684D77" w:rsidRPr="00B2760A" w14:paraId="1DF4B4A5" w14:textId="77777777" w:rsidTr="000241D7">
        <w:tc>
          <w:tcPr>
            <w:tcW w:w="1101" w:type="dxa"/>
          </w:tcPr>
          <w:p w14:paraId="7C5DD85C" w14:textId="77777777" w:rsidR="00684D77" w:rsidRPr="00B2760A" w:rsidRDefault="00684D77" w:rsidP="00215563">
            <w:pPr>
              <w:pStyle w:val="Tablewriting"/>
            </w:pPr>
            <w:r w:rsidRPr="00B2760A">
              <w:t>July 2016</w:t>
            </w:r>
          </w:p>
        </w:tc>
        <w:tc>
          <w:tcPr>
            <w:tcW w:w="1842" w:type="dxa"/>
          </w:tcPr>
          <w:p w14:paraId="374247B2" w14:textId="77777777" w:rsidR="00684D77" w:rsidRPr="00B2760A" w:rsidRDefault="00684D77" w:rsidP="00215563">
            <w:pPr>
              <w:pStyle w:val="Tablewriting"/>
            </w:pPr>
            <w:r w:rsidRPr="00B2760A">
              <w:t>Methylphenidate (modified release) (all items)</w:t>
            </w:r>
          </w:p>
        </w:tc>
        <w:tc>
          <w:tcPr>
            <w:tcW w:w="6237" w:type="dxa"/>
          </w:tcPr>
          <w:p w14:paraId="04C53E53" w14:textId="77777777" w:rsidR="00684D77" w:rsidRPr="00B2760A" w:rsidRDefault="00684D77" w:rsidP="00215563">
            <w:pPr>
              <w:pStyle w:val="Tablewriting"/>
            </w:pPr>
            <w:r w:rsidRPr="00B2760A">
              <w:t xml:space="preserve">The restriction criteria </w:t>
            </w:r>
            <w:proofErr w:type="gramStart"/>
            <w:r w:rsidRPr="00B2760A">
              <w:t>remains</w:t>
            </w:r>
            <w:proofErr w:type="gramEnd"/>
            <w:r w:rsidRPr="00B2760A">
              <w:t xml:space="preserve"> the same but was contents were restructured to </w:t>
            </w:r>
            <w:r w:rsidR="002C37C2" w:rsidRPr="00B2760A">
              <w:t xml:space="preserve">separately define </w:t>
            </w:r>
            <w:r w:rsidRPr="00B2760A">
              <w:t>population criteria and clinical criteria.</w:t>
            </w:r>
          </w:p>
        </w:tc>
      </w:tr>
      <w:tr w:rsidR="00801AF8" w:rsidRPr="00B2760A" w14:paraId="704E3D62" w14:textId="77777777" w:rsidTr="000241D7">
        <w:tc>
          <w:tcPr>
            <w:tcW w:w="1101" w:type="dxa"/>
          </w:tcPr>
          <w:p w14:paraId="4FC2E426" w14:textId="77777777" w:rsidR="00801AF8" w:rsidRPr="00B2760A" w:rsidRDefault="00801AF8" w:rsidP="00215563">
            <w:pPr>
              <w:pStyle w:val="Tablewriting"/>
            </w:pPr>
            <w:r w:rsidRPr="00B2760A">
              <w:t>July 2016</w:t>
            </w:r>
          </w:p>
        </w:tc>
        <w:tc>
          <w:tcPr>
            <w:tcW w:w="1842" w:type="dxa"/>
          </w:tcPr>
          <w:p w14:paraId="02B76737" w14:textId="77777777" w:rsidR="00801AF8" w:rsidRPr="00B2760A" w:rsidRDefault="00801AF8" w:rsidP="00215563">
            <w:pPr>
              <w:pStyle w:val="Tablewriting"/>
            </w:pPr>
            <w:proofErr w:type="spellStart"/>
            <w:r w:rsidRPr="00B2760A">
              <w:t>Dexamfetamine</w:t>
            </w:r>
            <w:proofErr w:type="spellEnd"/>
            <w:r w:rsidRPr="00B2760A">
              <w:t xml:space="preserve"> 5mg, tablets</w:t>
            </w:r>
          </w:p>
        </w:tc>
        <w:tc>
          <w:tcPr>
            <w:tcW w:w="6237" w:type="dxa"/>
          </w:tcPr>
          <w:p w14:paraId="50FF618D" w14:textId="77777777" w:rsidR="00801AF8" w:rsidRPr="00B2760A" w:rsidRDefault="00801AF8" w:rsidP="00215563">
            <w:pPr>
              <w:pStyle w:val="Tablewriting"/>
            </w:pPr>
            <w:r w:rsidRPr="00B2760A">
              <w:t xml:space="preserve">The restriction criteria </w:t>
            </w:r>
            <w:proofErr w:type="gramStart"/>
            <w:r w:rsidRPr="00B2760A">
              <w:t>remains</w:t>
            </w:r>
            <w:proofErr w:type="gramEnd"/>
            <w:r w:rsidRPr="00B2760A">
              <w:t xml:space="preserve"> the same but was contents were restructured to separately define the two criteria for prescribing.</w:t>
            </w:r>
          </w:p>
        </w:tc>
      </w:tr>
      <w:tr w:rsidR="00684D77" w:rsidRPr="00B2760A" w14:paraId="79163032" w14:textId="77777777" w:rsidTr="000241D7">
        <w:tc>
          <w:tcPr>
            <w:tcW w:w="1101" w:type="dxa"/>
          </w:tcPr>
          <w:p w14:paraId="0495BD4F" w14:textId="77777777" w:rsidR="00684D77" w:rsidRPr="00B2760A" w:rsidRDefault="00684D77" w:rsidP="00215563">
            <w:pPr>
              <w:pStyle w:val="Tablewriting"/>
            </w:pPr>
            <w:r w:rsidRPr="00B2760A">
              <w:t>July 2016</w:t>
            </w:r>
          </w:p>
        </w:tc>
        <w:tc>
          <w:tcPr>
            <w:tcW w:w="1842" w:type="dxa"/>
          </w:tcPr>
          <w:p w14:paraId="39F677B9" w14:textId="77777777" w:rsidR="00564BBA" w:rsidRPr="00B2760A" w:rsidRDefault="00684D77" w:rsidP="00215563">
            <w:pPr>
              <w:pStyle w:val="Tablewriting"/>
            </w:pPr>
            <w:r w:rsidRPr="00B2760A">
              <w:t xml:space="preserve">Atomoxetine </w:t>
            </w:r>
          </w:p>
          <w:p w14:paraId="7F8C37F8" w14:textId="1E3A3456" w:rsidR="00684D77" w:rsidRPr="00B2760A" w:rsidRDefault="00684D77" w:rsidP="00215563">
            <w:pPr>
              <w:pStyle w:val="Tablewriting"/>
            </w:pPr>
            <w:r w:rsidRPr="00B2760A">
              <w:t>(all items)</w:t>
            </w:r>
          </w:p>
        </w:tc>
        <w:tc>
          <w:tcPr>
            <w:tcW w:w="6237" w:type="dxa"/>
          </w:tcPr>
          <w:p w14:paraId="414C0EBE" w14:textId="77777777" w:rsidR="00684D77" w:rsidRPr="00B2760A" w:rsidRDefault="00684D77" w:rsidP="00215563">
            <w:pPr>
              <w:pStyle w:val="Tablewriting"/>
            </w:pPr>
            <w:r w:rsidRPr="00B2760A">
              <w:t xml:space="preserve">The restriction was modified to account for the new listing of </w:t>
            </w:r>
            <w:proofErr w:type="spellStart"/>
            <w:r w:rsidRPr="00B2760A">
              <w:t>lisdexamfetamine</w:t>
            </w:r>
            <w:proofErr w:type="spellEnd"/>
            <w:r w:rsidRPr="00B2760A">
              <w:t xml:space="preserve">. The criteria </w:t>
            </w:r>
            <w:proofErr w:type="gramStart"/>
            <w:r w:rsidRPr="00B2760A">
              <w:t>w</w:t>
            </w:r>
            <w:r w:rsidR="002C37C2" w:rsidRPr="00B2760A">
              <w:t>as</w:t>
            </w:r>
            <w:proofErr w:type="gramEnd"/>
            <w:r w:rsidR="002C37C2" w:rsidRPr="00B2760A">
              <w:t xml:space="preserve"> </w:t>
            </w:r>
            <w:r w:rsidRPr="00B2760A">
              <w:t xml:space="preserve">further limited by adding the requirement for contraindication to </w:t>
            </w:r>
            <w:proofErr w:type="spellStart"/>
            <w:r w:rsidRPr="00B2760A">
              <w:t>lisdexamfetamine</w:t>
            </w:r>
            <w:proofErr w:type="spellEnd"/>
            <w:r w:rsidR="002C37C2" w:rsidRPr="00B2760A">
              <w:t xml:space="preserve"> before prescribing</w:t>
            </w:r>
            <w:r w:rsidRPr="00B2760A">
              <w:t xml:space="preserve">. </w:t>
            </w:r>
          </w:p>
          <w:p w14:paraId="1DDE6D5C" w14:textId="77777777" w:rsidR="00684D77" w:rsidRPr="00B2760A" w:rsidRDefault="00684D77" w:rsidP="00215563">
            <w:pPr>
              <w:pStyle w:val="Tablewriting"/>
            </w:pPr>
            <w:r w:rsidRPr="00B2760A">
              <w:t xml:space="preserve">“* Patient must have a contraindication to dexamphetamine, methylphenidate or </w:t>
            </w:r>
            <w:proofErr w:type="spellStart"/>
            <w:r w:rsidRPr="00B2760A">
              <w:rPr>
                <w:i/>
              </w:rPr>
              <w:t>lisdexamfetamine</w:t>
            </w:r>
            <w:proofErr w:type="spellEnd"/>
            <w:r w:rsidRPr="00B2760A">
              <w:t xml:space="preserve"> as specified in TGA-approved product information;”  </w:t>
            </w:r>
          </w:p>
        </w:tc>
      </w:tr>
      <w:tr w:rsidR="008A447F" w:rsidRPr="00B2760A" w14:paraId="0EDBC3E2" w14:textId="77777777" w:rsidTr="000241D7">
        <w:tc>
          <w:tcPr>
            <w:tcW w:w="1101" w:type="dxa"/>
          </w:tcPr>
          <w:p w14:paraId="7E6E01B7" w14:textId="0342AC54" w:rsidR="008A447F" w:rsidRPr="00B2760A" w:rsidRDefault="00080A3A" w:rsidP="00215563">
            <w:pPr>
              <w:pStyle w:val="Tablewriting"/>
            </w:pPr>
            <w:r w:rsidRPr="00B2760A">
              <w:t>Sept 2018</w:t>
            </w:r>
          </w:p>
        </w:tc>
        <w:tc>
          <w:tcPr>
            <w:tcW w:w="1842" w:type="dxa"/>
          </w:tcPr>
          <w:p w14:paraId="7FF49BA2" w14:textId="77777777" w:rsidR="00564BBA" w:rsidRPr="00B2760A" w:rsidRDefault="00080A3A" w:rsidP="00215563">
            <w:pPr>
              <w:pStyle w:val="Tablewriting"/>
            </w:pPr>
            <w:r w:rsidRPr="00B2760A">
              <w:t xml:space="preserve">Atomoxetine </w:t>
            </w:r>
          </w:p>
          <w:p w14:paraId="5D44D200" w14:textId="24E4FE18" w:rsidR="008A447F" w:rsidRPr="00B2760A" w:rsidRDefault="00080A3A" w:rsidP="00215563">
            <w:pPr>
              <w:pStyle w:val="Tablewriting"/>
            </w:pPr>
            <w:r w:rsidRPr="00B2760A">
              <w:t>(all items)</w:t>
            </w:r>
          </w:p>
        </w:tc>
        <w:tc>
          <w:tcPr>
            <w:tcW w:w="6237" w:type="dxa"/>
          </w:tcPr>
          <w:p w14:paraId="3439220B" w14:textId="0AAA4E01" w:rsidR="008A447F" w:rsidRPr="00B2760A" w:rsidRDefault="00080A3A" w:rsidP="00215563">
            <w:pPr>
              <w:pStyle w:val="Tablewriting"/>
            </w:pPr>
            <w:r w:rsidRPr="00B2760A">
              <w:t>Change in the restriction from ‘The condition must be or have been diagnosed by a paediatrician or psychiatrist according to the DSM-5 criteria…’ to ‘Treatment criteria: * Must be treated by a paediatrician or psychiatrist. Clinical criteria: * The condition must be or have been diagnosed according to the DSM-5 criteria…’</w:t>
            </w:r>
          </w:p>
        </w:tc>
      </w:tr>
      <w:tr w:rsidR="00080A3A" w:rsidRPr="00B2760A" w14:paraId="55DA5263" w14:textId="77777777" w:rsidTr="000241D7">
        <w:tc>
          <w:tcPr>
            <w:tcW w:w="1101" w:type="dxa"/>
          </w:tcPr>
          <w:p w14:paraId="72B6BD0B" w14:textId="776D0080" w:rsidR="00080A3A" w:rsidRPr="00B2760A" w:rsidRDefault="00080A3A" w:rsidP="00215563">
            <w:pPr>
              <w:pStyle w:val="Tablewriting"/>
            </w:pPr>
            <w:r w:rsidRPr="00B2760A">
              <w:t>March 2019</w:t>
            </w:r>
          </w:p>
        </w:tc>
        <w:tc>
          <w:tcPr>
            <w:tcW w:w="1842" w:type="dxa"/>
          </w:tcPr>
          <w:p w14:paraId="567E3019" w14:textId="77777777" w:rsidR="00564BBA" w:rsidRPr="00B2760A" w:rsidRDefault="00080A3A" w:rsidP="00215563">
            <w:pPr>
              <w:pStyle w:val="Tablewriting"/>
            </w:pPr>
            <w:r w:rsidRPr="00B2760A">
              <w:t xml:space="preserve">Guanfacine </w:t>
            </w:r>
          </w:p>
          <w:p w14:paraId="677F4887" w14:textId="24D33AA9" w:rsidR="00080A3A" w:rsidRPr="00B2760A" w:rsidRDefault="00080A3A" w:rsidP="00215563">
            <w:pPr>
              <w:pStyle w:val="Tablewriting"/>
            </w:pPr>
            <w:r w:rsidRPr="00B2760A">
              <w:t>(all items)</w:t>
            </w:r>
          </w:p>
        </w:tc>
        <w:tc>
          <w:tcPr>
            <w:tcW w:w="6237" w:type="dxa"/>
          </w:tcPr>
          <w:p w14:paraId="190E54DD" w14:textId="03CC3E26" w:rsidR="00080A3A" w:rsidRPr="00B2760A" w:rsidRDefault="00080A3A" w:rsidP="00215563">
            <w:pPr>
              <w:pStyle w:val="Tablewriting"/>
            </w:pPr>
            <w:r w:rsidRPr="00B2760A">
              <w:t xml:space="preserve">Addition of new listing for patients taking guanfacine simultaneously with </w:t>
            </w:r>
            <w:r w:rsidR="000F45DB" w:rsidRPr="00B2760A">
              <w:t xml:space="preserve">maximum tolerated dose of other stimulants. </w:t>
            </w:r>
          </w:p>
        </w:tc>
      </w:tr>
    </w:tbl>
    <w:p w14:paraId="6343DCD5" w14:textId="77777777" w:rsidR="00684D77" w:rsidRPr="00B2760A" w:rsidRDefault="00684D77" w:rsidP="00215563">
      <w:pPr>
        <w:spacing w:line="276" w:lineRule="auto"/>
        <w:rPr>
          <w:rFonts w:eastAsiaTheme="majorEastAsia" w:cstheme="majorBidi"/>
          <w:b/>
          <w:bCs/>
          <w:sz w:val="32"/>
          <w:szCs w:val="32"/>
        </w:rPr>
      </w:pPr>
      <w:r w:rsidRPr="00B2760A">
        <w:br w:type="page"/>
      </w:r>
    </w:p>
    <w:p w14:paraId="3D7BBC28" w14:textId="49385427" w:rsidR="00684D77" w:rsidRPr="00B2760A" w:rsidRDefault="00684D77" w:rsidP="00215563">
      <w:pPr>
        <w:pStyle w:val="Heading1"/>
      </w:pPr>
      <w:r w:rsidRPr="00B2760A">
        <w:lastRenderedPageBreak/>
        <w:t xml:space="preserve">Appendix </w:t>
      </w:r>
      <w:r w:rsidR="001F406F" w:rsidRPr="00B2760A">
        <w:t>B</w:t>
      </w:r>
      <w:r w:rsidRPr="00B2760A">
        <w:t>: PBAC recommendations for listing of ADHD medicines</w:t>
      </w:r>
      <w:r w:rsidR="00772132" w:rsidRPr="00B2760A">
        <w:t xml:space="preserve"> (Prior to 201</w:t>
      </w:r>
      <w:r w:rsidR="00564BBA" w:rsidRPr="00B2760A">
        <w:t>8</w:t>
      </w:r>
      <w:r w:rsidR="00772132" w:rsidRPr="00B2760A">
        <w:t>)</w:t>
      </w:r>
    </w:p>
    <w:p w14:paraId="4EEE3022" w14:textId="77777777" w:rsidR="00EC3509" w:rsidRPr="00B2760A" w:rsidRDefault="00EC3509" w:rsidP="00215563">
      <w:r w:rsidRPr="00B2760A">
        <w:t xml:space="preserve">Copies of the PBAC Meeting Outcomes and Public Summary Documents are available on the </w:t>
      </w:r>
      <w:hyperlink r:id="rId29" w:history="1">
        <w:r w:rsidRPr="00B2760A">
          <w:rPr>
            <w:rStyle w:val="Hyperlink"/>
          </w:rPr>
          <w:t>PBAC Meetings</w:t>
        </w:r>
      </w:hyperlink>
      <w:r w:rsidRPr="00B2760A">
        <w:t xml:space="preserve"> website.</w:t>
      </w:r>
    </w:p>
    <w:p w14:paraId="22B96DE2" w14:textId="77777777" w:rsidR="00684D77" w:rsidRPr="00B2760A" w:rsidRDefault="00684D77" w:rsidP="00215563">
      <w:pPr>
        <w:pStyle w:val="Heading4"/>
        <w:rPr>
          <w:sz w:val="24"/>
          <w:szCs w:val="24"/>
        </w:rPr>
      </w:pPr>
      <w:r w:rsidRPr="00B2760A">
        <w:rPr>
          <w:sz w:val="24"/>
          <w:szCs w:val="24"/>
        </w:rPr>
        <w:t>Methylphenidate IR</w:t>
      </w:r>
    </w:p>
    <w:p w14:paraId="3EB92F4C" w14:textId="77777777" w:rsidR="00684D77" w:rsidRPr="00B2760A" w:rsidRDefault="00684D77" w:rsidP="00215563">
      <w:r w:rsidRPr="00B2760A">
        <w:t>At the March 2005 meeting, the PBAC recommended listing on a cost-minimi</w:t>
      </w:r>
      <w:r w:rsidR="00E56C55" w:rsidRPr="00B2760A">
        <w:t xml:space="preserve">sation basis compared to </w:t>
      </w:r>
      <w:proofErr w:type="spellStart"/>
      <w:r w:rsidR="00E56C55" w:rsidRPr="00B2760A">
        <w:t>dexamf</w:t>
      </w:r>
      <w:r w:rsidRPr="00B2760A">
        <w:t>etamine</w:t>
      </w:r>
      <w:proofErr w:type="spellEnd"/>
      <w:r w:rsidRPr="00B2760A">
        <w:t xml:space="preserve"> </w:t>
      </w:r>
      <w:proofErr w:type="spellStart"/>
      <w:r w:rsidRPr="00B2760A">
        <w:t>sulfate</w:t>
      </w:r>
      <w:proofErr w:type="spellEnd"/>
      <w:r w:rsidRPr="00B2760A">
        <w:t xml:space="preserve">, with the </w:t>
      </w:r>
      <w:proofErr w:type="spellStart"/>
      <w:r w:rsidRPr="00B2760A">
        <w:t>equi</w:t>
      </w:r>
      <w:proofErr w:type="spellEnd"/>
      <w:r w:rsidRPr="00B2760A">
        <w:t>-effective doses being methylphenidate</w:t>
      </w:r>
      <w:r w:rsidR="00E56C55" w:rsidRPr="00B2760A">
        <w:t xml:space="preserve"> hydrochloride 10 mg and </w:t>
      </w:r>
      <w:proofErr w:type="spellStart"/>
      <w:r w:rsidR="00E56C55" w:rsidRPr="00B2760A">
        <w:t>dexamf</w:t>
      </w:r>
      <w:r w:rsidRPr="00B2760A">
        <w:t>etamine</w:t>
      </w:r>
      <w:proofErr w:type="spellEnd"/>
      <w:r w:rsidRPr="00B2760A">
        <w:t xml:space="preserve"> </w:t>
      </w:r>
      <w:proofErr w:type="spellStart"/>
      <w:r w:rsidRPr="00B2760A">
        <w:t>sulfate</w:t>
      </w:r>
      <w:proofErr w:type="spellEnd"/>
      <w:r w:rsidRPr="00B2760A">
        <w:t xml:space="preserve"> 5 mg</w:t>
      </w:r>
      <w:r w:rsidR="00045E3D" w:rsidRPr="00B2760A">
        <w:t>.</w:t>
      </w:r>
      <w:r w:rsidRPr="00B2760A">
        <w:rPr>
          <w:rStyle w:val="FootnoteReference"/>
        </w:rPr>
        <w:footnoteReference w:id="29"/>
      </w:r>
      <w:r w:rsidRPr="00B2760A">
        <w:t xml:space="preserve"> The PBAC was concerned over the possible extent of use of the product and requested that the DUSC monitor this. </w:t>
      </w:r>
    </w:p>
    <w:p w14:paraId="6158594A" w14:textId="77777777" w:rsidR="00684D77" w:rsidRPr="00B2760A" w:rsidRDefault="00684D77" w:rsidP="00215563">
      <w:pPr>
        <w:pStyle w:val="Heading4"/>
        <w:rPr>
          <w:sz w:val="24"/>
          <w:szCs w:val="24"/>
        </w:rPr>
      </w:pPr>
      <w:r w:rsidRPr="00B2760A">
        <w:rPr>
          <w:sz w:val="24"/>
          <w:szCs w:val="24"/>
        </w:rPr>
        <w:t>Methylphenidate MR (</w:t>
      </w:r>
      <w:proofErr w:type="spellStart"/>
      <w:r w:rsidRPr="00B2760A">
        <w:rPr>
          <w:sz w:val="24"/>
          <w:szCs w:val="24"/>
        </w:rPr>
        <w:t>Concerta</w:t>
      </w:r>
      <w:proofErr w:type="spellEnd"/>
      <w:r w:rsidRPr="00B2760A">
        <w:rPr>
          <w:sz w:val="24"/>
          <w:szCs w:val="24"/>
          <w:vertAlign w:val="superscript"/>
        </w:rPr>
        <w:t>®</w:t>
      </w:r>
      <w:r w:rsidRPr="00B2760A">
        <w:rPr>
          <w:sz w:val="24"/>
          <w:szCs w:val="24"/>
        </w:rPr>
        <w:t>)</w:t>
      </w:r>
    </w:p>
    <w:p w14:paraId="15664E31" w14:textId="77777777" w:rsidR="00684D77" w:rsidRPr="00B2760A" w:rsidRDefault="00684D77" w:rsidP="00215563">
      <w:pPr>
        <w:rPr>
          <w:lang w:val="en-US" w:eastAsia="en-US"/>
        </w:rPr>
      </w:pPr>
      <w:r w:rsidRPr="00B2760A">
        <w:rPr>
          <w:bCs/>
        </w:rPr>
        <w:t xml:space="preserve">At the November 2006 meeting the PBAC recommended </w:t>
      </w:r>
      <w:r w:rsidRPr="00B2760A">
        <w:rPr>
          <w:lang w:val="en-US" w:eastAsia="en-US"/>
        </w:rPr>
        <w:t>listing of m</w:t>
      </w:r>
      <w:proofErr w:type="spellStart"/>
      <w:r w:rsidRPr="00B2760A">
        <w:rPr>
          <w:bCs/>
        </w:rPr>
        <w:t>ethylphenidate</w:t>
      </w:r>
      <w:proofErr w:type="spellEnd"/>
      <w:r w:rsidRPr="00B2760A">
        <w:rPr>
          <w:bCs/>
        </w:rPr>
        <w:t xml:space="preserve"> MR (</w:t>
      </w:r>
      <w:proofErr w:type="spellStart"/>
      <w:r w:rsidRPr="00B2760A">
        <w:rPr>
          <w:bCs/>
        </w:rPr>
        <w:t>Concerta</w:t>
      </w:r>
      <w:proofErr w:type="spellEnd"/>
      <w:r w:rsidRPr="00B2760A">
        <w:rPr>
          <w:vertAlign w:val="superscript"/>
        </w:rPr>
        <w:t>®</w:t>
      </w:r>
      <w:r w:rsidRPr="00B2760A">
        <w:rPr>
          <w:bCs/>
        </w:rPr>
        <w:t xml:space="preserve">) </w:t>
      </w:r>
      <w:r w:rsidRPr="00B2760A">
        <w:rPr>
          <w:lang w:val="en-US" w:eastAsia="en-US"/>
        </w:rPr>
        <w:t>as an authority required benefit on a cost effectiveness basis over methylphenidate IR. Although the extent of any clinical benefit over methylphenidate IR remained uncertain, the Committee agreed that the likely improvements in compliance and in ease of administration, particularly in relation to the removal of the need for a dose of medication at school, were sufficient to justify listing.</w:t>
      </w:r>
      <w:r w:rsidRPr="00B2760A">
        <w:rPr>
          <w:rStyle w:val="FootnoteReference"/>
          <w:lang w:val="en-US" w:eastAsia="en-US"/>
        </w:rPr>
        <w:footnoteReference w:id="30"/>
      </w:r>
      <w:r w:rsidRPr="00B2760A">
        <w:rPr>
          <w:lang w:val="en-US" w:eastAsia="en-US"/>
        </w:rPr>
        <w:t xml:space="preserve"> </w:t>
      </w:r>
    </w:p>
    <w:p w14:paraId="10D26D45" w14:textId="77777777" w:rsidR="00684D77" w:rsidRPr="00B2760A" w:rsidRDefault="00684D77" w:rsidP="00215563">
      <w:pPr>
        <w:rPr>
          <w:lang w:val="en-US" w:eastAsia="en-US"/>
        </w:rPr>
      </w:pPr>
      <w:r w:rsidRPr="00B2760A">
        <w:rPr>
          <w:lang w:val="en-US" w:eastAsia="en-US"/>
        </w:rPr>
        <w:t>In July 2012 the PBAC rejected a submission to extend the listing to include patients diagnosed with ADHD after the age of 18 years, on the basis of uncertain efficacy and safety in the proposed population, and high and highly uncertain cost to the PBS</w:t>
      </w:r>
      <w:r w:rsidR="00D65739" w:rsidRPr="00B2760A">
        <w:rPr>
          <w:lang w:val="en-US" w:eastAsia="en-US"/>
        </w:rPr>
        <w:t>.</w:t>
      </w:r>
      <w:r w:rsidRPr="00B2760A">
        <w:rPr>
          <w:rStyle w:val="FootnoteReference"/>
          <w:lang w:val="en-US" w:eastAsia="en-US"/>
        </w:rPr>
        <w:footnoteReference w:id="31"/>
      </w:r>
      <w:r w:rsidRPr="00B2760A">
        <w:rPr>
          <w:lang w:val="en-US" w:eastAsia="en-US"/>
        </w:rPr>
        <w:t xml:space="preserve"> </w:t>
      </w:r>
    </w:p>
    <w:p w14:paraId="73B69DC5" w14:textId="77777777" w:rsidR="00684D77" w:rsidRPr="00B2760A" w:rsidRDefault="00684D77" w:rsidP="00215563">
      <w:pPr>
        <w:pStyle w:val="Heading4"/>
        <w:rPr>
          <w:sz w:val="24"/>
          <w:szCs w:val="24"/>
        </w:rPr>
      </w:pPr>
      <w:r w:rsidRPr="00B2760A">
        <w:rPr>
          <w:sz w:val="24"/>
          <w:szCs w:val="24"/>
        </w:rPr>
        <w:t>Methylphenidate MR (Ritalin LA</w:t>
      </w:r>
      <w:r w:rsidRPr="00B2760A">
        <w:rPr>
          <w:sz w:val="24"/>
          <w:szCs w:val="24"/>
          <w:vertAlign w:val="superscript"/>
        </w:rPr>
        <w:t>®</w:t>
      </w:r>
      <w:r w:rsidRPr="00B2760A">
        <w:rPr>
          <w:sz w:val="24"/>
          <w:szCs w:val="24"/>
        </w:rPr>
        <w:t>)</w:t>
      </w:r>
    </w:p>
    <w:p w14:paraId="3FCF8720" w14:textId="779B5015" w:rsidR="00684D77" w:rsidRPr="00B2760A" w:rsidRDefault="00684D77" w:rsidP="00215563">
      <w:r w:rsidRPr="00B2760A">
        <w:t xml:space="preserve">In November 2007, the PBAC recommended </w:t>
      </w:r>
      <w:r w:rsidRPr="00B2760A">
        <w:rPr>
          <w:lang w:val="en-US" w:eastAsia="en-US"/>
        </w:rPr>
        <w:t xml:space="preserve">listing </w:t>
      </w:r>
      <w:r w:rsidRPr="00B2760A">
        <w:t>of methylphenidate hydrochloride modified release (Ritalin LA®) capsules on the PBS on a cost-minimisation basis compared with methylphenidate hydrochloride modified release tablets (</w:t>
      </w:r>
      <w:proofErr w:type="spellStart"/>
      <w:r w:rsidRPr="00B2760A">
        <w:t>Concerta</w:t>
      </w:r>
      <w:proofErr w:type="spellEnd"/>
      <w:r w:rsidRPr="00B2760A">
        <w:rPr>
          <w:vertAlign w:val="superscript"/>
        </w:rPr>
        <w:t>®</w:t>
      </w:r>
      <w:r w:rsidRPr="00B2760A">
        <w:t xml:space="preserve">) at the same price per day, as reflected by the </w:t>
      </w:r>
      <w:proofErr w:type="spellStart"/>
      <w:r w:rsidRPr="00B2760A">
        <w:t>equi</w:t>
      </w:r>
      <w:proofErr w:type="spellEnd"/>
      <w:r w:rsidRPr="00B2760A">
        <w:t>-effective doses</w:t>
      </w:r>
      <w:r w:rsidR="00D65739" w:rsidRPr="00B2760A">
        <w:t>.</w:t>
      </w:r>
      <w:r w:rsidRPr="00B2760A">
        <w:rPr>
          <w:rStyle w:val="FootnoteReference"/>
        </w:rPr>
        <w:footnoteReference w:id="32"/>
      </w:r>
      <w:r w:rsidRPr="00B2760A">
        <w:t xml:space="preserve"> </w:t>
      </w:r>
    </w:p>
    <w:p w14:paraId="1C5C2BDE" w14:textId="70123604" w:rsidR="00720C8C" w:rsidRPr="00B2760A" w:rsidRDefault="00720C8C" w:rsidP="00215563">
      <w:r w:rsidRPr="00B2760A">
        <w:t xml:space="preserve">In March 2020, the PBAC recommended the listing of methylphenidate hydrochloride 60 mg modified release capsule </w:t>
      </w:r>
      <w:proofErr w:type="spellStart"/>
      <w:r w:rsidRPr="00B2760A">
        <w:t>capsule</w:t>
      </w:r>
      <w:proofErr w:type="spellEnd"/>
      <w:r w:rsidRPr="00B2760A">
        <w:t xml:space="preserve"> (Ritalin® LA 60 mg), under the same conditions as the currently listed Ritalin LA strengths (10 mg, 20 mg, 30 </w:t>
      </w:r>
      <w:proofErr w:type="gramStart"/>
      <w:r w:rsidRPr="00B2760A">
        <w:t>mg</w:t>
      </w:r>
      <w:proofErr w:type="gramEnd"/>
      <w:r w:rsidRPr="00B2760A">
        <w:t xml:space="preserve"> and 40 mg).</w:t>
      </w:r>
      <w:r w:rsidR="00686028" w:rsidRPr="00B2760A">
        <w:rPr>
          <w:rStyle w:val="FootnoteReference"/>
        </w:rPr>
        <w:footnoteReference w:id="33"/>
      </w:r>
    </w:p>
    <w:p w14:paraId="3834E357" w14:textId="77777777" w:rsidR="00B2760A" w:rsidRDefault="00B2760A" w:rsidP="00215563">
      <w:pPr>
        <w:spacing w:line="276" w:lineRule="auto"/>
        <w:rPr>
          <w:b/>
          <w:i/>
        </w:rPr>
      </w:pPr>
      <w:r>
        <w:br w:type="page"/>
      </w:r>
    </w:p>
    <w:p w14:paraId="177FBA82" w14:textId="393EC5BE" w:rsidR="00684D77" w:rsidRPr="00B2760A" w:rsidRDefault="00684D77" w:rsidP="00215563">
      <w:pPr>
        <w:pStyle w:val="Heading4"/>
        <w:rPr>
          <w:sz w:val="24"/>
          <w:szCs w:val="24"/>
        </w:rPr>
      </w:pPr>
      <w:r w:rsidRPr="00B2760A">
        <w:rPr>
          <w:sz w:val="24"/>
          <w:szCs w:val="24"/>
        </w:rPr>
        <w:lastRenderedPageBreak/>
        <w:t>Atomoxetine (Strattera®)</w:t>
      </w:r>
    </w:p>
    <w:p w14:paraId="1A22C593" w14:textId="77777777" w:rsidR="00684D77" w:rsidRPr="00B2760A" w:rsidRDefault="00684D77" w:rsidP="00215563">
      <w:r w:rsidRPr="00B2760A">
        <w:t xml:space="preserve">The PBAC recommended the listing of atomoxetine (Strattera®) 10 mg, 18mg, 25 mg, 40 </w:t>
      </w:r>
      <w:proofErr w:type="gramStart"/>
      <w:r w:rsidRPr="00B2760A">
        <w:t>mg</w:t>
      </w:r>
      <w:proofErr w:type="gramEnd"/>
      <w:r w:rsidRPr="00B2760A">
        <w:t xml:space="preserve"> and 60 mg in November 2006, on a cost-effectiveness basis over placebo. The PBAC considered that there was a clinical need for the product and that the proposed restriction targeted the appropriate population</w:t>
      </w:r>
      <w:r w:rsidR="00D65739" w:rsidRPr="00B2760A">
        <w:t>.</w:t>
      </w:r>
      <w:r w:rsidRPr="00B2760A">
        <w:rPr>
          <w:rStyle w:val="FootnoteReference"/>
        </w:rPr>
        <w:footnoteReference w:id="34"/>
      </w:r>
    </w:p>
    <w:p w14:paraId="430262A8" w14:textId="2E61ECFF" w:rsidR="00684D77" w:rsidRPr="00B2760A" w:rsidRDefault="00684D77" w:rsidP="00215563">
      <w:r w:rsidRPr="00B2760A">
        <w:t>In July 2008, the PBAC recommended the listing of two additional strengths of atomoxetine (Strattera®), 80 mg and 100 mg, but rejected a submission to extend the use of atomoxetine to patients diagnosed with ADHD as adults due to insufficient evidence of clinical and cost-effectiveness. The submission claimed that the new strengths were unlikely to increase atomoxetine use or cost to the PBS</w:t>
      </w:r>
      <w:r w:rsidR="00D65739" w:rsidRPr="00B2760A">
        <w:t>.</w:t>
      </w:r>
      <w:r w:rsidRPr="00B2760A">
        <w:rPr>
          <w:rStyle w:val="FootnoteReference"/>
        </w:rPr>
        <w:footnoteReference w:id="35"/>
      </w:r>
      <w:r w:rsidRPr="00B2760A">
        <w:t xml:space="preserve"> </w:t>
      </w:r>
    </w:p>
    <w:p w14:paraId="4D8FA118" w14:textId="1070D20B" w:rsidR="009822E1" w:rsidRPr="00B2760A" w:rsidRDefault="00684D77" w:rsidP="00215563">
      <w:pPr>
        <w:pStyle w:val="ListParagraph"/>
        <w:ind w:left="0"/>
        <w:jc w:val="both"/>
      </w:pPr>
      <w:r w:rsidRPr="00B2760A">
        <w:t>In March 2014, the PBAC recommended that the current Authority required restriction for atomoxetine be changed to Authority Required (STREAMLINED).</w:t>
      </w:r>
      <w:r w:rsidR="00D65739" w:rsidRPr="00B2760A">
        <w:rPr>
          <w:rStyle w:val="FootnoteReference"/>
        </w:rPr>
        <w:footnoteReference w:id="36"/>
      </w:r>
      <w:r w:rsidRPr="00B2760A">
        <w:t xml:space="preserve"> </w:t>
      </w:r>
    </w:p>
    <w:p w14:paraId="07BBE1AA" w14:textId="77777777" w:rsidR="00564BBA" w:rsidRPr="00B2760A" w:rsidRDefault="00564BBA" w:rsidP="00215563">
      <w:pPr>
        <w:pStyle w:val="Heading4"/>
        <w:rPr>
          <w:sz w:val="24"/>
          <w:szCs w:val="24"/>
        </w:rPr>
      </w:pPr>
      <w:proofErr w:type="spellStart"/>
      <w:r w:rsidRPr="00B2760A">
        <w:rPr>
          <w:sz w:val="24"/>
          <w:szCs w:val="24"/>
        </w:rPr>
        <w:t>Lisdexamfetamine</w:t>
      </w:r>
      <w:proofErr w:type="spellEnd"/>
      <w:r w:rsidRPr="00B2760A">
        <w:rPr>
          <w:sz w:val="24"/>
          <w:szCs w:val="24"/>
        </w:rPr>
        <w:t xml:space="preserve"> (Vyvanse®)</w:t>
      </w:r>
    </w:p>
    <w:p w14:paraId="4A0EE849" w14:textId="203858F5" w:rsidR="00564BBA" w:rsidRPr="00B2760A" w:rsidRDefault="00564BBA" w:rsidP="00215563">
      <w:r w:rsidRPr="00B2760A">
        <w:t xml:space="preserve">In July 2014, the PBAC considered the resubmission and recommended the listing of </w:t>
      </w:r>
      <w:proofErr w:type="spellStart"/>
      <w:r w:rsidRPr="00B2760A">
        <w:t>lisdexamfetamine</w:t>
      </w:r>
      <w:proofErr w:type="spellEnd"/>
      <w:r w:rsidRPr="00B2760A">
        <w:t xml:space="preserve"> (Vyvanse®) 30mg, 50mg, 70mg on a cost-minimisation basis compared with long-acting methylphenidate. The PBAC considered that the evidence in the submission demonstrated non-inferiority to long-acting methylphenidate in terms of effectiveness, and inferiority to long-acting methylphenidate in terms of safety. </w:t>
      </w:r>
    </w:p>
    <w:p w14:paraId="3BCAED2B" w14:textId="5080D6BF" w:rsidR="00564BBA" w:rsidRPr="00B2760A" w:rsidRDefault="00564BBA" w:rsidP="00215563">
      <w:r w:rsidRPr="00B2760A">
        <w:t xml:space="preserve">The resubmission presented cost minimisation analysis versus MPH-OROS in children aged 6 to 12, cost-utility analysis versus MPH-OROS in adolescents aged 13-17 and cost-utility analysis versus ‘no pharmacological treatment’ or ‘placebo’ as proxy for standard of care in patients who have failed MPH-OROS. </w:t>
      </w:r>
    </w:p>
    <w:p w14:paraId="62FE8CD5" w14:textId="77777777" w:rsidR="005F4646" w:rsidRPr="00B2760A" w:rsidRDefault="00564BBA" w:rsidP="00215563">
      <w:r w:rsidRPr="00B2760A">
        <w:t xml:space="preserve">The PBAC recommended the proposed listing of LDX as an authority required benefit in patients diagnosed between the ages of 6 and 18 years (inclusive). For the restriction, PBAC considered that there should be no requirement for patients to demonstrate response to </w:t>
      </w:r>
      <w:proofErr w:type="spellStart"/>
      <w:r w:rsidRPr="00B2760A">
        <w:t>dexamfetamine</w:t>
      </w:r>
      <w:proofErr w:type="spellEnd"/>
      <w:r w:rsidRPr="00B2760A">
        <w:t xml:space="preserve">, as use of </w:t>
      </w:r>
      <w:proofErr w:type="spellStart"/>
      <w:r w:rsidRPr="00B2760A">
        <w:t>dexamfetamine</w:t>
      </w:r>
      <w:proofErr w:type="spellEnd"/>
      <w:r w:rsidRPr="00B2760A">
        <w:t xml:space="preserve"> DEX does not give guidance of dose or tolerability of </w:t>
      </w:r>
      <w:proofErr w:type="spellStart"/>
      <w:r w:rsidRPr="00B2760A">
        <w:t>lisdexamfetamine</w:t>
      </w:r>
      <w:proofErr w:type="spellEnd"/>
      <w:r w:rsidRPr="00B2760A">
        <w:t xml:space="preserve">. </w:t>
      </w:r>
    </w:p>
    <w:p w14:paraId="72F968E1" w14:textId="35102B2A" w:rsidR="00564BBA" w:rsidRPr="00B2760A" w:rsidRDefault="00564BBA" w:rsidP="00215563">
      <w:r w:rsidRPr="00B2760A">
        <w:t xml:space="preserve">The PBAC recommended that </w:t>
      </w:r>
      <w:proofErr w:type="spellStart"/>
      <w:r w:rsidRPr="00B2760A">
        <w:t>lisdexamfetamine</w:t>
      </w:r>
      <w:proofErr w:type="spellEnd"/>
      <w:r w:rsidRPr="00B2760A">
        <w:t xml:space="preserve"> should not be treated as inter</w:t>
      </w:r>
      <w:r w:rsidR="00495DD1" w:rsidRPr="00B2760A">
        <w:t>changeable with any other drugs.</w:t>
      </w:r>
      <w:r w:rsidR="00495DD1" w:rsidRPr="00B2760A">
        <w:rPr>
          <w:rStyle w:val="FootnoteReference"/>
        </w:rPr>
        <w:footnoteReference w:id="37"/>
      </w:r>
    </w:p>
    <w:p w14:paraId="39352090" w14:textId="1BF74802" w:rsidR="00564BBA" w:rsidRPr="00B2760A" w:rsidRDefault="00720C8C" w:rsidP="00215563">
      <w:r w:rsidRPr="00B2760A">
        <w:lastRenderedPageBreak/>
        <w:t xml:space="preserve">In July 2019, the PBAC recommended the listing of three additional strengths of </w:t>
      </w:r>
      <w:proofErr w:type="spellStart"/>
      <w:r w:rsidRPr="00B2760A">
        <w:t>lisdexamfetamine</w:t>
      </w:r>
      <w:proofErr w:type="spellEnd"/>
      <w:r w:rsidRPr="00B2760A">
        <w:t xml:space="preserve"> (Vyvanse®), 20 mg, 40 </w:t>
      </w:r>
      <w:proofErr w:type="gramStart"/>
      <w:r w:rsidRPr="00B2760A">
        <w:t>mg</w:t>
      </w:r>
      <w:proofErr w:type="gramEnd"/>
      <w:r w:rsidRPr="00B2760A">
        <w:t xml:space="preserve"> and 60 mg.</w:t>
      </w:r>
      <w:r w:rsidR="00686028" w:rsidRPr="00B2760A">
        <w:rPr>
          <w:rStyle w:val="FootnoteReference"/>
        </w:rPr>
        <w:footnoteReference w:id="38"/>
      </w:r>
    </w:p>
    <w:p w14:paraId="24EF60C2" w14:textId="71CA88A2" w:rsidR="001F406F" w:rsidRDefault="00720C8C" w:rsidP="00215563">
      <w:r w:rsidRPr="00B2760A">
        <w:t xml:space="preserve">In March 2020, the PBAC recommended expanding the listing of </w:t>
      </w:r>
      <w:proofErr w:type="spellStart"/>
      <w:r w:rsidRPr="00B2760A">
        <w:t>lisdexamfetamine</w:t>
      </w:r>
      <w:proofErr w:type="spellEnd"/>
      <w:r w:rsidRPr="00B2760A">
        <w:t xml:space="preserve"> to include treatment of patients with ADHD who are diagnosed after the age of 18.</w:t>
      </w:r>
      <w:r w:rsidR="00686028" w:rsidRPr="00B2760A">
        <w:rPr>
          <w:rStyle w:val="FootnoteReference"/>
        </w:rPr>
        <w:footnoteReference w:id="39"/>
      </w:r>
    </w:p>
    <w:p w14:paraId="107D7277" w14:textId="738208F6" w:rsidR="001F406F" w:rsidRDefault="001F406F" w:rsidP="00215563">
      <w:pPr>
        <w:pStyle w:val="ListParagraph"/>
        <w:ind w:left="0"/>
        <w:jc w:val="both"/>
      </w:pPr>
    </w:p>
    <w:p w14:paraId="62BF38F1" w14:textId="590B66A2" w:rsidR="00316991" w:rsidRDefault="00316991" w:rsidP="00215563">
      <w:pPr>
        <w:pStyle w:val="ListParagraph"/>
        <w:ind w:left="0"/>
        <w:jc w:val="both"/>
      </w:pPr>
    </w:p>
    <w:p w14:paraId="256D2A92" w14:textId="49E9EAF3" w:rsidR="004A77CF" w:rsidRDefault="004A77CF" w:rsidP="00215563">
      <w:pPr>
        <w:pStyle w:val="ListParagraph"/>
        <w:ind w:left="0"/>
        <w:jc w:val="both"/>
      </w:pPr>
    </w:p>
    <w:p w14:paraId="2DE740F3" w14:textId="77777777" w:rsidR="004A77CF" w:rsidRPr="00D144D4" w:rsidRDefault="004A77CF" w:rsidP="00215563">
      <w:pPr>
        <w:pStyle w:val="ListParagraph"/>
        <w:ind w:left="0"/>
        <w:jc w:val="both"/>
      </w:pPr>
    </w:p>
    <w:sectPr w:rsidR="004A77CF" w:rsidRPr="00D144D4" w:rsidSect="0048585C">
      <w:headerReference w:type="default" r:id="rId30"/>
      <w:footerReference w:type="even" r:id="rId31"/>
      <w:footerReference w:type="default" r:id="rId32"/>
      <w:pgSz w:w="11906" w:h="16838"/>
      <w:pgMar w:top="1644" w:right="1133" w:bottom="1418"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64B677" w14:textId="77777777" w:rsidR="009A1F44" w:rsidRDefault="009A1F44" w:rsidP="00A35800">
      <w:r>
        <w:separator/>
      </w:r>
    </w:p>
  </w:endnote>
  <w:endnote w:type="continuationSeparator" w:id="0">
    <w:p w14:paraId="2176E5A0" w14:textId="77777777" w:rsidR="009A1F44" w:rsidRDefault="009A1F44" w:rsidP="00A35800">
      <w:r>
        <w:continuationSeparator/>
      </w:r>
    </w:p>
  </w:endnote>
  <w:endnote w:type="continuationNotice" w:id="1">
    <w:p w14:paraId="51DD2820" w14:textId="77777777" w:rsidR="009A1F44" w:rsidRDefault="009A1F4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818DF7" w14:textId="77777777" w:rsidR="00C91779" w:rsidRDefault="00C91779" w:rsidP="00A3580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62FFCCC" w14:textId="77777777" w:rsidR="00C91779" w:rsidRDefault="00C91779" w:rsidP="00A35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9238322"/>
      <w:docPartObj>
        <w:docPartGallery w:val="Page Numbers (Top of Page)"/>
        <w:docPartUnique/>
      </w:docPartObj>
    </w:sdtPr>
    <w:sdtEndPr/>
    <w:sdtContent>
      <w:p w14:paraId="548FC51E" w14:textId="32538099" w:rsidR="00C91779" w:rsidRPr="000E72C6" w:rsidRDefault="00C91779" w:rsidP="00697951">
        <w:pPr>
          <w:pStyle w:val="Footer"/>
          <w:jc w:val="center"/>
          <w:rPr>
            <w:i/>
            <w:sz w:val="20"/>
          </w:rPr>
        </w:pPr>
        <w:r>
          <w:rPr>
            <w:i/>
            <w:sz w:val="20"/>
          </w:rPr>
          <w:t>Public Release Document, June 2021 DUSC Meeting</w:t>
        </w:r>
      </w:p>
      <w:p w14:paraId="2A89F6B4" w14:textId="18CFC75D" w:rsidR="00C91779" w:rsidRDefault="00C91779" w:rsidP="00697951">
        <w:pPr>
          <w:pStyle w:val="Footer"/>
          <w:jc w:val="cente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Pr>
            <w:bCs/>
            <w:i/>
            <w:noProof/>
            <w:sz w:val="20"/>
          </w:rPr>
          <w:t>8</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Pr>
            <w:bCs/>
            <w:i/>
            <w:noProof/>
            <w:sz w:val="20"/>
          </w:rPr>
          <w:t>35</w:t>
        </w:r>
        <w:r w:rsidRPr="00DD188C">
          <w:rPr>
            <w:bCs/>
            <w:i/>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831C65" w14:textId="77777777" w:rsidR="009A1F44" w:rsidRDefault="009A1F44" w:rsidP="00A35800">
      <w:r>
        <w:separator/>
      </w:r>
    </w:p>
  </w:footnote>
  <w:footnote w:type="continuationSeparator" w:id="0">
    <w:p w14:paraId="3A7CDE33" w14:textId="77777777" w:rsidR="009A1F44" w:rsidRDefault="009A1F44" w:rsidP="00A35800">
      <w:r>
        <w:continuationSeparator/>
      </w:r>
    </w:p>
  </w:footnote>
  <w:footnote w:type="continuationNotice" w:id="1">
    <w:p w14:paraId="38B2AD05" w14:textId="77777777" w:rsidR="009A1F44" w:rsidRDefault="009A1F44">
      <w:pPr>
        <w:spacing w:after="0"/>
      </w:pPr>
    </w:p>
  </w:footnote>
  <w:footnote w:id="2">
    <w:p w14:paraId="36CB87AA" w14:textId="687133CD" w:rsidR="00C91779" w:rsidRPr="00215563" w:rsidRDefault="00C91779">
      <w:pPr>
        <w:pStyle w:val="FootnoteText"/>
        <w:rPr>
          <w:szCs w:val="18"/>
        </w:rPr>
      </w:pPr>
      <w:r w:rsidRPr="00215563">
        <w:rPr>
          <w:rStyle w:val="FootnoteReference"/>
          <w:szCs w:val="18"/>
        </w:rPr>
        <w:footnoteRef/>
      </w:r>
      <w:r w:rsidRPr="00215563">
        <w:rPr>
          <w:szCs w:val="18"/>
        </w:rPr>
        <w:t xml:space="preserve"> Australian Medicines Handbook January 2021. Accessed 15 April 2021. https://amhonline.amh.net.au/chapters/cardiovascular-drugs/antihypertensives/other-antihypertensives/clonidine-cardiovascular</w:t>
      </w:r>
    </w:p>
  </w:footnote>
  <w:footnote w:id="3">
    <w:p w14:paraId="4379889B" w14:textId="77777777" w:rsidR="00C91779" w:rsidRPr="00215563" w:rsidRDefault="00C91779" w:rsidP="00735033">
      <w:pPr>
        <w:pStyle w:val="FootnoteText"/>
        <w:ind w:right="-257"/>
        <w:rPr>
          <w:szCs w:val="18"/>
        </w:rPr>
      </w:pPr>
      <w:r w:rsidRPr="00215563">
        <w:rPr>
          <w:rStyle w:val="FootnoteReference"/>
          <w:szCs w:val="18"/>
        </w:rPr>
        <w:footnoteRef/>
      </w:r>
      <w:r w:rsidRPr="00215563">
        <w:rPr>
          <w:szCs w:val="18"/>
        </w:rPr>
        <w:t xml:space="preserve"> Lawrence D, Johnson S, </w:t>
      </w:r>
      <w:proofErr w:type="spellStart"/>
      <w:r w:rsidRPr="00215563">
        <w:rPr>
          <w:szCs w:val="18"/>
        </w:rPr>
        <w:t>Hafekost</w:t>
      </w:r>
      <w:proofErr w:type="spellEnd"/>
      <w:r w:rsidRPr="00215563">
        <w:rPr>
          <w:szCs w:val="18"/>
        </w:rPr>
        <w:t xml:space="preserve"> J, </w:t>
      </w:r>
      <w:proofErr w:type="spellStart"/>
      <w:r w:rsidRPr="00215563">
        <w:rPr>
          <w:szCs w:val="18"/>
        </w:rPr>
        <w:t>Boterhoven</w:t>
      </w:r>
      <w:proofErr w:type="spellEnd"/>
      <w:r w:rsidRPr="00215563">
        <w:rPr>
          <w:szCs w:val="18"/>
        </w:rPr>
        <w:t xml:space="preserve"> De </w:t>
      </w:r>
      <w:proofErr w:type="spellStart"/>
      <w:r w:rsidRPr="00215563">
        <w:rPr>
          <w:szCs w:val="18"/>
        </w:rPr>
        <w:t>Haan</w:t>
      </w:r>
      <w:proofErr w:type="spellEnd"/>
      <w:r w:rsidRPr="00215563">
        <w:rPr>
          <w:szCs w:val="18"/>
        </w:rPr>
        <w:t xml:space="preserve"> K, Sawyer M, Ainsley J, Zubrick SR 2015. The Mental Health of Children and Adolescents. Report on the second Australian Child and Adolescent Survey of Mental Health and Wellbeing. Canberra: Department of Health</w:t>
      </w:r>
    </w:p>
  </w:footnote>
  <w:footnote w:id="4">
    <w:p w14:paraId="287A8750" w14:textId="77777777" w:rsidR="00C91779" w:rsidRPr="00215563" w:rsidRDefault="00C91779">
      <w:pPr>
        <w:pStyle w:val="FootnoteText"/>
        <w:rPr>
          <w:szCs w:val="18"/>
        </w:rPr>
      </w:pPr>
      <w:r w:rsidRPr="00215563">
        <w:rPr>
          <w:rStyle w:val="FootnoteReference"/>
          <w:szCs w:val="18"/>
        </w:rPr>
        <w:footnoteRef/>
      </w:r>
      <w:r w:rsidRPr="00215563">
        <w:rPr>
          <w:szCs w:val="18"/>
        </w:rPr>
        <w:t xml:space="preserve"> </w:t>
      </w:r>
      <w:r w:rsidRPr="00215563">
        <w:rPr>
          <w:noProof/>
          <w:szCs w:val="18"/>
        </w:rPr>
        <w:t>National Health and Medical Research Council (2012), Clinical Practice Points on the diagnosis, assessment and management of Attention Deficit Hyperactivity Disorder in children and adolescents. Canberra.</w:t>
      </w:r>
    </w:p>
  </w:footnote>
  <w:footnote w:id="5">
    <w:p w14:paraId="7FA5DC34" w14:textId="7B3588EC" w:rsidR="00C91779" w:rsidRPr="00D613C8" w:rsidRDefault="00C91779">
      <w:pPr>
        <w:pStyle w:val="FootnoteText"/>
        <w:rPr>
          <w:highlight w:val="green"/>
        </w:rPr>
      </w:pPr>
      <w:r w:rsidRPr="00215563">
        <w:rPr>
          <w:rStyle w:val="FootnoteReference"/>
          <w:szCs w:val="18"/>
        </w:rPr>
        <w:footnoteRef/>
      </w:r>
      <w:r w:rsidRPr="00215563">
        <w:rPr>
          <w:szCs w:val="18"/>
        </w:rPr>
        <w:t xml:space="preserve"> Attention deficit hyperactivity disorder. Therapeutic Guidelines Ltd (</w:t>
      </w:r>
      <w:proofErr w:type="spellStart"/>
      <w:r w:rsidRPr="00215563">
        <w:rPr>
          <w:szCs w:val="18"/>
        </w:rPr>
        <w:t>eTG</w:t>
      </w:r>
      <w:proofErr w:type="spellEnd"/>
      <w:r w:rsidRPr="00215563">
        <w:rPr>
          <w:szCs w:val="18"/>
        </w:rPr>
        <w:t xml:space="preserve"> March 2021 edition) [Internet]. Published March 2021. Accessed 13 April 2021.  </w:t>
      </w:r>
      <w:hyperlink r:id="rId1" w:history="1">
        <w:r w:rsidRPr="00215563">
          <w:rPr>
            <w:rStyle w:val="Hyperlink"/>
            <w:szCs w:val="18"/>
          </w:rPr>
          <w:t>https://tgldcdp.tg.org.au/viewTopic?topicfile=attention-deficit-hyperactivity-disorder&amp;guidelineName=Psychotropic&amp;topicNavigation=navigateTopic</w:t>
        </w:r>
      </w:hyperlink>
    </w:p>
  </w:footnote>
  <w:footnote w:id="6">
    <w:p w14:paraId="18FDB66C" w14:textId="77777777" w:rsidR="00C91779" w:rsidRPr="00215563" w:rsidRDefault="00C91779">
      <w:pPr>
        <w:pStyle w:val="FootnoteText"/>
        <w:rPr>
          <w:szCs w:val="18"/>
        </w:rPr>
      </w:pPr>
      <w:r w:rsidRPr="00215563">
        <w:rPr>
          <w:rStyle w:val="FootnoteReference"/>
          <w:szCs w:val="18"/>
        </w:rPr>
        <w:footnoteRef/>
      </w:r>
      <w:r w:rsidRPr="00215563">
        <w:rPr>
          <w:szCs w:val="18"/>
        </w:rPr>
        <w:t xml:space="preserve"> </w:t>
      </w:r>
      <w:proofErr w:type="spellStart"/>
      <w:r w:rsidRPr="00215563">
        <w:rPr>
          <w:szCs w:val="18"/>
        </w:rPr>
        <w:t>Tonge</w:t>
      </w:r>
      <w:proofErr w:type="spellEnd"/>
      <w:r w:rsidRPr="00215563">
        <w:rPr>
          <w:szCs w:val="18"/>
        </w:rPr>
        <w:t>, B. (2013). ‘Principles for managing attention deficit hyperactivity disorder’. Australian Prescriber, 36:162-5.</w:t>
      </w:r>
    </w:p>
  </w:footnote>
  <w:footnote w:id="7">
    <w:p w14:paraId="77AA0D71" w14:textId="60D391E0" w:rsidR="00C91779" w:rsidRPr="00215563" w:rsidRDefault="00C91779">
      <w:pPr>
        <w:pStyle w:val="FootnoteText"/>
        <w:rPr>
          <w:noProof/>
          <w:szCs w:val="18"/>
        </w:rPr>
      </w:pPr>
      <w:r w:rsidRPr="00215563">
        <w:rPr>
          <w:rStyle w:val="FootnoteReference"/>
          <w:szCs w:val="18"/>
        </w:rPr>
        <w:footnoteRef/>
      </w:r>
      <w:r w:rsidRPr="00215563">
        <w:rPr>
          <w:szCs w:val="18"/>
        </w:rPr>
        <w:t xml:space="preserve"> Shire Australia Pty Ltd (2017), </w:t>
      </w:r>
      <w:r w:rsidRPr="00215563">
        <w:rPr>
          <w:noProof/>
          <w:szCs w:val="18"/>
        </w:rPr>
        <w:t>Product Information: Intuniv (Guanfacine hydrochloride). Approved 22 August 2017. Most recent amendment  26 March 2021. Accessed on: 13 April 2021, at:</w:t>
      </w:r>
    </w:p>
    <w:p w14:paraId="51D29106" w14:textId="77777777" w:rsidR="00C91779" w:rsidRPr="00215563" w:rsidRDefault="009A1F44">
      <w:pPr>
        <w:pStyle w:val="FootnoteText"/>
        <w:rPr>
          <w:szCs w:val="18"/>
        </w:rPr>
      </w:pPr>
      <w:hyperlink r:id="rId2" w:history="1">
        <w:r w:rsidR="00C91779" w:rsidRPr="00215563">
          <w:rPr>
            <w:rStyle w:val="Hyperlink"/>
            <w:szCs w:val="18"/>
          </w:rPr>
          <w:t>https://www.ebs.tga.gov.au/ebs/picmi/picmirepository.nsf/pdf?OpenAgent&amp;id=CP-2017-PI-02254-1&amp;d=2018022716114622483</w:t>
        </w:r>
      </w:hyperlink>
    </w:p>
  </w:footnote>
  <w:footnote w:id="8">
    <w:p w14:paraId="4A91596C" w14:textId="1545A832" w:rsidR="00C91779" w:rsidRPr="00215563" w:rsidRDefault="00C91779">
      <w:pPr>
        <w:pStyle w:val="FootnoteText"/>
        <w:rPr>
          <w:szCs w:val="18"/>
        </w:rPr>
      </w:pPr>
      <w:r w:rsidRPr="00215563">
        <w:rPr>
          <w:rStyle w:val="FootnoteReference"/>
          <w:szCs w:val="18"/>
        </w:rPr>
        <w:footnoteRef/>
      </w:r>
      <w:r w:rsidRPr="00215563">
        <w:rPr>
          <w:rStyle w:val="FootnoteReference"/>
          <w:szCs w:val="18"/>
        </w:rPr>
        <w:t xml:space="preserve"> </w:t>
      </w:r>
      <w:r w:rsidRPr="00215563">
        <w:rPr>
          <w:szCs w:val="18"/>
        </w:rPr>
        <w:t xml:space="preserve">A consolidated ADHD stimulant prescribing regulation and authorities overview can be found at </w:t>
      </w:r>
      <w:hyperlink r:id="rId3" w:history="1">
        <w:r w:rsidRPr="00215563">
          <w:rPr>
            <w:szCs w:val="18"/>
          </w:rPr>
          <w:t>https://aadpa.com.au/adhd-stimulant-prescribing-regulations-authorities-in-australia-new-zealand</w:t>
        </w:r>
      </w:hyperlink>
    </w:p>
  </w:footnote>
  <w:footnote w:id="9">
    <w:p w14:paraId="136B7D72" w14:textId="4975B73D" w:rsidR="00C91779" w:rsidRPr="00215563" w:rsidRDefault="00C91779">
      <w:pPr>
        <w:pStyle w:val="FootnoteText"/>
        <w:rPr>
          <w:szCs w:val="18"/>
        </w:rPr>
      </w:pPr>
      <w:r w:rsidRPr="00215563">
        <w:rPr>
          <w:rStyle w:val="FootnoteReference"/>
          <w:szCs w:val="18"/>
        </w:rPr>
        <w:footnoteRef/>
      </w:r>
      <w:r w:rsidRPr="00215563">
        <w:rPr>
          <w:rStyle w:val="FootnoteReference"/>
          <w:szCs w:val="18"/>
        </w:rPr>
        <w:t xml:space="preserve"> </w:t>
      </w:r>
      <w:r w:rsidRPr="00215563">
        <w:rPr>
          <w:szCs w:val="18"/>
        </w:rPr>
        <w:t xml:space="preserve">Australian Medicines Handbook January 2021. Accessed 16 April 2021. </w:t>
      </w:r>
      <w:r w:rsidRPr="00215563">
        <w:rPr>
          <w:noProof/>
          <w:szCs w:val="18"/>
        </w:rPr>
        <w:t>https://amhonline.amh.net.au/chapters/cardiovascular-drugs/antihypertensives/other-antihypertensives/clonidine-cardiovascular</w:t>
      </w:r>
    </w:p>
  </w:footnote>
  <w:footnote w:id="10">
    <w:p w14:paraId="08EB478E" w14:textId="440B2191" w:rsidR="00C91779" w:rsidRPr="00215563" w:rsidRDefault="00C91779" w:rsidP="00215563">
      <w:pPr>
        <w:pStyle w:val="FootnoteText"/>
        <w:ind w:right="-29"/>
        <w:rPr>
          <w:szCs w:val="18"/>
        </w:rPr>
      </w:pPr>
      <w:r w:rsidRPr="00215563">
        <w:rPr>
          <w:rStyle w:val="FootnoteReference"/>
          <w:szCs w:val="18"/>
        </w:rPr>
        <w:footnoteRef/>
      </w:r>
      <w:r w:rsidRPr="00215563">
        <w:rPr>
          <w:szCs w:val="18"/>
        </w:rPr>
        <w:t xml:space="preserve"> </w:t>
      </w:r>
      <w:r w:rsidRPr="00215563">
        <w:rPr>
          <w:noProof/>
          <w:szCs w:val="18"/>
        </w:rPr>
        <w:t xml:space="preserve">Aspen Pharma Pty Ltd, Product Information: Aspen Dexamfetamine Tablets. Approved 14 October 1991. Most recent amendment 10 December 2019. Accessed on: 13 April 2021, at: </w:t>
      </w:r>
      <w:hyperlink r:id="rId4" w:history="1">
        <w:r w:rsidRPr="00215563">
          <w:rPr>
            <w:rStyle w:val="Hyperlink"/>
            <w:szCs w:val="18"/>
          </w:rPr>
          <w:t>https://www.ebs.tga.gov.au/ebs/picmi/picmirepository.nsf/pdf?OpenAgent&amp;id=CP-2017-PI-01667-1</w:t>
        </w:r>
      </w:hyperlink>
    </w:p>
  </w:footnote>
  <w:footnote w:id="11">
    <w:p w14:paraId="0817B86F" w14:textId="046E319A" w:rsidR="00C91779" w:rsidRPr="00215563" w:rsidRDefault="00C91779" w:rsidP="00215563">
      <w:pPr>
        <w:pStyle w:val="FootnoteText"/>
        <w:ind w:right="-29"/>
        <w:rPr>
          <w:szCs w:val="18"/>
          <w:u w:val="single"/>
        </w:rPr>
      </w:pPr>
      <w:r w:rsidRPr="00215563">
        <w:rPr>
          <w:rStyle w:val="FootnoteReference"/>
          <w:szCs w:val="18"/>
        </w:rPr>
        <w:footnoteRef/>
      </w:r>
      <w:r w:rsidRPr="00215563">
        <w:rPr>
          <w:szCs w:val="18"/>
        </w:rPr>
        <w:t xml:space="preserve"> </w:t>
      </w:r>
      <w:r w:rsidRPr="00215563">
        <w:rPr>
          <w:noProof/>
          <w:szCs w:val="18"/>
        </w:rPr>
        <w:t>NOVARTIS Pharmaceuticals Australia Pty Limited, Product Information: RITALIN® 10/RITALIN® LA (methylphenidate). Approved 02 August 1991. Most recent amendment 14 August 2020. Accessed on: 13 April 2021, at:</w:t>
      </w:r>
      <w:r w:rsidRPr="00215563">
        <w:rPr>
          <w:szCs w:val="18"/>
        </w:rPr>
        <w:t xml:space="preserve"> </w:t>
      </w:r>
      <w:hyperlink r:id="rId5" w:history="1">
        <w:r w:rsidRPr="00215563">
          <w:rPr>
            <w:rStyle w:val="Hyperlink"/>
            <w:szCs w:val="18"/>
          </w:rPr>
          <w:t>https://www.ebs.tga.gov.au/ebs/picmi/picmirepository.nsf/pdf?OpenAgent&amp;id=CP-2010-PI-03175-3</w:t>
        </w:r>
      </w:hyperlink>
    </w:p>
  </w:footnote>
  <w:footnote w:id="12">
    <w:p w14:paraId="5803994F" w14:textId="12FA6CBF" w:rsidR="00C91779" w:rsidRPr="00215563" w:rsidRDefault="00C91779" w:rsidP="00215563">
      <w:pPr>
        <w:pStyle w:val="FootnoteText"/>
        <w:ind w:right="-29"/>
        <w:rPr>
          <w:noProof/>
          <w:szCs w:val="18"/>
        </w:rPr>
      </w:pPr>
      <w:r w:rsidRPr="00215563">
        <w:rPr>
          <w:rStyle w:val="FootnoteReference"/>
          <w:szCs w:val="18"/>
        </w:rPr>
        <w:footnoteRef/>
      </w:r>
      <w:r w:rsidRPr="00215563">
        <w:rPr>
          <w:rStyle w:val="FootnoteReference"/>
          <w:szCs w:val="18"/>
        </w:rPr>
        <w:t xml:space="preserve"> </w:t>
      </w:r>
      <w:r w:rsidRPr="00215563">
        <w:rPr>
          <w:noProof/>
          <w:szCs w:val="18"/>
        </w:rPr>
        <w:t>Takeda Pharmaceuticals Australia Pty Ltd, Product Information: VYVANSE (Lisdexamfetamine dimesilate)) tablets. Approved 22 July 2013. Most recent amendment 29 October 2020. Accessed on: 16 April 2021.</w:t>
      </w:r>
    </w:p>
    <w:p w14:paraId="19DA2881" w14:textId="3EF4D947" w:rsidR="00C91779" w:rsidRPr="00215563" w:rsidRDefault="009A1F44" w:rsidP="00215563">
      <w:pPr>
        <w:pStyle w:val="FootnoteText"/>
        <w:ind w:right="-29"/>
        <w:rPr>
          <w:noProof/>
          <w:szCs w:val="18"/>
        </w:rPr>
      </w:pPr>
      <w:hyperlink r:id="rId6" w:history="1">
        <w:r w:rsidR="00C91779" w:rsidRPr="00215563">
          <w:rPr>
            <w:rStyle w:val="Hyperlink"/>
            <w:noProof/>
            <w:szCs w:val="18"/>
          </w:rPr>
          <w:t>https://www.ebs.tga.gov.au/ebs/picmi/picmirepository.nsf/PICMI?OpenForm&amp;t=&amp;q=lisdexamfetamine</w:t>
        </w:r>
      </w:hyperlink>
    </w:p>
  </w:footnote>
  <w:footnote w:id="13">
    <w:p w14:paraId="2CF60F32" w14:textId="66D10C91" w:rsidR="00C91779" w:rsidRPr="00215563" w:rsidRDefault="00C91779" w:rsidP="00215563">
      <w:pPr>
        <w:pStyle w:val="FootnoteText"/>
        <w:ind w:right="-29"/>
        <w:rPr>
          <w:szCs w:val="18"/>
        </w:rPr>
      </w:pPr>
      <w:r w:rsidRPr="00215563">
        <w:rPr>
          <w:rStyle w:val="FootnoteReference"/>
          <w:szCs w:val="18"/>
        </w:rPr>
        <w:footnoteRef/>
      </w:r>
      <w:r w:rsidRPr="00215563">
        <w:rPr>
          <w:szCs w:val="18"/>
        </w:rPr>
        <w:t xml:space="preserve"> </w:t>
      </w:r>
      <w:r w:rsidRPr="00215563">
        <w:rPr>
          <w:noProof/>
          <w:szCs w:val="18"/>
        </w:rPr>
        <w:t xml:space="preserve">Eli Lilly Australia Pty Limited (2018), Product Information: STRATERA® (atomoxetine hydrochloride). Approved 27 January 2004. Most recent amendment 06 May 2020. Accessed on: 13 April 2021, at: </w:t>
      </w:r>
      <w:hyperlink r:id="rId7" w:history="1">
        <w:r w:rsidRPr="00215563">
          <w:rPr>
            <w:rStyle w:val="Hyperlink"/>
            <w:szCs w:val="18"/>
          </w:rPr>
          <w:t>https://www.ebs.tga.gov.au/ebs/picmi/picmirepository.nsf/pdf?OpenAgent&amp;id=CP-2010-PI-04269-3</w:t>
        </w:r>
      </w:hyperlink>
      <w:r w:rsidRPr="00215563">
        <w:rPr>
          <w:rStyle w:val="Hyperlink"/>
          <w:szCs w:val="18"/>
        </w:rPr>
        <w:t xml:space="preserve"> </w:t>
      </w:r>
    </w:p>
  </w:footnote>
  <w:footnote w:id="14">
    <w:p w14:paraId="526E06AE" w14:textId="531C1332" w:rsidR="00C91779" w:rsidRPr="00215563" w:rsidRDefault="00C91779" w:rsidP="00215563">
      <w:pPr>
        <w:pStyle w:val="FootnoteText"/>
        <w:ind w:right="-29"/>
        <w:rPr>
          <w:szCs w:val="18"/>
        </w:rPr>
      </w:pPr>
      <w:r w:rsidRPr="00215563">
        <w:rPr>
          <w:rStyle w:val="FootnoteReference"/>
          <w:szCs w:val="18"/>
        </w:rPr>
        <w:footnoteRef/>
      </w:r>
      <w:r w:rsidRPr="00215563">
        <w:rPr>
          <w:szCs w:val="18"/>
        </w:rPr>
        <w:t xml:space="preserve"> Clonidine product information. ttps://www.ebs.tga.gov.au/ebs/picmi/picmirepository.nsf/PICMI?OpenForm&amp;t=&amp;q=clonidine</w:t>
      </w:r>
    </w:p>
  </w:footnote>
  <w:footnote w:id="15">
    <w:p w14:paraId="24593A2A" w14:textId="6A6D389F" w:rsidR="00C91779" w:rsidRPr="00215563" w:rsidRDefault="00C91779" w:rsidP="00215563">
      <w:pPr>
        <w:pStyle w:val="FootnoteText"/>
        <w:ind w:right="-29"/>
        <w:rPr>
          <w:szCs w:val="18"/>
        </w:rPr>
      </w:pPr>
      <w:r w:rsidRPr="00215563">
        <w:rPr>
          <w:rStyle w:val="FootnoteReference"/>
          <w:szCs w:val="18"/>
        </w:rPr>
        <w:footnoteRef/>
      </w:r>
      <w:r w:rsidRPr="00215563">
        <w:rPr>
          <w:rStyle w:val="Hyperlink"/>
          <w:szCs w:val="18"/>
        </w:rPr>
        <w:t xml:space="preserve"> Sources: Therapeutic Goods Administration, Australian Register of Therapeutic Goods. Accessed 16 April 2021. Department of Health (2021) Schedule of Pharmaceutical Benefits. Effective 1 April 2021. Accessed 16 April 2021.</w:t>
      </w:r>
    </w:p>
  </w:footnote>
  <w:footnote w:id="16">
    <w:p w14:paraId="4B48A843" w14:textId="0DD03C25" w:rsidR="00C91779" w:rsidRPr="00215563" w:rsidRDefault="00C91779">
      <w:pPr>
        <w:pStyle w:val="FootnoteText"/>
        <w:rPr>
          <w:szCs w:val="18"/>
        </w:rPr>
      </w:pPr>
      <w:r w:rsidRPr="00215563">
        <w:rPr>
          <w:rStyle w:val="FootnoteReference"/>
          <w:szCs w:val="18"/>
        </w:rPr>
        <w:footnoteRef/>
      </w:r>
      <w:r w:rsidRPr="00215563">
        <w:rPr>
          <w:rStyle w:val="FootnoteReference"/>
          <w:szCs w:val="18"/>
        </w:rPr>
        <w:t xml:space="preserve"> </w:t>
      </w:r>
      <w:r w:rsidRPr="00215563">
        <w:rPr>
          <w:noProof/>
          <w:szCs w:val="18"/>
        </w:rPr>
        <w:t xml:space="preserve">Therapeutic Goods Administration (2013), Atomoxetine and suicidality in children and adolescents. Accessed on: 09 February 2018, at: </w:t>
      </w:r>
      <w:hyperlink r:id="rId8" w:anchor="atomoxetine" w:history="1">
        <w:r w:rsidRPr="00215563">
          <w:rPr>
            <w:szCs w:val="18"/>
          </w:rPr>
          <w:t>https://www.tga.gov.au/publication-issue/medicines-safety-update-volume-4-number-5-october-2013#atomoxetine</w:t>
        </w:r>
      </w:hyperlink>
    </w:p>
  </w:footnote>
  <w:footnote w:id="17">
    <w:p w14:paraId="574D35D2" w14:textId="2635D377" w:rsidR="00C91779" w:rsidRPr="00215563" w:rsidRDefault="00C91779">
      <w:pPr>
        <w:pStyle w:val="FootnoteText"/>
        <w:rPr>
          <w:szCs w:val="18"/>
        </w:rPr>
      </w:pPr>
      <w:r w:rsidRPr="00215563">
        <w:rPr>
          <w:rStyle w:val="FootnoteReference"/>
          <w:szCs w:val="18"/>
        </w:rPr>
        <w:footnoteRef/>
      </w:r>
      <w:r w:rsidRPr="00215563">
        <w:rPr>
          <w:rStyle w:val="FootnoteReference"/>
          <w:szCs w:val="18"/>
        </w:rPr>
        <w:t xml:space="preserve"> </w:t>
      </w:r>
      <w:r w:rsidRPr="00215563">
        <w:rPr>
          <w:noProof/>
          <w:szCs w:val="18"/>
        </w:rPr>
        <w:t xml:space="preserve">Therapeutic Goods Administration (2011), Atomoxetine (STRATTERA) - risk of increased blood pressure and/or heart rate.  Accessed on 16 April 2021, at </w:t>
      </w:r>
      <w:hyperlink r:id="rId9" w:history="1">
        <w:r w:rsidRPr="00215563">
          <w:rPr>
            <w:rStyle w:val="Hyperlink"/>
            <w:noProof/>
            <w:szCs w:val="18"/>
          </w:rPr>
          <w:t>https://www.tga.gov.au/alert/atomoxetine-strattera-risk-increased-blood-pressure-andor-heart-rate</w:t>
        </w:r>
      </w:hyperlink>
    </w:p>
  </w:footnote>
  <w:footnote w:id="18">
    <w:p w14:paraId="68D096AA" w14:textId="7C93670E" w:rsidR="00C91779" w:rsidRPr="00215563" w:rsidRDefault="00C91779">
      <w:pPr>
        <w:pStyle w:val="FootnoteText"/>
        <w:rPr>
          <w:szCs w:val="18"/>
        </w:rPr>
      </w:pPr>
      <w:r w:rsidRPr="00215563">
        <w:rPr>
          <w:rStyle w:val="FootnoteReference"/>
          <w:szCs w:val="18"/>
        </w:rPr>
        <w:footnoteRef/>
      </w:r>
      <w:r w:rsidRPr="00215563">
        <w:rPr>
          <w:szCs w:val="18"/>
        </w:rPr>
        <w:t xml:space="preserve"> </w:t>
      </w:r>
      <w:r w:rsidRPr="00215563">
        <w:rPr>
          <w:noProof/>
          <w:szCs w:val="18"/>
        </w:rPr>
        <w:t xml:space="preserve">Therapeutic Goods Administration (2013), Atomoxetine and suicidality in children and adolescents. Accessed on: 16 April 2021, at: </w:t>
      </w:r>
      <w:hyperlink r:id="rId10" w:anchor="atomoxetine" w:history="1">
        <w:r w:rsidRPr="00215563">
          <w:rPr>
            <w:rStyle w:val="Hyperlink"/>
            <w:noProof/>
            <w:szCs w:val="18"/>
          </w:rPr>
          <w:t>https://www.tga.gov.au/publication-issue/medicines-safety-update-volume-4-number-5-october-2013#atomoxetine</w:t>
        </w:r>
      </w:hyperlink>
    </w:p>
  </w:footnote>
  <w:footnote w:id="19">
    <w:p w14:paraId="49EBAF0A" w14:textId="6F8CDC22" w:rsidR="00C91779" w:rsidRPr="00215563" w:rsidRDefault="00C91779">
      <w:pPr>
        <w:pStyle w:val="FootnoteText"/>
        <w:rPr>
          <w:szCs w:val="18"/>
        </w:rPr>
      </w:pPr>
      <w:r w:rsidRPr="00215563">
        <w:rPr>
          <w:rStyle w:val="FootnoteReference"/>
          <w:szCs w:val="18"/>
        </w:rPr>
        <w:footnoteRef/>
      </w:r>
      <w:r w:rsidRPr="00215563">
        <w:rPr>
          <w:szCs w:val="18"/>
        </w:rPr>
        <w:t xml:space="preserve"> </w:t>
      </w:r>
      <w:r w:rsidRPr="00215563">
        <w:rPr>
          <w:noProof/>
          <w:szCs w:val="18"/>
        </w:rPr>
        <w:t xml:space="preserve">Therapeutic Goods Administration (2014), Methylphenidate and priapism. Accessed on: 16 April 2021, at: </w:t>
      </w:r>
      <w:hyperlink r:id="rId11" w:anchor="methylphenidate" w:history="1">
        <w:r w:rsidRPr="00215563">
          <w:rPr>
            <w:rStyle w:val="Hyperlink"/>
            <w:noProof/>
            <w:szCs w:val="18"/>
          </w:rPr>
          <w:t>https://www.tga.gov.au/publication-issue/medicines-safety-update-volume-5-number-5-october-2014-0#methylphenidate</w:t>
        </w:r>
      </w:hyperlink>
    </w:p>
  </w:footnote>
  <w:footnote w:id="20">
    <w:p w14:paraId="3506BD88" w14:textId="2CE370BA" w:rsidR="00C91779" w:rsidRPr="00215563" w:rsidRDefault="00C91779">
      <w:pPr>
        <w:pStyle w:val="FootnoteText"/>
        <w:rPr>
          <w:szCs w:val="18"/>
        </w:rPr>
      </w:pPr>
      <w:r w:rsidRPr="00215563">
        <w:rPr>
          <w:rStyle w:val="FootnoteReference"/>
          <w:szCs w:val="18"/>
        </w:rPr>
        <w:footnoteRef/>
      </w:r>
      <w:r w:rsidRPr="00215563">
        <w:rPr>
          <w:szCs w:val="18"/>
        </w:rPr>
        <w:t xml:space="preserve"> Schedule of Pharmaceutical Benefits (Volume 1 – General Schedule). Accessed on: 15 April 2021 </w:t>
      </w:r>
      <w:hyperlink r:id="rId12" w:history="1">
        <w:r w:rsidRPr="00215563">
          <w:rPr>
            <w:noProof/>
            <w:szCs w:val="18"/>
          </w:rPr>
          <w:t>https://www.pbs.gov.au/publication/schedule/2021/04/2021-04-01-general-volume-1.pdf</w:t>
        </w:r>
      </w:hyperlink>
      <w:r w:rsidRPr="00215563">
        <w:rPr>
          <w:szCs w:val="18"/>
        </w:rPr>
        <w:t xml:space="preserve"> p.879</w:t>
      </w:r>
    </w:p>
  </w:footnote>
  <w:footnote w:id="21">
    <w:p w14:paraId="40B869D5" w14:textId="7F941CBF" w:rsidR="00C91779" w:rsidRPr="00215563" w:rsidRDefault="00C91779">
      <w:pPr>
        <w:pStyle w:val="FootnoteText"/>
        <w:rPr>
          <w:szCs w:val="18"/>
        </w:rPr>
      </w:pPr>
      <w:r w:rsidRPr="00215563">
        <w:rPr>
          <w:rStyle w:val="FootnoteReference"/>
          <w:szCs w:val="18"/>
        </w:rPr>
        <w:footnoteRef/>
      </w:r>
      <w:r w:rsidRPr="00215563">
        <w:rPr>
          <w:szCs w:val="18"/>
        </w:rPr>
        <w:t xml:space="preserve"> https://www.pbs.gov.au/industry/listing/elements/pbac-meetings/psd/2017-07/files/guanfacine-hydrochloride-psd-%20july-2017.pdf</w:t>
      </w:r>
    </w:p>
  </w:footnote>
  <w:footnote w:id="22">
    <w:p w14:paraId="36D58901" w14:textId="69FF480F" w:rsidR="00C91779" w:rsidRPr="001D105D" w:rsidRDefault="00C91779">
      <w:pPr>
        <w:pStyle w:val="FootnoteText"/>
      </w:pPr>
      <w:r w:rsidRPr="001D105D">
        <w:rPr>
          <w:rStyle w:val="FootnoteReference"/>
        </w:rPr>
        <w:footnoteRef/>
      </w:r>
      <w:r w:rsidRPr="001D105D">
        <w:t xml:space="preserve"> https://www.pbs.gov.au/industry/listing/elements/pbac-meetings/psd/2018-07/files/guanfacine-psd-july-2018.pdf</w:t>
      </w:r>
    </w:p>
  </w:footnote>
  <w:footnote w:id="23">
    <w:p w14:paraId="6AE40846" w14:textId="77777777" w:rsidR="00C91779" w:rsidRPr="00215563" w:rsidRDefault="00C91779" w:rsidP="00834269">
      <w:pPr>
        <w:pStyle w:val="EndnoteText"/>
        <w:rPr>
          <w:sz w:val="18"/>
          <w:szCs w:val="18"/>
        </w:rPr>
      </w:pPr>
      <w:r w:rsidRPr="00215563">
        <w:rPr>
          <w:rStyle w:val="FootnoteReference"/>
          <w:sz w:val="18"/>
          <w:szCs w:val="18"/>
        </w:rPr>
        <w:footnoteRef/>
      </w:r>
      <w:r w:rsidRPr="00215563">
        <w:rPr>
          <w:sz w:val="18"/>
          <w:szCs w:val="18"/>
        </w:rPr>
        <w:t xml:space="preserve"> Drug Utilisation Sub-Committee. DUSC Predicted versus Actual analysis of atomoxetine. Canberra: Australian Department of Health: 2010. Unpublished.</w:t>
      </w:r>
    </w:p>
  </w:footnote>
  <w:footnote w:id="24">
    <w:p w14:paraId="491E5692" w14:textId="77777777" w:rsidR="00C91779" w:rsidRPr="00D434BC" w:rsidRDefault="00C91779" w:rsidP="00DF7719">
      <w:pPr>
        <w:pStyle w:val="EndnoteText"/>
        <w:rPr>
          <w:sz w:val="16"/>
          <w:szCs w:val="16"/>
          <w:highlight w:val="green"/>
        </w:rPr>
      </w:pPr>
      <w:r w:rsidRPr="00215563">
        <w:rPr>
          <w:rStyle w:val="FootnoteReference"/>
          <w:sz w:val="18"/>
          <w:szCs w:val="18"/>
        </w:rPr>
        <w:footnoteRef/>
      </w:r>
      <w:r w:rsidRPr="00215563">
        <w:rPr>
          <w:sz w:val="18"/>
          <w:szCs w:val="18"/>
        </w:rPr>
        <w:t xml:space="preserve"> Drug Utilisation Sub-Committee. DUSC Reviews of ADHD Drugs June and October 2012. Canberra: Australian Department of Health: 2010. Unpublished.</w:t>
      </w:r>
    </w:p>
  </w:footnote>
  <w:footnote w:id="25">
    <w:p w14:paraId="6BFC2826" w14:textId="1583477A" w:rsidR="00C91779" w:rsidRPr="00215563" w:rsidRDefault="00C91779" w:rsidP="009D78DB">
      <w:pPr>
        <w:pStyle w:val="EndnoteText"/>
        <w:rPr>
          <w:sz w:val="18"/>
          <w:szCs w:val="18"/>
        </w:rPr>
      </w:pPr>
      <w:r w:rsidRPr="00215563">
        <w:rPr>
          <w:rStyle w:val="FootnoteReference"/>
          <w:sz w:val="18"/>
          <w:szCs w:val="18"/>
        </w:rPr>
        <w:footnoteRef/>
      </w:r>
      <w:r w:rsidRPr="00215563">
        <w:rPr>
          <w:sz w:val="18"/>
          <w:szCs w:val="18"/>
        </w:rPr>
        <w:t xml:space="preserve"> Drug Utilisation Sub-Committee. ADHD Utilisation Analysis October 2015. Canberra: Australian Department of Health. Accessed on 25 March 2021, at: </w:t>
      </w:r>
      <w:hyperlink r:id="rId13" w:history="1">
        <w:r w:rsidRPr="00215563">
          <w:rPr>
            <w:rStyle w:val="Hyperlink"/>
            <w:sz w:val="18"/>
            <w:szCs w:val="18"/>
          </w:rPr>
          <w:t>http://www.pbs.gov.au/pbs/industry/listing/participants/public-release-docs/2015-06/attention-deficit-hyperactivity-disorder-2015-06-prd</w:t>
        </w:r>
      </w:hyperlink>
    </w:p>
  </w:footnote>
  <w:footnote w:id="26">
    <w:p w14:paraId="2010B3F2" w14:textId="0DDE5553" w:rsidR="00C91779" w:rsidRPr="00215563" w:rsidRDefault="00C91779">
      <w:pPr>
        <w:pStyle w:val="FootnoteText"/>
        <w:rPr>
          <w:szCs w:val="18"/>
        </w:rPr>
      </w:pPr>
      <w:r w:rsidRPr="00215563">
        <w:rPr>
          <w:rStyle w:val="FootnoteReference"/>
          <w:szCs w:val="18"/>
        </w:rPr>
        <w:footnoteRef/>
      </w:r>
      <w:r w:rsidRPr="00215563">
        <w:rPr>
          <w:rStyle w:val="FootnoteReference"/>
          <w:szCs w:val="18"/>
        </w:rPr>
        <w:t xml:space="preserve"> </w:t>
      </w:r>
      <w:r w:rsidRPr="00215563">
        <w:rPr>
          <w:szCs w:val="18"/>
        </w:rPr>
        <w:t xml:space="preserve">Drug Utilisation Sub-Committee. ADHD Utilisation Analysis May 2018. Canberra: Australian Department of Health. Accessed on 25 March 2021, at: </w:t>
      </w:r>
      <w:hyperlink r:id="rId14" w:history="1">
        <w:r w:rsidRPr="00215563">
          <w:rPr>
            <w:rStyle w:val="Hyperlink"/>
            <w:szCs w:val="18"/>
          </w:rPr>
          <w:t>https://www.pbs.gov.au/pbs/industry/listing/participants/public-release-docs/2018-05/attention-deficit-hyperactivity-disorder</w:t>
        </w:r>
      </w:hyperlink>
    </w:p>
  </w:footnote>
  <w:footnote w:id="27">
    <w:p w14:paraId="502492CB" w14:textId="77777777" w:rsidR="00C91779" w:rsidRDefault="00C91779" w:rsidP="0089286B">
      <w:pPr>
        <w:pStyle w:val="FootnoteText"/>
      </w:pPr>
      <w:r>
        <w:rPr>
          <w:rStyle w:val="FootnoteReference"/>
        </w:rPr>
        <w:footnoteRef/>
      </w:r>
      <w:r>
        <w:t xml:space="preserve"> </w:t>
      </w:r>
      <w:proofErr w:type="spellStart"/>
      <w:r w:rsidRPr="008B1430">
        <w:t>Sayal</w:t>
      </w:r>
      <w:proofErr w:type="spellEnd"/>
      <w:r w:rsidRPr="008B1430">
        <w:t xml:space="preserve"> K, Prasad V, Daley D, Ford T, Coghill D. ADHD in children and young people: prevalence, care pathways, and service provision. Lancet Psychiatry. 2018 Feb;5(2):175-186. </w:t>
      </w:r>
      <w:proofErr w:type="spellStart"/>
      <w:r w:rsidRPr="008B1430">
        <w:t>doi</w:t>
      </w:r>
      <w:proofErr w:type="spellEnd"/>
      <w:r w:rsidRPr="008B1430">
        <w:t xml:space="preserve">: 10.1016/S2215-0366(17)30167-0. </w:t>
      </w:r>
      <w:proofErr w:type="spellStart"/>
      <w:r w:rsidRPr="008B1430">
        <w:t>Epub</w:t>
      </w:r>
      <w:proofErr w:type="spellEnd"/>
      <w:r w:rsidRPr="008B1430">
        <w:t xml:space="preserve"> 2017 Oct 9. PMID: 29033005.</w:t>
      </w:r>
    </w:p>
  </w:footnote>
  <w:footnote w:id="28">
    <w:p w14:paraId="262046BF" w14:textId="77777777" w:rsidR="00C91779" w:rsidRDefault="00C91779" w:rsidP="0089286B">
      <w:pPr>
        <w:pStyle w:val="FootnoteText"/>
      </w:pPr>
      <w:r>
        <w:rPr>
          <w:rStyle w:val="FootnoteReference"/>
        </w:rPr>
        <w:footnoteRef/>
      </w:r>
      <w:r>
        <w:t xml:space="preserve"> </w:t>
      </w:r>
      <w:proofErr w:type="spellStart"/>
      <w:r w:rsidRPr="00BE6295">
        <w:t>Kazda</w:t>
      </w:r>
      <w:proofErr w:type="spellEnd"/>
      <w:r w:rsidRPr="00BE6295">
        <w:t xml:space="preserve"> L, Bell K, Thomas R, </w:t>
      </w:r>
      <w:proofErr w:type="spellStart"/>
      <w:r w:rsidRPr="00BE6295">
        <w:t>McGeechan</w:t>
      </w:r>
      <w:proofErr w:type="spellEnd"/>
      <w:r w:rsidRPr="00BE6295">
        <w:t xml:space="preserve"> K, Sims R, Barratt A. Overdiagnosis of Attention-Deficit/Hyperactivity Disorder in Children and Adolescents: A Systematic Scoping Review. JAMA </w:t>
      </w:r>
      <w:proofErr w:type="spellStart"/>
      <w:r w:rsidRPr="00BE6295">
        <w:t>Netw</w:t>
      </w:r>
      <w:proofErr w:type="spellEnd"/>
      <w:r w:rsidRPr="00BE6295">
        <w:t xml:space="preserve"> Open. 2021;4(4</w:t>
      </w:r>
      <w:proofErr w:type="gramStart"/>
      <w:r w:rsidRPr="00BE6295">
        <w:t>):e</w:t>
      </w:r>
      <w:proofErr w:type="gramEnd"/>
      <w:r w:rsidRPr="00BE6295">
        <w:t>215335. doi:10.1001/jamanetworkopen.2021.5335</w:t>
      </w:r>
    </w:p>
  </w:footnote>
  <w:footnote w:id="29">
    <w:p w14:paraId="228E703C" w14:textId="77777777" w:rsidR="00C91779" w:rsidRPr="00764B09" w:rsidRDefault="00C91779" w:rsidP="00684D77">
      <w:pPr>
        <w:pStyle w:val="FootnoteText"/>
        <w:rPr>
          <w:sz w:val="16"/>
          <w:szCs w:val="16"/>
        </w:rPr>
      </w:pPr>
      <w:r w:rsidRPr="00764B09">
        <w:rPr>
          <w:rStyle w:val="FootnoteReference"/>
          <w:sz w:val="16"/>
          <w:szCs w:val="16"/>
        </w:rPr>
        <w:footnoteRef/>
      </w:r>
      <w:r w:rsidRPr="00764B09">
        <w:rPr>
          <w:sz w:val="16"/>
          <w:szCs w:val="16"/>
        </w:rPr>
        <w:t xml:space="preserve"> </w:t>
      </w:r>
      <w:r w:rsidRPr="00764B09">
        <w:rPr>
          <w:noProof/>
          <w:sz w:val="16"/>
          <w:szCs w:val="16"/>
        </w:rPr>
        <w:t xml:space="preserve">Department of Health (2005), March 2005 PBAC Outcomes - Positive Recommendations. Accessed on: </w:t>
      </w:r>
      <w:r>
        <w:rPr>
          <w:noProof/>
          <w:sz w:val="16"/>
          <w:szCs w:val="16"/>
        </w:rPr>
        <w:t xml:space="preserve">27 February </w:t>
      </w:r>
      <w:r w:rsidRPr="00E264AF">
        <w:rPr>
          <w:noProof/>
          <w:sz w:val="16"/>
          <w:szCs w:val="16"/>
        </w:rPr>
        <w:t>2018</w:t>
      </w:r>
      <w:r w:rsidRPr="00764B09">
        <w:rPr>
          <w:noProof/>
          <w:sz w:val="16"/>
          <w:szCs w:val="16"/>
        </w:rPr>
        <w:t xml:space="preserve">, at: </w:t>
      </w:r>
      <w:hyperlink r:id="rId15" w:history="1">
        <w:r w:rsidRPr="00764B09">
          <w:rPr>
            <w:rStyle w:val="Hyperlink"/>
            <w:noProof/>
            <w:sz w:val="16"/>
            <w:szCs w:val="16"/>
          </w:rPr>
          <w:t>http://www.pbs.gov.au/info/industry/listing/elements/pbac-meetings/pbac-outcomes/2005-03/positive-recommendations</w:t>
        </w:r>
      </w:hyperlink>
    </w:p>
  </w:footnote>
  <w:footnote w:id="30">
    <w:p w14:paraId="4D746984" w14:textId="77777777" w:rsidR="00C91779" w:rsidRPr="00764B09" w:rsidRDefault="00C91779" w:rsidP="00684D77">
      <w:pPr>
        <w:pStyle w:val="FootnoteText"/>
        <w:rPr>
          <w:sz w:val="16"/>
          <w:szCs w:val="16"/>
        </w:rPr>
      </w:pPr>
      <w:r w:rsidRPr="00764B09">
        <w:rPr>
          <w:rStyle w:val="FootnoteReference"/>
          <w:sz w:val="16"/>
          <w:szCs w:val="16"/>
        </w:rPr>
        <w:footnoteRef/>
      </w:r>
      <w:r w:rsidRPr="00764B09">
        <w:rPr>
          <w:sz w:val="16"/>
          <w:szCs w:val="16"/>
        </w:rPr>
        <w:t xml:space="preserve"> </w:t>
      </w:r>
      <w:r w:rsidRPr="00764B09">
        <w:rPr>
          <w:noProof/>
          <w:sz w:val="16"/>
          <w:szCs w:val="16"/>
        </w:rPr>
        <w:t xml:space="preserve">Department of Health (2007), PBAC Meetings Public Summary Documents: Methylphenidate Hydrochloride, extended release tablets, 18 mg, 36 mg and 54 mg, Concerta November 2006. Accessed on: </w:t>
      </w:r>
      <w:r>
        <w:rPr>
          <w:noProof/>
          <w:sz w:val="16"/>
          <w:szCs w:val="16"/>
        </w:rPr>
        <w:t xml:space="preserve">27 February </w:t>
      </w:r>
      <w:r w:rsidRPr="00E264AF">
        <w:rPr>
          <w:noProof/>
          <w:sz w:val="16"/>
          <w:szCs w:val="16"/>
        </w:rPr>
        <w:t>2018</w:t>
      </w:r>
      <w:r w:rsidRPr="00764B09">
        <w:rPr>
          <w:noProof/>
          <w:sz w:val="16"/>
          <w:szCs w:val="16"/>
        </w:rPr>
        <w:t xml:space="preserve">, at: </w:t>
      </w:r>
      <w:hyperlink r:id="rId16" w:history="1">
        <w:r w:rsidRPr="00764B09">
          <w:rPr>
            <w:rStyle w:val="Hyperlink"/>
            <w:noProof/>
            <w:sz w:val="16"/>
            <w:szCs w:val="16"/>
          </w:rPr>
          <w:t>http://www.pbs.gov.au/info/industry/listing/elements/pbac-meetings/psd/2006-11/pbac-psd-methylphenidate-nov06</w:t>
        </w:r>
      </w:hyperlink>
    </w:p>
  </w:footnote>
  <w:footnote w:id="31">
    <w:p w14:paraId="0600BDE1" w14:textId="77777777" w:rsidR="00C91779" w:rsidRPr="00764B09" w:rsidRDefault="00C91779" w:rsidP="00684D77">
      <w:pPr>
        <w:pStyle w:val="FootnoteText"/>
        <w:rPr>
          <w:sz w:val="16"/>
          <w:szCs w:val="16"/>
        </w:rPr>
      </w:pPr>
      <w:r w:rsidRPr="00764B09">
        <w:rPr>
          <w:rStyle w:val="FootnoteReference"/>
          <w:sz w:val="16"/>
          <w:szCs w:val="16"/>
        </w:rPr>
        <w:footnoteRef/>
      </w:r>
      <w:r w:rsidRPr="00764B09">
        <w:rPr>
          <w:sz w:val="16"/>
          <w:szCs w:val="16"/>
        </w:rPr>
        <w:t xml:space="preserve"> </w:t>
      </w:r>
      <w:r w:rsidRPr="00764B09">
        <w:rPr>
          <w:noProof/>
          <w:sz w:val="16"/>
          <w:szCs w:val="16"/>
        </w:rPr>
        <w:t xml:space="preserve">Department of Health (2012), PBAC Meetings Public Summary Documents: Methylphenidate hydrochloride, Tablets, 18 mg, 27 mg, 36 mg, and 54 mg,(extended release) Concerta® - July 2012 Accessed on: </w:t>
      </w:r>
      <w:r>
        <w:rPr>
          <w:noProof/>
          <w:sz w:val="16"/>
          <w:szCs w:val="16"/>
        </w:rPr>
        <w:t xml:space="preserve">27 February </w:t>
      </w:r>
      <w:r w:rsidRPr="00E264AF">
        <w:rPr>
          <w:noProof/>
          <w:sz w:val="16"/>
          <w:szCs w:val="16"/>
        </w:rPr>
        <w:t>2018</w:t>
      </w:r>
      <w:r w:rsidRPr="00764B09">
        <w:rPr>
          <w:noProof/>
          <w:sz w:val="16"/>
          <w:szCs w:val="16"/>
        </w:rPr>
        <w:t xml:space="preserve">, at: </w:t>
      </w:r>
      <w:hyperlink r:id="rId17" w:history="1">
        <w:r w:rsidRPr="00764B09">
          <w:rPr>
            <w:rStyle w:val="Hyperlink"/>
            <w:noProof/>
            <w:sz w:val="16"/>
            <w:szCs w:val="16"/>
          </w:rPr>
          <w:t>http://www.pbs.gov.au/info/industry/listing/elements/pbac-meetings/psd/2012-07/methylphenidate-hydrochloride</w:t>
        </w:r>
      </w:hyperlink>
    </w:p>
  </w:footnote>
  <w:footnote w:id="32">
    <w:p w14:paraId="65811ACE" w14:textId="77777777" w:rsidR="00C91779" w:rsidRPr="00764B09" w:rsidRDefault="00C91779" w:rsidP="007B5D2F">
      <w:pPr>
        <w:pStyle w:val="EndnoteText"/>
        <w:rPr>
          <w:sz w:val="16"/>
          <w:szCs w:val="16"/>
        </w:rPr>
      </w:pPr>
      <w:r w:rsidRPr="00764B09">
        <w:rPr>
          <w:rStyle w:val="FootnoteReference"/>
          <w:sz w:val="16"/>
          <w:szCs w:val="16"/>
        </w:rPr>
        <w:footnoteRef/>
      </w:r>
      <w:r w:rsidRPr="00764B09">
        <w:rPr>
          <w:sz w:val="16"/>
          <w:szCs w:val="16"/>
        </w:rPr>
        <w:t xml:space="preserve"> </w:t>
      </w:r>
      <w:r w:rsidRPr="00764B09">
        <w:rPr>
          <w:noProof/>
          <w:sz w:val="16"/>
          <w:szCs w:val="16"/>
        </w:rPr>
        <w:t xml:space="preserve">Department of Health (2007), November 2007 PBAC Outcomes - Positive Recommendations. Accessed on: </w:t>
      </w:r>
      <w:r>
        <w:rPr>
          <w:noProof/>
          <w:sz w:val="16"/>
          <w:szCs w:val="16"/>
        </w:rPr>
        <w:t xml:space="preserve">27 February </w:t>
      </w:r>
      <w:r w:rsidRPr="00E264AF">
        <w:rPr>
          <w:noProof/>
          <w:sz w:val="16"/>
          <w:szCs w:val="16"/>
        </w:rPr>
        <w:t>2018</w:t>
      </w:r>
      <w:r w:rsidRPr="00764B09">
        <w:rPr>
          <w:noProof/>
          <w:sz w:val="16"/>
          <w:szCs w:val="16"/>
        </w:rPr>
        <w:t xml:space="preserve">, at: </w:t>
      </w:r>
      <w:hyperlink r:id="rId18" w:history="1">
        <w:r w:rsidRPr="00764B09">
          <w:rPr>
            <w:rStyle w:val="Hyperlink"/>
            <w:noProof/>
            <w:sz w:val="16"/>
            <w:szCs w:val="16"/>
          </w:rPr>
          <w:t>http://www.pbs.gov.au/info/industry/listing/elements/pbac-meetings/pbac-outcomes/2007-11/positive-recommendations</w:t>
        </w:r>
      </w:hyperlink>
    </w:p>
  </w:footnote>
  <w:footnote w:id="33">
    <w:p w14:paraId="05AF1DA9" w14:textId="2550128D" w:rsidR="00C91779" w:rsidRDefault="00C91779">
      <w:pPr>
        <w:pStyle w:val="FootnoteText"/>
      </w:pPr>
      <w:r>
        <w:rPr>
          <w:rStyle w:val="FootnoteReference"/>
        </w:rPr>
        <w:footnoteRef/>
      </w:r>
      <w:r>
        <w:t xml:space="preserve"> </w:t>
      </w:r>
      <w:r w:rsidRPr="00686028">
        <w:t>https://www.pbs.gov.au/pbs/industry/listing/elements/pbac-meetings/psd/2020-03/methylphenidate-capsule-containing-methylphenidate</w:t>
      </w:r>
    </w:p>
  </w:footnote>
  <w:footnote w:id="34">
    <w:p w14:paraId="24EE4846" w14:textId="6432A544" w:rsidR="00C91779" w:rsidRDefault="00C91779" w:rsidP="00684D77">
      <w:pPr>
        <w:pStyle w:val="FootnoteText"/>
      </w:pPr>
      <w:r w:rsidRPr="00764B09">
        <w:rPr>
          <w:rStyle w:val="FootnoteReference"/>
          <w:sz w:val="16"/>
          <w:szCs w:val="16"/>
        </w:rPr>
        <w:footnoteRef/>
      </w:r>
      <w:r w:rsidRPr="00764B09">
        <w:rPr>
          <w:sz w:val="16"/>
          <w:szCs w:val="16"/>
        </w:rPr>
        <w:t xml:space="preserve"> </w:t>
      </w:r>
      <w:r w:rsidRPr="00764B09">
        <w:rPr>
          <w:noProof/>
          <w:sz w:val="16"/>
          <w:szCs w:val="16"/>
        </w:rPr>
        <w:t xml:space="preserve">Department of Health (2007), PBAC Meetings Public Summary Documents: Atomoxetine Hydrochloride, capsules, 10 mg, 18 mg, 25 mg, 40 mg and 60 mg, Strattera® November 2006. Accessed on: </w:t>
      </w:r>
      <w:r>
        <w:rPr>
          <w:noProof/>
          <w:sz w:val="16"/>
          <w:szCs w:val="16"/>
        </w:rPr>
        <w:t xml:space="preserve">15 April </w:t>
      </w:r>
      <w:r w:rsidRPr="00E264AF">
        <w:rPr>
          <w:noProof/>
          <w:sz w:val="16"/>
          <w:szCs w:val="16"/>
        </w:rPr>
        <w:t>20</w:t>
      </w:r>
      <w:r>
        <w:rPr>
          <w:noProof/>
          <w:sz w:val="16"/>
          <w:szCs w:val="16"/>
        </w:rPr>
        <w:t>21</w:t>
      </w:r>
      <w:r w:rsidRPr="00764B09">
        <w:rPr>
          <w:noProof/>
          <w:sz w:val="16"/>
          <w:szCs w:val="16"/>
        </w:rPr>
        <w:t xml:space="preserve">, at: </w:t>
      </w:r>
      <w:hyperlink r:id="rId19" w:history="1">
        <w:r w:rsidRPr="00764B09">
          <w:rPr>
            <w:rStyle w:val="Hyperlink"/>
            <w:noProof/>
            <w:sz w:val="16"/>
            <w:szCs w:val="16"/>
          </w:rPr>
          <w:t>http://www.pbs.gov.au/info/industry/listing/elements/pbac-meetings/psd/2006-11/pbac-psd-atomoxetine-nov06</w:t>
        </w:r>
      </w:hyperlink>
    </w:p>
  </w:footnote>
  <w:footnote w:id="35">
    <w:p w14:paraId="7C5D872A" w14:textId="77777777" w:rsidR="00C91779" w:rsidRDefault="00C91779" w:rsidP="00684D77">
      <w:pPr>
        <w:pStyle w:val="FootnoteText"/>
        <w:rPr>
          <w:noProof/>
          <w:sz w:val="16"/>
          <w:szCs w:val="16"/>
        </w:rPr>
      </w:pPr>
      <w:r w:rsidRPr="00D65739">
        <w:rPr>
          <w:noProof/>
          <w:sz w:val="16"/>
          <w:szCs w:val="16"/>
        </w:rPr>
        <w:t xml:space="preserve">Department of Health (2008), </w:t>
      </w:r>
      <w:r w:rsidRPr="005F4646">
        <w:rPr>
          <w:noProof/>
          <w:sz w:val="16"/>
          <w:szCs w:val="16"/>
        </w:rPr>
        <w:t xml:space="preserve">PBAC Meeting Public Summary Documents: Atomoxetine hydrochloride, capsules, 80 mg and 100 mg, </w:t>
      </w:r>
    </w:p>
    <w:p w14:paraId="64576D6F" w14:textId="3313096E" w:rsidR="00C91779" w:rsidRPr="00D65739" w:rsidRDefault="00C91779" w:rsidP="00684D77">
      <w:pPr>
        <w:pStyle w:val="FootnoteText"/>
        <w:rPr>
          <w:sz w:val="16"/>
          <w:szCs w:val="16"/>
        </w:rPr>
      </w:pPr>
      <w:r w:rsidRPr="00764B09">
        <w:rPr>
          <w:rStyle w:val="FootnoteReference"/>
          <w:sz w:val="16"/>
          <w:szCs w:val="16"/>
        </w:rPr>
        <w:footnoteRef/>
      </w:r>
      <w:r>
        <w:rPr>
          <w:noProof/>
          <w:sz w:val="16"/>
          <w:szCs w:val="16"/>
        </w:rPr>
        <w:t xml:space="preserve"> </w:t>
      </w:r>
      <w:r w:rsidRPr="005F4646">
        <w:rPr>
          <w:noProof/>
          <w:sz w:val="16"/>
          <w:szCs w:val="16"/>
        </w:rPr>
        <w:t xml:space="preserve">Strattera®, July 2008 </w:t>
      </w:r>
      <w:r w:rsidRPr="00D65739">
        <w:rPr>
          <w:noProof/>
          <w:sz w:val="16"/>
          <w:szCs w:val="16"/>
        </w:rPr>
        <w:t xml:space="preserve">Accessed on: 27 February 2018, at: </w:t>
      </w:r>
      <w:hyperlink r:id="rId20" w:history="1">
        <w:r w:rsidRPr="005F4646">
          <w:rPr>
            <w:rStyle w:val="Hyperlink"/>
            <w:noProof/>
            <w:sz w:val="16"/>
            <w:szCs w:val="16"/>
          </w:rPr>
          <w:t>http://www.pbs.gov.au/info/industry/listing/elements/pbac-meetings/psd/2008-07/pbac-psd-atomoxetine-hydrochloride-july08</w:t>
        </w:r>
      </w:hyperlink>
    </w:p>
  </w:footnote>
  <w:footnote w:id="36">
    <w:p w14:paraId="090E2A85" w14:textId="77777777" w:rsidR="00C91779" w:rsidRDefault="00C91779">
      <w:pPr>
        <w:pStyle w:val="FootnoteText"/>
      </w:pPr>
      <w:r w:rsidRPr="00D65739">
        <w:rPr>
          <w:rStyle w:val="FootnoteReference"/>
          <w:sz w:val="16"/>
          <w:szCs w:val="16"/>
        </w:rPr>
        <w:footnoteRef/>
      </w:r>
      <w:r w:rsidRPr="00D65739">
        <w:rPr>
          <w:sz w:val="16"/>
          <w:szCs w:val="16"/>
        </w:rPr>
        <w:t xml:space="preserve"> </w:t>
      </w:r>
      <w:r w:rsidRPr="00D65739">
        <w:rPr>
          <w:noProof/>
          <w:sz w:val="16"/>
          <w:szCs w:val="16"/>
        </w:rPr>
        <w:t xml:space="preserve">Department of Health (2014), March 2014 PBAC Outcomes - Positive Recommendations. Accessed on: 27 February 2018, at: </w:t>
      </w:r>
      <w:hyperlink r:id="rId21" w:history="1">
        <w:r w:rsidRPr="00D65739">
          <w:rPr>
            <w:rStyle w:val="Hyperlink"/>
            <w:sz w:val="16"/>
            <w:szCs w:val="16"/>
          </w:rPr>
          <w:t>http://www.pbs.gov.au/info/industry/listing/elements/pbac-meetings/pbac-outcomes/pbac-recommendations-march-2014</w:t>
        </w:r>
      </w:hyperlink>
    </w:p>
  </w:footnote>
  <w:footnote w:id="37">
    <w:p w14:paraId="1AD05CD1" w14:textId="65E951DE" w:rsidR="00C91779" w:rsidRPr="00495DD1" w:rsidRDefault="00C91779" w:rsidP="00495DD1">
      <w:pPr>
        <w:pStyle w:val="Heading1"/>
        <w:shd w:val="clear" w:color="auto" w:fill="FFFFFF"/>
        <w:spacing w:before="0" w:after="330"/>
      </w:pPr>
      <w:r w:rsidRPr="00495DD1">
        <w:rPr>
          <w:rStyle w:val="FootnoteReference"/>
          <w:rFonts w:eastAsiaTheme="minorEastAsia" w:cstheme="minorBidi"/>
          <w:b w:val="0"/>
          <w:bCs w:val="0"/>
          <w:sz w:val="16"/>
          <w:szCs w:val="16"/>
        </w:rPr>
        <w:footnoteRef/>
      </w:r>
      <w:r>
        <w:t xml:space="preserve"> </w:t>
      </w:r>
      <w:r w:rsidRPr="00495DD1">
        <w:rPr>
          <w:rFonts w:eastAsiaTheme="minorEastAsia" w:cstheme="minorBidi"/>
          <w:b w:val="0"/>
          <w:bCs w:val="0"/>
          <w:noProof/>
          <w:sz w:val="16"/>
          <w:szCs w:val="16"/>
        </w:rPr>
        <w:t>Department of Health (2014), PBAC Meeting Public Summary Document: LISDEXAMFETAMINE DIMESILATE, capsules, 30 mg, 50 mg &amp; 70 mg, Vyvanse®, Shire Australia Pty Ltd</w:t>
      </w:r>
      <w:r>
        <w:rPr>
          <w:rFonts w:eastAsiaTheme="minorEastAsia" w:cstheme="minorBidi"/>
          <w:b w:val="0"/>
          <w:bCs w:val="0"/>
          <w:noProof/>
          <w:sz w:val="16"/>
          <w:szCs w:val="16"/>
        </w:rPr>
        <w:t xml:space="preserve">, July 2014. Accessed on: 16 April 2021, at: </w:t>
      </w:r>
      <w:hyperlink r:id="rId22" w:history="1">
        <w:r w:rsidRPr="00650F11">
          <w:rPr>
            <w:rStyle w:val="Hyperlink"/>
            <w:rFonts w:eastAsiaTheme="minorEastAsia" w:cstheme="minorBidi"/>
            <w:b w:val="0"/>
            <w:bCs w:val="0"/>
            <w:noProof/>
            <w:sz w:val="16"/>
            <w:szCs w:val="16"/>
          </w:rPr>
          <w:t>https://www.pbs.gov.au/pbs/industry/listing/elements/pbac-meetings/psd/2014-07/lisdexamfetamine-dimesilate-psd-07-2014</w:t>
        </w:r>
      </w:hyperlink>
    </w:p>
  </w:footnote>
  <w:footnote w:id="38">
    <w:p w14:paraId="78922354" w14:textId="4CEB9654" w:rsidR="00C91779" w:rsidRDefault="00C91779">
      <w:pPr>
        <w:pStyle w:val="FootnoteText"/>
      </w:pPr>
      <w:r>
        <w:rPr>
          <w:rStyle w:val="FootnoteReference"/>
        </w:rPr>
        <w:footnoteRef/>
      </w:r>
      <w:r>
        <w:t xml:space="preserve"> </w:t>
      </w:r>
      <w:r w:rsidRPr="00686028">
        <w:t>https://www.pbs.gov.au/pbs/industry/listing/elements/pbac-meetings/psd/2019-07/lisdexamfetamine-capsule-containing-lisdexamfetamine-dimesi</w:t>
      </w:r>
    </w:p>
  </w:footnote>
  <w:footnote w:id="39">
    <w:p w14:paraId="01E8A8EA" w14:textId="3978C989" w:rsidR="00C91779" w:rsidRDefault="00C91779">
      <w:pPr>
        <w:pStyle w:val="FootnoteText"/>
      </w:pPr>
      <w:r>
        <w:rPr>
          <w:rStyle w:val="FootnoteReference"/>
        </w:rPr>
        <w:footnoteRef/>
      </w:r>
      <w:r>
        <w:t xml:space="preserve"> </w:t>
      </w:r>
      <w:r w:rsidRPr="00686028">
        <w:t>https://www.pbs.gov.au/pbs/industry/listing/elements/pbac-meetings/psd/2020-03/lisdexamfetamine-capsule-containing-lisdexamfetamine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161E82" w14:textId="77777777" w:rsidR="00C91779" w:rsidRDefault="00C91779" w:rsidP="0027299C">
    <w:pPr>
      <w:pStyle w:val="Header"/>
    </w:pPr>
  </w:p>
  <w:p w14:paraId="119D4795" w14:textId="77777777" w:rsidR="00C91779" w:rsidRDefault="00C917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8014E"/>
    <w:multiLevelType w:val="hybridMultilevel"/>
    <w:tmpl w:val="70DC44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D450AB"/>
    <w:multiLevelType w:val="hybridMultilevel"/>
    <w:tmpl w:val="F148E3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E4661B"/>
    <w:multiLevelType w:val="hybridMultilevel"/>
    <w:tmpl w:val="D046A7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9F590A"/>
    <w:multiLevelType w:val="hybridMultilevel"/>
    <w:tmpl w:val="5C42CF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4417E0"/>
    <w:multiLevelType w:val="hybridMultilevel"/>
    <w:tmpl w:val="25BE4A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0F63650"/>
    <w:multiLevelType w:val="hybridMultilevel"/>
    <w:tmpl w:val="BE9284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1E75F44"/>
    <w:multiLevelType w:val="hybridMultilevel"/>
    <w:tmpl w:val="F900413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7" w15:restartNumberingAfterBreak="0">
    <w:nsid w:val="261C3581"/>
    <w:multiLevelType w:val="hybridMultilevel"/>
    <w:tmpl w:val="C85E62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644236"/>
    <w:multiLevelType w:val="hybridMultilevel"/>
    <w:tmpl w:val="829C3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A5C5543"/>
    <w:multiLevelType w:val="hybridMultilevel"/>
    <w:tmpl w:val="E31412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3B3818"/>
    <w:multiLevelType w:val="multilevel"/>
    <w:tmpl w:val="4FE0A91A"/>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7D52ADD"/>
    <w:multiLevelType w:val="hybridMultilevel"/>
    <w:tmpl w:val="3A30C3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8357F38"/>
    <w:multiLevelType w:val="hybridMultilevel"/>
    <w:tmpl w:val="DC3C87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01B045A"/>
    <w:multiLevelType w:val="hybridMultilevel"/>
    <w:tmpl w:val="3D486C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1F75BDF"/>
    <w:multiLevelType w:val="hybridMultilevel"/>
    <w:tmpl w:val="8880149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5" w15:restartNumberingAfterBreak="0">
    <w:nsid w:val="53227AAA"/>
    <w:multiLevelType w:val="hybridMultilevel"/>
    <w:tmpl w:val="45008E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3907599"/>
    <w:multiLevelType w:val="hybridMultilevel"/>
    <w:tmpl w:val="751657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5974C2D"/>
    <w:multiLevelType w:val="hybridMultilevel"/>
    <w:tmpl w:val="594C40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0E90BBE"/>
    <w:multiLevelType w:val="hybridMultilevel"/>
    <w:tmpl w:val="5B82EDD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70291DF7"/>
    <w:multiLevelType w:val="hybridMultilevel"/>
    <w:tmpl w:val="9376B6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2880EB7"/>
    <w:multiLevelType w:val="hybridMultilevel"/>
    <w:tmpl w:val="811C8C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4675B7D"/>
    <w:multiLevelType w:val="multilevel"/>
    <w:tmpl w:val="32649152"/>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783C65E5"/>
    <w:multiLevelType w:val="hybridMultilevel"/>
    <w:tmpl w:val="895E59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0"/>
  </w:num>
  <w:num w:numId="2">
    <w:abstractNumId w:val="18"/>
  </w:num>
  <w:num w:numId="3">
    <w:abstractNumId w:val="8"/>
  </w:num>
  <w:num w:numId="4">
    <w:abstractNumId w:val="17"/>
  </w:num>
  <w:num w:numId="5">
    <w:abstractNumId w:val="0"/>
  </w:num>
  <w:num w:numId="6">
    <w:abstractNumId w:val="2"/>
  </w:num>
  <w:num w:numId="7">
    <w:abstractNumId w:val="7"/>
  </w:num>
  <w:num w:numId="8">
    <w:abstractNumId w:val="4"/>
  </w:num>
  <w:num w:numId="9">
    <w:abstractNumId w:val="9"/>
  </w:num>
  <w:num w:numId="10">
    <w:abstractNumId w:val="1"/>
  </w:num>
  <w:num w:numId="11">
    <w:abstractNumId w:val="11"/>
  </w:num>
  <w:num w:numId="12">
    <w:abstractNumId w:val="19"/>
  </w:num>
  <w:num w:numId="13">
    <w:abstractNumId w:val="13"/>
  </w:num>
  <w:num w:numId="14">
    <w:abstractNumId w:val="14"/>
  </w:num>
  <w:num w:numId="15">
    <w:abstractNumId w:val="15"/>
  </w:num>
  <w:num w:numId="16">
    <w:abstractNumId w:val="0"/>
  </w:num>
  <w:num w:numId="17">
    <w:abstractNumId w:val="6"/>
  </w:num>
  <w:num w:numId="18">
    <w:abstractNumId w:val="3"/>
  </w:num>
  <w:num w:numId="19">
    <w:abstractNumId w:val="12"/>
  </w:num>
  <w:num w:numId="20">
    <w:abstractNumId w:val="16"/>
  </w:num>
  <w:num w:numId="21">
    <w:abstractNumId w:val="5"/>
  </w:num>
  <w:num w:numId="22">
    <w:abstractNumId w:val="21"/>
  </w:num>
  <w:num w:numId="23">
    <w:abstractNumId w:val="10"/>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041"/>
    <w:rsid w:val="0000180C"/>
    <w:rsid w:val="00004FE9"/>
    <w:rsid w:val="00007379"/>
    <w:rsid w:val="00007BE3"/>
    <w:rsid w:val="00007E85"/>
    <w:rsid w:val="00013465"/>
    <w:rsid w:val="0001598E"/>
    <w:rsid w:val="00016AD1"/>
    <w:rsid w:val="000174FF"/>
    <w:rsid w:val="00021B13"/>
    <w:rsid w:val="000226B3"/>
    <w:rsid w:val="000241D7"/>
    <w:rsid w:val="00024549"/>
    <w:rsid w:val="00024CE1"/>
    <w:rsid w:val="0002546F"/>
    <w:rsid w:val="00025978"/>
    <w:rsid w:val="0002762B"/>
    <w:rsid w:val="00032059"/>
    <w:rsid w:val="00032C36"/>
    <w:rsid w:val="00034CDC"/>
    <w:rsid w:val="000355B6"/>
    <w:rsid w:val="000405CD"/>
    <w:rsid w:val="000408A1"/>
    <w:rsid w:val="00044EB0"/>
    <w:rsid w:val="00045E3D"/>
    <w:rsid w:val="00046599"/>
    <w:rsid w:val="000540D5"/>
    <w:rsid w:val="000544B6"/>
    <w:rsid w:val="0006047E"/>
    <w:rsid w:val="000604AF"/>
    <w:rsid w:val="00060AA4"/>
    <w:rsid w:val="00060F04"/>
    <w:rsid w:val="0006192C"/>
    <w:rsid w:val="00062180"/>
    <w:rsid w:val="000634F5"/>
    <w:rsid w:val="00063562"/>
    <w:rsid w:val="00066BED"/>
    <w:rsid w:val="000718E9"/>
    <w:rsid w:val="000746CF"/>
    <w:rsid w:val="00074CB6"/>
    <w:rsid w:val="000759BA"/>
    <w:rsid w:val="00080A3A"/>
    <w:rsid w:val="000837AF"/>
    <w:rsid w:val="00086C11"/>
    <w:rsid w:val="0008718B"/>
    <w:rsid w:val="0009025A"/>
    <w:rsid w:val="000905D8"/>
    <w:rsid w:val="00094A29"/>
    <w:rsid w:val="00094DCF"/>
    <w:rsid w:val="00095B75"/>
    <w:rsid w:val="00095BB6"/>
    <w:rsid w:val="00096D1B"/>
    <w:rsid w:val="000A1521"/>
    <w:rsid w:val="000A492C"/>
    <w:rsid w:val="000A682C"/>
    <w:rsid w:val="000A6CFD"/>
    <w:rsid w:val="000B01B5"/>
    <w:rsid w:val="000B063C"/>
    <w:rsid w:val="000B0982"/>
    <w:rsid w:val="000B40CF"/>
    <w:rsid w:val="000B4E5F"/>
    <w:rsid w:val="000B6EE0"/>
    <w:rsid w:val="000B796C"/>
    <w:rsid w:val="000B7C29"/>
    <w:rsid w:val="000C099B"/>
    <w:rsid w:val="000C0F86"/>
    <w:rsid w:val="000C1A9F"/>
    <w:rsid w:val="000C268A"/>
    <w:rsid w:val="000C26C1"/>
    <w:rsid w:val="000C291F"/>
    <w:rsid w:val="000C3051"/>
    <w:rsid w:val="000C46BB"/>
    <w:rsid w:val="000C4D9D"/>
    <w:rsid w:val="000C6C14"/>
    <w:rsid w:val="000C7282"/>
    <w:rsid w:val="000C7395"/>
    <w:rsid w:val="000C7C4B"/>
    <w:rsid w:val="000C7D8B"/>
    <w:rsid w:val="000D138D"/>
    <w:rsid w:val="000D5CE4"/>
    <w:rsid w:val="000E0DF7"/>
    <w:rsid w:val="000E39DF"/>
    <w:rsid w:val="000E485D"/>
    <w:rsid w:val="000E72C6"/>
    <w:rsid w:val="000F1893"/>
    <w:rsid w:val="000F2F51"/>
    <w:rsid w:val="000F45DB"/>
    <w:rsid w:val="000F5FC4"/>
    <w:rsid w:val="000F66C2"/>
    <w:rsid w:val="000F73B5"/>
    <w:rsid w:val="00101190"/>
    <w:rsid w:val="00101DBF"/>
    <w:rsid w:val="001029CA"/>
    <w:rsid w:val="00103104"/>
    <w:rsid w:val="00107F49"/>
    <w:rsid w:val="00112C28"/>
    <w:rsid w:val="00113CF8"/>
    <w:rsid w:val="00113D74"/>
    <w:rsid w:val="00113DF6"/>
    <w:rsid w:val="00113FE6"/>
    <w:rsid w:val="00117C5C"/>
    <w:rsid w:val="00121427"/>
    <w:rsid w:val="00125A4F"/>
    <w:rsid w:val="001310AE"/>
    <w:rsid w:val="00135585"/>
    <w:rsid w:val="001403C7"/>
    <w:rsid w:val="001420B3"/>
    <w:rsid w:val="00142801"/>
    <w:rsid w:val="00143781"/>
    <w:rsid w:val="001441FE"/>
    <w:rsid w:val="001460C4"/>
    <w:rsid w:val="00146474"/>
    <w:rsid w:val="00151043"/>
    <w:rsid w:val="001550DB"/>
    <w:rsid w:val="0015691C"/>
    <w:rsid w:val="001621F7"/>
    <w:rsid w:val="001624D7"/>
    <w:rsid w:val="001628FD"/>
    <w:rsid w:val="00165880"/>
    <w:rsid w:val="0016772B"/>
    <w:rsid w:val="001707A2"/>
    <w:rsid w:val="00171353"/>
    <w:rsid w:val="0017283A"/>
    <w:rsid w:val="00174227"/>
    <w:rsid w:val="00174C83"/>
    <w:rsid w:val="00177003"/>
    <w:rsid w:val="00177B86"/>
    <w:rsid w:val="00181277"/>
    <w:rsid w:val="00181466"/>
    <w:rsid w:val="00182585"/>
    <w:rsid w:val="00182795"/>
    <w:rsid w:val="0018399E"/>
    <w:rsid w:val="00183CC1"/>
    <w:rsid w:val="00186B38"/>
    <w:rsid w:val="00186BA7"/>
    <w:rsid w:val="00191182"/>
    <w:rsid w:val="001914FD"/>
    <w:rsid w:val="0019664D"/>
    <w:rsid w:val="00197FCA"/>
    <w:rsid w:val="001A1208"/>
    <w:rsid w:val="001A6103"/>
    <w:rsid w:val="001A70AB"/>
    <w:rsid w:val="001B0673"/>
    <w:rsid w:val="001B08C6"/>
    <w:rsid w:val="001B0929"/>
    <w:rsid w:val="001B54F8"/>
    <w:rsid w:val="001B5C22"/>
    <w:rsid w:val="001B5D37"/>
    <w:rsid w:val="001B6183"/>
    <w:rsid w:val="001B6A59"/>
    <w:rsid w:val="001B7D27"/>
    <w:rsid w:val="001C271F"/>
    <w:rsid w:val="001C2940"/>
    <w:rsid w:val="001C3D68"/>
    <w:rsid w:val="001C4016"/>
    <w:rsid w:val="001C548D"/>
    <w:rsid w:val="001C5974"/>
    <w:rsid w:val="001C6A5D"/>
    <w:rsid w:val="001C7D05"/>
    <w:rsid w:val="001C7F9C"/>
    <w:rsid w:val="001D105D"/>
    <w:rsid w:val="001D2BB7"/>
    <w:rsid w:val="001D2E42"/>
    <w:rsid w:val="001E0A8C"/>
    <w:rsid w:val="001E2CF1"/>
    <w:rsid w:val="001E31A6"/>
    <w:rsid w:val="001E42C7"/>
    <w:rsid w:val="001E4CAB"/>
    <w:rsid w:val="001E53A6"/>
    <w:rsid w:val="001E5921"/>
    <w:rsid w:val="001F0A4E"/>
    <w:rsid w:val="001F2413"/>
    <w:rsid w:val="001F2F3E"/>
    <w:rsid w:val="001F406F"/>
    <w:rsid w:val="001F4906"/>
    <w:rsid w:val="001F7C4A"/>
    <w:rsid w:val="00200229"/>
    <w:rsid w:val="0020165A"/>
    <w:rsid w:val="00202CC0"/>
    <w:rsid w:val="002040FF"/>
    <w:rsid w:val="00204746"/>
    <w:rsid w:val="0020578A"/>
    <w:rsid w:val="00206D67"/>
    <w:rsid w:val="00207631"/>
    <w:rsid w:val="00207E89"/>
    <w:rsid w:val="0021034A"/>
    <w:rsid w:val="00211EDB"/>
    <w:rsid w:val="00213005"/>
    <w:rsid w:val="00213392"/>
    <w:rsid w:val="00214013"/>
    <w:rsid w:val="00214DF7"/>
    <w:rsid w:val="00215563"/>
    <w:rsid w:val="00215BA6"/>
    <w:rsid w:val="002201B2"/>
    <w:rsid w:val="00220442"/>
    <w:rsid w:val="00220FC1"/>
    <w:rsid w:val="00222E9A"/>
    <w:rsid w:val="00226940"/>
    <w:rsid w:val="00230217"/>
    <w:rsid w:val="0023179D"/>
    <w:rsid w:val="00235A04"/>
    <w:rsid w:val="00236FED"/>
    <w:rsid w:val="00240CEA"/>
    <w:rsid w:val="002417C4"/>
    <w:rsid w:val="00241E49"/>
    <w:rsid w:val="002432A4"/>
    <w:rsid w:val="00245B03"/>
    <w:rsid w:val="00246E5A"/>
    <w:rsid w:val="0025389D"/>
    <w:rsid w:val="0025440C"/>
    <w:rsid w:val="00254E02"/>
    <w:rsid w:val="002620EE"/>
    <w:rsid w:val="0026265F"/>
    <w:rsid w:val="0027299C"/>
    <w:rsid w:val="00273DD3"/>
    <w:rsid w:val="00274269"/>
    <w:rsid w:val="00275182"/>
    <w:rsid w:val="00280B24"/>
    <w:rsid w:val="00284377"/>
    <w:rsid w:val="002856DA"/>
    <w:rsid w:val="00286C3A"/>
    <w:rsid w:val="00291774"/>
    <w:rsid w:val="002924EC"/>
    <w:rsid w:val="0029250B"/>
    <w:rsid w:val="002928DD"/>
    <w:rsid w:val="00292B11"/>
    <w:rsid w:val="00292D2E"/>
    <w:rsid w:val="002930F5"/>
    <w:rsid w:val="0029310A"/>
    <w:rsid w:val="00295D4B"/>
    <w:rsid w:val="002965E3"/>
    <w:rsid w:val="002A0397"/>
    <w:rsid w:val="002A06B7"/>
    <w:rsid w:val="002A7BB3"/>
    <w:rsid w:val="002B0389"/>
    <w:rsid w:val="002B0712"/>
    <w:rsid w:val="002B1A81"/>
    <w:rsid w:val="002B237D"/>
    <w:rsid w:val="002B5FCF"/>
    <w:rsid w:val="002B6573"/>
    <w:rsid w:val="002B7FE9"/>
    <w:rsid w:val="002C1B6B"/>
    <w:rsid w:val="002C2B59"/>
    <w:rsid w:val="002C36E0"/>
    <w:rsid w:val="002C37C2"/>
    <w:rsid w:val="002C3812"/>
    <w:rsid w:val="002C3959"/>
    <w:rsid w:val="002C3C1E"/>
    <w:rsid w:val="002C3CBA"/>
    <w:rsid w:val="002C4D8D"/>
    <w:rsid w:val="002C5808"/>
    <w:rsid w:val="002C5DA1"/>
    <w:rsid w:val="002C6E0C"/>
    <w:rsid w:val="002D144A"/>
    <w:rsid w:val="002D1523"/>
    <w:rsid w:val="002D397F"/>
    <w:rsid w:val="002D59AD"/>
    <w:rsid w:val="002E19A3"/>
    <w:rsid w:val="002E212B"/>
    <w:rsid w:val="002E3337"/>
    <w:rsid w:val="002E6C62"/>
    <w:rsid w:val="002E6D03"/>
    <w:rsid w:val="002E7B52"/>
    <w:rsid w:val="002F0151"/>
    <w:rsid w:val="002F025D"/>
    <w:rsid w:val="002F1328"/>
    <w:rsid w:val="002F2B5A"/>
    <w:rsid w:val="002F480E"/>
    <w:rsid w:val="002F49A8"/>
    <w:rsid w:val="002F5E66"/>
    <w:rsid w:val="002F61CA"/>
    <w:rsid w:val="002F6C15"/>
    <w:rsid w:val="0030010D"/>
    <w:rsid w:val="0030107A"/>
    <w:rsid w:val="00307174"/>
    <w:rsid w:val="00307993"/>
    <w:rsid w:val="003146BD"/>
    <w:rsid w:val="003159C4"/>
    <w:rsid w:val="00316991"/>
    <w:rsid w:val="00316ABF"/>
    <w:rsid w:val="0032002A"/>
    <w:rsid w:val="003221C4"/>
    <w:rsid w:val="00323B1C"/>
    <w:rsid w:val="00325A75"/>
    <w:rsid w:val="0033504C"/>
    <w:rsid w:val="00336816"/>
    <w:rsid w:val="003370D0"/>
    <w:rsid w:val="00337355"/>
    <w:rsid w:val="003402E4"/>
    <w:rsid w:val="00340BC1"/>
    <w:rsid w:val="00340F95"/>
    <w:rsid w:val="00342C3C"/>
    <w:rsid w:val="00342CDC"/>
    <w:rsid w:val="00345493"/>
    <w:rsid w:val="00345C62"/>
    <w:rsid w:val="003531ED"/>
    <w:rsid w:val="00354CC8"/>
    <w:rsid w:val="00354D14"/>
    <w:rsid w:val="00360676"/>
    <w:rsid w:val="00360B9A"/>
    <w:rsid w:val="00363281"/>
    <w:rsid w:val="0036461A"/>
    <w:rsid w:val="00365D41"/>
    <w:rsid w:val="00365F26"/>
    <w:rsid w:val="00367F1E"/>
    <w:rsid w:val="0037018A"/>
    <w:rsid w:val="003706D2"/>
    <w:rsid w:val="00372072"/>
    <w:rsid w:val="00372AF4"/>
    <w:rsid w:val="0037411F"/>
    <w:rsid w:val="003759EE"/>
    <w:rsid w:val="003773C8"/>
    <w:rsid w:val="003829D9"/>
    <w:rsid w:val="003854E0"/>
    <w:rsid w:val="0039017F"/>
    <w:rsid w:val="003902B3"/>
    <w:rsid w:val="0039292D"/>
    <w:rsid w:val="00394AEE"/>
    <w:rsid w:val="00397391"/>
    <w:rsid w:val="00397741"/>
    <w:rsid w:val="00397ECD"/>
    <w:rsid w:val="003A14D3"/>
    <w:rsid w:val="003A3C3B"/>
    <w:rsid w:val="003A4C38"/>
    <w:rsid w:val="003A6DE0"/>
    <w:rsid w:val="003B4E7B"/>
    <w:rsid w:val="003B5F00"/>
    <w:rsid w:val="003B6179"/>
    <w:rsid w:val="003C055B"/>
    <w:rsid w:val="003C2D98"/>
    <w:rsid w:val="003C4AB2"/>
    <w:rsid w:val="003C7901"/>
    <w:rsid w:val="003D3A96"/>
    <w:rsid w:val="003D3B9C"/>
    <w:rsid w:val="003E1132"/>
    <w:rsid w:val="003E2FB6"/>
    <w:rsid w:val="003E6DB2"/>
    <w:rsid w:val="003F54DE"/>
    <w:rsid w:val="0040093F"/>
    <w:rsid w:val="00400EF0"/>
    <w:rsid w:val="00403AA1"/>
    <w:rsid w:val="0040415E"/>
    <w:rsid w:val="00404F03"/>
    <w:rsid w:val="004100AB"/>
    <w:rsid w:val="00412051"/>
    <w:rsid w:val="00412634"/>
    <w:rsid w:val="00413AD9"/>
    <w:rsid w:val="00415702"/>
    <w:rsid w:val="004215F9"/>
    <w:rsid w:val="00423B94"/>
    <w:rsid w:val="00432E73"/>
    <w:rsid w:val="00435183"/>
    <w:rsid w:val="00444E40"/>
    <w:rsid w:val="004455F6"/>
    <w:rsid w:val="00446D64"/>
    <w:rsid w:val="00446DBA"/>
    <w:rsid w:val="004479CA"/>
    <w:rsid w:val="004527A0"/>
    <w:rsid w:val="00454FC7"/>
    <w:rsid w:val="0045627F"/>
    <w:rsid w:val="00456723"/>
    <w:rsid w:val="0046007D"/>
    <w:rsid w:val="004602D8"/>
    <w:rsid w:val="00460FBA"/>
    <w:rsid w:val="004615B7"/>
    <w:rsid w:val="004615C6"/>
    <w:rsid w:val="00461A2F"/>
    <w:rsid w:val="00462A6D"/>
    <w:rsid w:val="00463731"/>
    <w:rsid w:val="00463DB7"/>
    <w:rsid w:val="00463EBA"/>
    <w:rsid w:val="0046400A"/>
    <w:rsid w:val="00464823"/>
    <w:rsid w:val="0046731B"/>
    <w:rsid w:val="00467B25"/>
    <w:rsid w:val="00474243"/>
    <w:rsid w:val="0047605D"/>
    <w:rsid w:val="00477343"/>
    <w:rsid w:val="004806F7"/>
    <w:rsid w:val="00481108"/>
    <w:rsid w:val="004834C3"/>
    <w:rsid w:val="0048585C"/>
    <w:rsid w:val="00486B68"/>
    <w:rsid w:val="0049042B"/>
    <w:rsid w:val="00490897"/>
    <w:rsid w:val="00490B63"/>
    <w:rsid w:val="00490EF1"/>
    <w:rsid w:val="0049109F"/>
    <w:rsid w:val="0049195F"/>
    <w:rsid w:val="00495473"/>
    <w:rsid w:val="00495DD1"/>
    <w:rsid w:val="00496C30"/>
    <w:rsid w:val="004A2A8B"/>
    <w:rsid w:val="004A33B0"/>
    <w:rsid w:val="004A3E3F"/>
    <w:rsid w:val="004A458E"/>
    <w:rsid w:val="004A5181"/>
    <w:rsid w:val="004A77CF"/>
    <w:rsid w:val="004B2371"/>
    <w:rsid w:val="004B23E7"/>
    <w:rsid w:val="004B306F"/>
    <w:rsid w:val="004B356E"/>
    <w:rsid w:val="004B3847"/>
    <w:rsid w:val="004B3F28"/>
    <w:rsid w:val="004B4591"/>
    <w:rsid w:val="004B4CD8"/>
    <w:rsid w:val="004B7316"/>
    <w:rsid w:val="004B7FE9"/>
    <w:rsid w:val="004C0B74"/>
    <w:rsid w:val="004C0C27"/>
    <w:rsid w:val="004C1771"/>
    <w:rsid w:val="004C3186"/>
    <w:rsid w:val="004C5042"/>
    <w:rsid w:val="004C5DB9"/>
    <w:rsid w:val="004C65C4"/>
    <w:rsid w:val="004D73A5"/>
    <w:rsid w:val="004E016E"/>
    <w:rsid w:val="004E085E"/>
    <w:rsid w:val="004E349A"/>
    <w:rsid w:val="004E4422"/>
    <w:rsid w:val="004E700E"/>
    <w:rsid w:val="004F3907"/>
    <w:rsid w:val="004F519D"/>
    <w:rsid w:val="005000BB"/>
    <w:rsid w:val="00500CD1"/>
    <w:rsid w:val="00501DE8"/>
    <w:rsid w:val="00503998"/>
    <w:rsid w:val="00503E79"/>
    <w:rsid w:val="00505373"/>
    <w:rsid w:val="0050623B"/>
    <w:rsid w:val="005067DE"/>
    <w:rsid w:val="00510775"/>
    <w:rsid w:val="00511025"/>
    <w:rsid w:val="00511D6E"/>
    <w:rsid w:val="00512547"/>
    <w:rsid w:val="005150CA"/>
    <w:rsid w:val="005151BE"/>
    <w:rsid w:val="00515756"/>
    <w:rsid w:val="00515909"/>
    <w:rsid w:val="005165EF"/>
    <w:rsid w:val="00520BCB"/>
    <w:rsid w:val="00523181"/>
    <w:rsid w:val="00524D13"/>
    <w:rsid w:val="00527EE0"/>
    <w:rsid w:val="005339F6"/>
    <w:rsid w:val="00533BDE"/>
    <w:rsid w:val="00533C5B"/>
    <w:rsid w:val="00534549"/>
    <w:rsid w:val="005357F1"/>
    <w:rsid w:val="005376FD"/>
    <w:rsid w:val="00543763"/>
    <w:rsid w:val="00544024"/>
    <w:rsid w:val="00544546"/>
    <w:rsid w:val="005452A3"/>
    <w:rsid w:val="00545341"/>
    <w:rsid w:val="00551CBD"/>
    <w:rsid w:val="00555F81"/>
    <w:rsid w:val="0055708B"/>
    <w:rsid w:val="0056185E"/>
    <w:rsid w:val="00562AE7"/>
    <w:rsid w:val="00563D79"/>
    <w:rsid w:val="00564BBA"/>
    <w:rsid w:val="00565474"/>
    <w:rsid w:val="005706C9"/>
    <w:rsid w:val="00570E10"/>
    <w:rsid w:val="005718F9"/>
    <w:rsid w:val="00572D52"/>
    <w:rsid w:val="005766C3"/>
    <w:rsid w:val="00576B18"/>
    <w:rsid w:val="00581277"/>
    <w:rsid w:val="0058146C"/>
    <w:rsid w:val="00583C89"/>
    <w:rsid w:val="00584418"/>
    <w:rsid w:val="00587724"/>
    <w:rsid w:val="00587784"/>
    <w:rsid w:val="00587CE6"/>
    <w:rsid w:val="00591512"/>
    <w:rsid w:val="00593227"/>
    <w:rsid w:val="005948C8"/>
    <w:rsid w:val="00595215"/>
    <w:rsid w:val="00595F7D"/>
    <w:rsid w:val="0059727B"/>
    <w:rsid w:val="005A1274"/>
    <w:rsid w:val="005A1A97"/>
    <w:rsid w:val="005A5C50"/>
    <w:rsid w:val="005A70D4"/>
    <w:rsid w:val="005A7CB4"/>
    <w:rsid w:val="005B0A82"/>
    <w:rsid w:val="005B156B"/>
    <w:rsid w:val="005B190B"/>
    <w:rsid w:val="005B210E"/>
    <w:rsid w:val="005B2CA2"/>
    <w:rsid w:val="005B2D91"/>
    <w:rsid w:val="005B3A72"/>
    <w:rsid w:val="005B4401"/>
    <w:rsid w:val="005B45D3"/>
    <w:rsid w:val="005B48B4"/>
    <w:rsid w:val="005B4A84"/>
    <w:rsid w:val="005B5365"/>
    <w:rsid w:val="005C6661"/>
    <w:rsid w:val="005C6E3B"/>
    <w:rsid w:val="005C7B9C"/>
    <w:rsid w:val="005D0578"/>
    <w:rsid w:val="005D2FCF"/>
    <w:rsid w:val="005D474B"/>
    <w:rsid w:val="005D5586"/>
    <w:rsid w:val="005D62E6"/>
    <w:rsid w:val="005E085C"/>
    <w:rsid w:val="005E147D"/>
    <w:rsid w:val="005E22C2"/>
    <w:rsid w:val="005E39DF"/>
    <w:rsid w:val="005E4D10"/>
    <w:rsid w:val="005E573A"/>
    <w:rsid w:val="005E57BB"/>
    <w:rsid w:val="005E6547"/>
    <w:rsid w:val="005E717E"/>
    <w:rsid w:val="005E7694"/>
    <w:rsid w:val="005F0017"/>
    <w:rsid w:val="005F10A6"/>
    <w:rsid w:val="005F10F9"/>
    <w:rsid w:val="005F16DF"/>
    <w:rsid w:val="005F4646"/>
    <w:rsid w:val="005F4DB0"/>
    <w:rsid w:val="005F59FB"/>
    <w:rsid w:val="00600559"/>
    <w:rsid w:val="00600959"/>
    <w:rsid w:val="006014F1"/>
    <w:rsid w:val="00601A1A"/>
    <w:rsid w:val="006025BF"/>
    <w:rsid w:val="00602ED6"/>
    <w:rsid w:val="00603B5B"/>
    <w:rsid w:val="00603C2B"/>
    <w:rsid w:val="006049B6"/>
    <w:rsid w:val="006052C1"/>
    <w:rsid w:val="0060654B"/>
    <w:rsid w:val="00606B7F"/>
    <w:rsid w:val="00607700"/>
    <w:rsid w:val="00607D6B"/>
    <w:rsid w:val="00611DB4"/>
    <w:rsid w:val="0061357B"/>
    <w:rsid w:val="00614464"/>
    <w:rsid w:val="00614A7D"/>
    <w:rsid w:val="006154F4"/>
    <w:rsid w:val="00616B81"/>
    <w:rsid w:val="0062035E"/>
    <w:rsid w:val="00621596"/>
    <w:rsid w:val="00624DDB"/>
    <w:rsid w:val="00625AC5"/>
    <w:rsid w:val="00625E3E"/>
    <w:rsid w:val="00633A89"/>
    <w:rsid w:val="00633CED"/>
    <w:rsid w:val="00635E23"/>
    <w:rsid w:val="0063631C"/>
    <w:rsid w:val="0063757B"/>
    <w:rsid w:val="006377CE"/>
    <w:rsid w:val="0064071F"/>
    <w:rsid w:val="006427F9"/>
    <w:rsid w:val="00644328"/>
    <w:rsid w:val="00644B37"/>
    <w:rsid w:val="00645808"/>
    <w:rsid w:val="0064703E"/>
    <w:rsid w:val="006537D9"/>
    <w:rsid w:val="0065385A"/>
    <w:rsid w:val="006548A4"/>
    <w:rsid w:val="0066222A"/>
    <w:rsid w:val="00662D1C"/>
    <w:rsid w:val="00663A53"/>
    <w:rsid w:val="00664699"/>
    <w:rsid w:val="00664A48"/>
    <w:rsid w:val="00665DEF"/>
    <w:rsid w:val="0067110E"/>
    <w:rsid w:val="00673A95"/>
    <w:rsid w:val="00675BB1"/>
    <w:rsid w:val="006775F1"/>
    <w:rsid w:val="00680CD4"/>
    <w:rsid w:val="00684D77"/>
    <w:rsid w:val="00686028"/>
    <w:rsid w:val="00686D9C"/>
    <w:rsid w:val="00687A11"/>
    <w:rsid w:val="00687B86"/>
    <w:rsid w:val="0069047E"/>
    <w:rsid w:val="00692AA7"/>
    <w:rsid w:val="00697951"/>
    <w:rsid w:val="00697FEC"/>
    <w:rsid w:val="006A175F"/>
    <w:rsid w:val="006A44F5"/>
    <w:rsid w:val="006B1C6A"/>
    <w:rsid w:val="006B29B3"/>
    <w:rsid w:val="006B2B56"/>
    <w:rsid w:val="006B30F7"/>
    <w:rsid w:val="006B4537"/>
    <w:rsid w:val="006B5F85"/>
    <w:rsid w:val="006B6929"/>
    <w:rsid w:val="006B6D9D"/>
    <w:rsid w:val="006B709B"/>
    <w:rsid w:val="006C4B64"/>
    <w:rsid w:val="006C54AF"/>
    <w:rsid w:val="006C67DA"/>
    <w:rsid w:val="006C7C62"/>
    <w:rsid w:val="006C7FD2"/>
    <w:rsid w:val="006D0BB8"/>
    <w:rsid w:val="006D145B"/>
    <w:rsid w:val="006D14F1"/>
    <w:rsid w:val="006D546C"/>
    <w:rsid w:val="006D5593"/>
    <w:rsid w:val="006E0181"/>
    <w:rsid w:val="006E0B96"/>
    <w:rsid w:val="006E36EF"/>
    <w:rsid w:val="006E4BD8"/>
    <w:rsid w:val="006E5EE0"/>
    <w:rsid w:val="006E630F"/>
    <w:rsid w:val="006E6F24"/>
    <w:rsid w:val="006F1F59"/>
    <w:rsid w:val="006F2FC4"/>
    <w:rsid w:val="006F3470"/>
    <w:rsid w:val="006F3D6F"/>
    <w:rsid w:val="006F405E"/>
    <w:rsid w:val="006F4879"/>
    <w:rsid w:val="006F4E21"/>
    <w:rsid w:val="006F61D1"/>
    <w:rsid w:val="006F743A"/>
    <w:rsid w:val="006F764D"/>
    <w:rsid w:val="00700C0E"/>
    <w:rsid w:val="00702204"/>
    <w:rsid w:val="00704E6A"/>
    <w:rsid w:val="00705451"/>
    <w:rsid w:val="0070581D"/>
    <w:rsid w:val="00705CF9"/>
    <w:rsid w:val="00705DAD"/>
    <w:rsid w:val="00706A0E"/>
    <w:rsid w:val="00706D03"/>
    <w:rsid w:val="00707556"/>
    <w:rsid w:val="00710419"/>
    <w:rsid w:val="00720C8C"/>
    <w:rsid w:val="00720E1F"/>
    <w:rsid w:val="0072193D"/>
    <w:rsid w:val="00724250"/>
    <w:rsid w:val="007247B9"/>
    <w:rsid w:val="00726B87"/>
    <w:rsid w:val="00727D85"/>
    <w:rsid w:val="007346C7"/>
    <w:rsid w:val="00735033"/>
    <w:rsid w:val="00735FA3"/>
    <w:rsid w:val="00736041"/>
    <w:rsid w:val="007408C7"/>
    <w:rsid w:val="007417B3"/>
    <w:rsid w:val="00741EA8"/>
    <w:rsid w:val="007429F3"/>
    <w:rsid w:val="0074321A"/>
    <w:rsid w:val="007465DA"/>
    <w:rsid w:val="0075258B"/>
    <w:rsid w:val="00752C7F"/>
    <w:rsid w:val="007540DD"/>
    <w:rsid w:val="0075457B"/>
    <w:rsid w:val="00761E74"/>
    <w:rsid w:val="00761FD6"/>
    <w:rsid w:val="0076328B"/>
    <w:rsid w:val="007641D7"/>
    <w:rsid w:val="00764792"/>
    <w:rsid w:val="00764B09"/>
    <w:rsid w:val="00765EC5"/>
    <w:rsid w:val="00765F06"/>
    <w:rsid w:val="00766CC1"/>
    <w:rsid w:val="0076797E"/>
    <w:rsid w:val="00771E85"/>
    <w:rsid w:val="00772132"/>
    <w:rsid w:val="0077290B"/>
    <w:rsid w:val="00776598"/>
    <w:rsid w:val="00776D90"/>
    <w:rsid w:val="00776F47"/>
    <w:rsid w:val="007820F1"/>
    <w:rsid w:val="00783879"/>
    <w:rsid w:val="007838A0"/>
    <w:rsid w:val="0078410B"/>
    <w:rsid w:val="00792948"/>
    <w:rsid w:val="00796E84"/>
    <w:rsid w:val="007A00A5"/>
    <w:rsid w:val="007A13C6"/>
    <w:rsid w:val="007A3ADE"/>
    <w:rsid w:val="007A4262"/>
    <w:rsid w:val="007A42CF"/>
    <w:rsid w:val="007A5733"/>
    <w:rsid w:val="007A5774"/>
    <w:rsid w:val="007A58F3"/>
    <w:rsid w:val="007B451B"/>
    <w:rsid w:val="007B5D2F"/>
    <w:rsid w:val="007B5E77"/>
    <w:rsid w:val="007B5FFD"/>
    <w:rsid w:val="007C03F1"/>
    <w:rsid w:val="007C1389"/>
    <w:rsid w:val="007C421F"/>
    <w:rsid w:val="007C5013"/>
    <w:rsid w:val="007C63B6"/>
    <w:rsid w:val="007D1272"/>
    <w:rsid w:val="007D350E"/>
    <w:rsid w:val="007D3985"/>
    <w:rsid w:val="007D6B67"/>
    <w:rsid w:val="007E08E9"/>
    <w:rsid w:val="007E0C8C"/>
    <w:rsid w:val="007E5D84"/>
    <w:rsid w:val="007E6409"/>
    <w:rsid w:val="007F27FE"/>
    <w:rsid w:val="007F310E"/>
    <w:rsid w:val="00801767"/>
    <w:rsid w:val="00801AF8"/>
    <w:rsid w:val="00801E74"/>
    <w:rsid w:val="00802F26"/>
    <w:rsid w:val="00803405"/>
    <w:rsid w:val="0080485E"/>
    <w:rsid w:val="0080552D"/>
    <w:rsid w:val="00807052"/>
    <w:rsid w:val="008101B8"/>
    <w:rsid w:val="008109BC"/>
    <w:rsid w:val="00810EDF"/>
    <w:rsid w:val="008131F7"/>
    <w:rsid w:val="008142B4"/>
    <w:rsid w:val="0081671C"/>
    <w:rsid w:val="00817E40"/>
    <w:rsid w:val="00820432"/>
    <w:rsid w:val="00820F93"/>
    <w:rsid w:val="00832324"/>
    <w:rsid w:val="00834269"/>
    <w:rsid w:val="00835337"/>
    <w:rsid w:val="00835A39"/>
    <w:rsid w:val="00836B09"/>
    <w:rsid w:val="00836F07"/>
    <w:rsid w:val="00837794"/>
    <w:rsid w:val="00841B70"/>
    <w:rsid w:val="00842339"/>
    <w:rsid w:val="00842974"/>
    <w:rsid w:val="00843634"/>
    <w:rsid w:val="008462AD"/>
    <w:rsid w:val="00846DCD"/>
    <w:rsid w:val="00850954"/>
    <w:rsid w:val="00851D85"/>
    <w:rsid w:val="00852352"/>
    <w:rsid w:val="008528B3"/>
    <w:rsid w:val="00855887"/>
    <w:rsid w:val="00856DF4"/>
    <w:rsid w:val="00860890"/>
    <w:rsid w:val="00860CCB"/>
    <w:rsid w:val="00863414"/>
    <w:rsid w:val="00864B40"/>
    <w:rsid w:val="00865741"/>
    <w:rsid w:val="00866911"/>
    <w:rsid w:val="00867DDD"/>
    <w:rsid w:val="008701BC"/>
    <w:rsid w:val="008740A3"/>
    <w:rsid w:val="0087432B"/>
    <w:rsid w:val="008748B4"/>
    <w:rsid w:val="00874E26"/>
    <w:rsid w:val="00876295"/>
    <w:rsid w:val="00877E38"/>
    <w:rsid w:val="00880393"/>
    <w:rsid w:val="00882A9B"/>
    <w:rsid w:val="00882D54"/>
    <w:rsid w:val="00883703"/>
    <w:rsid w:val="00886157"/>
    <w:rsid w:val="0089024A"/>
    <w:rsid w:val="00890A9D"/>
    <w:rsid w:val="0089183A"/>
    <w:rsid w:val="0089286B"/>
    <w:rsid w:val="0089297B"/>
    <w:rsid w:val="00893757"/>
    <w:rsid w:val="008A2075"/>
    <w:rsid w:val="008A2FCA"/>
    <w:rsid w:val="008A42BF"/>
    <w:rsid w:val="008A447F"/>
    <w:rsid w:val="008A583C"/>
    <w:rsid w:val="008A67DB"/>
    <w:rsid w:val="008B0747"/>
    <w:rsid w:val="008B45B5"/>
    <w:rsid w:val="008B4F84"/>
    <w:rsid w:val="008B5A58"/>
    <w:rsid w:val="008C30DC"/>
    <w:rsid w:val="008C36CA"/>
    <w:rsid w:val="008C4338"/>
    <w:rsid w:val="008C6292"/>
    <w:rsid w:val="008D0192"/>
    <w:rsid w:val="008D0A2B"/>
    <w:rsid w:val="008D4960"/>
    <w:rsid w:val="008D5AA8"/>
    <w:rsid w:val="008D6A20"/>
    <w:rsid w:val="008E14FA"/>
    <w:rsid w:val="008E3EBA"/>
    <w:rsid w:val="008E3F8C"/>
    <w:rsid w:val="008E68EE"/>
    <w:rsid w:val="008F1992"/>
    <w:rsid w:val="008F346D"/>
    <w:rsid w:val="008F5311"/>
    <w:rsid w:val="009013FF"/>
    <w:rsid w:val="00902FD0"/>
    <w:rsid w:val="00905003"/>
    <w:rsid w:val="009053D3"/>
    <w:rsid w:val="0090691F"/>
    <w:rsid w:val="00910EDB"/>
    <w:rsid w:val="00913176"/>
    <w:rsid w:val="00914D87"/>
    <w:rsid w:val="00916077"/>
    <w:rsid w:val="00916942"/>
    <w:rsid w:val="00921262"/>
    <w:rsid w:val="00921903"/>
    <w:rsid w:val="009239A0"/>
    <w:rsid w:val="00930E4A"/>
    <w:rsid w:val="0093111F"/>
    <w:rsid w:val="009332FD"/>
    <w:rsid w:val="00935689"/>
    <w:rsid w:val="0093574B"/>
    <w:rsid w:val="00936C2B"/>
    <w:rsid w:val="0094219E"/>
    <w:rsid w:val="00945096"/>
    <w:rsid w:val="009471A3"/>
    <w:rsid w:val="00951401"/>
    <w:rsid w:val="0095303B"/>
    <w:rsid w:val="0095396C"/>
    <w:rsid w:val="00953F77"/>
    <w:rsid w:val="0095420F"/>
    <w:rsid w:val="00954823"/>
    <w:rsid w:val="00960336"/>
    <w:rsid w:val="0096170A"/>
    <w:rsid w:val="00962ABC"/>
    <w:rsid w:val="00964BC7"/>
    <w:rsid w:val="00965947"/>
    <w:rsid w:val="009663B6"/>
    <w:rsid w:val="0096694A"/>
    <w:rsid w:val="00967197"/>
    <w:rsid w:val="00970548"/>
    <w:rsid w:val="00973424"/>
    <w:rsid w:val="00974A47"/>
    <w:rsid w:val="00980286"/>
    <w:rsid w:val="00981588"/>
    <w:rsid w:val="009819F7"/>
    <w:rsid w:val="009822E1"/>
    <w:rsid w:val="00982BA3"/>
    <w:rsid w:val="00984176"/>
    <w:rsid w:val="00990DCF"/>
    <w:rsid w:val="00990E0C"/>
    <w:rsid w:val="00994023"/>
    <w:rsid w:val="00994AF2"/>
    <w:rsid w:val="009960BB"/>
    <w:rsid w:val="009971EB"/>
    <w:rsid w:val="009A0121"/>
    <w:rsid w:val="009A08CB"/>
    <w:rsid w:val="009A1F44"/>
    <w:rsid w:val="009A224B"/>
    <w:rsid w:val="009A359E"/>
    <w:rsid w:val="009A4CD6"/>
    <w:rsid w:val="009A537C"/>
    <w:rsid w:val="009A5A9E"/>
    <w:rsid w:val="009B15E2"/>
    <w:rsid w:val="009B2F98"/>
    <w:rsid w:val="009B49BF"/>
    <w:rsid w:val="009B756B"/>
    <w:rsid w:val="009C0886"/>
    <w:rsid w:val="009C19EE"/>
    <w:rsid w:val="009C28D0"/>
    <w:rsid w:val="009C35F2"/>
    <w:rsid w:val="009C3B0B"/>
    <w:rsid w:val="009C7782"/>
    <w:rsid w:val="009C77F9"/>
    <w:rsid w:val="009D0DFA"/>
    <w:rsid w:val="009D0EA9"/>
    <w:rsid w:val="009D1ED5"/>
    <w:rsid w:val="009D4C13"/>
    <w:rsid w:val="009D4E93"/>
    <w:rsid w:val="009D625E"/>
    <w:rsid w:val="009D78DB"/>
    <w:rsid w:val="009E0A40"/>
    <w:rsid w:val="009E21A7"/>
    <w:rsid w:val="009E2919"/>
    <w:rsid w:val="009E3176"/>
    <w:rsid w:val="009E3482"/>
    <w:rsid w:val="009E4EA1"/>
    <w:rsid w:val="009E52A6"/>
    <w:rsid w:val="009E5A18"/>
    <w:rsid w:val="009F0585"/>
    <w:rsid w:val="009F12AF"/>
    <w:rsid w:val="009F166B"/>
    <w:rsid w:val="009F197E"/>
    <w:rsid w:val="009F2099"/>
    <w:rsid w:val="009F2DD4"/>
    <w:rsid w:val="009F3FB9"/>
    <w:rsid w:val="009F582C"/>
    <w:rsid w:val="009F5E34"/>
    <w:rsid w:val="009F74A4"/>
    <w:rsid w:val="00A01603"/>
    <w:rsid w:val="00A06C9B"/>
    <w:rsid w:val="00A07F17"/>
    <w:rsid w:val="00A103ED"/>
    <w:rsid w:val="00A13232"/>
    <w:rsid w:val="00A13683"/>
    <w:rsid w:val="00A13C10"/>
    <w:rsid w:val="00A13C60"/>
    <w:rsid w:val="00A14EAF"/>
    <w:rsid w:val="00A15134"/>
    <w:rsid w:val="00A172AA"/>
    <w:rsid w:val="00A17C8D"/>
    <w:rsid w:val="00A21079"/>
    <w:rsid w:val="00A233AC"/>
    <w:rsid w:val="00A241EE"/>
    <w:rsid w:val="00A24BE6"/>
    <w:rsid w:val="00A32A0C"/>
    <w:rsid w:val="00A341A3"/>
    <w:rsid w:val="00A34815"/>
    <w:rsid w:val="00A3494A"/>
    <w:rsid w:val="00A35800"/>
    <w:rsid w:val="00A41ECA"/>
    <w:rsid w:val="00A42539"/>
    <w:rsid w:val="00A464B4"/>
    <w:rsid w:val="00A46FA4"/>
    <w:rsid w:val="00A47FD6"/>
    <w:rsid w:val="00A51C58"/>
    <w:rsid w:val="00A52918"/>
    <w:rsid w:val="00A52B96"/>
    <w:rsid w:val="00A52E46"/>
    <w:rsid w:val="00A547B3"/>
    <w:rsid w:val="00A54DFE"/>
    <w:rsid w:val="00A621F0"/>
    <w:rsid w:val="00A62C45"/>
    <w:rsid w:val="00A64AF7"/>
    <w:rsid w:val="00A64F6B"/>
    <w:rsid w:val="00A65BC6"/>
    <w:rsid w:val="00A65F21"/>
    <w:rsid w:val="00A66E27"/>
    <w:rsid w:val="00A7040C"/>
    <w:rsid w:val="00A70741"/>
    <w:rsid w:val="00A70E82"/>
    <w:rsid w:val="00A74D82"/>
    <w:rsid w:val="00A75CE5"/>
    <w:rsid w:val="00A76A55"/>
    <w:rsid w:val="00A80ABB"/>
    <w:rsid w:val="00A81B46"/>
    <w:rsid w:val="00A84107"/>
    <w:rsid w:val="00A84CAD"/>
    <w:rsid w:val="00A85135"/>
    <w:rsid w:val="00A85752"/>
    <w:rsid w:val="00A85F40"/>
    <w:rsid w:val="00A87BA1"/>
    <w:rsid w:val="00A90E50"/>
    <w:rsid w:val="00A95CE6"/>
    <w:rsid w:val="00A95FA5"/>
    <w:rsid w:val="00A96529"/>
    <w:rsid w:val="00A96D92"/>
    <w:rsid w:val="00AA02AF"/>
    <w:rsid w:val="00AA0968"/>
    <w:rsid w:val="00AA1214"/>
    <w:rsid w:val="00AA47CD"/>
    <w:rsid w:val="00AA6DA6"/>
    <w:rsid w:val="00AA70A9"/>
    <w:rsid w:val="00AA7B9C"/>
    <w:rsid w:val="00AB1576"/>
    <w:rsid w:val="00AB1803"/>
    <w:rsid w:val="00AB199C"/>
    <w:rsid w:val="00AB3733"/>
    <w:rsid w:val="00AB588C"/>
    <w:rsid w:val="00AB7793"/>
    <w:rsid w:val="00AB7897"/>
    <w:rsid w:val="00AC093E"/>
    <w:rsid w:val="00AC1942"/>
    <w:rsid w:val="00AC4562"/>
    <w:rsid w:val="00AC5054"/>
    <w:rsid w:val="00AC5A5E"/>
    <w:rsid w:val="00AC6CA7"/>
    <w:rsid w:val="00AD0421"/>
    <w:rsid w:val="00AD3242"/>
    <w:rsid w:val="00AD3D92"/>
    <w:rsid w:val="00AD527D"/>
    <w:rsid w:val="00AD5D71"/>
    <w:rsid w:val="00AD5DF2"/>
    <w:rsid w:val="00AE0511"/>
    <w:rsid w:val="00AE1A5E"/>
    <w:rsid w:val="00AE25B0"/>
    <w:rsid w:val="00AE4BAC"/>
    <w:rsid w:val="00AE6DA4"/>
    <w:rsid w:val="00AE7716"/>
    <w:rsid w:val="00AF135A"/>
    <w:rsid w:val="00AF354B"/>
    <w:rsid w:val="00AF570F"/>
    <w:rsid w:val="00AF6859"/>
    <w:rsid w:val="00B00E60"/>
    <w:rsid w:val="00B020AB"/>
    <w:rsid w:val="00B034FC"/>
    <w:rsid w:val="00B04C7F"/>
    <w:rsid w:val="00B0501C"/>
    <w:rsid w:val="00B05310"/>
    <w:rsid w:val="00B07A05"/>
    <w:rsid w:val="00B07B2D"/>
    <w:rsid w:val="00B10A0B"/>
    <w:rsid w:val="00B17483"/>
    <w:rsid w:val="00B17981"/>
    <w:rsid w:val="00B2191B"/>
    <w:rsid w:val="00B21A5E"/>
    <w:rsid w:val="00B2760A"/>
    <w:rsid w:val="00B30D85"/>
    <w:rsid w:val="00B320C9"/>
    <w:rsid w:val="00B32336"/>
    <w:rsid w:val="00B35A4A"/>
    <w:rsid w:val="00B37A3B"/>
    <w:rsid w:val="00B40181"/>
    <w:rsid w:val="00B41D61"/>
    <w:rsid w:val="00B42FE3"/>
    <w:rsid w:val="00B433E5"/>
    <w:rsid w:val="00B453CF"/>
    <w:rsid w:val="00B47230"/>
    <w:rsid w:val="00B51D25"/>
    <w:rsid w:val="00B525AD"/>
    <w:rsid w:val="00B531E2"/>
    <w:rsid w:val="00B53EA1"/>
    <w:rsid w:val="00B56299"/>
    <w:rsid w:val="00B57A2D"/>
    <w:rsid w:val="00B62948"/>
    <w:rsid w:val="00B63FD7"/>
    <w:rsid w:val="00B645A0"/>
    <w:rsid w:val="00B66678"/>
    <w:rsid w:val="00B7122A"/>
    <w:rsid w:val="00B71968"/>
    <w:rsid w:val="00B71B45"/>
    <w:rsid w:val="00B71D90"/>
    <w:rsid w:val="00B72303"/>
    <w:rsid w:val="00B7324E"/>
    <w:rsid w:val="00B73313"/>
    <w:rsid w:val="00B76768"/>
    <w:rsid w:val="00B76BE7"/>
    <w:rsid w:val="00B77060"/>
    <w:rsid w:val="00B8092A"/>
    <w:rsid w:val="00B816D9"/>
    <w:rsid w:val="00B81928"/>
    <w:rsid w:val="00B82AC4"/>
    <w:rsid w:val="00B84ED7"/>
    <w:rsid w:val="00B86B82"/>
    <w:rsid w:val="00B9120F"/>
    <w:rsid w:val="00B9216C"/>
    <w:rsid w:val="00B924A4"/>
    <w:rsid w:val="00B924E5"/>
    <w:rsid w:val="00B93300"/>
    <w:rsid w:val="00B94230"/>
    <w:rsid w:val="00B94275"/>
    <w:rsid w:val="00B96DB1"/>
    <w:rsid w:val="00BA2D8E"/>
    <w:rsid w:val="00BA2D96"/>
    <w:rsid w:val="00BA5964"/>
    <w:rsid w:val="00BA65CA"/>
    <w:rsid w:val="00BB0556"/>
    <w:rsid w:val="00BB0D1A"/>
    <w:rsid w:val="00BB0DFB"/>
    <w:rsid w:val="00BB0F75"/>
    <w:rsid w:val="00BB1AAD"/>
    <w:rsid w:val="00BB1D3B"/>
    <w:rsid w:val="00BB5D54"/>
    <w:rsid w:val="00BC1E23"/>
    <w:rsid w:val="00BC266A"/>
    <w:rsid w:val="00BC35ED"/>
    <w:rsid w:val="00BC6962"/>
    <w:rsid w:val="00BC6E00"/>
    <w:rsid w:val="00BD03ED"/>
    <w:rsid w:val="00BD505F"/>
    <w:rsid w:val="00BD525D"/>
    <w:rsid w:val="00BD6E1D"/>
    <w:rsid w:val="00BE205A"/>
    <w:rsid w:val="00BE3802"/>
    <w:rsid w:val="00BE472B"/>
    <w:rsid w:val="00BE52CF"/>
    <w:rsid w:val="00BE5472"/>
    <w:rsid w:val="00BF10E5"/>
    <w:rsid w:val="00BF238E"/>
    <w:rsid w:val="00BF2F4A"/>
    <w:rsid w:val="00BF4386"/>
    <w:rsid w:val="00BF544D"/>
    <w:rsid w:val="00BF572B"/>
    <w:rsid w:val="00BF79BE"/>
    <w:rsid w:val="00C0076F"/>
    <w:rsid w:val="00C0301C"/>
    <w:rsid w:val="00C04327"/>
    <w:rsid w:val="00C04F15"/>
    <w:rsid w:val="00C050B6"/>
    <w:rsid w:val="00C07758"/>
    <w:rsid w:val="00C10F12"/>
    <w:rsid w:val="00C1251B"/>
    <w:rsid w:val="00C12667"/>
    <w:rsid w:val="00C12E8E"/>
    <w:rsid w:val="00C135B6"/>
    <w:rsid w:val="00C13D25"/>
    <w:rsid w:val="00C13D75"/>
    <w:rsid w:val="00C13E63"/>
    <w:rsid w:val="00C16512"/>
    <w:rsid w:val="00C1717F"/>
    <w:rsid w:val="00C17DAF"/>
    <w:rsid w:val="00C21AAB"/>
    <w:rsid w:val="00C21B9D"/>
    <w:rsid w:val="00C2221C"/>
    <w:rsid w:val="00C2449D"/>
    <w:rsid w:val="00C245EA"/>
    <w:rsid w:val="00C24A67"/>
    <w:rsid w:val="00C256F6"/>
    <w:rsid w:val="00C25E97"/>
    <w:rsid w:val="00C3097E"/>
    <w:rsid w:val="00C31A47"/>
    <w:rsid w:val="00C327DA"/>
    <w:rsid w:val="00C32E95"/>
    <w:rsid w:val="00C33ACC"/>
    <w:rsid w:val="00C35ECC"/>
    <w:rsid w:val="00C3608D"/>
    <w:rsid w:val="00C361A8"/>
    <w:rsid w:val="00C41246"/>
    <w:rsid w:val="00C42589"/>
    <w:rsid w:val="00C43DC0"/>
    <w:rsid w:val="00C45E5F"/>
    <w:rsid w:val="00C46291"/>
    <w:rsid w:val="00C50F14"/>
    <w:rsid w:val="00C55099"/>
    <w:rsid w:val="00C56F3F"/>
    <w:rsid w:val="00C60756"/>
    <w:rsid w:val="00C614E5"/>
    <w:rsid w:val="00C63412"/>
    <w:rsid w:val="00C63EC8"/>
    <w:rsid w:val="00C643B4"/>
    <w:rsid w:val="00C64426"/>
    <w:rsid w:val="00C64E16"/>
    <w:rsid w:val="00C70185"/>
    <w:rsid w:val="00C70F62"/>
    <w:rsid w:val="00C71040"/>
    <w:rsid w:val="00C714D0"/>
    <w:rsid w:val="00C72ACB"/>
    <w:rsid w:val="00C74C43"/>
    <w:rsid w:val="00C77DC3"/>
    <w:rsid w:val="00C80F08"/>
    <w:rsid w:val="00C82F04"/>
    <w:rsid w:val="00C84C87"/>
    <w:rsid w:val="00C86B68"/>
    <w:rsid w:val="00C879AF"/>
    <w:rsid w:val="00C90252"/>
    <w:rsid w:val="00C90B17"/>
    <w:rsid w:val="00C90EF4"/>
    <w:rsid w:val="00C91779"/>
    <w:rsid w:val="00C92900"/>
    <w:rsid w:val="00C92BAD"/>
    <w:rsid w:val="00C92D34"/>
    <w:rsid w:val="00C92D3E"/>
    <w:rsid w:val="00C92E6B"/>
    <w:rsid w:val="00C95AF7"/>
    <w:rsid w:val="00C95D58"/>
    <w:rsid w:val="00C975F8"/>
    <w:rsid w:val="00CA015A"/>
    <w:rsid w:val="00CA066D"/>
    <w:rsid w:val="00CA3E24"/>
    <w:rsid w:val="00CA6B23"/>
    <w:rsid w:val="00CB17AA"/>
    <w:rsid w:val="00CB4D2E"/>
    <w:rsid w:val="00CB5640"/>
    <w:rsid w:val="00CB7591"/>
    <w:rsid w:val="00CC1AA3"/>
    <w:rsid w:val="00CC53CD"/>
    <w:rsid w:val="00CC6C97"/>
    <w:rsid w:val="00CD086E"/>
    <w:rsid w:val="00CD2428"/>
    <w:rsid w:val="00CD3B13"/>
    <w:rsid w:val="00CD4486"/>
    <w:rsid w:val="00CE1DB2"/>
    <w:rsid w:val="00CE392F"/>
    <w:rsid w:val="00CE3D60"/>
    <w:rsid w:val="00CE4834"/>
    <w:rsid w:val="00CE4ECB"/>
    <w:rsid w:val="00CE6B76"/>
    <w:rsid w:val="00CE71E4"/>
    <w:rsid w:val="00CE7321"/>
    <w:rsid w:val="00CF09DE"/>
    <w:rsid w:val="00CF2308"/>
    <w:rsid w:val="00CF47EA"/>
    <w:rsid w:val="00CF507E"/>
    <w:rsid w:val="00CF5E22"/>
    <w:rsid w:val="00D0083A"/>
    <w:rsid w:val="00D014FE"/>
    <w:rsid w:val="00D05C28"/>
    <w:rsid w:val="00D06A44"/>
    <w:rsid w:val="00D074D1"/>
    <w:rsid w:val="00D07B7A"/>
    <w:rsid w:val="00D07DFD"/>
    <w:rsid w:val="00D144D4"/>
    <w:rsid w:val="00D151EB"/>
    <w:rsid w:val="00D170C5"/>
    <w:rsid w:val="00D200DC"/>
    <w:rsid w:val="00D22C2C"/>
    <w:rsid w:val="00D2731C"/>
    <w:rsid w:val="00D2758C"/>
    <w:rsid w:val="00D300E0"/>
    <w:rsid w:val="00D301AB"/>
    <w:rsid w:val="00D30392"/>
    <w:rsid w:val="00D313C3"/>
    <w:rsid w:val="00D33587"/>
    <w:rsid w:val="00D337D3"/>
    <w:rsid w:val="00D33DE3"/>
    <w:rsid w:val="00D34A0C"/>
    <w:rsid w:val="00D3649D"/>
    <w:rsid w:val="00D374CD"/>
    <w:rsid w:val="00D434BC"/>
    <w:rsid w:val="00D43C85"/>
    <w:rsid w:val="00D44F6C"/>
    <w:rsid w:val="00D474CC"/>
    <w:rsid w:val="00D47DCF"/>
    <w:rsid w:val="00D5352F"/>
    <w:rsid w:val="00D54381"/>
    <w:rsid w:val="00D559CD"/>
    <w:rsid w:val="00D60711"/>
    <w:rsid w:val="00D60FDA"/>
    <w:rsid w:val="00D6105C"/>
    <w:rsid w:val="00D613C8"/>
    <w:rsid w:val="00D618BA"/>
    <w:rsid w:val="00D650CE"/>
    <w:rsid w:val="00D65739"/>
    <w:rsid w:val="00D671EE"/>
    <w:rsid w:val="00D7024D"/>
    <w:rsid w:val="00D71719"/>
    <w:rsid w:val="00D721EA"/>
    <w:rsid w:val="00D74622"/>
    <w:rsid w:val="00D776DA"/>
    <w:rsid w:val="00D812D5"/>
    <w:rsid w:val="00D8193E"/>
    <w:rsid w:val="00D8265F"/>
    <w:rsid w:val="00D8758B"/>
    <w:rsid w:val="00D87781"/>
    <w:rsid w:val="00D92479"/>
    <w:rsid w:val="00D942B3"/>
    <w:rsid w:val="00D94863"/>
    <w:rsid w:val="00D96756"/>
    <w:rsid w:val="00D96B91"/>
    <w:rsid w:val="00DA0756"/>
    <w:rsid w:val="00DA130B"/>
    <w:rsid w:val="00DA1A53"/>
    <w:rsid w:val="00DA3912"/>
    <w:rsid w:val="00DA55A4"/>
    <w:rsid w:val="00DA7D09"/>
    <w:rsid w:val="00DB0085"/>
    <w:rsid w:val="00DB1083"/>
    <w:rsid w:val="00DB2F6D"/>
    <w:rsid w:val="00DB4F97"/>
    <w:rsid w:val="00DB546F"/>
    <w:rsid w:val="00DC2630"/>
    <w:rsid w:val="00DC49E9"/>
    <w:rsid w:val="00DC55E4"/>
    <w:rsid w:val="00DC7D71"/>
    <w:rsid w:val="00DD1038"/>
    <w:rsid w:val="00DD188C"/>
    <w:rsid w:val="00DD29A3"/>
    <w:rsid w:val="00DD48EE"/>
    <w:rsid w:val="00DD5490"/>
    <w:rsid w:val="00DD6AC5"/>
    <w:rsid w:val="00DD7BA1"/>
    <w:rsid w:val="00DE0B96"/>
    <w:rsid w:val="00DE0FCE"/>
    <w:rsid w:val="00DE10B9"/>
    <w:rsid w:val="00DE7216"/>
    <w:rsid w:val="00DF0B13"/>
    <w:rsid w:val="00DF2DCC"/>
    <w:rsid w:val="00DF2EB8"/>
    <w:rsid w:val="00DF39A7"/>
    <w:rsid w:val="00DF3A50"/>
    <w:rsid w:val="00DF4A94"/>
    <w:rsid w:val="00DF5DEA"/>
    <w:rsid w:val="00DF6003"/>
    <w:rsid w:val="00DF7719"/>
    <w:rsid w:val="00DF7D5D"/>
    <w:rsid w:val="00E00095"/>
    <w:rsid w:val="00E02139"/>
    <w:rsid w:val="00E02A57"/>
    <w:rsid w:val="00E066C3"/>
    <w:rsid w:val="00E067D0"/>
    <w:rsid w:val="00E07424"/>
    <w:rsid w:val="00E07457"/>
    <w:rsid w:val="00E102C3"/>
    <w:rsid w:val="00E10785"/>
    <w:rsid w:val="00E10C1C"/>
    <w:rsid w:val="00E10D8C"/>
    <w:rsid w:val="00E113CD"/>
    <w:rsid w:val="00E12D15"/>
    <w:rsid w:val="00E1353A"/>
    <w:rsid w:val="00E14F9B"/>
    <w:rsid w:val="00E1502D"/>
    <w:rsid w:val="00E1564B"/>
    <w:rsid w:val="00E159FF"/>
    <w:rsid w:val="00E173D7"/>
    <w:rsid w:val="00E208A0"/>
    <w:rsid w:val="00E20A97"/>
    <w:rsid w:val="00E21F8D"/>
    <w:rsid w:val="00E23E3F"/>
    <w:rsid w:val="00E24CA7"/>
    <w:rsid w:val="00E25B49"/>
    <w:rsid w:val="00E264AF"/>
    <w:rsid w:val="00E31EFE"/>
    <w:rsid w:val="00E343CA"/>
    <w:rsid w:val="00E35C69"/>
    <w:rsid w:val="00E371EA"/>
    <w:rsid w:val="00E41512"/>
    <w:rsid w:val="00E463D3"/>
    <w:rsid w:val="00E55BCA"/>
    <w:rsid w:val="00E56706"/>
    <w:rsid w:val="00E56C55"/>
    <w:rsid w:val="00E62C45"/>
    <w:rsid w:val="00E64429"/>
    <w:rsid w:val="00E6701E"/>
    <w:rsid w:val="00E677DD"/>
    <w:rsid w:val="00E679A5"/>
    <w:rsid w:val="00E71688"/>
    <w:rsid w:val="00E7208D"/>
    <w:rsid w:val="00E73CC2"/>
    <w:rsid w:val="00E7594B"/>
    <w:rsid w:val="00E7748E"/>
    <w:rsid w:val="00E82000"/>
    <w:rsid w:val="00E82365"/>
    <w:rsid w:val="00E853E5"/>
    <w:rsid w:val="00E866DE"/>
    <w:rsid w:val="00E8795E"/>
    <w:rsid w:val="00E907B1"/>
    <w:rsid w:val="00E91BCA"/>
    <w:rsid w:val="00E93D9D"/>
    <w:rsid w:val="00EA1D54"/>
    <w:rsid w:val="00EA7981"/>
    <w:rsid w:val="00EA7E34"/>
    <w:rsid w:val="00EB1DB6"/>
    <w:rsid w:val="00EB4688"/>
    <w:rsid w:val="00EB6C07"/>
    <w:rsid w:val="00EC028D"/>
    <w:rsid w:val="00EC092B"/>
    <w:rsid w:val="00EC12CB"/>
    <w:rsid w:val="00EC1AD9"/>
    <w:rsid w:val="00EC1AF3"/>
    <w:rsid w:val="00EC3509"/>
    <w:rsid w:val="00EC45CF"/>
    <w:rsid w:val="00EC4729"/>
    <w:rsid w:val="00ED10B9"/>
    <w:rsid w:val="00ED1BA1"/>
    <w:rsid w:val="00ED5BAD"/>
    <w:rsid w:val="00ED633B"/>
    <w:rsid w:val="00ED6680"/>
    <w:rsid w:val="00ED7B9F"/>
    <w:rsid w:val="00EE0E5B"/>
    <w:rsid w:val="00EE2BBB"/>
    <w:rsid w:val="00EE3FDE"/>
    <w:rsid w:val="00EE4312"/>
    <w:rsid w:val="00EE478C"/>
    <w:rsid w:val="00EE7AD7"/>
    <w:rsid w:val="00EF0158"/>
    <w:rsid w:val="00EF2D8B"/>
    <w:rsid w:val="00EF44AF"/>
    <w:rsid w:val="00EF4B19"/>
    <w:rsid w:val="00EF69DC"/>
    <w:rsid w:val="00EF6FF2"/>
    <w:rsid w:val="00EF7B32"/>
    <w:rsid w:val="00EF7C6E"/>
    <w:rsid w:val="00F02CD0"/>
    <w:rsid w:val="00F03D48"/>
    <w:rsid w:val="00F050EE"/>
    <w:rsid w:val="00F1132C"/>
    <w:rsid w:val="00F130CC"/>
    <w:rsid w:val="00F15DD5"/>
    <w:rsid w:val="00F1669B"/>
    <w:rsid w:val="00F17AD7"/>
    <w:rsid w:val="00F17D4B"/>
    <w:rsid w:val="00F20BBB"/>
    <w:rsid w:val="00F23139"/>
    <w:rsid w:val="00F266BA"/>
    <w:rsid w:val="00F30D08"/>
    <w:rsid w:val="00F35EB0"/>
    <w:rsid w:val="00F41196"/>
    <w:rsid w:val="00F41F14"/>
    <w:rsid w:val="00F4668A"/>
    <w:rsid w:val="00F50BF2"/>
    <w:rsid w:val="00F517E5"/>
    <w:rsid w:val="00F51CFB"/>
    <w:rsid w:val="00F53E72"/>
    <w:rsid w:val="00F57D36"/>
    <w:rsid w:val="00F6070E"/>
    <w:rsid w:val="00F617A8"/>
    <w:rsid w:val="00F61A67"/>
    <w:rsid w:val="00F61B32"/>
    <w:rsid w:val="00F62794"/>
    <w:rsid w:val="00F63FA0"/>
    <w:rsid w:val="00F66025"/>
    <w:rsid w:val="00F66CD5"/>
    <w:rsid w:val="00F672D7"/>
    <w:rsid w:val="00F676E5"/>
    <w:rsid w:val="00F67A9A"/>
    <w:rsid w:val="00F70F4E"/>
    <w:rsid w:val="00F73113"/>
    <w:rsid w:val="00F73C0F"/>
    <w:rsid w:val="00F75FC4"/>
    <w:rsid w:val="00F763B6"/>
    <w:rsid w:val="00F77997"/>
    <w:rsid w:val="00F82A8F"/>
    <w:rsid w:val="00F82BB0"/>
    <w:rsid w:val="00F84F99"/>
    <w:rsid w:val="00F85981"/>
    <w:rsid w:val="00F8698E"/>
    <w:rsid w:val="00F87263"/>
    <w:rsid w:val="00F93725"/>
    <w:rsid w:val="00F93CB8"/>
    <w:rsid w:val="00F93E95"/>
    <w:rsid w:val="00F958DF"/>
    <w:rsid w:val="00FA3EC3"/>
    <w:rsid w:val="00FA4698"/>
    <w:rsid w:val="00FA4890"/>
    <w:rsid w:val="00FA4EAE"/>
    <w:rsid w:val="00FA7212"/>
    <w:rsid w:val="00FB0930"/>
    <w:rsid w:val="00FB1A69"/>
    <w:rsid w:val="00FB4036"/>
    <w:rsid w:val="00FB5577"/>
    <w:rsid w:val="00FB614B"/>
    <w:rsid w:val="00FB72EB"/>
    <w:rsid w:val="00FB77FA"/>
    <w:rsid w:val="00FC01E6"/>
    <w:rsid w:val="00FC0A7E"/>
    <w:rsid w:val="00FC3C70"/>
    <w:rsid w:val="00FC4A73"/>
    <w:rsid w:val="00FC559C"/>
    <w:rsid w:val="00FC564A"/>
    <w:rsid w:val="00FC7F0D"/>
    <w:rsid w:val="00FD1176"/>
    <w:rsid w:val="00FD14E4"/>
    <w:rsid w:val="00FD23A5"/>
    <w:rsid w:val="00FD5344"/>
    <w:rsid w:val="00FD7AAD"/>
    <w:rsid w:val="00FD7DFD"/>
    <w:rsid w:val="00FE07F1"/>
    <w:rsid w:val="00FE0F65"/>
    <w:rsid w:val="00FE2953"/>
    <w:rsid w:val="00FE30AD"/>
    <w:rsid w:val="00FE472D"/>
    <w:rsid w:val="00FE5FC5"/>
    <w:rsid w:val="00FE62CF"/>
    <w:rsid w:val="00FE645A"/>
    <w:rsid w:val="00FE7994"/>
    <w:rsid w:val="00FE7D45"/>
    <w:rsid w:val="00FF2663"/>
    <w:rsid w:val="00FF3FF6"/>
    <w:rsid w:val="00FF4A05"/>
    <w:rsid w:val="00FF4FBB"/>
    <w:rsid w:val="00FF6102"/>
    <w:rsid w:val="00FF611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D05E728"/>
  <w15:docId w15:val="{BAF8D06D-ED9E-4ACC-A4A8-6D06A587D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CF5E22"/>
    <w:pPr>
      <w:keepNext/>
      <w:keepLines/>
      <w:spacing w:before="480" w:after="240"/>
      <w:outlineLvl w:val="0"/>
    </w:pPr>
    <w:rPr>
      <w:rFonts w:eastAsiaTheme="majorEastAsia" w:cstheme="majorBidi"/>
      <w:b/>
      <w:bCs/>
      <w:sz w:val="32"/>
      <w:szCs w:val="32"/>
    </w:rPr>
  </w:style>
  <w:style w:type="paragraph" w:styleId="Heading2">
    <w:name w:val="heading 2"/>
    <w:basedOn w:val="Heading4"/>
    <w:next w:val="Normal"/>
    <w:link w:val="Heading2Char"/>
    <w:uiPriority w:val="9"/>
    <w:unhideWhenUsed/>
    <w:qFormat/>
    <w:rsid w:val="00CF5E22"/>
    <w:pPr>
      <w:outlineLvl w:val="1"/>
    </w:pPr>
    <w:rPr>
      <w:i w:val="0"/>
      <w:sz w:val="28"/>
      <w:szCs w:val="24"/>
    </w:rPr>
  </w:style>
  <w:style w:type="paragraph" w:styleId="Heading3">
    <w:name w:val="heading 3"/>
    <w:basedOn w:val="Normal"/>
    <w:next w:val="Normal"/>
    <w:link w:val="Heading3Char"/>
    <w:uiPriority w:val="9"/>
    <w:unhideWhenUsed/>
    <w:qFormat/>
    <w:rsid w:val="00CF5E22"/>
    <w:pPr>
      <w:spacing w:before="240"/>
      <w:outlineLvl w:val="2"/>
    </w:pPr>
    <w:rPr>
      <w:b/>
      <w:i/>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E22"/>
    <w:rPr>
      <w:rFonts w:eastAsiaTheme="majorEastAsia" w:cstheme="majorBidi"/>
      <w:b/>
      <w:bCs/>
      <w:sz w:val="32"/>
      <w:szCs w:val="32"/>
    </w:rPr>
  </w:style>
  <w:style w:type="character" w:customStyle="1" w:styleId="Heading2Char">
    <w:name w:val="Heading 2 Char"/>
    <w:basedOn w:val="DefaultParagraphFont"/>
    <w:link w:val="Heading2"/>
    <w:uiPriority w:val="9"/>
    <w:rsid w:val="00CF5E22"/>
    <w:rPr>
      <w:b/>
      <w:sz w:val="28"/>
      <w:szCs w:val="24"/>
    </w:rPr>
  </w:style>
  <w:style w:type="character" w:customStyle="1" w:styleId="Heading3Char">
    <w:name w:val="Heading 3 Char"/>
    <w:basedOn w:val="DefaultParagraphFont"/>
    <w:link w:val="Heading3"/>
    <w:uiPriority w:val="9"/>
    <w:rsid w:val="00CF5E22"/>
    <w:rPr>
      <w:b/>
      <w:i/>
      <w:sz w:val="24"/>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unhideWhenUsed/>
    <w:rsid w:val="00E677DD"/>
    <w:rPr>
      <w:sz w:val="20"/>
      <w:szCs w:val="20"/>
    </w:rPr>
  </w:style>
  <w:style w:type="character" w:customStyle="1" w:styleId="CommentTextChar">
    <w:name w:val="Comment Text Char"/>
    <w:basedOn w:val="DefaultParagraphFont"/>
    <w:link w:val="CommentText"/>
    <w:uiPriority w:val="99"/>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3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F5E22"/>
    <w:pPr>
      <w:spacing w:after="20"/>
    </w:pPr>
    <w:rPr>
      <w:i w:val="0"/>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unhideWhenUsed/>
    <w:rsid w:val="008142B4"/>
    <w:pPr>
      <w:spacing w:after="0"/>
    </w:pPr>
    <w:rPr>
      <w:sz w:val="18"/>
      <w:szCs w:val="20"/>
    </w:rPr>
  </w:style>
  <w:style w:type="character" w:customStyle="1" w:styleId="FootnoteTextChar">
    <w:name w:val="Footnote Text Char"/>
    <w:basedOn w:val="DefaultParagraphFont"/>
    <w:link w:val="FootnoteText"/>
    <w:uiPriority w:val="99"/>
    <w:rsid w:val="008142B4"/>
    <w:rPr>
      <w:sz w:val="18"/>
      <w:szCs w:val="20"/>
    </w:rPr>
  </w:style>
  <w:style w:type="character" w:styleId="FootnoteReference">
    <w:name w:val="footnote reference"/>
    <w:basedOn w:val="DefaultParagraphFont"/>
    <w:uiPriority w:val="99"/>
    <w:unhideWhenUsed/>
    <w:rsid w:val="008142B4"/>
    <w:rPr>
      <w:vertAlign w:val="superscript"/>
    </w:rPr>
  </w:style>
  <w:style w:type="character" w:customStyle="1" w:styleId="TabletitleChar">
    <w:name w:val="Table title Char"/>
    <w:basedOn w:val="Heading4Char"/>
    <w:link w:val="Tabletitle"/>
    <w:rsid w:val="00CF5E22"/>
    <w:rPr>
      <w:b/>
      <w:sz w:val="24"/>
      <w:szCs w:val="24"/>
    </w:rPr>
  </w:style>
  <w:style w:type="paragraph" w:customStyle="1" w:styleId="Figuretitle">
    <w:name w:val="Figure title"/>
    <w:basedOn w:val="Tabletitle"/>
    <w:link w:val="FiguretitleChar"/>
    <w:qFormat/>
    <w:rsid w:val="0081671C"/>
    <w:pPr>
      <w:spacing w:before="60" w:after="60"/>
    </w:pPr>
    <w:rPr>
      <w:lang w:val="en-US"/>
    </w:rPr>
  </w:style>
  <w:style w:type="character" w:customStyle="1" w:styleId="FiguretitleChar">
    <w:name w:val="Figure title Char"/>
    <w:basedOn w:val="TabletitleChar"/>
    <w:link w:val="Figuretitle"/>
    <w:rsid w:val="0081671C"/>
    <w:rPr>
      <w:b/>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aliases w:val="BulletPoints"/>
    <w:basedOn w:val="Normal"/>
    <w:link w:val="ListParagraphChar"/>
    <w:uiPriority w:val="34"/>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paragraph" w:customStyle="1" w:styleId="Title2">
    <w:name w:val="Title 2"/>
    <w:basedOn w:val="Heading1"/>
    <w:link w:val="Title2Char"/>
    <w:qFormat/>
    <w:rsid w:val="00F73113"/>
    <w:rPr>
      <w:sz w:val="40"/>
    </w:rPr>
  </w:style>
  <w:style w:type="paragraph" w:customStyle="1" w:styleId="Meetingdate">
    <w:name w:val="Meeting date"/>
    <w:basedOn w:val="Heading4"/>
    <w:link w:val="MeetingdateChar"/>
    <w:qFormat/>
    <w:rsid w:val="00F73113"/>
    <w:rPr>
      <w:sz w:val="24"/>
    </w:rPr>
  </w:style>
  <w:style w:type="character" w:customStyle="1" w:styleId="Title2Char">
    <w:name w:val="Title 2 Char"/>
    <w:basedOn w:val="Heading1Char"/>
    <w:link w:val="Title2"/>
    <w:rsid w:val="00F73113"/>
    <w:rPr>
      <w:rFonts w:eastAsiaTheme="majorEastAsia" w:cstheme="majorBidi"/>
      <w:b/>
      <w:bCs/>
      <w:sz w:val="40"/>
      <w:szCs w:val="32"/>
    </w:rPr>
  </w:style>
  <w:style w:type="character" w:customStyle="1" w:styleId="MeetingdateChar">
    <w:name w:val="Meeting date Char"/>
    <w:basedOn w:val="Heading4Char"/>
    <w:link w:val="Meetingdate"/>
    <w:rsid w:val="00F73113"/>
    <w:rPr>
      <w:b/>
      <w:i/>
      <w:sz w:val="24"/>
      <w:szCs w:val="32"/>
    </w:rPr>
  </w:style>
  <w:style w:type="paragraph" w:customStyle="1" w:styleId="Default">
    <w:name w:val="Default"/>
    <w:basedOn w:val="Normal"/>
    <w:rsid w:val="001460C4"/>
    <w:pPr>
      <w:autoSpaceDE w:val="0"/>
      <w:autoSpaceDN w:val="0"/>
      <w:spacing w:after="0"/>
    </w:pPr>
    <w:rPr>
      <w:rFonts w:ascii="Calibri" w:eastAsiaTheme="minorHAnsi" w:hAnsi="Calibri" w:cs="Times New Roman"/>
      <w:color w:val="000000"/>
      <w:lang w:eastAsia="en-US"/>
    </w:rPr>
  </w:style>
  <w:style w:type="character" w:customStyle="1" w:styleId="ListParagraphChar">
    <w:name w:val="List Paragraph Char"/>
    <w:aliases w:val="BulletPoints Char"/>
    <w:link w:val="ListParagraph"/>
    <w:uiPriority w:val="34"/>
    <w:locked/>
    <w:rsid w:val="000C7395"/>
    <w:rPr>
      <w:sz w:val="24"/>
      <w:szCs w:val="24"/>
    </w:rPr>
  </w:style>
  <w:style w:type="character" w:styleId="EndnoteReference">
    <w:name w:val="endnote reference"/>
    <w:basedOn w:val="DefaultParagraphFont"/>
    <w:uiPriority w:val="99"/>
    <w:semiHidden/>
    <w:unhideWhenUsed/>
    <w:rsid w:val="000C7395"/>
    <w:rPr>
      <w:vertAlign w:val="superscript"/>
    </w:rPr>
  </w:style>
  <w:style w:type="paragraph" w:styleId="EndnoteText">
    <w:name w:val="endnote text"/>
    <w:basedOn w:val="Normal"/>
    <w:link w:val="EndnoteTextChar"/>
    <w:uiPriority w:val="99"/>
    <w:unhideWhenUsed/>
    <w:rsid w:val="000C7395"/>
    <w:pPr>
      <w:spacing w:after="0"/>
    </w:pPr>
    <w:rPr>
      <w:sz w:val="20"/>
      <w:szCs w:val="20"/>
    </w:rPr>
  </w:style>
  <w:style w:type="character" w:customStyle="1" w:styleId="EndnoteTextChar">
    <w:name w:val="Endnote Text Char"/>
    <w:basedOn w:val="DefaultParagraphFont"/>
    <w:link w:val="EndnoteText"/>
    <w:uiPriority w:val="99"/>
    <w:rsid w:val="000C7395"/>
    <w:rPr>
      <w:sz w:val="20"/>
      <w:szCs w:val="20"/>
    </w:rPr>
  </w:style>
  <w:style w:type="character" w:styleId="Emphasis">
    <w:name w:val="Emphasis"/>
    <w:basedOn w:val="DefaultParagraphFont"/>
    <w:uiPriority w:val="20"/>
    <w:qFormat/>
    <w:rsid w:val="00D92479"/>
    <w:rPr>
      <w:i/>
      <w:iCs/>
    </w:rPr>
  </w:style>
  <w:style w:type="paragraph" w:styleId="NormalWeb">
    <w:name w:val="Normal (Web)"/>
    <w:basedOn w:val="Normal"/>
    <w:uiPriority w:val="99"/>
    <w:semiHidden/>
    <w:unhideWhenUsed/>
    <w:rsid w:val="0095396C"/>
    <w:pPr>
      <w:spacing w:before="100" w:beforeAutospacing="1" w:after="100" w:afterAutospacing="1"/>
    </w:pPr>
    <w:rPr>
      <w:rFonts w:ascii="Times New Roman" w:eastAsia="Times New Roman" w:hAnsi="Times New Roman" w:cs="Times New Roman"/>
    </w:rPr>
  </w:style>
  <w:style w:type="paragraph" w:customStyle="1" w:styleId="TableFooter">
    <w:name w:val="Table Footer"/>
    <w:basedOn w:val="Normal"/>
    <w:link w:val="TableFooterChar"/>
    <w:qFormat/>
    <w:rsid w:val="00D074D1"/>
    <w:pPr>
      <w:widowControl w:val="0"/>
      <w:spacing w:after="0"/>
      <w:jc w:val="both"/>
    </w:pPr>
    <w:rPr>
      <w:rFonts w:ascii="Arial Narrow" w:eastAsia="SimSun" w:hAnsi="Arial Narrow" w:cs="Arial"/>
      <w:snapToGrid w:val="0"/>
      <w:sz w:val="18"/>
      <w:szCs w:val="20"/>
      <w:lang w:eastAsia="en-US"/>
    </w:rPr>
  </w:style>
  <w:style w:type="table" w:customStyle="1" w:styleId="TableGrid1">
    <w:name w:val="Table Grid1"/>
    <w:basedOn w:val="TableNormal"/>
    <w:next w:val="TableGrid"/>
    <w:uiPriority w:val="59"/>
    <w:rsid w:val="008C30DC"/>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95AF7"/>
    <w:rPr>
      <w:color w:val="800080" w:themeColor="followedHyperlink"/>
      <w:u w:val="single"/>
    </w:rPr>
  </w:style>
  <w:style w:type="paragraph" w:styleId="Revision">
    <w:name w:val="Revision"/>
    <w:hidden/>
    <w:uiPriority w:val="99"/>
    <w:semiHidden/>
    <w:rsid w:val="00E93D9D"/>
    <w:pPr>
      <w:spacing w:after="0" w:line="240" w:lineRule="auto"/>
    </w:pPr>
    <w:rPr>
      <w:sz w:val="24"/>
      <w:szCs w:val="24"/>
    </w:rPr>
  </w:style>
  <w:style w:type="paragraph" w:customStyle="1" w:styleId="TableHeading0">
    <w:name w:val="TableHeading"/>
    <w:basedOn w:val="Normal"/>
    <w:uiPriority w:val="99"/>
    <w:qFormat/>
    <w:rsid w:val="00C25E97"/>
    <w:pPr>
      <w:keepNext/>
      <w:spacing w:after="60"/>
    </w:pPr>
    <w:rPr>
      <w:rFonts w:ascii="Arial Narrow" w:eastAsia="Times New Roman" w:hAnsi="Arial Narrow" w:cs="Arial Narrow"/>
      <w:b/>
      <w:bCs/>
      <w:sz w:val="20"/>
      <w:szCs w:val="20"/>
      <w:lang w:eastAsia="en-US"/>
    </w:rPr>
  </w:style>
  <w:style w:type="paragraph" w:customStyle="1" w:styleId="TableText">
    <w:name w:val="Table Text"/>
    <w:basedOn w:val="Normal"/>
    <w:link w:val="TableTextChar"/>
    <w:uiPriority w:val="99"/>
    <w:qFormat/>
    <w:rsid w:val="00C25E97"/>
    <w:pPr>
      <w:keepNext/>
      <w:spacing w:before="40" w:after="40"/>
    </w:pPr>
    <w:rPr>
      <w:rFonts w:ascii="Arial Narrow" w:eastAsiaTheme="minorHAnsi" w:hAnsi="Arial Narrow"/>
      <w:sz w:val="20"/>
      <w:szCs w:val="22"/>
      <w:lang w:eastAsia="en-US"/>
    </w:rPr>
  </w:style>
  <w:style w:type="character" w:customStyle="1" w:styleId="TableFooterChar">
    <w:name w:val="Table Footer Char"/>
    <w:link w:val="TableFooter"/>
    <w:rsid w:val="00C25E97"/>
    <w:rPr>
      <w:rFonts w:ascii="Arial Narrow" w:eastAsia="SimSun" w:hAnsi="Arial Narrow" w:cs="Arial"/>
      <w:snapToGrid w:val="0"/>
      <w:sz w:val="18"/>
      <w:szCs w:val="20"/>
      <w:lang w:eastAsia="en-US"/>
    </w:rPr>
  </w:style>
  <w:style w:type="character" w:customStyle="1" w:styleId="TableTextChar">
    <w:name w:val="Table Text Char"/>
    <w:link w:val="TableText"/>
    <w:uiPriority w:val="99"/>
    <w:rsid w:val="00C25E97"/>
    <w:rPr>
      <w:rFonts w:ascii="Arial Narrow" w:eastAsiaTheme="minorHAnsi" w:hAnsi="Arial Narrow"/>
      <w:sz w:val="20"/>
      <w:lang w:eastAsia="en-US"/>
    </w:rPr>
  </w:style>
  <w:style w:type="paragraph" w:customStyle="1" w:styleId="removeelement">
    <w:name w:val="removeelement"/>
    <w:basedOn w:val="Normal"/>
    <w:rsid w:val="00A4253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246134">
      <w:bodyDiv w:val="1"/>
      <w:marLeft w:val="0"/>
      <w:marRight w:val="0"/>
      <w:marTop w:val="0"/>
      <w:marBottom w:val="0"/>
      <w:divBdr>
        <w:top w:val="none" w:sz="0" w:space="0" w:color="auto"/>
        <w:left w:val="none" w:sz="0" w:space="0" w:color="auto"/>
        <w:bottom w:val="none" w:sz="0" w:space="0" w:color="auto"/>
        <w:right w:val="none" w:sz="0" w:space="0" w:color="auto"/>
      </w:divBdr>
    </w:div>
    <w:div w:id="169757962">
      <w:bodyDiv w:val="1"/>
      <w:marLeft w:val="0"/>
      <w:marRight w:val="0"/>
      <w:marTop w:val="0"/>
      <w:marBottom w:val="0"/>
      <w:divBdr>
        <w:top w:val="none" w:sz="0" w:space="0" w:color="auto"/>
        <w:left w:val="none" w:sz="0" w:space="0" w:color="auto"/>
        <w:bottom w:val="none" w:sz="0" w:space="0" w:color="auto"/>
        <w:right w:val="none" w:sz="0" w:space="0" w:color="auto"/>
      </w:divBdr>
      <w:divsChild>
        <w:div w:id="337269678">
          <w:marLeft w:val="0"/>
          <w:marRight w:val="0"/>
          <w:marTop w:val="0"/>
          <w:marBottom w:val="0"/>
          <w:divBdr>
            <w:top w:val="none" w:sz="0" w:space="0" w:color="auto"/>
            <w:left w:val="none" w:sz="0" w:space="0" w:color="auto"/>
            <w:bottom w:val="none" w:sz="0" w:space="0" w:color="auto"/>
            <w:right w:val="none" w:sz="0" w:space="0" w:color="auto"/>
          </w:divBdr>
        </w:div>
        <w:div w:id="1328097873">
          <w:marLeft w:val="0"/>
          <w:marRight w:val="0"/>
          <w:marTop w:val="0"/>
          <w:marBottom w:val="0"/>
          <w:divBdr>
            <w:top w:val="none" w:sz="0" w:space="0" w:color="auto"/>
            <w:left w:val="none" w:sz="0" w:space="0" w:color="auto"/>
            <w:bottom w:val="none" w:sz="0" w:space="0" w:color="auto"/>
            <w:right w:val="none" w:sz="0" w:space="0" w:color="auto"/>
          </w:divBdr>
        </w:div>
      </w:divsChild>
    </w:div>
    <w:div w:id="224412136">
      <w:bodyDiv w:val="1"/>
      <w:marLeft w:val="0"/>
      <w:marRight w:val="0"/>
      <w:marTop w:val="0"/>
      <w:marBottom w:val="0"/>
      <w:divBdr>
        <w:top w:val="none" w:sz="0" w:space="0" w:color="auto"/>
        <w:left w:val="none" w:sz="0" w:space="0" w:color="auto"/>
        <w:bottom w:val="none" w:sz="0" w:space="0" w:color="auto"/>
        <w:right w:val="none" w:sz="0" w:space="0" w:color="auto"/>
      </w:divBdr>
    </w:div>
    <w:div w:id="312099871">
      <w:bodyDiv w:val="1"/>
      <w:marLeft w:val="0"/>
      <w:marRight w:val="0"/>
      <w:marTop w:val="0"/>
      <w:marBottom w:val="0"/>
      <w:divBdr>
        <w:top w:val="none" w:sz="0" w:space="0" w:color="auto"/>
        <w:left w:val="none" w:sz="0" w:space="0" w:color="auto"/>
        <w:bottom w:val="none" w:sz="0" w:space="0" w:color="auto"/>
        <w:right w:val="none" w:sz="0" w:space="0" w:color="auto"/>
      </w:divBdr>
    </w:div>
    <w:div w:id="395667520">
      <w:bodyDiv w:val="1"/>
      <w:marLeft w:val="0"/>
      <w:marRight w:val="0"/>
      <w:marTop w:val="0"/>
      <w:marBottom w:val="0"/>
      <w:divBdr>
        <w:top w:val="none" w:sz="0" w:space="0" w:color="auto"/>
        <w:left w:val="none" w:sz="0" w:space="0" w:color="auto"/>
        <w:bottom w:val="none" w:sz="0" w:space="0" w:color="auto"/>
        <w:right w:val="none" w:sz="0" w:space="0" w:color="auto"/>
      </w:divBdr>
    </w:div>
    <w:div w:id="446387219">
      <w:bodyDiv w:val="1"/>
      <w:marLeft w:val="0"/>
      <w:marRight w:val="0"/>
      <w:marTop w:val="0"/>
      <w:marBottom w:val="0"/>
      <w:divBdr>
        <w:top w:val="none" w:sz="0" w:space="0" w:color="auto"/>
        <w:left w:val="none" w:sz="0" w:space="0" w:color="auto"/>
        <w:bottom w:val="none" w:sz="0" w:space="0" w:color="auto"/>
        <w:right w:val="none" w:sz="0" w:space="0" w:color="auto"/>
      </w:divBdr>
    </w:div>
    <w:div w:id="613754514">
      <w:bodyDiv w:val="1"/>
      <w:marLeft w:val="0"/>
      <w:marRight w:val="0"/>
      <w:marTop w:val="0"/>
      <w:marBottom w:val="0"/>
      <w:divBdr>
        <w:top w:val="none" w:sz="0" w:space="0" w:color="auto"/>
        <w:left w:val="none" w:sz="0" w:space="0" w:color="auto"/>
        <w:bottom w:val="none" w:sz="0" w:space="0" w:color="auto"/>
        <w:right w:val="none" w:sz="0" w:space="0" w:color="auto"/>
      </w:divBdr>
    </w:div>
    <w:div w:id="692464787">
      <w:bodyDiv w:val="1"/>
      <w:marLeft w:val="0"/>
      <w:marRight w:val="0"/>
      <w:marTop w:val="0"/>
      <w:marBottom w:val="0"/>
      <w:divBdr>
        <w:top w:val="none" w:sz="0" w:space="0" w:color="auto"/>
        <w:left w:val="none" w:sz="0" w:space="0" w:color="auto"/>
        <w:bottom w:val="none" w:sz="0" w:space="0" w:color="auto"/>
        <w:right w:val="none" w:sz="0" w:space="0" w:color="auto"/>
      </w:divBdr>
    </w:div>
    <w:div w:id="987979517">
      <w:bodyDiv w:val="1"/>
      <w:marLeft w:val="0"/>
      <w:marRight w:val="0"/>
      <w:marTop w:val="0"/>
      <w:marBottom w:val="0"/>
      <w:divBdr>
        <w:top w:val="none" w:sz="0" w:space="0" w:color="auto"/>
        <w:left w:val="none" w:sz="0" w:space="0" w:color="auto"/>
        <w:bottom w:val="none" w:sz="0" w:space="0" w:color="auto"/>
        <w:right w:val="none" w:sz="0" w:space="0" w:color="auto"/>
      </w:divBdr>
    </w:div>
    <w:div w:id="1038579576">
      <w:bodyDiv w:val="1"/>
      <w:marLeft w:val="0"/>
      <w:marRight w:val="0"/>
      <w:marTop w:val="0"/>
      <w:marBottom w:val="0"/>
      <w:divBdr>
        <w:top w:val="none" w:sz="0" w:space="0" w:color="auto"/>
        <w:left w:val="none" w:sz="0" w:space="0" w:color="auto"/>
        <w:bottom w:val="none" w:sz="0" w:space="0" w:color="auto"/>
        <w:right w:val="none" w:sz="0" w:space="0" w:color="auto"/>
      </w:divBdr>
    </w:div>
    <w:div w:id="1043601763">
      <w:bodyDiv w:val="1"/>
      <w:marLeft w:val="0"/>
      <w:marRight w:val="0"/>
      <w:marTop w:val="0"/>
      <w:marBottom w:val="0"/>
      <w:divBdr>
        <w:top w:val="none" w:sz="0" w:space="0" w:color="auto"/>
        <w:left w:val="none" w:sz="0" w:space="0" w:color="auto"/>
        <w:bottom w:val="none" w:sz="0" w:space="0" w:color="auto"/>
        <w:right w:val="none" w:sz="0" w:space="0" w:color="auto"/>
      </w:divBdr>
    </w:div>
    <w:div w:id="1045638032">
      <w:bodyDiv w:val="1"/>
      <w:marLeft w:val="0"/>
      <w:marRight w:val="0"/>
      <w:marTop w:val="0"/>
      <w:marBottom w:val="0"/>
      <w:divBdr>
        <w:top w:val="none" w:sz="0" w:space="0" w:color="auto"/>
        <w:left w:val="none" w:sz="0" w:space="0" w:color="auto"/>
        <w:bottom w:val="none" w:sz="0" w:space="0" w:color="auto"/>
        <w:right w:val="none" w:sz="0" w:space="0" w:color="auto"/>
      </w:divBdr>
    </w:div>
    <w:div w:id="1057896775">
      <w:bodyDiv w:val="1"/>
      <w:marLeft w:val="0"/>
      <w:marRight w:val="0"/>
      <w:marTop w:val="0"/>
      <w:marBottom w:val="0"/>
      <w:divBdr>
        <w:top w:val="none" w:sz="0" w:space="0" w:color="auto"/>
        <w:left w:val="none" w:sz="0" w:space="0" w:color="auto"/>
        <w:bottom w:val="none" w:sz="0" w:space="0" w:color="auto"/>
        <w:right w:val="none" w:sz="0" w:space="0" w:color="auto"/>
      </w:divBdr>
    </w:div>
    <w:div w:id="1111436557">
      <w:bodyDiv w:val="1"/>
      <w:marLeft w:val="0"/>
      <w:marRight w:val="0"/>
      <w:marTop w:val="0"/>
      <w:marBottom w:val="0"/>
      <w:divBdr>
        <w:top w:val="none" w:sz="0" w:space="0" w:color="auto"/>
        <w:left w:val="none" w:sz="0" w:space="0" w:color="auto"/>
        <w:bottom w:val="none" w:sz="0" w:space="0" w:color="auto"/>
        <w:right w:val="none" w:sz="0" w:space="0" w:color="auto"/>
      </w:divBdr>
    </w:div>
    <w:div w:id="1296838304">
      <w:bodyDiv w:val="1"/>
      <w:marLeft w:val="0"/>
      <w:marRight w:val="0"/>
      <w:marTop w:val="0"/>
      <w:marBottom w:val="0"/>
      <w:divBdr>
        <w:top w:val="none" w:sz="0" w:space="0" w:color="auto"/>
        <w:left w:val="none" w:sz="0" w:space="0" w:color="auto"/>
        <w:bottom w:val="none" w:sz="0" w:space="0" w:color="auto"/>
        <w:right w:val="none" w:sz="0" w:space="0" w:color="auto"/>
      </w:divBdr>
    </w:div>
    <w:div w:id="1385059859">
      <w:bodyDiv w:val="1"/>
      <w:marLeft w:val="0"/>
      <w:marRight w:val="0"/>
      <w:marTop w:val="0"/>
      <w:marBottom w:val="0"/>
      <w:divBdr>
        <w:top w:val="none" w:sz="0" w:space="0" w:color="auto"/>
        <w:left w:val="none" w:sz="0" w:space="0" w:color="auto"/>
        <w:bottom w:val="none" w:sz="0" w:space="0" w:color="auto"/>
        <w:right w:val="none" w:sz="0" w:space="0" w:color="auto"/>
      </w:divBdr>
    </w:div>
    <w:div w:id="1399783679">
      <w:bodyDiv w:val="1"/>
      <w:marLeft w:val="0"/>
      <w:marRight w:val="0"/>
      <w:marTop w:val="0"/>
      <w:marBottom w:val="0"/>
      <w:divBdr>
        <w:top w:val="none" w:sz="0" w:space="0" w:color="auto"/>
        <w:left w:val="none" w:sz="0" w:space="0" w:color="auto"/>
        <w:bottom w:val="none" w:sz="0" w:space="0" w:color="auto"/>
        <w:right w:val="none" w:sz="0" w:space="0" w:color="auto"/>
      </w:divBdr>
    </w:div>
    <w:div w:id="1521511223">
      <w:bodyDiv w:val="1"/>
      <w:marLeft w:val="0"/>
      <w:marRight w:val="0"/>
      <w:marTop w:val="0"/>
      <w:marBottom w:val="0"/>
      <w:divBdr>
        <w:top w:val="none" w:sz="0" w:space="0" w:color="auto"/>
        <w:left w:val="none" w:sz="0" w:space="0" w:color="auto"/>
        <w:bottom w:val="none" w:sz="0" w:space="0" w:color="auto"/>
        <w:right w:val="none" w:sz="0" w:space="0" w:color="auto"/>
      </w:divBdr>
    </w:div>
    <w:div w:id="1569269954">
      <w:bodyDiv w:val="1"/>
      <w:marLeft w:val="0"/>
      <w:marRight w:val="0"/>
      <w:marTop w:val="0"/>
      <w:marBottom w:val="0"/>
      <w:divBdr>
        <w:top w:val="none" w:sz="0" w:space="0" w:color="auto"/>
        <w:left w:val="none" w:sz="0" w:space="0" w:color="auto"/>
        <w:bottom w:val="none" w:sz="0" w:space="0" w:color="auto"/>
        <w:right w:val="none" w:sz="0" w:space="0" w:color="auto"/>
      </w:divBdr>
    </w:div>
    <w:div w:id="1639991030">
      <w:bodyDiv w:val="1"/>
      <w:marLeft w:val="0"/>
      <w:marRight w:val="0"/>
      <w:marTop w:val="0"/>
      <w:marBottom w:val="0"/>
      <w:divBdr>
        <w:top w:val="none" w:sz="0" w:space="0" w:color="auto"/>
        <w:left w:val="none" w:sz="0" w:space="0" w:color="auto"/>
        <w:bottom w:val="none" w:sz="0" w:space="0" w:color="auto"/>
        <w:right w:val="none" w:sz="0" w:space="0" w:color="auto"/>
      </w:divBdr>
    </w:div>
    <w:div w:id="1997605154">
      <w:bodyDiv w:val="1"/>
      <w:marLeft w:val="0"/>
      <w:marRight w:val="0"/>
      <w:marTop w:val="0"/>
      <w:marBottom w:val="0"/>
      <w:divBdr>
        <w:top w:val="none" w:sz="0" w:space="0" w:color="auto"/>
        <w:left w:val="none" w:sz="0" w:space="0" w:color="auto"/>
        <w:bottom w:val="none" w:sz="0" w:space="0" w:color="auto"/>
        <w:right w:val="none" w:sz="0" w:space="0" w:color="auto"/>
      </w:divBdr>
    </w:div>
    <w:div w:id="209099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ga.gov.au/hp/information-medicines-pi.htm" TargetMode="External"/><Relationship Id="rId13" Type="http://schemas.openxmlformats.org/officeDocument/2006/relationships/chart" Target="charts/chart2.xml"/><Relationship Id="rId18" Type="http://schemas.openxmlformats.org/officeDocument/2006/relationships/chart" Target="charts/chart6.xml"/><Relationship Id="rId26" Type="http://schemas.openxmlformats.org/officeDocument/2006/relationships/chart" Target="charts/chart13.xml"/><Relationship Id="rId3" Type="http://schemas.openxmlformats.org/officeDocument/2006/relationships/styles" Target="styles.xml"/><Relationship Id="rId21" Type="http://schemas.openxmlformats.org/officeDocument/2006/relationships/chart" Target="charts/chart9.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5.xml"/><Relationship Id="rId25" Type="http://schemas.openxmlformats.org/officeDocument/2006/relationships/chart" Target="charts/chart12.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chart" Target="charts/chart8.xml"/><Relationship Id="rId29" Type="http://schemas.openxmlformats.org/officeDocument/2006/relationships/hyperlink" Target="http://www.pbs.gov.au/pbs/industry/listing/elements/pbac-meeting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bs.gov.au/pbs/industry/listing/elements/pbac-meetings" TargetMode="External"/><Relationship Id="rId24" Type="http://schemas.openxmlformats.org/officeDocument/2006/relationships/hyperlink" Target="http://medicarestatistics.humanservices.gov.au/statistics/pbs_item.jsp"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chart" Target="charts/chart11.xml"/><Relationship Id="rId28" Type="http://schemas.openxmlformats.org/officeDocument/2006/relationships/chart" Target="charts/chart15.xml"/><Relationship Id="rId10" Type="http://schemas.openxmlformats.org/officeDocument/2006/relationships/hyperlink" Target="http://www.pbs.gov.au" TargetMode="External"/><Relationship Id="rId19" Type="http://schemas.openxmlformats.org/officeDocument/2006/relationships/chart" Target="charts/chart7.xm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ga.gov.au/consumers/information-medicines-cmi.htm" TargetMode="External"/><Relationship Id="rId14" Type="http://schemas.openxmlformats.org/officeDocument/2006/relationships/chart" Target="charts/chart3.xml"/><Relationship Id="rId22" Type="http://schemas.openxmlformats.org/officeDocument/2006/relationships/chart" Target="charts/chart10.xml"/><Relationship Id="rId27" Type="http://schemas.openxmlformats.org/officeDocument/2006/relationships/chart" Target="charts/chart14.xml"/><Relationship Id="rId30"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tga.gov.au/publication-issue/medicines-safety-update-volume-4-number-5-october-2013" TargetMode="External"/><Relationship Id="rId13" Type="http://schemas.openxmlformats.org/officeDocument/2006/relationships/hyperlink" Target="http://www.pbs.gov.au/pbs/industry/listing/participants/public-release-docs/2015-06/attention-deficit-hyperactivity-disorder-2015-06-prd" TargetMode="External"/><Relationship Id="rId18" Type="http://schemas.openxmlformats.org/officeDocument/2006/relationships/hyperlink" Target="http://www.pbs.gov.au/info/industry/listing/elements/pbac-meetings/pbac-outcomes/2007-11/positive-recommendations" TargetMode="External"/><Relationship Id="rId3" Type="http://schemas.openxmlformats.org/officeDocument/2006/relationships/hyperlink" Target="https://aadpa.com.au/adhd-stimulant-prescribing-regulations-authorities-in-australia-new-zealand" TargetMode="External"/><Relationship Id="rId21" Type="http://schemas.openxmlformats.org/officeDocument/2006/relationships/hyperlink" Target="http://www.pbs.gov.au/info/industry/listing/elements/pbac-meetings/pbac-outcomes/pbac-recommendations-march-2014" TargetMode="External"/><Relationship Id="rId7" Type="http://schemas.openxmlformats.org/officeDocument/2006/relationships/hyperlink" Target="https://www.ebs.tga.gov.au/ebs/picmi/picmirepository.nsf/pdf?OpenAgent&amp;id=CP-2010-PI-04269-3" TargetMode="External"/><Relationship Id="rId12" Type="http://schemas.openxmlformats.org/officeDocument/2006/relationships/hyperlink" Target="https://www.pbs.gov.au/publication/schedule/2021/04/2021-04-01-general-volume-1.pdf" TargetMode="External"/><Relationship Id="rId17" Type="http://schemas.openxmlformats.org/officeDocument/2006/relationships/hyperlink" Target="http://www.pbs.gov.au/info/industry/listing/elements/pbac-meetings/psd/2012-07/methylphenidate-hydrochloride" TargetMode="External"/><Relationship Id="rId2" Type="http://schemas.openxmlformats.org/officeDocument/2006/relationships/hyperlink" Target="https://www.ebs.tga.gov.au/ebs/picmi/picmirepository.nsf/pdf?OpenAgent&amp;id=CP-2017-PI-02254-1&amp;d=2018022716114622483" TargetMode="External"/><Relationship Id="rId16" Type="http://schemas.openxmlformats.org/officeDocument/2006/relationships/hyperlink" Target="http://www.pbs.gov.au/info/industry/listing/elements/pbac-meetings/psd/2006-11/pbac-psd-methylphenidate-nov06" TargetMode="External"/><Relationship Id="rId20" Type="http://schemas.openxmlformats.org/officeDocument/2006/relationships/hyperlink" Target="http://www.pbs.gov.au/info/industry/listing/elements/pbac-meetings/psd/2008-07/pbac-psd-atomoxetine-hydrochloride-july08" TargetMode="External"/><Relationship Id="rId1" Type="http://schemas.openxmlformats.org/officeDocument/2006/relationships/hyperlink" Target="https://tgldcdp.tg.org.au/viewTopic?topicfile=attention-deficit-hyperactivity-disorder&amp;guidelineName=Psychotropic&amp;topicNavigation=navigateTopic" TargetMode="External"/><Relationship Id="rId6" Type="http://schemas.openxmlformats.org/officeDocument/2006/relationships/hyperlink" Target="https://www.ebs.tga.gov.au/ebs/picmi/picmirepository.nsf/PICMI?OpenForm&amp;t=&amp;q=lisdexamfetamine" TargetMode="External"/><Relationship Id="rId11" Type="http://schemas.openxmlformats.org/officeDocument/2006/relationships/hyperlink" Target="https://www.tga.gov.au/publication-issue/medicines-safety-update-volume-5-number-5-october-2014-0" TargetMode="External"/><Relationship Id="rId5" Type="http://schemas.openxmlformats.org/officeDocument/2006/relationships/hyperlink" Target="https://www.ebs.tga.gov.au/ebs/picmi/picmirepository.nsf/pdf?OpenAgent&amp;id=CP-2010-PI-03175-3" TargetMode="External"/><Relationship Id="rId15" Type="http://schemas.openxmlformats.org/officeDocument/2006/relationships/hyperlink" Target="http://www.pbs.gov.au/info/industry/listing/elements/pbac-meetings/pbac-outcomes/2005-03/positive-recommendations" TargetMode="External"/><Relationship Id="rId10" Type="http://schemas.openxmlformats.org/officeDocument/2006/relationships/hyperlink" Target="https://www.tga.gov.au/publication-issue/medicines-safety-update-volume-4-number-5-october-2013" TargetMode="External"/><Relationship Id="rId19" Type="http://schemas.openxmlformats.org/officeDocument/2006/relationships/hyperlink" Target="http://www.pbs.gov.au/info/industry/listing/elements/pbac-meetings/psd/2006-11/pbac-psd-atomoxetine-nov06" TargetMode="External"/><Relationship Id="rId4" Type="http://schemas.openxmlformats.org/officeDocument/2006/relationships/hyperlink" Target="https://www.ebs.tga.gov.au/ebs/picmi/picmirepository.nsf/pdf?OpenAgent&amp;id=CP-2017-PI-01667-1" TargetMode="External"/><Relationship Id="rId9" Type="http://schemas.openxmlformats.org/officeDocument/2006/relationships/hyperlink" Target="https://www.tga.gov.au/alert/atomoxetine-strattera-risk-increased-blood-pressure-andor-heart-rate" TargetMode="External"/><Relationship Id="rId14" Type="http://schemas.openxmlformats.org/officeDocument/2006/relationships/hyperlink" Target="https://www.pbs.gov.au/pbs/industry/listing/participants/public-release-docs/2018-05/attention-deficit-hyperactivity-disorder" TargetMode="External"/><Relationship Id="rId22" Type="http://schemas.openxmlformats.org/officeDocument/2006/relationships/hyperlink" Target="https://www.pbs.gov.au/pbs/industry/listing/elements/pbac-meetings/psd/2014-07/lisdexamfetamine-dimesilate-psd-07-2014"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entral.health\DfsUserEnv\Users\User_12\GOULDJ\Documents\D1304%20-%20AGSTD_PATS5%20figs1011%20back%20to%202014%20incld%20clopinidine.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entral.health\DfsUserEnv\Users\User_12\GOULDJ\Documents\D1304%20-%20AGSTD_PATS5%20figs1011%20back%20to%202014%20incld%20clopinidine.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1" Type="http://schemas.openxmlformats.org/officeDocument/2006/relationships/oleObject" Target="file:///\\central.health\DFSApps\ServerApps\Staging\DUSC\DUSC%20Database\Data%20Requests\Requests%202021\D1304%20-%20ADHD%20review%20-%20June%202021%20DUSC\D1304_PATCNTBY_PRESCR_SUPP_Year%20%20v4.xlsx" TargetMode="External"/></Relationships>
</file>

<file path=word/charts/_rels/chart13.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21\D1304%20-%20ADHD%20review%20-%20June%202021%20DUSC\D1304_PATCNTBY_PRESCR_SUPP_Year%20%20v4.xlsx" TargetMode="External"/><Relationship Id="rId2" Type="http://schemas.microsoft.com/office/2011/relationships/chartColorStyle" Target="colors12.xml"/><Relationship Id="rId1" Type="http://schemas.microsoft.com/office/2011/relationships/chartStyle" Target="style12.xml"/></Relationships>
</file>

<file path=word/charts/_rels/chart14.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21\D1304%20-%20ADHD%20review%20-%20June%202021%20DUSC\D1304_SCRPT_SUM_NO_NARC%20+%20clonifine.xlsx" TargetMode="External"/><Relationship Id="rId2" Type="http://schemas.microsoft.com/office/2011/relationships/chartColorStyle" Target="colors13.xml"/><Relationship Id="rId1" Type="http://schemas.microsoft.com/office/2011/relationships/chartStyle" Target="style13.xml"/></Relationships>
</file>

<file path=word/charts/_rels/chart15.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21\D1304%20-%20ADHD%20review%20-%20June%202021%20DUSC\D1304_SCRPT_SUM_NO_NARC%20+%20clonifine,%20v2.xlsx" TargetMode="External"/><Relationship Id="rId2" Type="http://schemas.microsoft.com/office/2011/relationships/chartColorStyle" Target="colors14.xml"/><Relationship Id="rId1" Type="http://schemas.microsoft.com/office/2011/relationships/chartStyle" Target="style14.xml"/></Relationships>
</file>

<file path=word/charts/_rels/chart2.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21\D1304%20-%20ADHD%20review%20-%20June%202021%20DUSC\D1304_PATCNTBY_FORM_SUPP_Qtr,%20idvar=age_supp%20pat_sex.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21\D1304%20-%20ADHD%20review%20-%20June%202021%20DUSC\D1304_PATCNTBY_FORM_SUPP_Qtr,%20idvar=age_supp%20pat_sex.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21\D1304%20-%20ADHD%20review%20-%20June%202021%20DUSC\D1304_PATCNTBY_FORM_SUPP_Qtr,%20idvar=age_supp%20pat_sex.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entral.health\DfsUserEnv\Users\User_12\GOULDJ\Documents\D1304_PATCNTBY_FORM%20%20SUPP_Year%20idvarage_supp%20pat_sex%20pat_state%20v2%20-%20figs%2067%20incl%20clonidine.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entral.health\DfsUserEnv\Users\User_12\GOULDJ\Documents\D1304_PATCNTBY_FORM%20%20SUPP_Year%20idvarage_supp%20pat_sex%20pat_state%20v2%20-%20figs%2067%20incl%20clonidine.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21\D1304%20-%20ADHD%20review%20-%20June%202021%20DUSC\D1304_PATCNTBY_PRESCR_SUPP_Year%20%20v4.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entral.health\DfsUserEnv\Users\User_12\GOULDJ\Documents\D1304%20-%20AGSTD_PATS5%20fig9%20back%20to%202014%20excld%20clopinidine.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entral.health\DfsUserEnv\Users\User_12\GOULDJ\Documents\Copy%20of%20D1304%20-%20AGSTD_PATS5%20fig9%20back%20to%202014%20excld%20clopinidine%20sh.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[D1304_SCRPT_SUM_NO_NARC + clonifine.xlsx]Sheet1!PivotTable1</c:name>
    <c:fmtId val="-1"/>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a:noFill/>
          </a:ln>
          <a:effectLst/>
        </c:spPr>
        <c:marker>
          <c:symbol val="none"/>
        </c:marker>
      </c:pivotFmt>
      <c:pivotFmt>
        <c:idx val="11"/>
        <c:spPr>
          <a:solidFill>
            <a:schemeClr val="accent1"/>
          </a:solidFill>
          <a:ln>
            <a:noFill/>
          </a:ln>
          <a:effectLst/>
        </c:spPr>
        <c:marker>
          <c:symbol val="none"/>
        </c:marker>
      </c:pivotFmt>
      <c:pivotFmt>
        <c:idx val="12"/>
        <c:spPr>
          <a:solidFill>
            <a:schemeClr val="accent1"/>
          </a:solidFill>
          <a:ln>
            <a:noFill/>
          </a:ln>
          <a:effectLst/>
        </c:spPr>
        <c:marker>
          <c:symbol val="none"/>
        </c:marker>
      </c:pivotFmt>
      <c:pivotFmt>
        <c:idx val="13"/>
        <c:spPr>
          <a:solidFill>
            <a:schemeClr val="accent1"/>
          </a:solidFill>
          <a:ln>
            <a:noFill/>
          </a:ln>
          <a:effectLst/>
        </c:spPr>
        <c:marker>
          <c:symbol val="none"/>
        </c:marker>
      </c:pivotFmt>
      <c:pivotFmt>
        <c:idx val="14"/>
        <c:spPr>
          <a:solidFill>
            <a:schemeClr val="accent1"/>
          </a:solidFill>
          <a:ln>
            <a:noFill/>
          </a:ln>
          <a:effectLst/>
        </c:spPr>
        <c:marker>
          <c:symbol val="none"/>
        </c:marker>
      </c:pivotFmt>
      <c:pivotFmt>
        <c:idx val="15"/>
        <c:spPr>
          <a:solidFill>
            <a:schemeClr val="accent1"/>
          </a:solidFill>
          <a:ln>
            <a:noFill/>
          </a:ln>
          <a:effectLst/>
        </c:spPr>
        <c:marker>
          <c:symbol val="none"/>
        </c:marker>
      </c:pivotFmt>
      <c:pivotFmt>
        <c:idx val="1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4"/>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25"/>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26"/>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27"/>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28"/>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pivotFmt>
      <c:pivotFmt>
        <c:idx val="29"/>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pivotFmt>
      <c:pivotFmt>
        <c:idx val="30"/>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pivotFmt>
      <c:pivotFmt>
        <c:idx val="3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2"/>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33"/>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34"/>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35"/>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36"/>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pivotFmt>
      <c:pivotFmt>
        <c:idx val="37"/>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pivotFmt>
      <c:pivotFmt>
        <c:idx val="38"/>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pivotFmt>
    </c:pivotFmts>
    <c:plotArea>
      <c:layout/>
      <c:lineChart>
        <c:grouping val="standard"/>
        <c:varyColors val="0"/>
        <c:ser>
          <c:idx val="0"/>
          <c:order val="0"/>
          <c:tx>
            <c:strRef>
              <c:f>Sheet1!$B$1:$B$2</c:f>
              <c:strCache>
                <c:ptCount val="1"/>
                <c:pt idx="0">
                  <c:v>Guanfacine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Sheet1!$A$3:$A$11</c:f>
              <c:strCache>
                <c:ptCount val="8"/>
                <c:pt idx="0">
                  <c:v>2013</c:v>
                </c:pt>
                <c:pt idx="1">
                  <c:v>2014</c:v>
                </c:pt>
                <c:pt idx="2">
                  <c:v>2015</c:v>
                </c:pt>
                <c:pt idx="3">
                  <c:v>2016</c:v>
                </c:pt>
                <c:pt idx="4">
                  <c:v>2017</c:v>
                </c:pt>
                <c:pt idx="5">
                  <c:v>2018</c:v>
                </c:pt>
                <c:pt idx="6">
                  <c:v>2019</c:v>
                </c:pt>
                <c:pt idx="7">
                  <c:v>2020</c:v>
                </c:pt>
              </c:strCache>
            </c:strRef>
          </c:cat>
          <c:val>
            <c:numRef>
              <c:f>Sheet1!$B$3:$B$11</c:f>
              <c:numCache>
                <c:formatCode>General</c:formatCode>
                <c:ptCount val="8"/>
                <c:pt idx="5">
                  <c:v>10490</c:v>
                </c:pt>
                <c:pt idx="6">
                  <c:v>117409</c:v>
                </c:pt>
                <c:pt idx="7">
                  <c:v>201200</c:v>
                </c:pt>
              </c:numCache>
            </c:numRef>
          </c:val>
          <c:smooth val="0"/>
          <c:extLst>
            <c:ext xmlns:c16="http://schemas.microsoft.com/office/drawing/2014/chart" uri="{C3380CC4-5D6E-409C-BE32-E72D297353CC}">
              <c16:uniqueId val="{00000000-FB02-4096-A5D8-F49F1C4B7638}"/>
            </c:ext>
          </c:extLst>
        </c:ser>
        <c:ser>
          <c:idx val="1"/>
          <c:order val="1"/>
          <c:tx>
            <c:strRef>
              <c:f>Sheet1!$C$1:$C$2</c:f>
              <c:strCache>
                <c:ptCount val="1"/>
                <c:pt idx="0">
                  <c:v>Atomoxetine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Sheet1!$A$3:$A$11</c:f>
              <c:strCache>
                <c:ptCount val="8"/>
                <c:pt idx="0">
                  <c:v>2013</c:v>
                </c:pt>
                <c:pt idx="1">
                  <c:v>2014</c:v>
                </c:pt>
                <c:pt idx="2">
                  <c:v>2015</c:v>
                </c:pt>
                <c:pt idx="3">
                  <c:v>2016</c:v>
                </c:pt>
                <c:pt idx="4">
                  <c:v>2017</c:v>
                </c:pt>
                <c:pt idx="5">
                  <c:v>2018</c:v>
                </c:pt>
                <c:pt idx="6">
                  <c:v>2019</c:v>
                </c:pt>
                <c:pt idx="7">
                  <c:v>2020</c:v>
                </c:pt>
              </c:strCache>
            </c:strRef>
          </c:cat>
          <c:val>
            <c:numRef>
              <c:f>Sheet1!$C$3:$C$11</c:f>
              <c:numCache>
                <c:formatCode>General</c:formatCode>
                <c:ptCount val="8"/>
                <c:pt idx="0">
                  <c:v>38010</c:v>
                </c:pt>
                <c:pt idx="1">
                  <c:v>39169</c:v>
                </c:pt>
                <c:pt idx="2">
                  <c:v>43404</c:v>
                </c:pt>
                <c:pt idx="3">
                  <c:v>46811</c:v>
                </c:pt>
                <c:pt idx="4">
                  <c:v>51697</c:v>
                </c:pt>
                <c:pt idx="5">
                  <c:v>54779</c:v>
                </c:pt>
                <c:pt idx="6">
                  <c:v>55524</c:v>
                </c:pt>
                <c:pt idx="7">
                  <c:v>59649</c:v>
                </c:pt>
              </c:numCache>
            </c:numRef>
          </c:val>
          <c:smooth val="0"/>
          <c:extLst>
            <c:ext xmlns:c16="http://schemas.microsoft.com/office/drawing/2014/chart" uri="{C3380CC4-5D6E-409C-BE32-E72D297353CC}">
              <c16:uniqueId val="{00000001-FB02-4096-A5D8-F49F1C4B7638}"/>
            </c:ext>
          </c:extLst>
        </c:ser>
        <c:ser>
          <c:idx val="2"/>
          <c:order val="2"/>
          <c:tx>
            <c:strRef>
              <c:f>Sheet1!$D$1:$D$2</c:f>
              <c:strCache>
                <c:ptCount val="1"/>
                <c:pt idx="0">
                  <c:v>Lisdexamfetamine</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Sheet1!$A$3:$A$11</c:f>
              <c:strCache>
                <c:ptCount val="8"/>
                <c:pt idx="0">
                  <c:v>2013</c:v>
                </c:pt>
                <c:pt idx="1">
                  <c:v>2014</c:v>
                </c:pt>
                <c:pt idx="2">
                  <c:v>2015</c:v>
                </c:pt>
                <c:pt idx="3">
                  <c:v>2016</c:v>
                </c:pt>
                <c:pt idx="4">
                  <c:v>2017</c:v>
                </c:pt>
                <c:pt idx="5">
                  <c:v>2018</c:v>
                </c:pt>
                <c:pt idx="6">
                  <c:v>2019</c:v>
                </c:pt>
                <c:pt idx="7">
                  <c:v>2020</c:v>
                </c:pt>
              </c:strCache>
            </c:strRef>
          </c:cat>
          <c:val>
            <c:numRef>
              <c:f>Sheet1!$D$3:$D$11</c:f>
              <c:numCache>
                <c:formatCode>General</c:formatCode>
                <c:ptCount val="8"/>
                <c:pt idx="2">
                  <c:v>17635</c:v>
                </c:pt>
                <c:pt idx="3">
                  <c:v>111438</c:v>
                </c:pt>
                <c:pt idx="4">
                  <c:v>178853</c:v>
                </c:pt>
                <c:pt idx="5">
                  <c:v>243491</c:v>
                </c:pt>
                <c:pt idx="6">
                  <c:v>303277</c:v>
                </c:pt>
                <c:pt idx="7">
                  <c:v>378237</c:v>
                </c:pt>
              </c:numCache>
            </c:numRef>
          </c:val>
          <c:smooth val="0"/>
          <c:extLst>
            <c:ext xmlns:c16="http://schemas.microsoft.com/office/drawing/2014/chart" uri="{C3380CC4-5D6E-409C-BE32-E72D297353CC}">
              <c16:uniqueId val="{00000002-FB02-4096-A5D8-F49F1C4B7638}"/>
            </c:ext>
          </c:extLst>
        </c:ser>
        <c:ser>
          <c:idx val="3"/>
          <c:order val="3"/>
          <c:tx>
            <c:strRef>
              <c:f>Sheet1!$E$1:$E$2</c:f>
              <c:strCache>
                <c:ptCount val="1"/>
                <c:pt idx="0">
                  <c:v>MPH-IR</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Sheet1!$A$3:$A$11</c:f>
              <c:strCache>
                <c:ptCount val="8"/>
                <c:pt idx="0">
                  <c:v>2013</c:v>
                </c:pt>
                <c:pt idx="1">
                  <c:v>2014</c:v>
                </c:pt>
                <c:pt idx="2">
                  <c:v>2015</c:v>
                </c:pt>
                <c:pt idx="3">
                  <c:v>2016</c:v>
                </c:pt>
                <c:pt idx="4">
                  <c:v>2017</c:v>
                </c:pt>
                <c:pt idx="5">
                  <c:v>2018</c:v>
                </c:pt>
                <c:pt idx="6">
                  <c:v>2019</c:v>
                </c:pt>
                <c:pt idx="7">
                  <c:v>2020</c:v>
                </c:pt>
              </c:strCache>
            </c:strRef>
          </c:cat>
          <c:val>
            <c:numRef>
              <c:f>Sheet1!$E$3:$E$11</c:f>
              <c:numCache>
                <c:formatCode>General</c:formatCode>
                <c:ptCount val="8"/>
                <c:pt idx="0">
                  <c:v>145479</c:v>
                </c:pt>
                <c:pt idx="1">
                  <c:v>158092</c:v>
                </c:pt>
                <c:pt idx="2">
                  <c:v>172920</c:v>
                </c:pt>
                <c:pt idx="3">
                  <c:v>182395</c:v>
                </c:pt>
                <c:pt idx="4">
                  <c:v>194836</c:v>
                </c:pt>
                <c:pt idx="5">
                  <c:v>217797</c:v>
                </c:pt>
                <c:pt idx="6">
                  <c:v>245912</c:v>
                </c:pt>
                <c:pt idx="7">
                  <c:v>286698</c:v>
                </c:pt>
              </c:numCache>
            </c:numRef>
          </c:val>
          <c:smooth val="0"/>
          <c:extLst>
            <c:ext xmlns:c16="http://schemas.microsoft.com/office/drawing/2014/chart" uri="{C3380CC4-5D6E-409C-BE32-E72D297353CC}">
              <c16:uniqueId val="{00000003-FB02-4096-A5D8-F49F1C4B7638}"/>
            </c:ext>
          </c:extLst>
        </c:ser>
        <c:ser>
          <c:idx val="4"/>
          <c:order val="4"/>
          <c:tx>
            <c:strRef>
              <c:f>Sheet1!$F$1:$F$2</c:f>
              <c:strCache>
                <c:ptCount val="1"/>
                <c:pt idx="0">
                  <c:v>Clonidine</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Sheet1!$A$3:$A$11</c:f>
              <c:strCache>
                <c:ptCount val="8"/>
                <c:pt idx="0">
                  <c:v>2013</c:v>
                </c:pt>
                <c:pt idx="1">
                  <c:v>2014</c:v>
                </c:pt>
                <c:pt idx="2">
                  <c:v>2015</c:v>
                </c:pt>
                <c:pt idx="3">
                  <c:v>2016</c:v>
                </c:pt>
                <c:pt idx="4">
                  <c:v>2017</c:v>
                </c:pt>
                <c:pt idx="5">
                  <c:v>2018</c:v>
                </c:pt>
                <c:pt idx="6">
                  <c:v>2019</c:v>
                </c:pt>
                <c:pt idx="7">
                  <c:v>2020</c:v>
                </c:pt>
              </c:strCache>
            </c:strRef>
          </c:cat>
          <c:val>
            <c:numRef>
              <c:f>Sheet1!$F$3:$F$11</c:f>
              <c:numCache>
                <c:formatCode>General</c:formatCode>
                <c:ptCount val="8"/>
                <c:pt idx="0">
                  <c:v>164552</c:v>
                </c:pt>
                <c:pt idx="1">
                  <c:v>176265</c:v>
                </c:pt>
                <c:pt idx="2">
                  <c:v>187273</c:v>
                </c:pt>
                <c:pt idx="3">
                  <c:v>208268</c:v>
                </c:pt>
                <c:pt idx="4">
                  <c:v>230488</c:v>
                </c:pt>
                <c:pt idx="5">
                  <c:v>259049</c:v>
                </c:pt>
                <c:pt idx="6">
                  <c:v>283542</c:v>
                </c:pt>
                <c:pt idx="7">
                  <c:v>326118</c:v>
                </c:pt>
              </c:numCache>
            </c:numRef>
          </c:val>
          <c:smooth val="0"/>
          <c:extLst>
            <c:ext xmlns:c16="http://schemas.microsoft.com/office/drawing/2014/chart" uri="{C3380CC4-5D6E-409C-BE32-E72D297353CC}">
              <c16:uniqueId val="{00000004-FB02-4096-A5D8-F49F1C4B7638}"/>
            </c:ext>
          </c:extLst>
        </c:ser>
        <c:ser>
          <c:idx val="5"/>
          <c:order val="5"/>
          <c:tx>
            <c:strRef>
              <c:f>Sheet1!$G$1:$G$2</c:f>
              <c:strCache>
                <c:ptCount val="1"/>
                <c:pt idx="0">
                  <c:v>Dexamfetamine</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Ref>
              <c:f>Sheet1!$A$3:$A$11</c:f>
              <c:strCache>
                <c:ptCount val="8"/>
                <c:pt idx="0">
                  <c:v>2013</c:v>
                </c:pt>
                <c:pt idx="1">
                  <c:v>2014</c:v>
                </c:pt>
                <c:pt idx="2">
                  <c:v>2015</c:v>
                </c:pt>
                <c:pt idx="3">
                  <c:v>2016</c:v>
                </c:pt>
                <c:pt idx="4">
                  <c:v>2017</c:v>
                </c:pt>
                <c:pt idx="5">
                  <c:v>2018</c:v>
                </c:pt>
                <c:pt idx="6">
                  <c:v>2019</c:v>
                </c:pt>
                <c:pt idx="7">
                  <c:v>2020</c:v>
                </c:pt>
              </c:strCache>
            </c:strRef>
          </c:cat>
          <c:val>
            <c:numRef>
              <c:f>Sheet1!$G$3:$G$11</c:f>
              <c:numCache>
                <c:formatCode>General</c:formatCode>
                <c:ptCount val="8"/>
                <c:pt idx="0">
                  <c:v>215548</c:v>
                </c:pt>
                <c:pt idx="1">
                  <c:v>220287</c:v>
                </c:pt>
                <c:pt idx="2">
                  <c:v>233804</c:v>
                </c:pt>
                <c:pt idx="3">
                  <c:v>241615</c:v>
                </c:pt>
                <c:pt idx="4">
                  <c:v>255218</c:v>
                </c:pt>
                <c:pt idx="5">
                  <c:v>277246</c:v>
                </c:pt>
                <c:pt idx="6">
                  <c:v>305920</c:v>
                </c:pt>
                <c:pt idx="7">
                  <c:v>354139</c:v>
                </c:pt>
              </c:numCache>
            </c:numRef>
          </c:val>
          <c:smooth val="0"/>
          <c:extLst>
            <c:ext xmlns:c16="http://schemas.microsoft.com/office/drawing/2014/chart" uri="{C3380CC4-5D6E-409C-BE32-E72D297353CC}">
              <c16:uniqueId val="{00000005-FB02-4096-A5D8-F49F1C4B7638}"/>
            </c:ext>
          </c:extLst>
        </c:ser>
        <c:ser>
          <c:idx val="6"/>
          <c:order val="6"/>
          <c:tx>
            <c:strRef>
              <c:f>Sheet1!$H$1:$H$2</c:f>
              <c:strCache>
                <c:ptCount val="1"/>
                <c:pt idx="0">
                  <c:v>MPH-MR</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strRef>
              <c:f>Sheet1!$A$3:$A$11</c:f>
              <c:strCache>
                <c:ptCount val="8"/>
                <c:pt idx="0">
                  <c:v>2013</c:v>
                </c:pt>
                <c:pt idx="1">
                  <c:v>2014</c:v>
                </c:pt>
                <c:pt idx="2">
                  <c:v>2015</c:v>
                </c:pt>
                <c:pt idx="3">
                  <c:v>2016</c:v>
                </c:pt>
                <c:pt idx="4">
                  <c:v>2017</c:v>
                </c:pt>
                <c:pt idx="5">
                  <c:v>2018</c:v>
                </c:pt>
                <c:pt idx="6">
                  <c:v>2019</c:v>
                </c:pt>
                <c:pt idx="7">
                  <c:v>2020</c:v>
                </c:pt>
              </c:strCache>
            </c:strRef>
          </c:cat>
          <c:val>
            <c:numRef>
              <c:f>Sheet1!$H$3:$H$11</c:f>
              <c:numCache>
                <c:formatCode>General</c:formatCode>
                <c:ptCount val="8"/>
                <c:pt idx="0">
                  <c:v>407798</c:v>
                </c:pt>
                <c:pt idx="1">
                  <c:v>438178</c:v>
                </c:pt>
                <c:pt idx="2">
                  <c:v>472911</c:v>
                </c:pt>
                <c:pt idx="3">
                  <c:v>492472</c:v>
                </c:pt>
                <c:pt idx="4">
                  <c:v>515290</c:v>
                </c:pt>
                <c:pt idx="5">
                  <c:v>548959</c:v>
                </c:pt>
                <c:pt idx="6">
                  <c:v>595728</c:v>
                </c:pt>
                <c:pt idx="7">
                  <c:v>667803</c:v>
                </c:pt>
              </c:numCache>
            </c:numRef>
          </c:val>
          <c:smooth val="0"/>
          <c:extLst>
            <c:ext xmlns:c16="http://schemas.microsoft.com/office/drawing/2014/chart" uri="{C3380CC4-5D6E-409C-BE32-E72D297353CC}">
              <c16:uniqueId val="{00000006-FB02-4096-A5D8-F49F1C4B7638}"/>
            </c:ext>
          </c:extLst>
        </c:ser>
        <c:dLbls>
          <c:showLegendKey val="0"/>
          <c:showVal val="0"/>
          <c:showCatName val="0"/>
          <c:showSerName val="0"/>
          <c:showPercent val="0"/>
          <c:showBubbleSize val="0"/>
        </c:dLbls>
        <c:marker val="1"/>
        <c:smooth val="0"/>
        <c:axId val="309192360"/>
        <c:axId val="369584912"/>
      </c:lineChart>
      <c:catAx>
        <c:axId val="309192360"/>
        <c:scaling>
          <c:orientation val="minMax"/>
        </c:scaling>
        <c:delete val="0"/>
        <c:axPos val="b"/>
        <c:numFmt formatCode="#,##0"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9584912"/>
        <c:crosses val="autoZero"/>
        <c:auto val="1"/>
        <c:lblAlgn val="ctr"/>
        <c:lblOffset val="100"/>
        <c:noMultiLvlLbl val="0"/>
      </c:catAx>
      <c:valAx>
        <c:axId val="3695849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 of prescriptions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9192360"/>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[D1304 - AGSTD_PATS5 figs1011 back to 2014 incld clopinidine.xlsx]Sheet1!PivotTable1</c:name>
    <c:fmtId val="-1"/>
  </c:pivotSource>
  <c:chart>
    <c:autoTitleDeleted val="1"/>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a:noFill/>
          </a:ln>
          <a:effectLst/>
        </c:spPr>
        <c:marker>
          <c:symbol val="none"/>
        </c:marker>
      </c:pivotFmt>
      <c:pivotFmt>
        <c:idx val="11"/>
        <c:spPr>
          <a:solidFill>
            <a:schemeClr val="accent1"/>
          </a:solidFill>
          <a:ln>
            <a:noFill/>
          </a:ln>
          <a:effectLst/>
        </c:spPr>
        <c:marker>
          <c:symbol val="none"/>
        </c:marker>
      </c:pivotFmt>
      <c:pivotFmt>
        <c:idx val="12"/>
        <c:spPr>
          <a:solidFill>
            <a:schemeClr val="accent1"/>
          </a:solidFill>
          <a:ln>
            <a:noFill/>
          </a:ln>
          <a:effectLst/>
        </c:spPr>
        <c:marker>
          <c:symbol val="none"/>
        </c:marker>
      </c:pivotFmt>
      <c:pivotFmt>
        <c:idx val="13"/>
        <c:spPr>
          <a:solidFill>
            <a:schemeClr val="accent1"/>
          </a:solidFill>
          <a:ln>
            <a:noFill/>
          </a:ln>
          <a:effectLst/>
        </c:spPr>
        <c:marker>
          <c:symbol val="none"/>
        </c:marker>
      </c:pivotFmt>
      <c:pivotFmt>
        <c:idx val="14"/>
        <c:spPr>
          <a:solidFill>
            <a:schemeClr val="accent1"/>
          </a:solidFill>
          <a:ln>
            <a:noFill/>
          </a:ln>
          <a:effectLst/>
        </c:spPr>
        <c:marker>
          <c:symbol val="none"/>
        </c:marker>
      </c:pivotFmt>
      <c:pivotFmt>
        <c:idx val="15"/>
        <c:spPr>
          <a:solidFill>
            <a:schemeClr val="accent1"/>
          </a:solidFill>
          <a:ln>
            <a:noFill/>
          </a:ln>
          <a:effectLst/>
        </c:spPr>
        <c:marker>
          <c:symbol val="none"/>
        </c:marker>
      </c:pivotFmt>
      <c:pivotFmt>
        <c:idx val="16"/>
        <c:spPr>
          <a:solidFill>
            <a:schemeClr val="accent1"/>
          </a:solidFill>
          <a:ln>
            <a:noFill/>
          </a:ln>
          <a:effectLst/>
        </c:spPr>
        <c:marker>
          <c:symbol val="none"/>
        </c:marker>
      </c:pivotFmt>
      <c:pivotFmt>
        <c:idx val="17"/>
        <c:spPr>
          <a:solidFill>
            <a:schemeClr val="accent1"/>
          </a:solidFill>
          <a:ln>
            <a:noFill/>
          </a:ln>
          <a:effectLst/>
        </c:spPr>
        <c:marker>
          <c:symbol val="none"/>
        </c:marker>
      </c:pivotFmt>
      <c:pivotFmt>
        <c:idx val="1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4"/>
        <c:spPr>
          <a:solidFill>
            <a:schemeClr val="accent1"/>
          </a:solidFill>
          <a:ln>
            <a:noFill/>
          </a:ln>
          <a:effectLst/>
        </c:spPr>
        <c:marker>
          <c:symbol val="none"/>
        </c:marker>
      </c:pivotFmt>
      <c:pivotFmt>
        <c:idx val="25"/>
        <c:spPr>
          <a:solidFill>
            <a:schemeClr val="accent1"/>
          </a:solidFill>
          <a:ln>
            <a:noFill/>
          </a:ln>
          <a:effectLst/>
        </c:spPr>
        <c:marker>
          <c:symbol val="none"/>
        </c:marker>
      </c:pivotFmt>
      <c:pivotFmt>
        <c:idx val="26"/>
        <c:spPr>
          <a:solidFill>
            <a:schemeClr val="accent1"/>
          </a:solidFill>
          <a:ln>
            <a:noFill/>
          </a:ln>
          <a:effectLst/>
        </c:spPr>
        <c:marker>
          <c:symbol val="none"/>
        </c:marker>
      </c:pivotFmt>
      <c:pivotFmt>
        <c:idx val="27"/>
        <c:spPr>
          <a:solidFill>
            <a:schemeClr val="accent1"/>
          </a:solidFill>
          <a:ln>
            <a:noFill/>
          </a:ln>
          <a:effectLst/>
        </c:spPr>
        <c:marker>
          <c:symbol val="none"/>
        </c:marker>
      </c:pivotFmt>
      <c:pivotFmt>
        <c:idx val="28"/>
        <c:spPr>
          <a:solidFill>
            <a:schemeClr val="accent1"/>
          </a:solidFill>
          <a:ln>
            <a:noFill/>
          </a:ln>
          <a:effectLst/>
        </c:spPr>
        <c:marker>
          <c:symbol val="none"/>
        </c:marker>
      </c:pivotFmt>
      <c:pivotFmt>
        <c:idx val="29"/>
        <c:spPr>
          <a:solidFill>
            <a:schemeClr val="accent1"/>
          </a:solidFill>
          <a:ln>
            <a:noFill/>
          </a:ln>
          <a:effectLst/>
        </c:spPr>
        <c:marker>
          <c:symbol val="none"/>
        </c:marker>
      </c:pivotFmt>
      <c:pivotFmt>
        <c:idx val="30"/>
        <c:spPr>
          <a:solidFill>
            <a:schemeClr val="accent1"/>
          </a:solidFill>
          <a:ln>
            <a:noFill/>
          </a:ln>
          <a:effectLst/>
        </c:spPr>
        <c:marker>
          <c:symbol val="none"/>
        </c:marker>
      </c:pivotFmt>
      <c:pivotFmt>
        <c:idx val="31"/>
        <c:spPr>
          <a:solidFill>
            <a:schemeClr val="accent1"/>
          </a:solidFill>
          <a:ln>
            <a:noFill/>
          </a:ln>
          <a:effectLst/>
        </c:spPr>
        <c:marker>
          <c:symbol val="none"/>
        </c:marker>
      </c:pivotFmt>
      <c:pivotFmt>
        <c:idx val="32"/>
        <c:spPr>
          <a:solidFill>
            <a:schemeClr val="accent1"/>
          </a:solidFill>
          <a:ln>
            <a:noFill/>
          </a:ln>
          <a:effectLst/>
        </c:spPr>
        <c:marker>
          <c:symbol val="none"/>
        </c:marker>
      </c:pivotFmt>
      <c:pivotFmt>
        <c:idx val="33"/>
        <c:spPr>
          <a:solidFill>
            <a:schemeClr val="accent1"/>
          </a:solidFill>
          <a:ln>
            <a:noFill/>
          </a:ln>
          <a:effectLst/>
        </c:spPr>
        <c:marker>
          <c:symbol val="none"/>
        </c:marker>
      </c:pivotFmt>
      <c:pivotFmt>
        <c:idx val="34"/>
        <c:spPr>
          <a:solidFill>
            <a:schemeClr val="accent1"/>
          </a:solidFill>
          <a:ln>
            <a:noFill/>
          </a:ln>
          <a:effectLst/>
        </c:spPr>
        <c:marker>
          <c:symbol val="none"/>
        </c:marker>
      </c:pivotFmt>
      <c:pivotFmt>
        <c:idx val="35"/>
        <c:spPr>
          <a:solidFill>
            <a:schemeClr val="accent1"/>
          </a:solidFill>
          <a:ln>
            <a:noFill/>
          </a:ln>
          <a:effectLst/>
        </c:spPr>
        <c:marker>
          <c:symbol val="none"/>
        </c:marker>
      </c:pivotFmt>
      <c:pivotFmt>
        <c:idx val="36"/>
        <c:spPr>
          <a:solidFill>
            <a:schemeClr val="accent1"/>
          </a:solidFill>
          <a:ln>
            <a:noFill/>
          </a:ln>
          <a:effectLst/>
        </c:spPr>
        <c:marker>
          <c:symbol val="none"/>
        </c:marker>
      </c:pivotFmt>
      <c:pivotFmt>
        <c:idx val="37"/>
        <c:spPr>
          <a:solidFill>
            <a:schemeClr val="accent1"/>
          </a:solidFill>
          <a:ln>
            <a:noFill/>
          </a:ln>
          <a:effectLst/>
        </c:spPr>
        <c:marker>
          <c:symbol val="none"/>
        </c:marker>
      </c:pivotFmt>
    </c:pivotFmts>
    <c:plotArea>
      <c:layout/>
      <c:barChart>
        <c:barDir val="col"/>
        <c:grouping val="clustered"/>
        <c:varyColors val="0"/>
        <c:ser>
          <c:idx val="0"/>
          <c:order val="0"/>
          <c:tx>
            <c:strRef>
              <c:f>Sheet1!$B$5:$B$6</c:f>
              <c:strCache>
                <c:ptCount val="1"/>
                <c:pt idx="0">
                  <c:v>Atomoxetine</c:v>
                </c:pt>
              </c:strCache>
            </c:strRef>
          </c:tx>
          <c:spPr>
            <a:solidFill>
              <a:schemeClr val="accent1"/>
            </a:solidFill>
            <a:ln>
              <a:noFill/>
            </a:ln>
            <a:effectLst/>
          </c:spPr>
          <c:invertIfNegative val="0"/>
          <c:cat>
            <c:strRef>
              <c:f>Sheet1!$A$7:$A$15</c:f>
              <c:strCache>
                <c:ptCount val="8"/>
                <c:pt idx="0">
                  <c:v>ACT</c:v>
                </c:pt>
                <c:pt idx="1">
                  <c:v>NSW</c:v>
                </c:pt>
                <c:pt idx="2">
                  <c:v>NT</c:v>
                </c:pt>
                <c:pt idx="3">
                  <c:v>QLD</c:v>
                </c:pt>
                <c:pt idx="4">
                  <c:v>SA</c:v>
                </c:pt>
                <c:pt idx="5">
                  <c:v>TAS</c:v>
                </c:pt>
                <c:pt idx="6">
                  <c:v>VIC</c:v>
                </c:pt>
                <c:pt idx="7">
                  <c:v>WA</c:v>
                </c:pt>
              </c:strCache>
            </c:strRef>
          </c:cat>
          <c:val>
            <c:numRef>
              <c:f>Sheet1!$B$7:$B$15</c:f>
              <c:numCache>
                <c:formatCode>General</c:formatCode>
                <c:ptCount val="8"/>
                <c:pt idx="0">
                  <c:v>1.3032403293999999</c:v>
                </c:pt>
                <c:pt idx="1">
                  <c:v>1.1305711114999999</c:v>
                </c:pt>
                <c:pt idx="2">
                  <c:v>0.54141851659999995</c:v>
                </c:pt>
                <c:pt idx="3">
                  <c:v>1.8958224028000001</c:v>
                </c:pt>
                <c:pt idx="4">
                  <c:v>0.75563137480000009</c:v>
                </c:pt>
                <c:pt idx="5">
                  <c:v>1.6135809731999999</c:v>
                </c:pt>
                <c:pt idx="6">
                  <c:v>0.70901374270000006</c:v>
                </c:pt>
                <c:pt idx="7">
                  <c:v>1.2369259889999999</c:v>
                </c:pt>
              </c:numCache>
            </c:numRef>
          </c:val>
          <c:extLst>
            <c:ext xmlns:c16="http://schemas.microsoft.com/office/drawing/2014/chart" uri="{C3380CC4-5D6E-409C-BE32-E72D297353CC}">
              <c16:uniqueId val="{00000000-2A48-4550-BCEF-878A6C3656C2}"/>
            </c:ext>
          </c:extLst>
        </c:ser>
        <c:ser>
          <c:idx val="1"/>
          <c:order val="1"/>
          <c:tx>
            <c:strRef>
              <c:f>Sheet1!$C$5:$C$6</c:f>
              <c:strCache>
                <c:ptCount val="1"/>
                <c:pt idx="0">
                  <c:v>Clonidine</c:v>
                </c:pt>
              </c:strCache>
            </c:strRef>
          </c:tx>
          <c:spPr>
            <a:solidFill>
              <a:schemeClr val="accent2"/>
            </a:solidFill>
            <a:ln>
              <a:noFill/>
            </a:ln>
            <a:effectLst/>
          </c:spPr>
          <c:invertIfNegative val="0"/>
          <c:cat>
            <c:strRef>
              <c:f>Sheet1!$A$7:$A$15</c:f>
              <c:strCache>
                <c:ptCount val="8"/>
                <c:pt idx="0">
                  <c:v>ACT</c:v>
                </c:pt>
                <c:pt idx="1">
                  <c:v>NSW</c:v>
                </c:pt>
                <c:pt idx="2">
                  <c:v>NT</c:v>
                </c:pt>
                <c:pt idx="3">
                  <c:v>QLD</c:v>
                </c:pt>
                <c:pt idx="4">
                  <c:v>SA</c:v>
                </c:pt>
                <c:pt idx="5">
                  <c:v>TAS</c:v>
                </c:pt>
                <c:pt idx="6">
                  <c:v>VIC</c:v>
                </c:pt>
                <c:pt idx="7">
                  <c:v>WA</c:v>
                </c:pt>
              </c:strCache>
            </c:strRef>
          </c:cat>
          <c:val>
            <c:numRef>
              <c:f>Sheet1!$C$7:$C$15</c:f>
              <c:numCache>
                <c:formatCode>General</c:formatCode>
                <c:ptCount val="8"/>
                <c:pt idx="0">
                  <c:v>5.1142309895000002</c:v>
                </c:pt>
                <c:pt idx="1">
                  <c:v>8.5695479632999998</c:v>
                </c:pt>
                <c:pt idx="2">
                  <c:v>7.8583030397</c:v>
                </c:pt>
                <c:pt idx="3">
                  <c:v>6.5243761714000001</c:v>
                </c:pt>
                <c:pt idx="4">
                  <c:v>7.8585662982999995</c:v>
                </c:pt>
                <c:pt idx="5">
                  <c:v>13.4296999748</c:v>
                </c:pt>
                <c:pt idx="6">
                  <c:v>4.9227135300000002</c:v>
                </c:pt>
                <c:pt idx="7">
                  <c:v>6.0253288707999992</c:v>
                </c:pt>
              </c:numCache>
            </c:numRef>
          </c:val>
          <c:extLst>
            <c:ext xmlns:c16="http://schemas.microsoft.com/office/drawing/2014/chart" uri="{C3380CC4-5D6E-409C-BE32-E72D297353CC}">
              <c16:uniqueId val="{00000001-2A48-4550-BCEF-878A6C3656C2}"/>
            </c:ext>
          </c:extLst>
        </c:ser>
        <c:ser>
          <c:idx val="2"/>
          <c:order val="2"/>
          <c:tx>
            <c:strRef>
              <c:f>Sheet1!$D$5:$D$6</c:f>
              <c:strCache>
                <c:ptCount val="1"/>
                <c:pt idx="0">
                  <c:v>Dexamfetamine</c:v>
                </c:pt>
              </c:strCache>
            </c:strRef>
          </c:tx>
          <c:spPr>
            <a:solidFill>
              <a:schemeClr val="accent3"/>
            </a:solidFill>
            <a:ln>
              <a:noFill/>
            </a:ln>
            <a:effectLst/>
          </c:spPr>
          <c:invertIfNegative val="0"/>
          <c:cat>
            <c:strRef>
              <c:f>Sheet1!$A$7:$A$15</c:f>
              <c:strCache>
                <c:ptCount val="8"/>
                <c:pt idx="0">
                  <c:v>ACT</c:v>
                </c:pt>
                <c:pt idx="1">
                  <c:v>NSW</c:v>
                </c:pt>
                <c:pt idx="2">
                  <c:v>NT</c:v>
                </c:pt>
                <c:pt idx="3">
                  <c:v>QLD</c:v>
                </c:pt>
                <c:pt idx="4">
                  <c:v>SA</c:v>
                </c:pt>
                <c:pt idx="5">
                  <c:v>TAS</c:v>
                </c:pt>
                <c:pt idx="6">
                  <c:v>VIC</c:v>
                </c:pt>
                <c:pt idx="7">
                  <c:v>WA</c:v>
                </c:pt>
              </c:strCache>
            </c:strRef>
          </c:cat>
          <c:val>
            <c:numRef>
              <c:f>Sheet1!$D$7:$D$15</c:f>
              <c:numCache>
                <c:formatCode>General</c:formatCode>
                <c:ptCount val="8"/>
                <c:pt idx="0">
                  <c:v>2.0535908219999999</c:v>
                </c:pt>
                <c:pt idx="1">
                  <c:v>2.3191885022999998</c:v>
                </c:pt>
                <c:pt idx="2">
                  <c:v>0.61876401889999999</c:v>
                </c:pt>
                <c:pt idx="3">
                  <c:v>2.9323756794999998</c:v>
                </c:pt>
                <c:pt idx="4">
                  <c:v>1.9979405842</c:v>
                </c:pt>
                <c:pt idx="5">
                  <c:v>1.5799647029000001</c:v>
                </c:pt>
                <c:pt idx="6">
                  <c:v>1.2856252925</c:v>
                </c:pt>
                <c:pt idx="7">
                  <c:v>4.4776096092</c:v>
                </c:pt>
              </c:numCache>
            </c:numRef>
          </c:val>
          <c:extLst>
            <c:ext xmlns:c16="http://schemas.microsoft.com/office/drawing/2014/chart" uri="{C3380CC4-5D6E-409C-BE32-E72D297353CC}">
              <c16:uniqueId val="{00000002-2A48-4550-BCEF-878A6C3656C2}"/>
            </c:ext>
          </c:extLst>
        </c:ser>
        <c:ser>
          <c:idx val="3"/>
          <c:order val="3"/>
          <c:tx>
            <c:strRef>
              <c:f>Sheet1!$E$5:$E$6</c:f>
              <c:strCache>
                <c:ptCount val="1"/>
                <c:pt idx="0">
                  <c:v>Guanfacine</c:v>
                </c:pt>
              </c:strCache>
            </c:strRef>
          </c:tx>
          <c:spPr>
            <a:solidFill>
              <a:schemeClr val="accent4"/>
            </a:solidFill>
            <a:ln>
              <a:noFill/>
            </a:ln>
            <a:effectLst/>
          </c:spPr>
          <c:invertIfNegative val="0"/>
          <c:cat>
            <c:strRef>
              <c:f>Sheet1!$A$7:$A$15</c:f>
              <c:strCache>
                <c:ptCount val="8"/>
                <c:pt idx="0">
                  <c:v>ACT</c:v>
                </c:pt>
                <c:pt idx="1">
                  <c:v>NSW</c:v>
                </c:pt>
                <c:pt idx="2">
                  <c:v>NT</c:v>
                </c:pt>
                <c:pt idx="3">
                  <c:v>QLD</c:v>
                </c:pt>
                <c:pt idx="4">
                  <c:v>SA</c:v>
                </c:pt>
                <c:pt idx="5">
                  <c:v>TAS</c:v>
                </c:pt>
                <c:pt idx="6">
                  <c:v>VIC</c:v>
                </c:pt>
                <c:pt idx="7">
                  <c:v>WA</c:v>
                </c:pt>
              </c:strCache>
            </c:strRef>
          </c:cat>
          <c:val>
            <c:numRef>
              <c:f>Sheet1!$E$7:$E$15</c:f>
              <c:numCache>
                <c:formatCode>General</c:formatCode>
                <c:ptCount val="8"/>
                <c:pt idx="0">
                  <c:v>6.9308690242999997</c:v>
                </c:pt>
                <c:pt idx="1">
                  <c:v>4.1574981946000005</c:v>
                </c:pt>
                <c:pt idx="2">
                  <c:v>3.3722639027999999</c:v>
                </c:pt>
                <c:pt idx="3">
                  <c:v>4.9056600760000002</c:v>
                </c:pt>
                <c:pt idx="4">
                  <c:v>1.9595186499999999</c:v>
                </c:pt>
                <c:pt idx="5">
                  <c:v>6.3198588115999996</c:v>
                </c:pt>
                <c:pt idx="6">
                  <c:v>3.2822503606</c:v>
                </c:pt>
                <c:pt idx="7">
                  <c:v>3.6108243517999998</c:v>
                </c:pt>
              </c:numCache>
            </c:numRef>
          </c:val>
          <c:extLst>
            <c:ext xmlns:c16="http://schemas.microsoft.com/office/drawing/2014/chart" uri="{C3380CC4-5D6E-409C-BE32-E72D297353CC}">
              <c16:uniqueId val="{00000003-2A48-4550-BCEF-878A6C3656C2}"/>
            </c:ext>
          </c:extLst>
        </c:ser>
        <c:ser>
          <c:idx val="4"/>
          <c:order val="4"/>
          <c:tx>
            <c:strRef>
              <c:f>Sheet1!$F$5:$F$6</c:f>
              <c:strCache>
                <c:ptCount val="1"/>
                <c:pt idx="0">
                  <c:v>Lisdexamfetamine</c:v>
                </c:pt>
              </c:strCache>
            </c:strRef>
          </c:tx>
          <c:spPr>
            <a:solidFill>
              <a:schemeClr val="accent5"/>
            </a:solidFill>
            <a:ln>
              <a:noFill/>
            </a:ln>
            <a:effectLst/>
          </c:spPr>
          <c:invertIfNegative val="0"/>
          <c:cat>
            <c:strRef>
              <c:f>Sheet1!$A$7:$A$15</c:f>
              <c:strCache>
                <c:ptCount val="8"/>
                <c:pt idx="0">
                  <c:v>ACT</c:v>
                </c:pt>
                <c:pt idx="1">
                  <c:v>NSW</c:v>
                </c:pt>
                <c:pt idx="2">
                  <c:v>NT</c:v>
                </c:pt>
                <c:pt idx="3">
                  <c:v>QLD</c:v>
                </c:pt>
                <c:pt idx="4">
                  <c:v>SA</c:v>
                </c:pt>
                <c:pt idx="5">
                  <c:v>TAS</c:v>
                </c:pt>
                <c:pt idx="6">
                  <c:v>VIC</c:v>
                </c:pt>
                <c:pt idx="7">
                  <c:v>WA</c:v>
                </c:pt>
              </c:strCache>
            </c:strRef>
          </c:cat>
          <c:val>
            <c:numRef>
              <c:f>Sheet1!$F$7:$F$15</c:f>
              <c:numCache>
                <c:formatCode>General</c:formatCode>
                <c:ptCount val="8"/>
                <c:pt idx="0">
                  <c:v>9.3695081255999995</c:v>
                </c:pt>
                <c:pt idx="1">
                  <c:v>8.3165939934999997</c:v>
                </c:pt>
                <c:pt idx="2">
                  <c:v>4.7954211461999998</c:v>
                </c:pt>
                <c:pt idx="3">
                  <c:v>8.8146957380999993</c:v>
                </c:pt>
                <c:pt idx="4">
                  <c:v>3.2018278595000003</c:v>
                </c:pt>
                <c:pt idx="5">
                  <c:v>8.2191780822000009</c:v>
                </c:pt>
                <c:pt idx="6">
                  <c:v>5.1967860690999998</c:v>
                </c:pt>
                <c:pt idx="7">
                  <c:v>10.3061548</c:v>
                </c:pt>
              </c:numCache>
            </c:numRef>
          </c:val>
          <c:extLst>
            <c:ext xmlns:c16="http://schemas.microsoft.com/office/drawing/2014/chart" uri="{C3380CC4-5D6E-409C-BE32-E72D297353CC}">
              <c16:uniqueId val="{00000004-2A48-4550-BCEF-878A6C3656C2}"/>
            </c:ext>
          </c:extLst>
        </c:ser>
        <c:ser>
          <c:idx val="5"/>
          <c:order val="5"/>
          <c:tx>
            <c:strRef>
              <c:f>Sheet1!$G$5:$G$6</c:f>
              <c:strCache>
                <c:ptCount val="1"/>
                <c:pt idx="0">
                  <c:v>MPH-IR</c:v>
                </c:pt>
              </c:strCache>
            </c:strRef>
          </c:tx>
          <c:spPr>
            <a:solidFill>
              <a:schemeClr val="accent6"/>
            </a:solidFill>
            <a:ln>
              <a:noFill/>
            </a:ln>
            <a:effectLst/>
          </c:spPr>
          <c:invertIfNegative val="0"/>
          <c:cat>
            <c:strRef>
              <c:f>Sheet1!$A$7:$A$15</c:f>
              <c:strCache>
                <c:ptCount val="8"/>
                <c:pt idx="0">
                  <c:v>ACT</c:v>
                </c:pt>
                <c:pt idx="1">
                  <c:v>NSW</c:v>
                </c:pt>
                <c:pt idx="2">
                  <c:v>NT</c:v>
                </c:pt>
                <c:pt idx="3">
                  <c:v>QLD</c:v>
                </c:pt>
                <c:pt idx="4">
                  <c:v>SA</c:v>
                </c:pt>
                <c:pt idx="5">
                  <c:v>TAS</c:v>
                </c:pt>
                <c:pt idx="6">
                  <c:v>VIC</c:v>
                </c:pt>
                <c:pt idx="7">
                  <c:v>WA</c:v>
                </c:pt>
              </c:strCache>
            </c:strRef>
          </c:cat>
          <c:val>
            <c:numRef>
              <c:f>Sheet1!$G$7:$G$15</c:f>
              <c:numCache>
                <c:formatCode>General</c:formatCode>
                <c:ptCount val="8"/>
                <c:pt idx="0">
                  <c:v>11.660051734700001</c:v>
                </c:pt>
                <c:pt idx="1">
                  <c:v>12.530540863500001</c:v>
                </c:pt>
                <c:pt idx="2">
                  <c:v>11.230566942500001</c:v>
                </c:pt>
                <c:pt idx="3">
                  <c:v>12.952124495</c:v>
                </c:pt>
                <c:pt idx="4">
                  <c:v>7.2514997360999995</c:v>
                </c:pt>
                <c:pt idx="5">
                  <c:v>13.454912177399999</c:v>
                </c:pt>
                <c:pt idx="6">
                  <c:v>8.282419173500001</c:v>
                </c:pt>
                <c:pt idx="7">
                  <c:v>9.6049177178999994</c:v>
                </c:pt>
              </c:numCache>
            </c:numRef>
          </c:val>
          <c:extLst>
            <c:ext xmlns:c16="http://schemas.microsoft.com/office/drawing/2014/chart" uri="{C3380CC4-5D6E-409C-BE32-E72D297353CC}">
              <c16:uniqueId val="{00000005-2A48-4550-BCEF-878A6C3656C2}"/>
            </c:ext>
          </c:extLst>
        </c:ser>
        <c:ser>
          <c:idx val="6"/>
          <c:order val="6"/>
          <c:tx>
            <c:strRef>
              <c:f>Sheet1!$H$5:$H$6</c:f>
              <c:strCache>
                <c:ptCount val="1"/>
                <c:pt idx="0">
                  <c:v>MPH-MR</c:v>
                </c:pt>
              </c:strCache>
            </c:strRef>
          </c:tx>
          <c:spPr>
            <a:solidFill>
              <a:schemeClr val="accent1">
                <a:lumMod val="60000"/>
              </a:schemeClr>
            </a:solidFill>
            <a:ln>
              <a:noFill/>
            </a:ln>
            <a:effectLst/>
          </c:spPr>
          <c:invertIfNegative val="0"/>
          <c:cat>
            <c:strRef>
              <c:f>Sheet1!$A$7:$A$15</c:f>
              <c:strCache>
                <c:ptCount val="8"/>
                <c:pt idx="0">
                  <c:v>ACT</c:v>
                </c:pt>
                <c:pt idx="1">
                  <c:v>NSW</c:v>
                </c:pt>
                <c:pt idx="2">
                  <c:v>NT</c:v>
                </c:pt>
                <c:pt idx="3">
                  <c:v>QLD</c:v>
                </c:pt>
                <c:pt idx="4">
                  <c:v>SA</c:v>
                </c:pt>
                <c:pt idx="5">
                  <c:v>TAS</c:v>
                </c:pt>
                <c:pt idx="6">
                  <c:v>VIC</c:v>
                </c:pt>
                <c:pt idx="7">
                  <c:v>WA</c:v>
                </c:pt>
              </c:strCache>
            </c:strRef>
          </c:cat>
          <c:val>
            <c:numRef>
              <c:f>Sheet1!$H$7:$H$15</c:f>
              <c:numCache>
                <c:formatCode>General</c:formatCode>
                <c:ptCount val="8"/>
                <c:pt idx="0">
                  <c:v>16.8039018224</c:v>
                </c:pt>
                <c:pt idx="1">
                  <c:v>15.025998342699999</c:v>
                </c:pt>
                <c:pt idx="2">
                  <c:v>17.387268930200001</c:v>
                </c:pt>
                <c:pt idx="3">
                  <c:v>14.603582257799999</c:v>
                </c:pt>
                <c:pt idx="4">
                  <c:v>7.1054963857999995</c:v>
                </c:pt>
                <c:pt idx="5">
                  <c:v>17.665350029799999</c:v>
                </c:pt>
                <c:pt idx="6">
                  <c:v>9.9705471322000001</c:v>
                </c:pt>
                <c:pt idx="7">
                  <c:v>11.725808492000001</c:v>
                </c:pt>
              </c:numCache>
            </c:numRef>
          </c:val>
          <c:extLst>
            <c:ext xmlns:c16="http://schemas.microsoft.com/office/drawing/2014/chart" uri="{C3380CC4-5D6E-409C-BE32-E72D297353CC}">
              <c16:uniqueId val="{00000006-2A48-4550-BCEF-878A6C3656C2}"/>
            </c:ext>
          </c:extLst>
        </c:ser>
        <c:dLbls>
          <c:showLegendKey val="0"/>
          <c:showVal val="0"/>
          <c:showCatName val="0"/>
          <c:showSerName val="0"/>
          <c:showPercent val="0"/>
          <c:showBubbleSize val="0"/>
        </c:dLbls>
        <c:gapWidth val="219"/>
        <c:overlap val="-27"/>
        <c:axId val="640844264"/>
        <c:axId val="640844592"/>
      </c:barChart>
      <c:catAx>
        <c:axId val="6408442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Patient State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0844592"/>
        <c:crosses val="autoZero"/>
        <c:auto val="1"/>
        <c:lblAlgn val="ctr"/>
        <c:lblOffset val="100"/>
        <c:noMultiLvlLbl val="0"/>
      </c:catAx>
      <c:valAx>
        <c:axId val="6408445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Patients per 1,000 population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08442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[D1304 - AGSTD_PATS5 figs1011 back to 2014 incld clopinidine.xlsx]Sheet1 (3)!PivotTable1</c:name>
    <c:fmtId val="-1"/>
  </c:pivotSource>
  <c:chart>
    <c:autoTitleDeleted val="1"/>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a:noFill/>
          </a:ln>
          <a:effectLst/>
        </c:spPr>
        <c:marker>
          <c:symbol val="none"/>
        </c:marker>
      </c:pivotFmt>
      <c:pivotFmt>
        <c:idx val="11"/>
        <c:spPr>
          <a:solidFill>
            <a:schemeClr val="accent1"/>
          </a:solidFill>
          <a:ln>
            <a:noFill/>
          </a:ln>
          <a:effectLst/>
        </c:spPr>
        <c:marker>
          <c:symbol val="none"/>
        </c:marker>
      </c:pivotFmt>
      <c:pivotFmt>
        <c:idx val="12"/>
        <c:spPr>
          <a:solidFill>
            <a:schemeClr val="accent1"/>
          </a:solidFill>
          <a:ln>
            <a:noFill/>
          </a:ln>
          <a:effectLst/>
        </c:spPr>
        <c:marker>
          <c:symbol val="none"/>
        </c:marker>
      </c:pivotFmt>
      <c:pivotFmt>
        <c:idx val="13"/>
        <c:spPr>
          <a:solidFill>
            <a:schemeClr val="accent1"/>
          </a:solidFill>
          <a:ln>
            <a:noFill/>
          </a:ln>
          <a:effectLst/>
        </c:spPr>
        <c:marker>
          <c:symbol val="none"/>
        </c:marker>
      </c:pivotFmt>
      <c:pivotFmt>
        <c:idx val="14"/>
        <c:spPr>
          <a:solidFill>
            <a:schemeClr val="accent1"/>
          </a:solidFill>
          <a:ln>
            <a:noFill/>
          </a:ln>
          <a:effectLst/>
        </c:spPr>
        <c:marker>
          <c:symbol val="none"/>
        </c:marker>
      </c:pivotFmt>
      <c:pivotFmt>
        <c:idx val="15"/>
        <c:spPr>
          <a:solidFill>
            <a:schemeClr val="accent1"/>
          </a:solidFill>
          <a:ln>
            <a:noFill/>
          </a:ln>
          <a:effectLst/>
        </c:spPr>
        <c:marker>
          <c:symbol val="none"/>
        </c:marker>
      </c:pivotFmt>
      <c:pivotFmt>
        <c:idx val="16"/>
        <c:spPr>
          <a:solidFill>
            <a:schemeClr val="accent1"/>
          </a:solidFill>
          <a:ln>
            <a:noFill/>
          </a:ln>
          <a:effectLst/>
        </c:spPr>
        <c:marker>
          <c:symbol val="none"/>
        </c:marker>
      </c:pivotFmt>
      <c:pivotFmt>
        <c:idx val="17"/>
        <c:spPr>
          <a:solidFill>
            <a:schemeClr val="accent1"/>
          </a:solidFill>
          <a:ln>
            <a:noFill/>
          </a:ln>
          <a:effectLst/>
        </c:spPr>
        <c:marker>
          <c:symbol val="none"/>
        </c:marker>
      </c:pivotFmt>
      <c:pivotFmt>
        <c:idx val="18"/>
        <c:spPr>
          <a:solidFill>
            <a:schemeClr val="accent1"/>
          </a:solidFill>
          <a:ln>
            <a:noFill/>
          </a:ln>
          <a:effectLst/>
        </c:spPr>
        <c:marker>
          <c:symbol val="none"/>
        </c:marker>
      </c:pivotFmt>
      <c:pivotFmt>
        <c:idx val="19"/>
        <c:spPr>
          <a:solidFill>
            <a:schemeClr val="accent1"/>
          </a:solidFill>
          <a:ln>
            <a:noFill/>
          </a:ln>
          <a:effectLst/>
        </c:spPr>
        <c:marker>
          <c:symbol val="none"/>
        </c:marker>
      </c:pivotFmt>
      <c:pivotFmt>
        <c:idx val="20"/>
        <c:spPr>
          <a:solidFill>
            <a:schemeClr val="accent1"/>
          </a:solidFill>
          <a:ln>
            <a:noFill/>
          </a:ln>
          <a:effectLst/>
        </c:spPr>
        <c:marker>
          <c:symbol val="none"/>
        </c:marker>
      </c:pivotFmt>
      <c:pivotFmt>
        <c:idx val="21"/>
        <c:spPr>
          <a:solidFill>
            <a:schemeClr val="accent1"/>
          </a:solidFill>
          <a:ln>
            <a:noFill/>
          </a:ln>
          <a:effectLst/>
        </c:spPr>
        <c:marker>
          <c:symbol val="none"/>
        </c:marker>
      </c:pivotFmt>
      <c:pivotFmt>
        <c:idx val="22"/>
        <c:spPr>
          <a:solidFill>
            <a:schemeClr val="accent1"/>
          </a:solidFill>
          <a:ln>
            <a:noFill/>
          </a:ln>
          <a:effectLst/>
        </c:spPr>
        <c:marker>
          <c:symbol val="none"/>
        </c:marker>
      </c:pivotFmt>
      <c:pivotFmt>
        <c:idx val="23"/>
        <c:spPr>
          <a:solidFill>
            <a:schemeClr val="accent1"/>
          </a:solidFill>
          <a:ln>
            <a:noFill/>
          </a:ln>
          <a:effectLst/>
        </c:spPr>
        <c:marker>
          <c:symbol val="none"/>
        </c:marker>
      </c:pivotFmt>
      <c:pivotFmt>
        <c:idx val="24"/>
        <c:spPr>
          <a:solidFill>
            <a:schemeClr val="accent1"/>
          </a:solidFill>
          <a:ln>
            <a:noFill/>
          </a:ln>
          <a:effectLst/>
        </c:spPr>
        <c:marker>
          <c:symbol val="none"/>
        </c:marker>
      </c:pivotFmt>
      <c:pivotFmt>
        <c:idx val="25"/>
        <c:spPr>
          <a:solidFill>
            <a:schemeClr val="accent1"/>
          </a:solidFill>
          <a:ln>
            <a:noFill/>
          </a:ln>
          <a:effectLst/>
        </c:spPr>
        <c:marker>
          <c:symbol val="none"/>
        </c:marker>
      </c:pivotFmt>
      <c:pivotFmt>
        <c:idx val="26"/>
        <c:spPr>
          <a:solidFill>
            <a:schemeClr val="accent1"/>
          </a:solidFill>
          <a:ln>
            <a:noFill/>
          </a:ln>
          <a:effectLst/>
        </c:spPr>
        <c:marker>
          <c:symbol val="none"/>
        </c:marker>
      </c:pivotFmt>
      <c:pivotFmt>
        <c:idx val="27"/>
        <c:spPr>
          <a:solidFill>
            <a:schemeClr val="accent1"/>
          </a:solidFill>
          <a:ln>
            <a:noFill/>
          </a:ln>
          <a:effectLst/>
        </c:spPr>
        <c:marker>
          <c:symbol val="none"/>
        </c:marker>
      </c:pivotFmt>
      <c:pivotFmt>
        <c:idx val="28"/>
        <c:spPr>
          <a:solidFill>
            <a:schemeClr val="accent1"/>
          </a:solidFill>
          <a:ln>
            <a:noFill/>
          </a:ln>
          <a:effectLst/>
        </c:spPr>
        <c:marker>
          <c:symbol val="none"/>
        </c:marker>
      </c:pivotFmt>
      <c:pivotFmt>
        <c:idx val="29"/>
        <c:spPr>
          <a:solidFill>
            <a:schemeClr val="accent1"/>
          </a:solidFill>
          <a:ln>
            <a:noFill/>
          </a:ln>
          <a:effectLst/>
        </c:spPr>
        <c:marker>
          <c:symbol val="none"/>
        </c:marker>
      </c:pivotFmt>
      <c:pivotFmt>
        <c:idx val="30"/>
        <c:spPr>
          <a:solidFill>
            <a:schemeClr val="accent1"/>
          </a:solidFill>
          <a:ln>
            <a:noFill/>
          </a:ln>
          <a:effectLst/>
        </c:spPr>
        <c:marker>
          <c:symbol val="none"/>
        </c:marker>
      </c:pivotFmt>
      <c:pivotFmt>
        <c:idx val="31"/>
        <c:spPr>
          <a:solidFill>
            <a:schemeClr val="accent1"/>
          </a:solidFill>
          <a:ln>
            <a:noFill/>
          </a:ln>
          <a:effectLst/>
        </c:spPr>
        <c:marker>
          <c:symbol val="none"/>
        </c:marker>
      </c:pivotFmt>
      <c:pivotFmt>
        <c:idx val="32"/>
        <c:spPr>
          <a:solidFill>
            <a:schemeClr val="accent1"/>
          </a:solidFill>
          <a:ln>
            <a:noFill/>
          </a:ln>
          <a:effectLst/>
        </c:spPr>
        <c:marker>
          <c:symbol val="none"/>
        </c:marker>
      </c:pivotFmt>
      <c:pivotFmt>
        <c:idx val="33"/>
        <c:spPr>
          <a:solidFill>
            <a:schemeClr val="accent1"/>
          </a:solidFill>
          <a:ln>
            <a:noFill/>
          </a:ln>
          <a:effectLst/>
        </c:spPr>
        <c:marker>
          <c:symbol val="none"/>
        </c:marker>
      </c:pivotFmt>
      <c:pivotFmt>
        <c:idx val="34"/>
        <c:spPr>
          <a:solidFill>
            <a:schemeClr val="accent1"/>
          </a:solidFill>
          <a:ln>
            <a:noFill/>
          </a:ln>
          <a:effectLst/>
        </c:spPr>
        <c:marker>
          <c:symbol val="none"/>
        </c:marker>
      </c:pivotFmt>
      <c:pivotFmt>
        <c:idx val="35"/>
        <c:spPr>
          <a:solidFill>
            <a:schemeClr val="accent1"/>
          </a:solidFill>
          <a:ln>
            <a:noFill/>
          </a:ln>
          <a:effectLst/>
        </c:spPr>
        <c:marker>
          <c:symbol val="none"/>
        </c:marker>
      </c:pivotFmt>
      <c:pivotFmt>
        <c:idx val="36"/>
        <c:spPr>
          <a:solidFill>
            <a:schemeClr val="accent1"/>
          </a:solidFill>
          <a:ln>
            <a:noFill/>
          </a:ln>
          <a:effectLst/>
        </c:spPr>
        <c:marker>
          <c:symbol val="none"/>
        </c:marker>
      </c:pivotFmt>
      <c:pivotFmt>
        <c:idx val="37"/>
        <c:spPr>
          <a:solidFill>
            <a:schemeClr val="accent1"/>
          </a:solidFill>
          <a:ln>
            <a:noFill/>
          </a:ln>
          <a:effectLst/>
        </c:spPr>
        <c:marker>
          <c:symbol val="none"/>
        </c:marker>
      </c:pivotFmt>
      <c:pivotFmt>
        <c:idx val="38"/>
        <c:spPr>
          <a:solidFill>
            <a:schemeClr val="accent1"/>
          </a:solidFill>
          <a:ln>
            <a:noFill/>
          </a:ln>
          <a:effectLst/>
        </c:spPr>
        <c:marker>
          <c:symbol val="none"/>
        </c:marker>
      </c:pivotFmt>
    </c:pivotFmts>
    <c:plotArea>
      <c:layout/>
      <c:barChart>
        <c:barDir val="col"/>
        <c:grouping val="clustered"/>
        <c:varyColors val="0"/>
        <c:ser>
          <c:idx val="0"/>
          <c:order val="0"/>
          <c:tx>
            <c:strRef>
              <c:f>'Sheet1 (3)'!$B$5:$B$6</c:f>
              <c:strCache>
                <c:ptCount val="1"/>
                <c:pt idx="0">
                  <c:v>Atomoxetine</c:v>
                </c:pt>
              </c:strCache>
            </c:strRef>
          </c:tx>
          <c:spPr>
            <a:solidFill>
              <a:schemeClr val="accent1"/>
            </a:solidFill>
            <a:ln>
              <a:noFill/>
            </a:ln>
            <a:effectLst/>
          </c:spPr>
          <c:invertIfNegative val="0"/>
          <c:cat>
            <c:strRef>
              <c:f>'Sheet1 (3)'!$A$7:$A$15</c:f>
              <c:strCache>
                <c:ptCount val="8"/>
                <c:pt idx="0">
                  <c:v>ACT</c:v>
                </c:pt>
                <c:pt idx="1">
                  <c:v>NSW</c:v>
                </c:pt>
                <c:pt idx="2">
                  <c:v>NT</c:v>
                </c:pt>
                <c:pt idx="3">
                  <c:v>QLD</c:v>
                </c:pt>
                <c:pt idx="4">
                  <c:v>SA</c:v>
                </c:pt>
                <c:pt idx="5">
                  <c:v>TAS</c:v>
                </c:pt>
                <c:pt idx="6">
                  <c:v>VIC</c:v>
                </c:pt>
                <c:pt idx="7">
                  <c:v>WA</c:v>
                </c:pt>
              </c:strCache>
            </c:strRef>
          </c:cat>
          <c:val>
            <c:numRef>
              <c:f>'Sheet1 (3)'!$B$7:$B$15</c:f>
              <c:numCache>
                <c:formatCode>General</c:formatCode>
                <c:ptCount val="8"/>
                <c:pt idx="0">
                  <c:v>0.3302089708</c:v>
                </c:pt>
                <c:pt idx="1">
                  <c:v>0.2410282175</c:v>
                </c:pt>
                <c:pt idx="2">
                  <c:v>0.14325226720000001</c:v>
                </c:pt>
                <c:pt idx="3">
                  <c:v>0.26707720439999999</c:v>
                </c:pt>
                <c:pt idx="4">
                  <c:v>0.13261129020000001</c:v>
                </c:pt>
                <c:pt idx="5">
                  <c:v>0.44571943380000001</c:v>
                </c:pt>
                <c:pt idx="6">
                  <c:v>0.17006930610000001</c:v>
                </c:pt>
                <c:pt idx="7">
                  <c:v>0.30890679609999999</c:v>
                </c:pt>
              </c:numCache>
            </c:numRef>
          </c:val>
          <c:extLst>
            <c:ext xmlns:c16="http://schemas.microsoft.com/office/drawing/2014/chart" uri="{C3380CC4-5D6E-409C-BE32-E72D297353CC}">
              <c16:uniqueId val="{00000000-4FE5-4394-9C1B-9887F17C90D0}"/>
            </c:ext>
          </c:extLst>
        </c:ser>
        <c:ser>
          <c:idx val="1"/>
          <c:order val="1"/>
          <c:tx>
            <c:strRef>
              <c:f>'Sheet1 (3)'!$C$5:$C$6</c:f>
              <c:strCache>
                <c:ptCount val="1"/>
                <c:pt idx="0">
                  <c:v>Clonidine</c:v>
                </c:pt>
              </c:strCache>
            </c:strRef>
          </c:tx>
          <c:spPr>
            <a:solidFill>
              <a:schemeClr val="accent2"/>
            </a:solidFill>
            <a:ln>
              <a:noFill/>
            </a:ln>
            <a:effectLst/>
          </c:spPr>
          <c:invertIfNegative val="0"/>
          <c:cat>
            <c:strRef>
              <c:f>'Sheet1 (3)'!$A$7:$A$15</c:f>
              <c:strCache>
                <c:ptCount val="8"/>
                <c:pt idx="0">
                  <c:v>ACT</c:v>
                </c:pt>
                <c:pt idx="1">
                  <c:v>NSW</c:v>
                </c:pt>
                <c:pt idx="2">
                  <c:v>NT</c:v>
                </c:pt>
                <c:pt idx="3">
                  <c:v>QLD</c:v>
                </c:pt>
                <c:pt idx="4">
                  <c:v>SA</c:v>
                </c:pt>
                <c:pt idx="5">
                  <c:v>TAS</c:v>
                </c:pt>
                <c:pt idx="6">
                  <c:v>VIC</c:v>
                </c:pt>
                <c:pt idx="7">
                  <c:v>WA</c:v>
                </c:pt>
              </c:strCache>
            </c:strRef>
          </c:cat>
          <c:val>
            <c:numRef>
              <c:f>'Sheet1 (3)'!$C$7:$C$15</c:f>
              <c:numCache>
                <c:formatCode>General</c:formatCode>
                <c:ptCount val="8"/>
                <c:pt idx="0">
                  <c:v>2.1781674310999999</c:v>
                </c:pt>
                <c:pt idx="1">
                  <c:v>2.2121811463999999</c:v>
                </c:pt>
                <c:pt idx="2">
                  <c:v>0.99725616809999995</c:v>
                </c:pt>
                <c:pt idx="3">
                  <c:v>2.0140373536</c:v>
                </c:pt>
                <c:pt idx="4">
                  <c:v>2.3891771795999999</c:v>
                </c:pt>
                <c:pt idx="5">
                  <c:v>5.9460869153000004</c:v>
                </c:pt>
                <c:pt idx="6">
                  <c:v>2.4694757411000001</c:v>
                </c:pt>
                <c:pt idx="7">
                  <c:v>3.9030991507000001</c:v>
                </c:pt>
              </c:numCache>
            </c:numRef>
          </c:val>
          <c:extLst>
            <c:ext xmlns:c16="http://schemas.microsoft.com/office/drawing/2014/chart" uri="{C3380CC4-5D6E-409C-BE32-E72D297353CC}">
              <c16:uniqueId val="{00000001-4FE5-4394-9C1B-9887F17C90D0}"/>
            </c:ext>
          </c:extLst>
        </c:ser>
        <c:ser>
          <c:idx val="2"/>
          <c:order val="2"/>
          <c:tx>
            <c:strRef>
              <c:f>'Sheet1 (3)'!$D$5:$D$6</c:f>
              <c:strCache>
                <c:ptCount val="1"/>
                <c:pt idx="0">
                  <c:v>Dexamfetamine</c:v>
                </c:pt>
              </c:strCache>
            </c:strRef>
          </c:tx>
          <c:spPr>
            <a:solidFill>
              <a:schemeClr val="accent3"/>
            </a:solidFill>
            <a:ln>
              <a:noFill/>
            </a:ln>
            <a:effectLst/>
          </c:spPr>
          <c:invertIfNegative val="0"/>
          <c:cat>
            <c:strRef>
              <c:f>'Sheet1 (3)'!$A$7:$A$15</c:f>
              <c:strCache>
                <c:ptCount val="8"/>
                <c:pt idx="0">
                  <c:v>ACT</c:v>
                </c:pt>
                <c:pt idx="1">
                  <c:v>NSW</c:v>
                </c:pt>
                <c:pt idx="2">
                  <c:v>NT</c:v>
                </c:pt>
                <c:pt idx="3">
                  <c:v>QLD</c:v>
                </c:pt>
                <c:pt idx="4">
                  <c:v>SA</c:v>
                </c:pt>
                <c:pt idx="5">
                  <c:v>TAS</c:v>
                </c:pt>
                <c:pt idx="6">
                  <c:v>VIC</c:v>
                </c:pt>
                <c:pt idx="7">
                  <c:v>WA</c:v>
                </c:pt>
              </c:strCache>
            </c:strRef>
          </c:cat>
          <c:val>
            <c:numRef>
              <c:f>'Sheet1 (3)'!$D$7:$D$15</c:f>
              <c:numCache>
                <c:formatCode>General</c:formatCode>
                <c:ptCount val="8"/>
                <c:pt idx="0">
                  <c:v>3.6080631578000002</c:v>
                </c:pt>
                <c:pt idx="1">
                  <c:v>2.1282346431999999</c:v>
                </c:pt>
                <c:pt idx="2">
                  <c:v>1.1515278405</c:v>
                </c:pt>
                <c:pt idx="3">
                  <c:v>1.898847567</c:v>
                </c:pt>
                <c:pt idx="4">
                  <c:v>1.5369865932</c:v>
                </c:pt>
                <c:pt idx="5">
                  <c:v>1.2375826833000001</c:v>
                </c:pt>
                <c:pt idx="6">
                  <c:v>1.6087168038999999</c:v>
                </c:pt>
                <c:pt idx="7">
                  <c:v>7.1364883673000001</c:v>
                </c:pt>
              </c:numCache>
            </c:numRef>
          </c:val>
          <c:extLst>
            <c:ext xmlns:c16="http://schemas.microsoft.com/office/drawing/2014/chart" uri="{C3380CC4-5D6E-409C-BE32-E72D297353CC}">
              <c16:uniqueId val="{00000002-4FE5-4394-9C1B-9887F17C90D0}"/>
            </c:ext>
          </c:extLst>
        </c:ser>
        <c:ser>
          <c:idx val="3"/>
          <c:order val="3"/>
          <c:tx>
            <c:strRef>
              <c:f>'Sheet1 (3)'!$E$5:$E$6</c:f>
              <c:strCache>
                <c:ptCount val="1"/>
                <c:pt idx="0">
                  <c:v>Guanfacine</c:v>
                </c:pt>
              </c:strCache>
            </c:strRef>
          </c:tx>
          <c:spPr>
            <a:solidFill>
              <a:schemeClr val="accent4"/>
            </a:solidFill>
            <a:ln>
              <a:noFill/>
            </a:ln>
            <a:effectLst/>
          </c:spPr>
          <c:invertIfNegative val="0"/>
          <c:cat>
            <c:strRef>
              <c:f>'Sheet1 (3)'!$A$7:$A$15</c:f>
              <c:strCache>
                <c:ptCount val="8"/>
                <c:pt idx="0">
                  <c:v>ACT</c:v>
                </c:pt>
                <c:pt idx="1">
                  <c:v>NSW</c:v>
                </c:pt>
                <c:pt idx="2">
                  <c:v>NT</c:v>
                </c:pt>
                <c:pt idx="3">
                  <c:v>QLD</c:v>
                </c:pt>
                <c:pt idx="4">
                  <c:v>SA</c:v>
                </c:pt>
                <c:pt idx="5">
                  <c:v>TAS</c:v>
                </c:pt>
                <c:pt idx="6">
                  <c:v>VIC</c:v>
                </c:pt>
                <c:pt idx="7">
                  <c:v>WA</c:v>
                </c:pt>
              </c:strCache>
            </c:strRef>
          </c:cat>
          <c:val>
            <c:numRef>
              <c:f>'Sheet1 (3)'!$E$7:$E$15</c:f>
              <c:numCache>
                <c:formatCode>General</c:formatCode>
                <c:ptCount val="8"/>
                <c:pt idx="0">
                  <c:v>0.1060304035</c:v>
                </c:pt>
                <c:pt idx="1">
                  <c:v>0.1001634413</c:v>
                </c:pt>
                <c:pt idx="2">
                  <c:v>2.2038810299999999E-2</c:v>
                </c:pt>
                <c:pt idx="3">
                  <c:v>0.1047411556</c:v>
                </c:pt>
                <c:pt idx="4">
                  <c:v>2.1739555800000001E-2</c:v>
                </c:pt>
                <c:pt idx="5">
                  <c:v>0.1612176676</c:v>
                </c:pt>
                <c:pt idx="6">
                  <c:v>8.8119810500000006E-2</c:v>
                </c:pt>
                <c:pt idx="7">
                  <c:v>6.2275610100000003E-2</c:v>
                </c:pt>
              </c:numCache>
            </c:numRef>
          </c:val>
          <c:extLst>
            <c:ext xmlns:c16="http://schemas.microsoft.com/office/drawing/2014/chart" uri="{C3380CC4-5D6E-409C-BE32-E72D297353CC}">
              <c16:uniqueId val="{00000003-4FE5-4394-9C1B-9887F17C90D0}"/>
            </c:ext>
          </c:extLst>
        </c:ser>
        <c:ser>
          <c:idx val="4"/>
          <c:order val="4"/>
          <c:tx>
            <c:strRef>
              <c:f>'Sheet1 (3)'!$F$5:$F$6</c:f>
              <c:strCache>
                <c:ptCount val="1"/>
                <c:pt idx="0">
                  <c:v>Lisdexamfetamine</c:v>
                </c:pt>
              </c:strCache>
            </c:strRef>
          </c:tx>
          <c:spPr>
            <a:solidFill>
              <a:schemeClr val="accent5"/>
            </a:solidFill>
            <a:ln>
              <a:noFill/>
            </a:ln>
            <a:effectLst/>
          </c:spPr>
          <c:invertIfNegative val="0"/>
          <c:cat>
            <c:strRef>
              <c:f>'Sheet1 (3)'!$A$7:$A$15</c:f>
              <c:strCache>
                <c:ptCount val="8"/>
                <c:pt idx="0">
                  <c:v>ACT</c:v>
                </c:pt>
                <c:pt idx="1">
                  <c:v>NSW</c:v>
                </c:pt>
                <c:pt idx="2">
                  <c:v>NT</c:v>
                </c:pt>
                <c:pt idx="3">
                  <c:v>QLD</c:v>
                </c:pt>
                <c:pt idx="4">
                  <c:v>SA</c:v>
                </c:pt>
                <c:pt idx="5">
                  <c:v>TAS</c:v>
                </c:pt>
                <c:pt idx="6">
                  <c:v>VIC</c:v>
                </c:pt>
                <c:pt idx="7">
                  <c:v>WA</c:v>
                </c:pt>
              </c:strCache>
            </c:strRef>
          </c:cat>
          <c:val>
            <c:numRef>
              <c:f>'Sheet1 (3)'!$F$7:$F$15</c:f>
              <c:numCache>
                <c:formatCode>General</c:formatCode>
                <c:ptCount val="8"/>
                <c:pt idx="0">
                  <c:v>0.90277314949999998</c:v>
                </c:pt>
                <c:pt idx="1">
                  <c:v>0.58269684499999996</c:v>
                </c:pt>
                <c:pt idx="2">
                  <c:v>0.42424709910000002</c:v>
                </c:pt>
                <c:pt idx="3">
                  <c:v>0.66922207899999997</c:v>
                </c:pt>
                <c:pt idx="4">
                  <c:v>0.17536574990000001</c:v>
                </c:pt>
                <c:pt idx="5">
                  <c:v>0.56900353260000003</c:v>
                </c:pt>
                <c:pt idx="6">
                  <c:v>0.51811363440000002</c:v>
                </c:pt>
                <c:pt idx="7">
                  <c:v>1.1718688219</c:v>
                </c:pt>
              </c:numCache>
            </c:numRef>
          </c:val>
          <c:extLst>
            <c:ext xmlns:c16="http://schemas.microsoft.com/office/drawing/2014/chart" uri="{C3380CC4-5D6E-409C-BE32-E72D297353CC}">
              <c16:uniqueId val="{00000004-4FE5-4394-9C1B-9887F17C90D0}"/>
            </c:ext>
          </c:extLst>
        </c:ser>
        <c:ser>
          <c:idx val="5"/>
          <c:order val="5"/>
          <c:tx>
            <c:strRef>
              <c:f>'Sheet1 (3)'!$G$5:$G$6</c:f>
              <c:strCache>
                <c:ptCount val="1"/>
                <c:pt idx="0">
                  <c:v>MPH-IR</c:v>
                </c:pt>
              </c:strCache>
            </c:strRef>
          </c:tx>
          <c:spPr>
            <a:solidFill>
              <a:schemeClr val="accent6"/>
            </a:solidFill>
            <a:ln>
              <a:noFill/>
            </a:ln>
            <a:effectLst/>
          </c:spPr>
          <c:invertIfNegative val="0"/>
          <c:cat>
            <c:strRef>
              <c:f>'Sheet1 (3)'!$A$7:$A$15</c:f>
              <c:strCache>
                <c:ptCount val="8"/>
                <c:pt idx="0">
                  <c:v>ACT</c:v>
                </c:pt>
                <c:pt idx="1">
                  <c:v>NSW</c:v>
                </c:pt>
                <c:pt idx="2">
                  <c:v>NT</c:v>
                </c:pt>
                <c:pt idx="3">
                  <c:v>QLD</c:v>
                </c:pt>
                <c:pt idx="4">
                  <c:v>SA</c:v>
                </c:pt>
                <c:pt idx="5">
                  <c:v>TAS</c:v>
                </c:pt>
                <c:pt idx="6">
                  <c:v>VIC</c:v>
                </c:pt>
                <c:pt idx="7">
                  <c:v>WA</c:v>
                </c:pt>
              </c:strCache>
            </c:strRef>
          </c:cat>
          <c:val>
            <c:numRef>
              <c:f>'Sheet1 (3)'!$G$7:$G$15</c:f>
              <c:numCache>
                <c:formatCode>General</c:formatCode>
                <c:ptCount val="8"/>
                <c:pt idx="0">
                  <c:v>1.5783382914999999</c:v>
                </c:pt>
                <c:pt idx="1">
                  <c:v>1.4126225015</c:v>
                </c:pt>
                <c:pt idx="2">
                  <c:v>0.57851877159999998</c:v>
                </c:pt>
                <c:pt idx="3">
                  <c:v>1.1539366236999999</c:v>
                </c:pt>
                <c:pt idx="4">
                  <c:v>0.63551968049999996</c:v>
                </c:pt>
                <c:pt idx="5">
                  <c:v>0.77763816119999996</c:v>
                </c:pt>
                <c:pt idx="6">
                  <c:v>0.96526864680000002</c:v>
                </c:pt>
                <c:pt idx="7">
                  <c:v>1.1693975674999999</c:v>
                </c:pt>
              </c:numCache>
            </c:numRef>
          </c:val>
          <c:extLst>
            <c:ext xmlns:c16="http://schemas.microsoft.com/office/drawing/2014/chart" uri="{C3380CC4-5D6E-409C-BE32-E72D297353CC}">
              <c16:uniqueId val="{00000005-4FE5-4394-9C1B-9887F17C90D0}"/>
            </c:ext>
          </c:extLst>
        </c:ser>
        <c:ser>
          <c:idx val="6"/>
          <c:order val="6"/>
          <c:tx>
            <c:strRef>
              <c:f>'Sheet1 (3)'!$H$5:$H$6</c:f>
              <c:strCache>
                <c:ptCount val="1"/>
                <c:pt idx="0">
                  <c:v>MPH-MR</c:v>
                </c:pt>
              </c:strCache>
            </c:strRef>
          </c:tx>
          <c:spPr>
            <a:solidFill>
              <a:schemeClr val="accent1">
                <a:lumMod val="60000"/>
              </a:schemeClr>
            </a:solidFill>
            <a:ln>
              <a:noFill/>
            </a:ln>
            <a:effectLst/>
          </c:spPr>
          <c:invertIfNegative val="0"/>
          <c:cat>
            <c:strRef>
              <c:f>'Sheet1 (3)'!$A$7:$A$15</c:f>
              <c:strCache>
                <c:ptCount val="8"/>
                <c:pt idx="0">
                  <c:v>ACT</c:v>
                </c:pt>
                <c:pt idx="1">
                  <c:v>NSW</c:v>
                </c:pt>
                <c:pt idx="2">
                  <c:v>NT</c:v>
                </c:pt>
                <c:pt idx="3">
                  <c:v>QLD</c:v>
                </c:pt>
                <c:pt idx="4">
                  <c:v>SA</c:v>
                </c:pt>
                <c:pt idx="5">
                  <c:v>TAS</c:v>
                </c:pt>
                <c:pt idx="6">
                  <c:v>VIC</c:v>
                </c:pt>
                <c:pt idx="7">
                  <c:v>WA</c:v>
                </c:pt>
              </c:strCache>
            </c:strRef>
          </c:cat>
          <c:val>
            <c:numRef>
              <c:f>'Sheet1 (3)'!$H$7:$H$15</c:f>
              <c:numCache>
                <c:formatCode>General</c:formatCode>
                <c:ptCount val="8"/>
                <c:pt idx="0">
                  <c:v>1.0209213132999999</c:v>
                </c:pt>
                <c:pt idx="1">
                  <c:v>0.78254675880000002</c:v>
                </c:pt>
                <c:pt idx="2">
                  <c:v>0.36364037069999999</c:v>
                </c:pt>
                <c:pt idx="3">
                  <c:v>0.82569670070000001</c:v>
                </c:pt>
                <c:pt idx="4">
                  <c:v>0.29493330670000001</c:v>
                </c:pt>
                <c:pt idx="5">
                  <c:v>0.57137438060000001</c:v>
                </c:pt>
                <c:pt idx="6">
                  <c:v>0.49362519690000001</c:v>
                </c:pt>
                <c:pt idx="7">
                  <c:v>0.61188258179999999</c:v>
                </c:pt>
              </c:numCache>
            </c:numRef>
          </c:val>
          <c:extLst>
            <c:ext xmlns:c16="http://schemas.microsoft.com/office/drawing/2014/chart" uri="{C3380CC4-5D6E-409C-BE32-E72D297353CC}">
              <c16:uniqueId val="{00000006-4FE5-4394-9C1B-9887F17C90D0}"/>
            </c:ext>
          </c:extLst>
        </c:ser>
        <c:dLbls>
          <c:showLegendKey val="0"/>
          <c:showVal val="0"/>
          <c:showCatName val="0"/>
          <c:showSerName val="0"/>
          <c:showPercent val="0"/>
          <c:showBubbleSize val="0"/>
        </c:dLbls>
        <c:gapWidth val="219"/>
        <c:overlap val="-27"/>
        <c:axId val="640844264"/>
        <c:axId val="640844592"/>
      </c:barChart>
      <c:catAx>
        <c:axId val="6408442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Patient State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0844592"/>
        <c:crosses val="autoZero"/>
        <c:auto val="1"/>
        <c:lblAlgn val="ctr"/>
        <c:lblOffset val="100"/>
        <c:noMultiLvlLbl val="0"/>
      </c:catAx>
      <c:valAx>
        <c:axId val="6408445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Patients per 1,000 population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08442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[D1304_PATCNTBY_PRESCR_SUPP_Year  v4.xlsx]pivot (2)!PivotTable4</c:name>
    <c:fmtId val="-1"/>
  </c:pivotSource>
  <c:chart>
    <c:autoTitleDeleted val="1"/>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a:noFill/>
          </a:ln>
          <a:effectLst/>
        </c:spPr>
        <c:marker>
          <c:symbol val="none"/>
        </c:marker>
      </c:pivotFmt>
      <c:pivotFmt>
        <c:idx val="11"/>
        <c:spPr>
          <a:solidFill>
            <a:schemeClr val="accent1"/>
          </a:solidFill>
          <a:ln>
            <a:noFill/>
          </a:ln>
          <a:effectLst/>
        </c:spPr>
        <c:marker>
          <c:symbol val="none"/>
        </c:marker>
      </c:pivotFmt>
      <c:pivotFmt>
        <c:idx val="12"/>
        <c:spPr>
          <a:solidFill>
            <a:schemeClr val="accent1"/>
          </a:solidFill>
          <a:ln>
            <a:noFill/>
          </a:ln>
          <a:effectLst/>
        </c:spPr>
        <c:marker>
          <c:symbol val="none"/>
        </c:marker>
      </c:pivotFmt>
      <c:pivotFmt>
        <c:idx val="13"/>
        <c:spPr>
          <a:solidFill>
            <a:schemeClr val="accent1"/>
          </a:solidFill>
          <a:ln>
            <a:noFill/>
          </a:ln>
          <a:effectLst/>
        </c:spPr>
        <c:marker>
          <c:symbol val="none"/>
        </c:marker>
      </c:pivotFmt>
      <c:pivotFmt>
        <c:idx val="14"/>
        <c:spPr>
          <a:solidFill>
            <a:schemeClr val="accent1"/>
          </a:solidFill>
          <a:ln>
            <a:noFill/>
          </a:ln>
          <a:effectLst/>
        </c:spPr>
        <c:marker>
          <c:symbol val="none"/>
        </c:marker>
      </c:pivotFmt>
      <c:pivotFmt>
        <c:idx val="15"/>
        <c:spPr>
          <a:solidFill>
            <a:schemeClr val="accent1"/>
          </a:solidFill>
          <a:ln>
            <a:noFill/>
          </a:ln>
          <a:effectLst/>
        </c:spPr>
        <c:marker>
          <c:symbol val="none"/>
        </c:marker>
      </c:pivotFmt>
      <c:pivotFmt>
        <c:idx val="16"/>
        <c:spPr>
          <a:solidFill>
            <a:schemeClr val="accent1"/>
          </a:solidFill>
          <a:ln>
            <a:noFill/>
          </a:ln>
          <a:effectLst/>
        </c:spPr>
        <c:marker>
          <c:symbol val="none"/>
        </c:marker>
      </c:pivotFmt>
      <c:pivotFmt>
        <c:idx val="17"/>
        <c:spPr>
          <a:solidFill>
            <a:schemeClr val="accent1"/>
          </a:solidFill>
          <a:ln>
            <a:noFill/>
          </a:ln>
          <a:effectLst/>
        </c:spPr>
        <c:marker>
          <c:symbol val="none"/>
        </c:marker>
      </c:pivotFmt>
      <c:pivotFmt>
        <c:idx val="18"/>
        <c:spPr>
          <a:solidFill>
            <a:schemeClr val="accent1"/>
          </a:solidFill>
          <a:ln>
            <a:noFill/>
          </a:ln>
          <a:effectLst/>
        </c:spPr>
        <c:marker>
          <c:symbol val="none"/>
        </c:marker>
      </c:pivotFmt>
      <c:pivotFmt>
        <c:idx val="19"/>
        <c:spPr>
          <a:solidFill>
            <a:schemeClr val="accent1"/>
          </a:solidFill>
          <a:ln>
            <a:noFill/>
          </a:ln>
          <a:effectLst/>
        </c:spPr>
        <c:marker>
          <c:symbol val="none"/>
        </c:marker>
      </c:pivotFmt>
      <c:pivotFmt>
        <c:idx val="20"/>
        <c:spPr>
          <a:solidFill>
            <a:schemeClr val="accent1"/>
          </a:solidFill>
          <a:ln>
            <a:noFill/>
          </a:ln>
          <a:effectLst/>
        </c:spPr>
        <c:marker>
          <c:symbol val="none"/>
        </c:marker>
      </c:pivotFmt>
      <c:pivotFmt>
        <c:idx val="21"/>
        <c:spPr>
          <a:solidFill>
            <a:schemeClr val="accent1"/>
          </a:solidFill>
          <a:ln>
            <a:noFill/>
          </a:ln>
          <a:effectLst/>
        </c:spPr>
        <c:marker>
          <c:symbol val="none"/>
        </c:marker>
      </c:pivotFmt>
      <c:pivotFmt>
        <c:idx val="22"/>
        <c:spPr>
          <a:solidFill>
            <a:schemeClr val="accent1"/>
          </a:solidFill>
          <a:ln>
            <a:noFill/>
          </a:ln>
          <a:effectLst/>
        </c:spPr>
        <c:marker>
          <c:symbol val="none"/>
        </c:marker>
      </c:pivotFmt>
      <c:pivotFmt>
        <c:idx val="23"/>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24"/>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25"/>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26"/>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27"/>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28"/>
        <c:spPr>
          <a:solidFill>
            <a:schemeClr val="accent1"/>
          </a:solidFill>
          <a:ln>
            <a:noFill/>
          </a:ln>
          <a:effectLst/>
        </c:spPr>
        <c:marker>
          <c:symbol val="none"/>
        </c:marker>
      </c:pivotFmt>
      <c:pivotFmt>
        <c:idx val="29"/>
        <c:spPr>
          <a:solidFill>
            <a:schemeClr val="accent1"/>
          </a:solidFill>
          <a:ln>
            <a:noFill/>
          </a:ln>
          <a:effectLst/>
        </c:spPr>
        <c:marker>
          <c:symbol val="none"/>
        </c:marker>
      </c:pivotFmt>
      <c:pivotFmt>
        <c:idx val="30"/>
        <c:spPr>
          <a:solidFill>
            <a:schemeClr val="accent1"/>
          </a:solidFill>
          <a:ln>
            <a:noFill/>
          </a:ln>
          <a:effectLst/>
        </c:spPr>
        <c:marker>
          <c:symbol val="none"/>
        </c:marker>
      </c:pivotFmt>
      <c:pivotFmt>
        <c:idx val="31"/>
        <c:spPr>
          <a:solidFill>
            <a:schemeClr val="accent1"/>
          </a:solidFill>
          <a:ln>
            <a:noFill/>
          </a:ln>
          <a:effectLst/>
        </c:spPr>
        <c:marker>
          <c:symbol val="none"/>
        </c:marker>
      </c:pivotFmt>
      <c:pivotFmt>
        <c:idx val="32"/>
        <c:spPr>
          <a:solidFill>
            <a:schemeClr val="accent1"/>
          </a:solidFill>
          <a:ln>
            <a:noFill/>
          </a:ln>
          <a:effectLst/>
        </c:spPr>
        <c:marker>
          <c:symbol val="none"/>
        </c:marker>
      </c:pivotFmt>
      <c:pivotFmt>
        <c:idx val="33"/>
        <c:spPr>
          <a:solidFill>
            <a:schemeClr val="accent1"/>
          </a:solidFill>
          <a:ln>
            <a:noFill/>
          </a:ln>
          <a:effectLst/>
        </c:spPr>
        <c:marker>
          <c:symbol val="none"/>
        </c:marker>
      </c:pivotFmt>
      <c:pivotFmt>
        <c:idx val="34"/>
        <c:spPr>
          <a:solidFill>
            <a:schemeClr val="accent1"/>
          </a:solidFill>
          <a:ln>
            <a:noFill/>
          </a:ln>
          <a:effectLst/>
        </c:spPr>
        <c:marker>
          <c:symbol val="none"/>
        </c:marker>
      </c:pivotFmt>
      <c:pivotFmt>
        <c:idx val="35"/>
        <c:spPr>
          <a:solidFill>
            <a:schemeClr val="accent1"/>
          </a:solidFill>
          <a:ln>
            <a:noFill/>
          </a:ln>
          <a:effectLst/>
        </c:spPr>
        <c:marker>
          <c:symbol val="none"/>
        </c:marker>
      </c:pivotFmt>
      <c:pivotFmt>
        <c:idx val="36"/>
        <c:spPr>
          <a:solidFill>
            <a:schemeClr val="accent1"/>
          </a:solidFill>
          <a:ln>
            <a:noFill/>
          </a:ln>
          <a:effectLst/>
        </c:spPr>
        <c:marker>
          <c:symbol val="none"/>
        </c:marker>
      </c:pivotFmt>
      <c:pivotFmt>
        <c:idx val="37"/>
        <c:spPr>
          <a:solidFill>
            <a:schemeClr val="accent1"/>
          </a:solidFill>
          <a:ln>
            <a:noFill/>
          </a:ln>
          <a:effectLst/>
        </c:spPr>
        <c:marker>
          <c:symbol val="none"/>
        </c:marker>
      </c:pivotFmt>
      <c:pivotFmt>
        <c:idx val="38"/>
        <c:spPr>
          <a:solidFill>
            <a:schemeClr val="accent1"/>
          </a:solidFill>
          <a:ln>
            <a:noFill/>
          </a:ln>
          <a:effectLst/>
        </c:spPr>
        <c:marker>
          <c:symbol val="none"/>
        </c:marker>
      </c:pivotFmt>
      <c:pivotFmt>
        <c:idx val="39"/>
        <c:spPr>
          <a:solidFill>
            <a:schemeClr val="accent2"/>
          </a:solidFill>
          <a:ln>
            <a:noFill/>
          </a:ln>
          <a:effectLst/>
        </c:spPr>
        <c:marker>
          <c:symbol val="none"/>
        </c:marker>
      </c:pivotFmt>
      <c:pivotFmt>
        <c:idx val="40"/>
        <c:spPr>
          <a:solidFill>
            <a:schemeClr val="accent3"/>
          </a:solidFill>
          <a:ln>
            <a:noFill/>
          </a:ln>
          <a:effectLst/>
        </c:spPr>
        <c:marker>
          <c:symbol val="none"/>
        </c:marker>
      </c:pivotFmt>
      <c:pivotFmt>
        <c:idx val="41"/>
        <c:spPr>
          <a:solidFill>
            <a:schemeClr val="accent4"/>
          </a:solidFill>
          <a:ln>
            <a:noFill/>
          </a:ln>
          <a:effectLst/>
        </c:spPr>
        <c:marker>
          <c:symbol val="none"/>
        </c:marker>
      </c:pivotFmt>
      <c:pivotFmt>
        <c:idx val="42"/>
        <c:spPr>
          <a:solidFill>
            <a:schemeClr val="accent1"/>
          </a:solidFill>
          <a:ln>
            <a:noFill/>
          </a:ln>
          <a:effectLst/>
        </c:spPr>
        <c:marker>
          <c:symbol val="none"/>
        </c:marker>
      </c:pivotFmt>
      <c:pivotFmt>
        <c:idx val="43"/>
        <c:spPr>
          <a:solidFill>
            <a:schemeClr val="accent2"/>
          </a:solidFill>
          <a:ln>
            <a:noFill/>
          </a:ln>
          <a:effectLst/>
        </c:spPr>
        <c:marker>
          <c:symbol val="none"/>
        </c:marker>
      </c:pivotFmt>
      <c:pivotFmt>
        <c:idx val="44"/>
        <c:spPr>
          <a:solidFill>
            <a:schemeClr val="accent3"/>
          </a:solidFill>
          <a:ln>
            <a:noFill/>
          </a:ln>
          <a:effectLst/>
        </c:spPr>
        <c:marker>
          <c:symbol val="none"/>
        </c:marker>
      </c:pivotFmt>
      <c:pivotFmt>
        <c:idx val="45"/>
        <c:spPr>
          <a:solidFill>
            <a:schemeClr val="accent4"/>
          </a:solidFill>
          <a:ln>
            <a:noFill/>
          </a:ln>
          <a:effectLst/>
        </c:spPr>
        <c:marker>
          <c:symbol val="none"/>
        </c:marker>
      </c:pivotFmt>
      <c:pivotFmt>
        <c:idx val="46"/>
        <c:spPr>
          <a:solidFill>
            <a:schemeClr val="accent1"/>
          </a:solidFill>
          <a:ln>
            <a:noFill/>
          </a:ln>
          <a:effectLst/>
        </c:spPr>
        <c:marker>
          <c:symbol val="none"/>
        </c:marker>
      </c:pivotFmt>
      <c:pivotFmt>
        <c:idx val="47"/>
        <c:spPr>
          <a:solidFill>
            <a:schemeClr val="accent2"/>
          </a:solidFill>
          <a:ln>
            <a:noFill/>
          </a:ln>
          <a:effectLst/>
        </c:spPr>
        <c:marker>
          <c:symbol val="none"/>
        </c:marker>
      </c:pivotFmt>
      <c:pivotFmt>
        <c:idx val="48"/>
        <c:spPr>
          <a:solidFill>
            <a:schemeClr val="accent3"/>
          </a:solidFill>
          <a:ln>
            <a:noFill/>
          </a:ln>
          <a:effectLst/>
        </c:spPr>
        <c:marker>
          <c:symbol val="none"/>
        </c:marker>
      </c:pivotFmt>
      <c:pivotFmt>
        <c:idx val="49"/>
        <c:spPr>
          <a:solidFill>
            <a:schemeClr val="accent4"/>
          </a:solidFill>
          <a:ln>
            <a:noFill/>
          </a:ln>
          <a:effectLst/>
        </c:spPr>
        <c:marker>
          <c:symbol val="none"/>
        </c:marker>
      </c:pivotFmt>
    </c:pivotFmts>
    <c:plotArea>
      <c:layout>
        <c:manualLayout>
          <c:layoutTarget val="inner"/>
          <c:xMode val="edge"/>
          <c:yMode val="edge"/>
          <c:x val="0.11397921302038876"/>
          <c:y val="8.1171834846667804E-2"/>
          <c:w val="0.81093651854905624"/>
          <c:h val="0.71410078913663944"/>
        </c:manualLayout>
      </c:layout>
      <c:barChart>
        <c:barDir val="col"/>
        <c:grouping val="clustered"/>
        <c:varyColors val="0"/>
        <c:ser>
          <c:idx val="0"/>
          <c:order val="0"/>
          <c:tx>
            <c:strRef>
              <c:f>'pivot (2)'!$B$5:$B$6</c:f>
              <c:strCache>
                <c:ptCount val="1"/>
                <c:pt idx="0">
                  <c:v>Paediatrician</c:v>
                </c:pt>
              </c:strCache>
            </c:strRef>
          </c:tx>
          <c:spPr>
            <a:solidFill>
              <a:schemeClr val="accent1"/>
            </a:solidFill>
            <a:ln>
              <a:noFill/>
            </a:ln>
            <a:effectLst/>
          </c:spPr>
          <c:invertIfNegative val="0"/>
          <c:cat>
            <c:multiLvlStrRef>
              <c:f>'pivot (2)'!$A$7:$A$11</c:f>
              <c:multiLvlStrCache>
                <c:ptCount val="3"/>
                <c:lvl>
                  <c:pt idx="0">
                    <c:v>2018</c:v>
                  </c:pt>
                  <c:pt idx="1">
                    <c:v>2019</c:v>
                  </c:pt>
                  <c:pt idx="2">
                    <c:v>2020</c:v>
                  </c:pt>
                </c:lvl>
                <c:lvl>
                  <c:pt idx="0">
                    <c:v>Guanfacine</c:v>
                  </c:pt>
                </c:lvl>
              </c:multiLvlStrCache>
            </c:multiLvlStrRef>
          </c:cat>
          <c:val>
            <c:numRef>
              <c:f>'pivot (2)'!$B$7:$B$11</c:f>
              <c:numCache>
                <c:formatCode>General</c:formatCode>
                <c:ptCount val="3"/>
                <c:pt idx="0">
                  <c:v>548</c:v>
                </c:pt>
                <c:pt idx="1">
                  <c:v>1731</c:v>
                </c:pt>
                <c:pt idx="2">
                  <c:v>1774</c:v>
                </c:pt>
              </c:numCache>
            </c:numRef>
          </c:val>
          <c:extLst>
            <c:ext xmlns:c16="http://schemas.microsoft.com/office/drawing/2014/chart" uri="{C3380CC4-5D6E-409C-BE32-E72D297353CC}">
              <c16:uniqueId val="{00000000-DA88-4FED-BD7F-E2CE82B8F241}"/>
            </c:ext>
          </c:extLst>
        </c:ser>
        <c:ser>
          <c:idx val="1"/>
          <c:order val="1"/>
          <c:tx>
            <c:strRef>
              <c:f>'pivot (2)'!$C$5:$C$6</c:f>
              <c:strCache>
                <c:ptCount val="1"/>
                <c:pt idx="0">
                  <c:v>Psychiatrist</c:v>
                </c:pt>
              </c:strCache>
            </c:strRef>
          </c:tx>
          <c:spPr>
            <a:solidFill>
              <a:schemeClr val="accent2"/>
            </a:solidFill>
            <a:ln>
              <a:noFill/>
            </a:ln>
            <a:effectLst/>
          </c:spPr>
          <c:invertIfNegative val="0"/>
          <c:cat>
            <c:multiLvlStrRef>
              <c:f>'pivot (2)'!$A$7:$A$11</c:f>
              <c:multiLvlStrCache>
                <c:ptCount val="3"/>
                <c:lvl>
                  <c:pt idx="0">
                    <c:v>2018</c:v>
                  </c:pt>
                  <c:pt idx="1">
                    <c:v>2019</c:v>
                  </c:pt>
                  <c:pt idx="2">
                    <c:v>2020</c:v>
                  </c:pt>
                </c:lvl>
                <c:lvl>
                  <c:pt idx="0">
                    <c:v>Guanfacine</c:v>
                  </c:pt>
                </c:lvl>
              </c:multiLvlStrCache>
            </c:multiLvlStrRef>
          </c:cat>
          <c:val>
            <c:numRef>
              <c:f>'pivot (2)'!$C$7:$C$11</c:f>
              <c:numCache>
                <c:formatCode>General</c:formatCode>
                <c:ptCount val="3"/>
                <c:pt idx="0">
                  <c:v>93</c:v>
                </c:pt>
                <c:pt idx="1">
                  <c:v>365</c:v>
                </c:pt>
                <c:pt idx="2">
                  <c:v>501</c:v>
                </c:pt>
              </c:numCache>
            </c:numRef>
          </c:val>
          <c:extLst>
            <c:ext xmlns:c16="http://schemas.microsoft.com/office/drawing/2014/chart" uri="{C3380CC4-5D6E-409C-BE32-E72D297353CC}">
              <c16:uniqueId val="{00000001-DA88-4FED-BD7F-E2CE82B8F241}"/>
            </c:ext>
          </c:extLst>
        </c:ser>
        <c:ser>
          <c:idx val="2"/>
          <c:order val="2"/>
          <c:tx>
            <c:strRef>
              <c:f>'pivot (2)'!$D$5:$D$6</c:f>
              <c:strCache>
                <c:ptCount val="1"/>
                <c:pt idx="0">
                  <c:v>Other</c:v>
                </c:pt>
              </c:strCache>
            </c:strRef>
          </c:tx>
          <c:spPr>
            <a:solidFill>
              <a:schemeClr val="accent3"/>
            </a:solidFill>
            <a:ln>
              <a:noFill/>
            </a:ln>
            <a:effectLst/>
          </c:spPr>
          <c:invertIfNegative val="0"/>
          <c:cat>
            <c:multiLvlStrRef>
              <c:f>'pivot (2)'!$A$7:$A$11</c:f>
              <c:multiLvlStrCache>
                <c:ptCount val="3"/>
                <c:lvl>
                  <c:pt idx="0">
                    <c:v>2018</c:v>
                  </c:pt>
                  <c:pt idx="1">
                    <c:v>2019</c:v>
                  </c:pt>
                  <c:pt idx="2">
                    <c:v>2020</c:v>
                  </c:pt>
                </c:lvl>
                <c:lvl>
                  <c:pt idx="0">
                    <c:v>Guanfacine</c:v>
                  </c:pt>
                </c:lvl>
              </c:multiLvlStrCache>
            </c:multiLvlStrRef>
          </c:cat>
          <c:val>
            <c:numRef>
              <c:f>'pivot (2)'!$D$7:$D$11</c:f>
              <c:numCache>
                <c:formatCode>General</c:formatCode>
                <c:ptCount val="3"/>
                <c:pt idx="0">
                  <c:v>15</c:v>
                </c:pt>
                <c:pt idx="1">
                  <c:v>91</c:v>
                </c:pt>
                <c:pt idx="2">
                  <c:v>209</c:v>
                </c:pt>
              </c:numCache>
            </c:numRef>
          </c:val>
          <c:extLst>
            <c:ext xmlns:c16="http://schemas.microsoft.com/office/drawing/2014/chart" uri="{C3380CC4-5D6E-409C-BE32-E72D297353CC}">
              <c16:uniqueId val="{00000002-DA88-4FED-BD7F-E2CE82B8F241}"/>
            </c:ext>
          </c:extLst>
        </c:ser>
        <c:ser>
          <c:idx val="3"/>
          <c:order val="3"/>
          <c:tx>
            <c:strRef>
              <c:f>'pivot (2)'!$E$5:$E$6</c:f>
              <c:strCache>
                <c:ptCount val="1"/>
                <c:pt idx="0">
                  <c:v>GP</c:v>
                </c:pt>
              </c:strCache>
            </c:strRef>
          </c:tx>
          <c:spPr>
            <a:solidFill>
              <a:schemeClr val="accent4"/>
            </a:solidFill>
            <a:ln>
              <a:noFill/>
            </a:ln>
            <a:effectLst/>
          </c:spPr>
          <c:invertIfNegative val="0"/>
          <c:cat>
            <c:multiLvlStrRef>
              <c:f>'pivot (2)'!$A$7:$A$11</c:f>
              <c:multiLvlStrCache>
                <c:ptCount val="3"/>
                <c:lvl>
                  <c:pt idx="0">
                    <c:v>2018</c:v>
                  </c:pt>
                  <c:pt idx="1">
                    <c:v>2019</c:v>
                  </c:pt>
                  <c:pt idx="2">
                    <c:v>2020</c:v>
                  </c:pt>
                </c:lvl>
                <c:lvl>
                  <c:pt idx="0">
                    <c:v>Guanfacine</c:v>
                  </c:pt>
                </c:lvl>
              </c:multiLvlStrCache>
            </c:multiLvlStrRef>
          </c:cat>
          <c:val>
            <c:numRef>
              <c:f>'pivot (2)'!$E$7:$E$11</c:f>
              <c:numCache>
                <c:formatCode>General</c:formatCode>
                <c:ptCount val="3"/>
                <c:pt idx="0">
                  <c:v>41</c:v>
                </c:pt>
                <c:pt idx="1">
                  <c:v>107</c:v>
                </c:pt>
                <c:pt idx="2">
                  <c:v>148</c:v>
                </c:pt>
              </c:numCache>
            </c:numRef>
          </c:val>
          <c:extLst>
            <c:ext xmlns:c16="http://schemas.microsoft.com/office/drawing/2014/chart" uri="{C3380CC4-5D6E-409C-BE32-E72D297353CC}">
              <c16:uniqueId val="{00000003-DA88-4FED-BD7F-E2CE82B8F241}"/>
            </c:ext>
          </c:extLst>
        </c:ser>
        <c:dLbls>
          <c:showLegendKey val="0"/>
          <c:showVal val="0"/>
          <c:showCatName val="0"/>
          <c:showSerName val="0"/>
          <c:showPercent val="0"/>
          <c:showBubbleSize val="0"/>
        </c:dLbls>
        <c:gapWidth val="150"/>
        <c:axId val="237402520"/>
        <c:axId val="237397272"/>
      </c:barChart>
      <c:catAx>
        <c:axId val="23740252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7397272"/>
        <c:crosses val="autoZero"/>
        <c:auto val="1"/>
        <c:lblAlgn val="ctr"/>
        <c:lblOffset val="100"/>
        <c:noMultiLvlLbl val="0"/>
      </c:catAx>
      <c:valAx>
        <c:axId val="237397272"/>
        <c:scaling>
          <c:orientation val="minMax"/>
        </c:scaling>
        <c:delete val="0"/>
        <c:axPos val="l"/>
        <c:majorGridlines>
          <c:spPr>
            <a:ln w="9525" cap="flat" cmpd="sng" algn="ctr">
              <a:solidFill>
                <a:schemeClr val="tx1">
                  <a:lumMod val="15000"/>
                  <a:lumOff val="85000"/>
                </a:schemeClr>
              </a:solidFill>
              <a:round/>
            </a:ln>
            <a:effectLst/>
          </c:spPr>
        </c:majorGridlines>
        <c:title>
          <c:tx>
            <c:rich>
              <a:bodyPr/>
              <a:lstStyle/>
              <a:p>
                <a:pPr>
                  <a:defRPr/>
                </a:pPr>
                <a:r>
                  <a:rPr lang="en-AU" b="0"/>
                  <a:t>Number of patients</a:t>
                </a:r>
              </a:p>
            </c:rich>
          </c:tx>
          <c:overlay val="0"/>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7402520"/>
        <c:crosses val="autoZero"/>
        <c:crossBetween val="between"/>
      </c:valAx>
    </c:plotArea>
    <c:legend>
      <c:legendPos val="b"/>
      <c:layout>
        <c:manualLayout>
          <c:xMode val="edge"/>
          <c:yMode val="edge"/>
          <c:x val="0.13051912945402311"/>
          <c:y val="0.92162029086778752"/>
          <c:w val="0.77245492242463776"/>
          <c:h val="5.782120305032112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[D1304_PATCNTBY_PRESCR_SUPP_Year  v4.xlsx]pivot (4)!PivotTable4</c:name>
    <c:fmtId val="-1"/>
  </c:pivotSource>
  <c:chart>
    <c:autoTitleDeleted val="1"/>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a:noFill/>
          </a:ln>
          <a:effectLst/>
        </c:spPr>
        <c:marker>
          <c:symbol val="none"/>
        </c:marker>
      </c:pivotFmt>
      <c:pivotFmt>
        <c:idx val="11"/>
        <c:spPr>
          <a:solidFill>
            <a:schemeClr val="accent1"/>
          </a:solidFill>
          <a:ln>
            <a:noFill/>
          </a:ln>
          <a:effectLst/>
        </c:spPr>
        <c:marker>
          <c:symbol val="none"/>
        </c:marker>
      </c:pivotFmt>
      <c:pivotFmt>
        <c:idx val="12"/>
        <c:spPr>
          <a:solidFill>
            <a:schemeClr val="accent1"/>
          </a:solidFill>
          <a:ln>
            <a:noFill/>
          </a:ln>
          <a:effectLst/>
        </c:spPr>
        <c:marker>
          <c:symbol val="none"/>
        </c:marker>
      </c:pivotFmt>
      <c:pivotFmt>
        <c:idx val="13"/>
        <c:spPr>
          <a:solidFill>
            <a:schemeClr val="accent1"/>
          </a:solidFill>
          <a:ln>
            <a:noFill/>
          </a:ln>
          <a:effectLst/>
        </c:spPr>
        <c:marker>
          <c:symbol val="none"/>
        </c:marker>
      </c:pivotFmt>
      <c:pivotFmt>
        <c:idx val="14"/>
        <c:spPr>
          <a:solidFill>
            <a:schemeClr val="accent1"/>
          </a:solidFill>
          <a:ln>
            <a:noFill/>
          </a:ln>
          <a:effectLst/>
        </c:spPr>
        <c:marker>
          <c:symbol val="none"/>
        </c:marker>
      </c:pivotFmt>
      <c:pivotFmt>
        <c:idx val="15"/>
        <c:spPr>
          <a:solidFill>
            <a:schemeClr val="accent1"/>
          </a:solidFill>
          <a:ln>
            <a:noFill/>
          </a:ln>
          <a:effectLst/>
        </c:spPr>
        <c:marker>
          <c:symbol val="none"/>
        </c:marker>
      </c:pivotFmt>
      <c:pivotFmt>
        <c:idx val="16"/>
        <c:spPr>
          <a:solidFill>
            <a:schemeClr val="accent1"/>
          </a:solidFill>
          <a:ln>
            <a:noFill/>
          </a:ln>
          <a:effectLst/>
        </c:spPr>
        <c:marker>
          <c:symbol val="none"/>
        </c:marker>
      </c:pivotFmt>
      <c:pivotFmt>
        <c:idx val="17"/>
        <c:spPr>
          <a:solidFill>
            <a:schemeClr val="accent1"/>
          </a:solidFill>
          <a:ln>
            <a:noFill/>
          </a:ln>
          <a:effectLst/>
        </c:spPr>
        <c:marker>
          <c:symbol val="none"/>
        </c:marker>
      </c:pivotFmt>
      <c:pivotFmt>
        <c:idx val="18"/>
        <c:spPr>
          <a:solidFill>
            <a:schemeClr val="accent1"/>
          </a:solidFill>
          <a:ln>
            <a:noFill/>
          </a:ln>
          <a:effectLst/>
        </c:spPr>
        <c:marker>
          <c:symbol val="none"/>
        </c:marker>
      </c:pivotFmt>
      <c:pivotFmt>
        <c:idx val="19"/>
        <c:spPr>
          <a:solidFill>
            <a:schemeClr val="accent1"/>
          </a:solidFill>
          <a:ln>
            <a:noFill/>
          </a:ln>
          <a:effectLst/>
        </c:spPr>
        <c:marker>
          <c:symbol val="none"/>
        </c:marker>
      </c:pivotFmt>
      <c:pivotFmt>
        <c:idx val="20"/>
        <c:spPr>
          <a:solidFill>
            <a:schemeClr val="accent1"/>
          </a:solidFill>
          <a:ln>
            <a:noFill/>
          </a:ln>
          <a:effectLst/>
        </c:spPr>
        <c:marker>
          <c:symbol val="none"/>
        </c:marker>
      </c:pivotFmt>
      <c:pivotFmt>
        <c:idx val="21"/>
        <c:spPr>
          <a:solidFill>
            <a:schemeClr val="accent1"/>
          </a:solidFill>
          <a:ln>
            <a:noFill/>
          </a:ln>
          <a:effectLst/>
        </c:spPr>
        <c:marker>
          <c:symbol val="none"/>
        </c:marker>
      </c:pivotFmt>
      <c:pivotFmt>
        <c:idx val="22"/>
        <c:spPr>
          <a:solidFill>
            <a:schemeClr val="accent1"/>
          </a:solidFill>
          <a:ln>
            <a:noFill/>
          </a:ln>
          <a:effectLst/>
        </c:spPr>
        <c:marker>
          <c:symbol val="none"/>
        </c:marker>
      </c:pivotFmt>
      <c:pivotFmt>
        <c:idx val="2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8"/>
        <c:spPr>
          <a:solidFill>
            <a:schemeClr val="accent1"/>
          </a:solidFill>
          <a:ln>
            <a:noFill/>
          </a:ln>
          <a:effectLst/>
        </c:spPr>
        <c:marker>
          <c:symbol val="none"/>
        </c:marker>
      </c:pivotFmt>
      <c:pivotFmt>
        <c:idx val="29"/>
        <c:spPr>
          <a:solidFill>
            <a:schemeClr val="accent1"/>
          </a:solidFill>
          <a:ln>
            <a:noFill/>
          </a:ln>
          <a:effectLst/>
        </c:spPr>
        <c:marker>
          <c:symbol val="none"/>
        </c:marker>
      </c:pivotFmt>
      <c:pivotFmt>
        <c:idx val="30"/>
        <c:spPr>
          <a:solidFill>
            <a:schemeClr val="accent1"/>
          </a:solidFill>
          <a:ln>
            <a:noFill/>
          </a:ln>
          <a:effectLst/>
        </c:spPr>
        <c:marker>
          <c:symbol val="none"/>
        </c:marker>
      </c:pivotFmt>
      <c:pivotFmt>
        <c:idx val="31"/>
        <c:spPr>
          <a:solidFill>
            <a:schemeClr val="accent1"/>
          </a:solidFill>
          <a:ln>
            <a:noFill/>
          </a:ln>
          <a:effectLst/>
        </c:spPr>
        <c:marker>
          <c:symbol val="none"/>
        </c:marker>
      </c:pivotFmt>
      <c:pivotFmt>
        <c:idx val="32"/>
        <c:spPr>
          <a:solidFill>
            <a:schemeClr val="accent1"/>
          </a:solidFill>
          <a:ln>
            <a:noFill/>
          </a:ln>
          <a:effectLst/>
        </c:spPr>
        <c:marker>
          <c:symbol val="none"/>
        </c:marker>
      </c:pivotFmt>
      <c:pivotFmt>
        <c:idx val="33"/>
        <c:spPr>
          <a:solidFill>
            <a:schemeClr val="accent1"/>
          </a:solidFill>
          <a:ln>
            <a:noFill/>
          </a:ln>
          <a:effectLst/>
        </c:spPr>
        <c:marker>
          <c:symbol val="none"/>
        </c:marker>
      </c:pivotFmt>
      <c:pivotFmt>
        <c:idx val="34"/>
        <c:spPr>
          <a:solidFill>
            <a:schemeClr val="accent1"/>
          </a:solidFill>
          <a:ln>
            <a:noFill/>
          </a:ln>
          <a:effectLst/>
        </c:spPr>
        <c:marker>
          <c:symbol val="none"/>
        </c:marker>
      </c:pivotFmt>
      <c:pivotFmt>
        <c:idx val="35"/>
        <c:spPr>
          <a:solidFill>
            <a:schemeClr val="accent1"/>
          </a:solidFill>
          <a:ln>
            <a:noFill/>
          </a:ln>
          <a:effectLst/>
        </c:spPr>
        <c:marker>
          <c:symbol val="none"/>
        </c:marker>
      </c:pivotFmt>
      <c:pivotFmt>
        <c:idx val="36"/>
        <c:spPr>
          <a:solidFill>
            <a:schemeClr val="accent1"/>
          </a:solidFill>
          <a:ln>
            <a:noFill/>
          </a:ln>
          <a:effectLst/>
        </c:spPr>
        <c:marker>
          <c:symbol val="none"/>
        </c:marker>
      </c:pivotFmt>
      <c:pivotFmt>
        <c:idx val="37"/>
        <c:spPr>
          <a:solidFill>
            <a:schemeClr val="accent1"/>
          </a:solidFill>
          <a:ln>
            <a:noFill/>
          </a:ln>
          <a:effectLst/>
        </c:spPr>
        <c:marker>
          <c:symbol val="none"/>
        </c:marker>
      </c:pivotFmt>
      <c:pivotFmt>
        <c:idx val="38"/>
        <c:spPr>
          <a:solidFill>
            <a:schemeClr val="accent1"/>
          </a:solidFill>
          <a:ln>
            <a:noFill/>
          </a:ln>
          <a:effectLst/>
        </c:spPr>
        <c:marker>
          <c:symbol val="none"/>
        </c:marker>
      </c:pivotFmt>
      <c:pivotFmt>
        <c:idx val="39"/>
        <c:spPr>
          <a:solidFill>
            <a:schemeClr val="accent1"/>
          </a:solidFill>
          <a:ln>
            <a:noFill/>
          </a:ln>
          <a:effectLst/>
        </c:spPr>
        <c:marker>
          <c:symbol val="none"/>
        </c:marker>
      </c:pivotFmt>
      <c:pivotFmt>
        <c:idx val="40"/>
        <c:spPr>
          <a:solidFill>
            <a:schemeClr val="accent1"/>
          </a:solidFill>
          <a:ln>
            <a:noFill/>
          </a:ln>
          <a:effectLst/>
        </c:spPr>
        <c:marker>
          <c:symbol val="none"/>
        </c:marker>
      </c:pivotFmt>
      <c:pivotFmt>
        <c:idx val="41"/>
        <c:spPr>
          <a:solidFill>
            <a:schemeClr val="accent1"/>
          </a:solidFill>
          <a:ln>
            <a:noFill/>
          </a:ln>
          <a:effectLst/>
        </c:spPr>
        <c:marker>
          <c:symbol val="none"/>
        </c:marker>
      </c:pivotFmt>
      <c:pivotFmt>
        <c:idx val="42"/>
        <c:spPr>
          <a:solidFill>
            <a:schemeClr val="accent1"/>
          </a:solidFill>
          <a:ln>
            <a:noFill/>
          </a:ln>
          <a:effectLst/>
        </c:spPr>
        <c:marker>
          <c:symbol val="none"/>
        </c:marker>
      </c:pivotFmt>
      <c:pivotFmt>
        <c:idx val="43"/>
        <c:spPr>
          <a:solidFill>
            <a:schemeClr val="accent1"/>
          </a:solidFill>
          <a:ln>
            <a:noFill/>
          </a:ln>
          <a:effectLst/>
        </c:spPr>
        <c:marker>
          <c:symbol val="none"/>
        </c:marker>
      </c:pivotFmt>
      <c:pivotFmt>
        <c:idx val="44"/>
        <c:spPr>
          <a:solidFill>
            <a:schemeClr val="accent1"/>
          </a:solidFill>
          <a:ln>
            <a:noFill/>
          </a:ln>
          <a:effectLst/>
        </c:spPr>
        <c:marker>
          <c:symbol val="none"/>
        </c:marker>
      </c:pivotFmt>
      <c:pivotFmt>
        <c:idx val="45"/>
        <c:spPr>
          <a:solidFill>
            <a:schemeClr val="accent1"/>
          </a:solidFill>
          <a:ln>
            <a:noFill/>
          </a:ln>
          <a:effectLst/>
        </c:spPr>
        <c:marker>
          <c:symbol val="none"/>
        </c:marker>
      </c:pivotFmt>
      <c:pivotFmt>
        <c:idx val="46"/>
        <c:spPr>
          <a:solidFill>
            <a:schemeClr val="accent1"/>
          </a:solidFill>
          <a:ln>
            <a:noFill/>
          </a:ln>
          <a:effectLst/>
        </c:spPr>
        <c:marker>
          <c:symbol val="none"/>
        </c:marker>
      </c:pivotFmt>
      <c:pivotFmt>
        <c:idx val="47"/>
        <c:spPr>
          <a:solidFill>
            <a:schemeClr val="accent1"/>
          </a:solidFill>
          <a:ln>
            <a:noFill/>
          </a:ln>
          <a:effectLst/>
        </c:spPr>
        <c:marker>
          <c:symbol val="none"/>
        </c:marker>
      </c:pivotFmt>
    </c:pivotFmts>
    <c:plotArea>
      <c:layout>
        <c:manualLayout>
          <c:layoutTarget val="inner"/>
          <c:xMode val="edge"/>
          <c:yMode val="edge"/>
          <c:x val="0.12847841936424612"/>
          <c:y val="3.0744963697719611E-2"/>
          <c:w val="0.8415126494604841"/>
          <c:h val="0.72931562531956229"/>
        </c:manualLayout>
      </c:layout>
      <c:barChart>
        <c:barDir val="col"/>
        <c:grouping val="clustered"/>
        <c:varyColors val="0"/>
        <c:ser>
          <c:idx val="0"/>
          <c:order val="0"/>
          <c:tx>
            <c:strRef>
              <c:f>'pivot (4)'!$B$4:$B$5</c:f>
              <c:strCache>
                <c:ptCount val="1"/>
                <c:pt idx="0">
                  <c:v>GP</c:v>
                </c:pt>
              </c:strCache>
            </c:strRef>
          </c:tx>
          <c:spPr>
            <a:solidFill>
              <a:schemeClr val="accent1"/>
            </a:solidFill>
            <a:ln>
              <a:noFill/>
            </a:ln>
            <a:effectLst/>
          </c:spPr>
          <c:invertIfNegative val="0"/>
          <c:cat>
            <c:multiLvlStrRef>
              <c:f>'pivot (4)'!$A$6:$A$18</c:f>
              <c:multiLvlStrCache>
                <c:ptCount val="10"/>
                <c:lvl>
                  <c:pt idx="0">
                    <c:v>2014</c:v>
                  </c:pt>
                  <c:pt idx="1">
                    <c:v>2015</c:v>
                  </c:pt>
                  <c:pt idx="2">
                    <c:v>2016</c:v>
                  </c:pt>
                  <c:pt idx="3">
                    <c:v>2017</c:v>
                  </c:pt>
                  <c:pt idx="4">
                    <c:v>2018</c:v>
                  </c:pt>
                  <c:pt idx="5">
                    <c:v>2019</c:v>
                  </c:pt>
                  <c:pt idx="6">
                    <c:v>2020</c:v>
                  </c:pt>
                  <c:pt idx="7">
                    <c:v>2018</c:v>
                  </c:pt>
                  <c:pt idx="8">
                    <c:v>2019</c:v>
                  </c:pt>
                  <c:pt idx="9">
                    <c:v>2020</c:v>
                  </c:pt>
                </c:lvl>
                <c:lvl>
                  <c:pt idx="0">
                    <c:v>Clonidine</c:v>
                  </c:pt>
                  <c:pt idx="7">
                    <c:v>Guanfacine</c:v>
                  </c:pt>
                </c:lvl>
              </c:multiLvlStrCache>
            </c:multiLvlStrRef>
          </c:cat>
          <c:val>
            <c:numRef>
              <c:f>'pivot (4)'!$B$6:$B$18</c:f>
              <c:numCache>
                <c:formatCode>General</c:formatCode>
                <c:ptCount val="10"/>
                <c:pt idx="0">
                  <c:v>12218</c:v>
                </c:pt>
                <c:pt idx="1">
                  <c:v>12082</c:v>
                </c:pt>
                <c:pt idx="2">
                  <c:v>13128</c:v>
                </c:pt>
                <c:pt idx="3">
                  <c:v>12665</c:v>
                </c:pt>
                <c:pt idx="4">
                  <c:v>13666</c:v>
                </c:pt>
                <c:pt idx="5">
                  <c:v>12804</c:v>
                </c:pt>
                <c:pt idx="6">
                  <c:v>14908</c:v>
                </c:pt>
                <c:pt idx="7">
                  <c:v>207</c:v>
                </c:pt>
                <c:pt idx="8">
                  <c:v>485</c:v>
                </c:pt>
                <c:pt idx="9">
                  <c:v>498</c:v>
                </c:pt>
              </c:numCache>
            </c:numRef>
          </c:val>
          <c:extLst>
            <c:ext xmlns:c16="http://schemas.microsoft.com/office/drawing/2014/chart" uri="{C3380CC4-5D6E-409C-BE32-E72D297353CC}">
              <c16:uniqueId val="{00000000-0DB9-4AE0-87EC-9119FFFA13F9}"/>
            </c:ext>
          </c:extLst>
        </c:ser>
        <c:ser>
          <c:idx val="1"/>
          <c:order val="1"/>
          <c:tx>
            <c:strRef>
              <c:f>'pivot (4)'!$C$4:$C$5</c:f>
              <c:strCache>
                <c:ptCount val="1"/>
                <c:pt idx="0">
                  <c:v>Paediatrician</c:v>
                </c:pt>
              </c:strCache>
            </c:strRef>
          </c:tx>
          <c:spPr>
            <a:solidFill>
              <a:schemeClr val="accent2"/>
            </a:solidFill>
            <a:ln>
              <a:noFill/>
            </a:ln>
            <a:effectLst/>
          </c:spPr>
          <c:invertIfNegative val="0"/>
          <c:cat>
            <c:multiLvlStrRef>
              <c:f>'pivot (4)'!$A$6:$A$18</c:f>
              <c:multiLvlStrCache>
                <c:ptCount val="10"/>
                <c:lvl>
                  <c:pt idx="0">
                    <c:v>2014</c:v>
                  </c:pt>
                  <c:pt idx="1">
                    <c:v>2015</c:v>
                  </c:pt>
                  <c:pt idx="2">
                    <c:v>2016</c:v>
                  </c:pt>
                  <c:pt idx="3">
                    <c:v>2017</c:v>
                  </c:pt>
                  <c:pt idx="4">
                    <c:v>2018</c:v>
                  </c:pt>
                  <c:pt idx="5">
                    <c:v>2019</c:v>
                  </c:pt>
                  <c:pt idx="6">
                    <c:v>2020</c:v>
                  </c:pt>
                  <c:pt idx="7">
                    <c:v>2018</c:v>
                  </c:pt>
                  <c:pt idx="8">
                    <c:v>2019</c:v>
                  </c:pt>
                  <c:pt idx="9">
                    <c:v>2020</c:v>
                  </c:pt>
                </c:lvl>
                <c:lvl>
                  <c:pt idx="0">
                    <c:v>Clonidine</c:v>
                  </c:pt>
                  <c:pt idx="7">
                    <c:v>Guanfacine</c:v>
                  </c:pt>
                </c:lvl>
              </c:multiLvlStrCache>
            </c:multiLvlStrRef>
          </c:cat>
          <c:val>
            <c:numRef>
              <c:f>'pivot (4)'!$C$6:$C$18</c:f>
              <c:numCache>
                <c:formatCode>General</c:formatCode>
                <c:ptCount val="10"/>
                <c:pt idx="0">
                  <c:v>4262</c:v>
                </c:pt>
                <c:pt idx="1">
                  <c:v>4715</c:v>
                </c:pt>
                <c:pt idx="2">
                  <c:v>5855</c:v>
                </c:pt>
                <c:pt idx="3">
                  <c:v>6846</c:v>
                </c:pt>
                <c:pt idx="4">
                  <c:v>7643</c:v>
                </c:pt>
                <c:pt idx="5">
                  <c:v>7889</c:v>
                </c:pt>
                <c:pt idx="6">
                  <c:v>9245</c:v>
                </c:pt>
                <c:pt idx="7">
                  <c:v>2925</c:v>
                </c:pt>
                <c:pt idx="8">
                  <c:v>11747</c:v>
                </c:pt>
                <c:pt idx="9">
                  <c:v>9353</c:v>
                </c:pt>
              </c:numCache>
            </c:numRef>
          </c:val>
          <c:extLst>
            <c:ext xmlns:c16="http://schemas.microsoft.com/office/drawing/2014/chart" uri="{C3380CC4-5D6E-409C-BE32-E72D297353CC}">
              <c16:uniqueId val="{00000001-0DB9-4AE0-87EC-9119FFFA13F9}"/>
            </c:ext>
          </c:extLst>
        </c:ser>
        <c:ser>
          <c:idx val="2"/>
          <c:order val="2"/>
          <c:tx>
            <c:strRef>
              <c:f>'pivot (4)'!$D$4:$D$5</c:f>
              <c:strCache>
                <c:ptCount val="1"/>
                <c:pt idx="0">
                  <c:v>Other</c:v>
                </c:pt>
              </c:strCache>
            </c:strRef>
          </c:tx>
          <c:spPr>
            <a:solidFill>
              <a:schemeClr val="accent3"/>
            </a:solidFill>
            <a:ln>
              <a:noFill/>
            </a:ln>
            <a:effectLst/>
          </c:spPr>
          <c:invertIfNegative val="0"/>
          <c:cat>
            <c:multiLvlStrRef>
              <c:f>'pivot (4)'!$A$6:$A$18</c:f>
              <c:multiLvlStrCache>
                <c:ptCount val="10"/>
                <c:lvl>
                  <c:pt idx="0">
                    <c:v>2014</c:v>
                  </c:pt>
                  <c:pt idx="1">
                    <c:v>2015</c:v>
                  </c:pt>
                  <c:pt idx="2">
                    <c:v>2016</c:v>
                  </c:pt>
                  <c:pt idx="3">
                    <c:v>2017</c:v>
                  </c:pt>
                  <c:pt idx="4">
                    <c:v>2018</c:v>
                  </c:pt>
                  <c:pt idx="5">
                    <c:v>2019</c:v>
                  </c:pt>
                  <c:pt idx="6">
                    <c:v>2020</c:v>
                  </c:pt>
                  <c:pt idx="7">
                    <c:v>2018</c:v>
                  </c:pt>
                  <c:pt idx="8">
                    <c:v>2019</c:v>
                  </c:pt>
                  <c:pt idx="9">
                    <c:v>2020</c:v>
                  </c:pt>
                </c:lvl>
                <c:lvl>
                  <c:pt idx="0">
                    <c:v>Clonidine</c:v>
                  </c:pt>
                  <c:pt idx="7">
                    <c:v>Guanfacine</c:v>
                  </c:pt>
                </c:lvl>
              </c:multiLvlStrCache>
            </c:multiLvlStrRef>
          </c:cat>
          <c:val>
            <c:numRef>
              <c:f>'pivot (4)'!$D$6:$D$18</c:f>
              <c:numCache>
                <c:formatCode>General</c:formatCode>
                <c:ptCount val="10"/>
                <c:pt idx="0">
                  <c:v>2504</c:v>
                </c:pt>
                <c:pt idx="1">
                  <c:v>2725</c:v>
                </c:pt>
                <c:pt idx="2">
                  <c:v>3006</c:v>
                </c:pt>
                <c:pt idx="3">
                  <c:v>3456</c:v>
                </c:pt>
                <c:pt idx="4">
                  <c:v>4076</c:v>
                </c:pt>
                <c:pt idx="5">
                  <c:v>5471</c:v>
                </c:pt>
                <c:pt idx="6">
                  <c:v>6633</c:v>
                </c:pt>
                <c:pt idx="7">
                  <c:v>59</c:v>
                </c:pt>
                <c:pt idx="8">
                  <c:v>583</c:v>
                </c:pt>
                <c:pt idx="9">
                  <c:v>1079</c:v>
                </c:pt>
              </c:numCache>
            </c:numRef>
          </c:val>
          <c:extLst>
            <c:ext xmlns:c16="http://schemas.microsoft.com/office/drawing/2014/chart" uri="{C3380CC4-5D6E-409C-BE32-E72D297353CC}">
              <c16:uniqueId val="{00000002-0DB9-4AE0-87EC-9119FFFA13F9}"/>
            </c:ext>
          </c:extLst>
        </c:ser>
        <c:ser>
          <c:idx val="3"/>
          <c:order val="3"/>
          <c:tx>
            <c:strRef>
              <c:f>'pivot (4)'!$E$4:$E$5</c:f>
              <c:strCache>
                <c:ptCount val="1"/>
                <c:pt idx="0">
                  <c:v>Psychiatrist</c:v>
                </c:pt>
              </c:strCache>
            </c:strRef>
          </c:tx>
          <c:spPr>
            <a:solidFill>
              <a:schemeClr val="accent4"/>
            </a:solidFill>
            <a:ln>
              <a:noFill/>
            </a:ln>
            <a:effectLst/>
          </c:spPr>
          <c:invertIfNegative val="0"/>
          <c:cat>
            <c:multiLvlStrRef>
              <c:f>'pivot (4)'!$A$6:$A$18</c:f>
              <c:multiLvlStrCache>
                <c:ptCount val="10"/>
                <c:lvl>
                  <c:pt idx="0">
                    <c:v>2014</c:v>
                  </c:pt>
                  <c:pt idx="1">
                    <c:v>2015</c:v>
                  </c:pt>
                  <c:pt idx="2">
                    <c:v>2016</c:v>
                  </c:pt>
                  <c:pt idx="3">
                    <c:v>2017</c:v>
                  </c:pt>
                  <c:pt idx="4">
                    <c:v>2018</c:v>
                  </c:pt>
                  <c:pt idx="5">
                    <c:v>2019</c:v>
                  </c:pt>
                  <c:pt idx="6">
                    <c:v>2020</c:v>
                  </c:pt>
                  <c:pt idx="7">
                    <c:v>2018</c:v>
                  </c:pt>
                  <c:pt idx="8">
                    <c:v>2019</c:v>
                  </c:pt>
                  <c:pt idx="9">
                    <c:v>2020</c:v>
                  </c:pt>
                </c:lvl>
                <c:lvl>
                  <c:pt idx="0">
                    <c:v>Clonidine</c:v>
                  </c:pt>
                  <c:pt idx="7">
                    <c:v>Guanfacine</c:v>
                  </c:pt>
                </c:lvl>
              </c:multiLvlStrCache>
            </c:multiLvlStrRef>
          </c:cat>
          <c:val>
            <c:numRef>
              <c:f>'pivot (4)'!$E$6:$E$18</c:f>
              <c:numCache>
                <c:formatCode>General</c:formatCode>
                <c:ptCount val="10"/>
                <c:pt idx="0">
                  <c:v>1694</c:v>
                </c:pt>
                <c:pt idx="1">
                  <c:v>1669</c:v>
                </c:pt>
                <c:pt idx="2">
                  <c:v>2193</c:v>
                </c:pt>
                <c:pt idx="3">
                  <c:v>2732</c:v>
                </c:pt>
                <c:pt idx="4">
                  <c:v>3381</c:v>
                </c:pt>
                <c:pt idx="5">
                  <c:v>4299</c:v>
                </c:pt>
                <c:pt idx="6">
                  <c:v>5973</c:v>
                </c:pt>
                <c:pt idx="7">
                  <c:v>614</c:v>
                </c:pt>
                <c:pt idx="8">
                  <c:v>2219</c:v>
                </c:pt>
                <c:pt idx="9">
                  <c:v>2329</c:v>
                </c:pt>
              </c:numCache>
            </c:numRef>
          </c:val>
          <c:extLst>
            <c:ext xmlns:c16="http://schemas.microsoft.com/office/drawing/2014/chart" uri="{C3380CC4-5D6E-409C-BE32-E72D297353CC}">
              <c16:uniqueId val="{00000003-0DB9-4AE0-87EC-9119FFFA13F9}"/>
            </c:ext>
          </c:extLst>
        </c:ser>
        <c:ser>
          <c:idx val="4"/>
          <c:order val="4"/>
          <c:tx>
            <c:strRef>
              <c:f>'pivot (4)'!$F$4:$F$5</c:f>
              <c:strCache>
                <c:ptCount val="1"/>
                <c:pt idx="0">
                  <c:v>Nurse Practitioner</c:v>
                </c:pt>
              </c:strCache>
            </c:strRef>
          </c:tx>
          <c:spPr>
            <a:solidFill>
              <a:schemeClr val="accent5"/>
            </a:solidFill>
            <a:ln>
              <a:noFill/>
            </a:ln>
            <a:effectLst/>
          </c:spPr>
          <c:invertIfNegative val="0"/>
          <c:cat>
            <c:multiLvlStrRef>
              <c:f>'pivot (4)'!$A$6:$A$18</c:f>
              <c:multiLvlStrCache>
                <c:ptCount val="10"/>
                <c:lvl>
                  <c:pt idx="0">
                    <c:v>2014</c:v>
                  </c:pt>
                  <c:pt idx="1">
                    <c:v>2015</c:v>
                  </c:pt>
                  <c:pt idx="2">
                    <c:v>2016</c:v>
                  </c:pt>
                  <c:pt idx="3">
                    <c:v>2017</c:v>
                  </c:pt>
                  <c:pt idx="4">
                    <c:v>2018</c:v>
                  </c:pt>
                  <c:pt idx="5">
                    <c:v>2019</c:v>
                  </c:pt>
                  <c:pt idx="6">
                    <c:v>2020</c:v>
                  </c:pt>
                  <c:pt idx="7">
                    <c:v>2018</c:v>
                  </c:pt>
                  <c:pt idx="8">
                    <c:v>2019</c:v>
                  </c:pt>
                  <c:pt idx="9">
                    <c:v>2020</c:v>
                  </c:pt>
                </c:lvl>
                <c:lvl>
                  <c:pt idx="0">
                    <c:v>Clonidine</c:v>
                  </c:pt>
                  <c:pt idx="7">
                    <c:v>Guanfacine</c:v>
                  </c:pt>
                </c:lvl>
              </c:multiLvlStrCache>
            </c:multiLvlStrRef>
          </c:cat>
          <c:val>
            <c:numRef>
              <c:f>'pivot (4)'!$F$6:$F$18</c:f>
              <c:numCache>
                <c:formatCode>General</c:formatCode>
                <c:ptCount val="10"/>
                <c:pt idx="0">
                  <c:v>7</c:v>
                </c:pt>
                <c:pt idx="1">
                  <c:v>13</c:v>
                </c:pt>
                <c:pt idx="2">
                  <c:v>11</c:v>
                </c:pt>
                <c:pt idx="3">
                  <c:v>18</c:v>
                </c:pt>
                <c:pt idx="4">
                  <c:v>26</c:v>
                </c:pt>
                <c:pt idx="5">
                  <c:v>43</c:v>
                </c:pt>
                <c:pt idx="6">
                  <c:v>44</c:v>
                </c:pt>
              </c:numCache>
            </c:numRef>
          </c:val>
          <c:extLst>
            <c:ext xmlns:c16="http://schemas.microsoft.com/office/drawing/2014/chart" uri="{C3380CC4-5D6E-409C-BE32-E72D297353CC}">
              <c16:uniqueId val="{00000004-0DB9-4AE0-87EC-9119FFFA13F9}"/>
            </c:ext>
          </c:extLst>
        </c:ser>
        <c:dLbls>
          <c:showLegendKey val="0"/>
          <c:showVal val="0"/>
          <c:showCatName val="0"/>
          <c:showSerName val="0"/>
          <c:showPercent val="0"/>
          <c:showBubbleSize val="0"/>
        </c:dLbls>
        <c:gapWidth val="150"/>
        <c:axId val="237402520"/>
        <c:axId val="237397272"/>
      </c:barChart>
      <c:catAx>
        <c:axId val="23740252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7397272"/>
        <c:crosses val="autoZero"/>
        <c:auto val="1"/>
        <c:lblAlgn val="ctr"/>
        <c:lblOffset val="100"/>
        <c:noMultiLvlLbl val="0"/>
      </c:catAx>
      <c:valAx>
        <c:axId val="2373972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 of patients</a:t>
                </a:r>
              </a:p>
            </c:rich>
          </c:tx>
          <c:layout>
            <c:manualLayout>
              <c:xMode val="edge"/>
              <c:yMode val="edge"/>
              <c:x val="1.293951240353078E-2"/>
              <c:y val="0.3334354963381846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7402520"/>
        <c:crosses val="autoZero"/>
        <c:crossBetween val="between"/>
      </c:valAx>
      <c:spPr>
        <a:noFill/>
        <a:ln>
          <a:noFill/>
        </a:ln>
        <a:effectLst/>
      </c:spPr>
    </c:plotArea>
    <c:legend>
      <c:legendPos val="b"/>
      <c:layout>
        <c:manualLayout>
          <c:xMode val="edge"/>
          <c:yMode val="edge"/>
          <c:x val="9.797134733158356E-3"/>
          <c:y val="0.91969040801717972"/>
          <c:w val="0.99020286526684165"/>
          <c:h val="7.027738010021472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[D1304_SCRPT_SUM_NO_NARC + clonifine.xlsx]Sheet1 (4)!PivotTable1</c:name>
    <c:fmtId val="-1"/>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a:noFill/>
          </a:ln>
          <a:effectLst/>
        </c:spPr>
        <c:marker>
          <c:symbol val="none"/>
        </c:marker>
      </c:pivotFmt>
      <c:pivotFmt>
        <c:idx val="11"/>
        <c:spPr>
          <a:solidFill>
            <a:schemeClr val="accent1"/>
          </a:solidFill>
          <a:ln>
            <a:noFill/>
          </a:ln>
          <a:effectLst/>
        </c:spPr>
        <c:marker>
          <c:symbol val="none"/>
        </c:marker>
      </c:pivotFmt>
      <c:pivotFmt>
        <c:idx val="12"/>
        <c:spPr>
          <a:solidFill>
            <a:schemeClr val="accent1"/>
          </a:solidFill>
          <a:ln>
            <a:noFill/>
          </a:ln>
          <a:effectLst/>
        </c:spPr>
        <c:marker>
          <c:symbol val="none"/>
        </c:marker>
      </c:pivotFmt>
      <c:pivotFmt>
        <c:idx val="13"/>
        <c:spPr>
          <a:solidFill>
            <a:schemeClr val="accent1"/>
          </a:solidFill>
          <a:ln>
            <a:noFill/>
          </a:ln>
          <a:effectLst/>
        </c:spPr>
        <c:marker>
          <c:symbol val="none"/>
        </c:marker>
      </c:pivotFmt>
      <c:pivotFmt>
        <c:idx val="14"/>
        <c:spPr>
          <a:solidFill>
            <a:schemeClr val="accent1"/>
          </a:solidFill>
          <a:ln>
            <a:noFill/>
          </a:ln>
          <a:effectLst/>
        </c:spPr>
        <c:marker>
          <c:symbol val="none"/>
        </c:marker>
      </c:pivotFmt>
      <c:pivotFmt>
        <c:idx val="15"/>
        <c:spPr>
          <a:solidFill>
            <a:schemeClr val="accent1"/>
          </a:solidFill>
          <a:ln>
            <a:noFill/>
          </a:ln>
          <a:effectLst/>
        </c:spPr>
        <c:marker>
          <c:symbol val="none"/>
        </c:marker>
      </c:pivotFmt>
      <c:pivotFmt>
        <c:idx val="1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8"/>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1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4"/>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25"/>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26"/>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27"/>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28"/>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pivotFmt>
      <c:pivotFmt>
        <c:idx val="2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4"/>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3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6"/>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37"/>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38"/>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3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0"/>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41"/>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42"/>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4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4"/>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45"/>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46"/>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s>
    <c:plotArea>
      <c:layout/>
      <c:lineChart>
        <c:grouping val="standard"/>
        <c:varyColors val="0"/>
        <c:ser>
          <c:idx val="0"/>
          <c:order val="0"/>
          <c:tx>
            <c:strRef>
              <c:f>'Sheet1 (4)'!$B$1:$B$3</c:f>
              <c:strCache>
                <c:ptCount val="1"/>
                <c:pt idx="0">
                  <c:v>Clonidine - Paediatrician</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 (4)'!$A$4:$A$109</c:f>
              <c:strCache>
                <c:ptCount val="105"/>
                <c:pt idx="0">
                  <c:v>201204</c:v>
                </c:pt>
                <c:pt idx="1">
                  <c:v>201205</c:v>
                </c:pt>
                <c:pt idx="2">
                  <c:v>201206</c:v>
                </c:pt>
                <c:pt idx="3">
                  <c:v>201207</c:v>
                </c:pt>
                <c:pt idx="4">
                  <c:v>201208</c:v>
                </c:pt>
                <c:pt idx="5">
                  <c:v>201209</c:v>
                </c:pt>
                <c:pt idx="6">
                  <c:v>201210</c:v>
                </c:pt>
                <c:pt idx="7">
                  <c:v>201211</c:v>
                </c:pt>
                <c:pt idx="8">
                  <c:v>201212</c:v>
                </c:pt>
                <c:pt idx="9">
                  <c:v>201301</c:v>
                </c:pt>
                <c:pt idx="10">
                  <c:v>201302</c:v>
                </c:pt>
                <c:pt idx="11">
                  <c:v>201303</c:v>
                </c:pt>
                <c:pt idx="12">
                  <c:v>201304</c:v>
                </c:pt>
                <c:pt idx="13">
                  <c:v>201305</c:v>
                </c:pt>
                <c:pt idx="14">
                  <c:v>201306</c:v>
                </c:pt>
                <c:pt idx="15">
                  <c:v>201307</c:v>
                </c:pt>
                <c:pt idx="16">
                  <c:v>201308</c:v>
                </c:pt>
                <c:pt idx="17">
                  <c:v>201309</c:v>
                </c:pt>
                <c:pt idx="18">
                  <c:v>201310</c:v>
                </c:pt>
                <c:pt idx="19">
                  <c:v>201311</c:v>
                </c:pt>
                <c:pt idx="20">
                  <c:v>201312</c:v>
                </c:pt>
                <c:pt idx="21">
                  <c:v>201401</c:v>
                </c:pt>
                <c:pt idx="22">
                  <c:v>201402</c:v>
                </c:pt>
                <c:pt idx="23">
                  <c:v>201403</c:v>
                </c:pt>
                <c:pt idx="24">
                  <c:v>201404</c:v>
                </c:pt>
                <c:pt idx="25">
                  <c:v>201405</c:v>
                </c:pt>
                <c:pt idx="26">
                  <c:v>201406</c:v>
                </c:pt>
                <c:pt idx="27">
                  <c:v>201407</c:v>
                </c:pt>
                <c:pt idx="28">
                  <c:v>201408</c:v>
                </c:pt>
                <c:pt idx="29">
                  <c:v>201409</c:v>
                </c:pt>
                <c:pt idx="30">
                  <c:v>201410</c:v>
                </c:pt>
                <c:pt idx="31">
                  <c:v>201411</c:v>
                </c:pt>
                <c:pt idx="32">
                  <c:v>201412</c:v>
                </c:pt>
                <c:pt idx="33">
                  <c:v>201501</c:v>
                </c:pt>
                <c:pt idx="34">
                  <c:v>201502</c:v>
                </c:pt>
                <c:pt idx="35">
                  <c:v>201503</c:v>
                </c:pt>
                <c:pt idx="36">
                  <c:v>201504</c:v>
                </c:pt>
                <c:pt idx="37">
                  <c:v>201505</c:v>
                </c:pt>
                <c:pt idx="38">
                  <c:v>201506</c:v>
                </c:pt>
                <c:pt idx="39">
                  <c:v>201507</c:v>
                </c:pt>
                <c:pt idx="40">
                  <c:v>201508</c:v>
                </c:pt>
                <c:pt idx="41">
                  <c:v>201509</c:v>
                </c:pt>
                <c:pt idx="42">
                  <c:v>201510</c:v>
                </c:pt>
                <c:pt idx="43">
                  <c:v>201511</c:v>
                </c:pt>
                <c:pt idx="44">
                  <c:v>201512</c:v>
                </c:pt>
                <c:pt idx="45">
                  <c:v>201601</c:v>
                </c:pt>
                <c:pt idx="46">
                  <c:v>201602</c:v>
                </c:pt>
                <c:pt idx="47">
                  <c:v>201603</c:v>
                </c:pt>
                <c:pt idx="48">
                  <c:v>201604</c:v>
                </c:pt>
                <c:pt idx="49">
                  <c:v>201605</c:v>
                </c:pt>
                <c:pt idx="50">
                  <c:v>201606</c:v>
                </c:pt>
                <c:pt idx="51">
                  <c:v>201607</c:v>
                </c:pt>
                <c:pt idx="52">
                  <c:v>201608</c:v>
                </c:pt>
                <c:pt idx="53">
                  <c:v>201609</c:v>
                </c:pt>
                <c:pt idx="54">
                  <c:v>201610</c:v>
                </c:pt>
                <c:pt idx="55">
                  <c:v>201611</c:v>
                </c:pt>
                <c:pt idx="56">
                  <c:v>201612</c:v>
                </c:pt>
                <c:pt idx="57">
                  <c:v>201701</c:v>
                </c:pt>
                <c:pt idx="58">
                  <c:v>201702</c:v>
                </c:pt>
                <c:pt idx="59">
                  <c:v>201703</c:v>
                </c:pt>
                <c:pt idx="60">
                  <c:v>201704</c:v>
                </c:pt>
                <c:pt idx="61">
                  <c:v>201705</c:v>
                </c:pt>
                <c:pt idx="62">
                  <c:v>201706</c:v>
                </c:pt>
                <c:pt idx="63">
                  <c:v>201707</c:v>
                </c:pt>
                <c:pt idx="64">
                  <c:v>201708</c:v>
                </c:pt>
                <c:pt idx="65">
                  <c:v>201709</c:v>
                </c:pt>
                <c:pt idx="66">
                  <c:v>201710</c:v>
                </c:pt>
                <c:pt idx="67">
                  <c:v>201711</c:v>
                </c:pt>
                <c:pt idx="68">
                  <c:v>201712</c:v>
                </c:pt>
                <c:pt idx="69">
                  <c:v>201801</c:v>
                </c:pt>
                <c:pt idx="70">
                  <c:v>201802</c:v>
                </c:pt>
                <c:pt idx="71">
                  <c:v>201803</c:v>
                </c:pt>
                <c:pt idx="72">
                  <c:v>201804</c:v>
                </c:pt>
                <c:pt idx="73">
                  <c:v>201805</c:v>
                </c:pt>
                <c:pt idx="74">
                  <c:v>201806</c:v>
                </c:pt>
                <c:pt idx="75">
                  <c:v>201807</c:v>
                </c:pt>
                <c:pt idx="76">
                  <c:v>201808</c:v>
                </c:pt>
                <c:pt idx="77">
                  <c:v>201809</c:v>
                </c:pt>
                <c:pt idx="78">
                  <c:v>201810</c:v>
                </c:pt>
                <c:pt idx="79">
                  <c:v>201811</c:v>
                </c:pt>
                <c:pt idx="80">
                  <c:v>201812</c:v>
                </c:pt>
                <c:pt idx="81">
                  <c:v>201901</c:v>
                </c:pt>
                <c:pt idx="82">
                  <c:v>201902</c:v>
                </c:pt>
                <c:pt idx="83">
                  <c:v>201903</c:v>
                </c:pt>
                <c:pt idx="84">
                  <c:v>201904</c:v>
                </c:pt>
                <c:pt idx="85">
                  <c:v>201905</c:v>
                </c:pt>
                <c:pt idx="86">
                  <c:v>201906</c:v>
                </c:pt>
                <c:pt idx="87">
                  <c:v>201907</c:v>
                </c:pt>
                <c:pt idx="88">
                  <c:v>201908</c:v>
                </c:pt>
                <c:pt idx="89">
                  <c:v>201909</c:v>
                </c:pt>
                <c:pt idx="90">
                  <c:v>201910</c:v>
                </c:pt>
                <c:pt idx="91">
                  <c:v>201911</c:v>
                </c:pt>
                <c:pt idx="92">
                  <c:v>201912</c:v>
                </c:pt>
                <c:pt idx="93">
                  <c:v>202001</c:v>
                </c:pt>
                <c:pt idx="94">
                  <c:v>202002</c:v>
                </c:pt>
                <c:pt idx="95">
                  <c:v>202003</c:v>
                </c:pt>
                <c:pt idx="96">
                  <c:v>202004</c:v>
                </c:pt>
                <c:pt idx="97">
                  <c:v>202005</c:v>
                </c:pt>
                <c:pt idx="98">
                  <c:v>202006</c:v>
                </c:pt>
                <c:pt idx="99">
                  <c:v>202007</c:v>
                </c:pt>
                <c:pt idx="100">
                  <c:v>202008</c:v>
                </c:pt>
                <c:pt idx="101">
                  <c:v>202009</c:v>
                </c:pt>
                <c:pt idx="102">
                  <c:v>202010</c:v>
                </c:pt>
                <c:pt idx="103">
                  <c:v>202011</c:v>
                </c:pt>
                <c:pt idx="104">
                  <c:v>202012</c:v>
                </c:pt>
              </c:strCache>
            </c:strRef>
          </c:cat>
          <c:val>
            <c:numRef>
              <c:f>'Sheet1 (4)'!$B$4:$B$109</c:f>
              <c:numCache>
                <c:formatCode>General</c:formatCode>
                <c:ptCount val="105"/>
                <c:pt idx="0">
                  <c:v>2441</c:v>
                </c:pt>
                <c:pt idx="1">
                  <c:v>2844</c:v>
                </c:pt>
                <c:pt idx="2">
                  <c:v>2668</c:v>
                </c:pt>
                <c:pt idx="3">
                  <c:v>2754</c:v>
                </c:pt>
                <c:pt idx="4">
                  <c:v>2991</c:v>
                </c:pt>
                <c:pt idx="5">
                  <c:v>2670</c:v>
                </c:pt>
                <c:pt idx="6">
                  <c:v>2909</c:v>
                </c:pt>
                <c:pt idx="7">
                  <c:v>2961</c:v>
                </c:pt>
                <c:pt idx="8">
                  <c:v>3003</c:v>
                </c:pt>
                <c:pt idx="9">
                  <c:v>2616</c:v>
                </c:pt>
                <c:pt idx="10">
                  <c:v>2668</c:v>
                </c:pt>
                <c:pt idx="11">
                  <c:v>2939</c:v>
                </c:pt>
                <c:pt idx="12">
                  <c:v>2872</c:v>
                </c:pt>
                <c:pt idx="13">
                  <c:v>3117</c:v>
                </c:pt>
                <c:pt idx="14">
                  <c:v>2844</c:v>
                </c:pt>
                <c:pt idx="15">
                  <c:v>3168</c:v>
                </c:pt>
                <c:pt idx="16">
                  <c:v>3189</c:v>
                </c:pt>
                <c:pt idx="17">
                  <c:v>2985</c:v>
                </c:pt>
                <c:pt idx="18">
                  <c:v>3171</c:v>
                </c:pt>
                <c:pt idx="19">
                  <c:v>3169</c:v>
                </c:pt>
                <c:pt idx="20">
                  <c:v>3263</c:v>
                </c:pt>
                <c:pt idx="21">
                  <c:v>2819</c:v>
                </c:pt>
                <c:pt idx="22">
                  <c:v>2883</c:v>
                </c:pt>
                <c:pt idx="23">
                  <c:v>3128</c:v>
                </c:pt>
                <c:pt idx="24">
                  <c:v>3073</c:v>
                </c:pt>
                <c:pt idx="25">
                  <c:v>3345</c:v>
                </c:pt>
                <c:pt idx="26">
                  <c:v>3117</c:v>
                </c:pt>
                <c:pt idx="27">
                  <c:v>3394</c:v>
                </c:pt>
                <c:pt idx="28">
                  <c:v>3299</c:v>
                </c:pt>
                <c:pt idx="29">
                  <c:v>3237</c:v>
                </c:pt>
                <c:pt idx="30">
                  <c:v>3446</c:v>
                </c:pt>
                <c:pt idx="31">
                  <c:v>3302</c:v>
                </c:pt>
                <c:pt idx="32">
                  <c:v>3755</c:v>
                </c:pt>
                <c:pt idx="33">
                  <c:v>2940</c:v>
                </c:pt>
                <c:pt idx="34">
                  <c:v>3240</c:v>
                </c:pt>
                <c:pt idx="35">
                  <c:v>3539</c:v>
                </c:pt>
                <c:pt idx="36">
                  <c:v>3281</c:v>
                </c:pt>
                <c:pt idx="37">
                  <c:v>3561</c:v>
                </c:pt>
                <c:pt idx="38">
                  <c:v>3489</c:v>
                </c:pt>
                <c:pt idx="39">
                  <c:v>3870</c:v>
                </c:pt>
                <c:pt idx="40">
                  <c:v>3663</c:v>
                </c:pt>
                <c:pt idx="41">
                  <c:v>3677</c:v>
                </c:pt>
                <c:pt idx="42">
                  <c:v>3704</c:v>
                </c:pt>
                <c:pt idx="43">
                  <c:v>3807</c:v>
                </c:pt>
                <c:pt idx="44">
                  <c:v>4127</c:v>
                </c:pt>
                <c:pt idx="45">
                  <c:v>3327</c:v>
                </c:pt>
                <c:pt idx="46">
                  <c:v>3813</c:v>
                </c:pt>
                <c:pt idx="47">
                  <c:v>4066</c:v>
                </c:pt>
                <c:pt idx="48">
                  <c:v>3856</c:v>
                </c:pt>
                <c:pt idx="49">
                  <c:v>4194</c:v>
                </c:pt>
                <c:pt idx="50">
                  <c:v>4193</c:v>
                </c:pt>
                <c:pt idx="51">
                  <c:v>4272</c:v>
                </c:pt>
                <c:pt idx="52">
                  <c:v>4627</c:v>
                </c:pt>
                <c:pt idx="53">
                  <c:v>4302</c:v>
                </c:pt>
                <c:pt idx="54">
                  <c:v>4432</c:v>
                </c:pt>
                <c:pt idx="55">
                  <c:v>4695</c:v>
                </c:pt>
                <c:pt idx="56">
                  <c:v>4795</c:v>
                </c:pt>
                <c:pt idx="57">
                  <c:v>3985</c:v>
                </c:pt>
                <c:pt idx="58">
                  <c:v>4347</c:v>
                </c:pt>
                <c:pt idx="59">
                  <c:v>5048</c:v>
                </c:pt>
                <c:pt idx="60">
                  <c:v>4307</c:v>
                </c:pt>
                <c:pt idx="61">
                  <c:v>5122</c:v>
                </c:pt>
                <c:pt idx="62">
                  <c:v>5125</c:v>
                </c:pt>
                <c:pt idx="63">
                  <c:v>4998</c:v>
                </c:pt>
                <c:pt idx="64">
                  <c:v>5416</c:v>
                </c:pt>
                <c:pt idx="65">
                  <c:v>4827</c:v>
                </c:pt>
                <c:pt idx="66">
                  <c:v>4985</c:v>
                </c:pt>
                <c:pt idx="67">
                  <c:v>5670</c:v>
                </c:pt>
                <c:pt idx="68">
                  <c:v>5608</c:v>
                </c:pt>
                <c:pt idx="69">
                  <c:v>5009</c:v>
                </c:pt>
                <c:pt idx="70">
                  <c:v>5269</c:v>
                </c:pt>
                <c:pt idx="71">
                  <c:v>5819</c:v>
                </c:pt>
                <c:pt idx="72">
                  <c:v>5229</c:v>
                </c:pt>
                <c:pt idx="73">
                  <c:v>6181</c:v>
                </c:pt>
                <c:pt idx="74">
                  <c:v>5721</c:v>
                </c:pt>
                <c:pt idx="75">
                  <c:v>5784</c:v>
                </c:pt>
                <c:pt idx="76">
                  <c:v>6323</c:v>
                </c:pt>
                <c:pt idx="77">
                  <c:v>5798</c:v>
                </c:pt>
                <c:pt idx="78">
                  <c:v>6194</c:v>
                </c:pt>
                <c:pt idx="79">
                  <c:v>6255</c:v>
                </c:pt>
                <c:pt idx="80">
                  <c:v>6410</c:v>
                </c:pt>
                <c:pt idx="81">
                  <c:v>5544</c:v>
                </c:pt>
                <c:pt idx="82">
                  <c:v>5791</c:v>
                </c:pt>
                <c:pt idx="83">
                  <c:v>6271</c:v>
                </c:pt>
                <c:pt idx="84">
                  <c:v>5941</c:v>
                </c:pt>
                <c:pt idx="85">
                  <c:v>6815</c:v>
                </c:pt>
                <c:pt idx="86">
                  <c:v>6212</c:v>
                </c:pt>
                <c:pt idx="87">
                  <c:v>6646</c:v>
                </c:pt>
                <c:pt idx="88">
                  <c:v>6608</c:v>
                </c:pt>
                <c:pt idx="89">
                  <c:v>6460</c:v>
                </c:pt>
                <c:pt idx="90">
                  <c:v>6688</c:v>
                </c:pt>
                <c:pt idx="91">
                  <c:v>6618</c:v>
                </c:pt>
                <c:pt idx="92">
                  <c:v>7029</c:v>
                </c:pt>
                <c:pt idx="93">
                  <c:v>6126</c:v>
                </c:pt>
                <c:pt idx="94">
                  <c:v>6445</c:v>
                </c:pt>
                <c:pt idx="95">
                  <c:v>8230</c:v>
                </c:pt>
                <c:pt idx="96">
                  <c:v>4305</c:v>
                </c:pt>
                <c:pt idx="97">
                  <c:v>7049</c:v>
                </c:pt>
                <c:pt idx="98">
                  <c:v>7242</c:v>
                </c:pt>
                <c:pt idx="99">
                  <c:v>7691</c:v>
                </c:pt>
                <c:pt idx="100">
                  <c:v>7620</c:v>
                </c:pt>
                <c:pt idx="101">
                  <c:v>7430</c:v>
                </c:pt>
                <c:pt idx="102">
                  <c:v>7878</c:v>
                </c:pt>
                <c:pt idx="103">
                  <c:v>7769</c:v>
                </c:pt>
                <c:pt idx="104">
                  <c:v>8197</c:v>
                </c:pt>
              </c:numCache>
            </c:numRef>
          </c:val>
          <c:smooth val="0"/>
          <c:extLst>
            <c:ext xmlns:c16="http://schemas.microsoft.com/office/drawing/2014/chart" uri="{C3380CC4-5D6E-409C-BE32-E72D297353CC}">
              <c16:uniqueId val="{00000000-EB52-455C-90D6-BBD13A465EF4}"/>
            </c:ext>
          </c:extLst>
        </c:ser>
        <c:ser>
          <c:idx val="1"/>
          <c:order val="1"/>
          <c:tx>
            <c:strRef>
              <c:f>'Sheet1 (4)'!$C$1:$C$3</c:f>
              <c:strCache>
                <c:ptCount val="1"/>
                <c:pt idx="0">
                  <c:v>Clonidine - Psychiatrist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 (4)'!$A$4:$A$109</c:f>
              <c:strCache>
                <c:ptCount val="105"/>
                <c:pt idx="0">
                  <c:v>201204</c:v>
                </c:pt>
                <c:pt idx="1">
                  <c:v>201205</c:v>
                </c:pt>
                <c:pt idx="2">
                  <c:v>201206</c:v>
                </c:pt>
                <c:pt idx="3">
                  <c:v>201207</c:v>
                </c:pt>
                <c:pt idx="4">
                  <c:v>201208</c:v>
                </c:pt>
                <c:pt idx="5">
                  <c:v>201209</c:v>
                </c:pt>
                <c:pt idx="6">
                  <c:v>201210</c:v>
                </c:pt>
                <c:pt idx="7">
                  <c:v>201211</c:v>
                </c:pt>
                <c:pt idx="8">
                  <c:v>201212</c:v>
                </c:pt>
                <c:pt idx="9">
                  <c:v>201301</c:v>
                </c:pt>
                <c:pt idx="10">
                  <c:v>201302</c:v>
                </c:pt>
                <c:pt idx="11">
                  <c:v>201303</c:v>
                </c:pt>
                <c:pt idx="12">
                  <c:v>201304</c:v>
                </c:pt>
                <c:pt idx="13">
                  <c:v>201305</c:v>
                </c:pt>
                <c:pt idx="14">
                  <c:v>201306</c:v>
                </c:pt>
                <c:pt idx="15">
                  <c:v>201307</c:v>
                </c:pt>
                <c:pt idx="16">
                  <c:v>201308</c:v>
                </c:pt>
                <c:pt idx="17">
                  <c:v>201309</c:v>
                </c:pt>
                <c:pt idx="18">
                  <c:v>201310</c:v>
                </c:pt>
                <c:pt idx="19">
                  <c:v>201311</c:v>
                </c:pt>
                <c:pt idx="20">
                  <c:v>201312</c:v>
                </c:pt>
                <c:pt idx="21">
                  <c:v>201401</c:v>
                </c:pt>
                <c:pt idx="22">
                  <c:v>201402</c:v>
                </c:pt>
                <c:pt idx="23">
                  <c:v>201403</c:v>
                </c:pt>
                <c:pt idx="24">
                  <c:v>201404</c:v>
                </c:pt>
                <c:pt idx="25">
                  <c:v>201405</c:v>
                </c:pt>
                <c:pt idx="26">
                  <c:v>201406</c:v>
                </c:pt>
                <c:pt idx="27">
                  <c:v>201407</c:v>
                </c:pt>
                <c:pt idx="28">
                  <c:v>201408</c:v>
                </c:pt>
                <c:pt idx="29">
                  <c:v>201409</c:v>
                </c:pt>
                <c:pt idx="30">
                  <c:v>201410</c:v>
                </c:pt>
                <c:pt idx="31">
                  <c:v>201411</c:v>
                </c:pt>
                <c:pt idx="32">
                  <c:v>201412</c:v>
                </c:pt>
                <c:pt idx="33">
                  <c:v>201501</c:v>
                </c:pt>
                <c:pt idx="34">
                  <c:v>201502</c:v>
                </c:pt>
                <c:pt idx="35">
                  <c:v>201503</c:v>
                </c:pt>
                <c:pt idx="36">
                  <c:v>201504</c:v>
                </c:pt>
                <c:pt idx="37">
                  <c:v>201505</c:v>
                </c:pt>
                <c:pt idx="38">
                  <c:v>201506</c:v>
                </c:pt>
                <c:pt idx="39">
                  <c:v>201507</c:v>
                </c:pt>
                <c:pt idx="40">
                  <c:v>201508</c:v>
                </c:pt>
                <c:pt idx="41">
                  <c:v>201509</c:v>
                </c:pt>
                <c:pt idx="42">
                  <c:v>201510</c:v>
                </c:pt>
                <c:pt idx="43">
                  <c:v>201511</c:v>
                </c:pt>
                <c:pt idx="44">
                  <c:v>201512</c:v>
                </c:pt>
                <c:pt idx="45">
                  <c:v>201601</c:v>
                </c:pt>
                <c:pt idx="46">
                  <c:v>201602</c:v>
                </c:pt>
                <c:pt idx="47">
                  <c:v>201603</c:v>
                </c:pt>
                <c:pt idx="48">
                  <c:v>201604</c:v>
                </c:pt>
                <c:pt idx="49">
                  <c:v>201605</c:v>
                </c:pt>
                <c:pt idx="50">
                  <c:v>201606</c:v>
                </c:pt>
                <c:pt idx="51">
                  <c:v>201607</c:v>
                </c:pt>
                <c:pt idx="52">
                  <c:v>201608</c:v>
                </c:pt>
                <c:pt idx="53">
                  <c:v>201609</c:v>
                </c:pt>
                <c:pt idx="54">
                  <c:v>201610</c:v>
                </c:pt>
                <c:pt idx="55">
                  <c:v>201611</c:v>
                </c:pt>
                <c:pt idx="56">
                  <c:v>201612</c:v>
                </c:pt>
                <c:pt idx="57">
                  <c:v>201701</c:v>
                </c:pt>
                <c:pt idx="58">
                  <c:v>201702</c:v>
                </c:pt>
                <c:pt idx="59">
                  <c:v>201703</c:v>
                </c:pt>
                <c:pt idx="60">
                  <c:v>201704</c:v>
                </c:pt>
                <c:pt idx="61">
                  <c:v>201705</c:v>
                </c:pt>
                <c:pt idx="62">
                  <c:v>201706</c:v>
                </c:pt>
                <c:pt idx="63">
                  <c:v>201707</c:v>
                </c:pt>
                <c:pt idx="64">
                  <c:v>201708</c:v>
                </c:pt>
                <c:pt idx="65">
                  <c:v>201709</c:v>
                </c:pt>
                <c:pt idx="66">
                  <c:v>201710</c:v>
                </c:pt>
                <c:pt idx="67">
                  <c:v>201711</c:v>
                </c:pt>
                <c:pt idx="68">
                  <c:v>201712</c:v>
                </c:pt>
                <c:pt idx="69">
                  <c:v>201801</c:v>
                </c:pt>
                <c:pt idx="70">
                  <c:v>201802</c:v>
                </c:pt>
                <c:pt idx="71">
                  <c:v>201803</c:v>
                </c:pt>
                <c:pt idx="72">
                  <c:v>201804</c:v>
                </c:pt>
                <c:pt idx="73">
                  <c:v>201805</c:v>
                </c:pt>
                <c:pt idx="74">
                  <c:v>201806</c:v>
                </c:pt>
                <c:pt idx="75">
                  <c:v>201807</c:v>
                </c:pt>
                <c:pt idx="76">
                  <c:v>201808</c:v>
                </c:pt>
                <c:pt idx="77">
                  <c:v>201809</c:v>
                </c:pt>
                <c:pt idx="78">
                  <c:v>201810</c:v>
                </c:pt>
                <c:pt idx="79">
                  <c:v>201811</c:v>
                </c:pt>
                <c:pt idx="80">
                  <c:v>201812</c:v>
                </c:pt>
                <c:pt idx="81">
                  <c:v>201901</c:v>
                </c:pt>
                <c:pt idx="82">
                  <c:v>201902</c:v>
                </c:pt>
                <c:pt idx="83">
                  <c:v>201903</c:v>
                </c:pt>
                <c:pt idx="84">
                  <c:v>201904</c:v>
                </c:pt>
                <c:pt idx="85">
                  <c:v>201905</c:v>
                </c:pt>
                <c:pt idx="86">
                  <c:v>201906</c:v>
                </c:pt>
                <c:pt idx="87">
                  <c:v>201907</c:v>
                </c:pt>
                <c:pt idx="88">
                  <c:v>201908</c:v>
                </c:pt>
                <c:pt idx="89">
                  <c:v>201909</c:v>
                </c:pt>
                <c:pt idx="90">
                  <c:v>201910</c:v>
                </c:pt>
                <c:pt idx="91">
                  <c:v>201911</c:v>
                </c:pt>
                <c:pt idx="92">
                  <c:v>201912</c:v>
                </c:pt>
                <c:pt idx="93">
                  <c:v>202001</c:v>
                </c:pt>
                <c:pt idx="94">
                  <c:v>202002</c:v>
                </c:pt>
                <c:pt idx="95">
                  <c:v>202003</c:v>
                </c:pt>
                <c:pt idx="96">
                  <c:v>202004</c:v>
                </c:pt>
                <c:pt idx="97">
                  <c:v>202005</c:v>
                </c:pt>
                <c:pt idx="98">
                  <c:v>202006</c:v>
                </c:pt>
                <c:pt idx="99">
                  <c:v>202007</c:v>
                </c:pt>
                <c:pt idx="100">
                  <c:v>202008</c:v>
                </c:pt>
                <c:pt idx="101">
                  <c:v>202009</c:v>
                </c:pt>
                <c:pt idx="102">
                  <c:v>202010</c:v>
                </c:pt>
                <c:pt idx="103">
                  <c:v>202011</c:v>
                </c:pt>
                <c:pt idx="104">
                  <c:v>202012</c:v>
                </c:pt>
              </c:strCache>
            </c:strRef>
          </c:cat>
          <c:val>
            <c:numRef>
              <c:f>'Sheet1 (4)'!$C$4:$C$109</c:f>
              <c:numCache>
                <c:formatCode>General</c:formatCode>
                <c:ptCount val="105"/>
                <c:pt idx="0">
                  <c:v>490</c:v>
                </c:pt>
                <c:pt idx="1">
                  <c:v>548</c:v>
                </c:pt>
                <c:pt idx="2">
                  <c:v>536</c:v>
                </c:pt>
                <c:pt idx="3">
                  <c:v>550</c:v>
                </c:pt>
                <c:pt idx="4">
                  <c:v>622</c:v>
                </c:pt>
                <c:pt idx="5">
                  <c:v>542</c:v>
                </c:pt>
                <c:pt idx="6">
                  <c:v>593</c:v>
                </c:pt>
                <c:pt idx="7">
                  <c:v>606</c:v>
                </c:pt>
                <c:pt idx="8">
                  <c:v>663</c:v>
                </c:pt>
                <c:pt idx="9">
                  <c:v>510</c:v>
                </c:pt>
                <c:pt idx="10">
                  <c:v>577</c:v>
                </c:pt>
                <c:pt idx="11">
                  <c:v>627</c:v>
                </c:pt>
                <c:pt idx="12">
                  <c:v>640</c:v>
                </c:pt>
                <c:pt idx="13">
                  <c:v>705</c:v>
                </c:pt>
                <c:pt idx="14">
                  <c:v>665</c:v>
                </c:pt>
                <c:pt idx="15">
                  <c:v>694</c:v>
                </c:pt>
                <c:pt idx="16">
                  <c:v>655</c:v>
                </c:pt>
                <c:pt idx="17">
                  <c:v>681</c:v>
                </c:pt>
                <c:pt idx="18">
                  <c:v>701</c:v>
                </c:pt>
                <c:pt idx="19">
                  <c:v>674</c:v>
                </c:pt>
                <c:pt idx="20">
                  <c:v>734</c:v>
                </c:pt>
                <c:pt idx="21">
                  <c:v>602</c:v>
                </c:pt>
                <c:pt idx="22">
                  <c:v>689</c:v>
                </c:pt>
                <c:pt idx="23">
                  <c:v>702</c:v>
                </c:pt>
                <c:pt idx="24">
                  <c:v>671</c:v>
                </c:pt>
                <c:pt idx="25">
                  <c:v>816</c:v>
                </c:pt>
                <c:pt idx="26">
                  <c:v>779</c:v>
                </c:pt>
                <c:pt idx="27">
                  <c:v>804</c:v>
                </c:pt>
                <c:pt idx="28">
                  <c:v>919</c:v>
                </c:pt>
                <c:pt idx="29">
                  <c:v>882</c:v>
                </c:pt>
                <c:pt idx="30">
                  <c:v>855</c:v>
                </c:pt>
                <c:pt idx="31">
                  <c:v>798</c:v>
                </c:pt>
                <c:pt idx="32">
                  <c:v>901</c:v>
                </c:pt>
                <c:pt idx="33">
                  <c:v>668</c:v>
                </c:pt>
                <c:pt idx="34">
                  <c:v>763</c:v>
                </c:pt>
                <c:pt idx="35">
                  <c:v>782</c:v>
                </c:pt>
                <c:pt idx="36">
                  <c:v>704</c:v>
                </c:pt>
                <c:pt idx="37">
                  <c:v>798</c:v>
                </c:pt>
                <c:pt idx="38">
                  <c:v>743</c:v>
                </c:pt>
                <c:pt idx="39">
                  <c:v>908</c:v>
                </c:pt>
                <c:pt idx="40">
                  <c:v>885</c:v>
                </c:pt>
                <c:pt idx="41">
                  <c:v>870</c:v>
                </c:pt>
                <c:pt idx="42">
                  <c:v>980</c:v>
                </c:pt>
                <c:pt idx="43">
                  <c:v>918</c:v>
                </c:pt>
                <c:pt idx="44">
                  <c:v>1008</c:v>
                </c:pt>
                <c:pt idx="45">
                  <c:v>756</c:v>
                </c:pt>
                <c:pt idx="46">
                  <c:v>873</c:v>
                </c:pt>
                <c:pt idx="47">
                  <c:v>957</c:v>
                </c:pt>
                <c:pt idx="48">
                  <c:v>927</c:v>
                </c:pt>
                <c:pt idx="49">
                  <c:v>1039</c:v>
                </c:pt>
                <c:pt idx="50">
                  <c:v>1011</c:v>
                </c:pt>
                <c:pt idx="51">
                  <c:v>1036</c:v>
                </c:pt>
                <c:pt idx="52">
                  <c:v>1100</c:v>
                </c:pt>
                <c:pt idx="53">
                  <c:v>1053</c:v>
                </c:pt>
                <c:pt idx="54">
                  <c:v>1148</c:v>
                </c:pt>
                <c:pt idx="55">
                  <c:v>1212</c:v>
                </c:pt>
                <c:pt idx="56">
                  <c:v>1289</c:v>
                </c:pt>
                <c:pt idx="57">
                  <c:v>1019</c:v>
                </c:pt>
                <c:pt idx="58">
                  <c:v>1116</c:v>
                </c:pt>
                <c:pt idx="59">
                  <c:v>1301</c:v>
                </c:pt>
                <c:pt idx="60">
                  <c:v>1120</c:v>
                </c:pt>
                <c:pt idx="61">
                  <c:v>1343</c:v>
                </c:pt>
                <c:pt idx="62">
                  <c:v>1310</c:v>
                </c:pt>
                <c:pt idx="63">
                  <c:v>1342</c:v>
                </c:pt>
                <c:pt idx="64">
                  <c:v>1422</c:v>
                </c:pt>
                <c:pt idx="65">
                  <c:v>1328</c:v>
                </c:pt>
                <c:pt idx="66">
                  <c:v>1353</c:v>
                </c:pt>
                <c:pt idx="67">
                  <c:v>1485</c:v>
                </c:pt>
                <c:pt idx="68">
                  <c:v>1544</c:v>
                </c:pt>
                <c:pt idx="69">
                  <c:v>1366</c:v>
                </c:pt>
                <c:pt idx="70">
                  <c:v>1394</c:v>
                </c:pt>
                <c:pt idx="71">
                  <c:v>1539</c:v>
                </c:pt>
                <c:pt idx="72">
                  <c:v>1481</c:v>
                </c:pt>
                <c:pt idx="73">
                  <c:v>1697</c:v>
                </c:pt>
                <c:pt idx="74">
                  <c:v>1627</c:v>
                </c:pt>
                <c:pt idx="75">
                  <c:v>1633</c:v>
                </c:pt>
                <c:pt idx="76">
                  <c:v>1708</c:v>
                </c:pt>
                <c:pt idx="77">
                  <c:v>1564</c:v>
                </c:pt>
                <c:pt idx="78">
                  <c:v>1759</c:v>
                </c:pt>
                <c:pt idx="79">
                  <c:v>1836</c:v>
                </c:pt>
                <c:pt idx="80">
                  <c:v>1794</c:v>
                </c:pt>
                <c:pt idx="81">
                  <c:v>1584</c:v>
                </c:pt>
                <c:pt idx="82">
                  <c:v>1555</c:v>
                </c:pt>
                <c:pt idx="83">
                  <c:v>1806</c:v>
                </c:pt>
                <c:pt idx="84">
                  <c:v>1777</c:v>
                </c:pt>
                <c:pt idx="85">
                  <c:v>1874</c:v>
                </c:pt>
                <c:pt idx="86">
                  <c:v>1817</c:v>
                </c:pt>
                <c:pt idx="87">
                  <c:v>1948</c:v>
                </c:pt>
                <c:pt idx="88">
                  <c:v>2093</c:v>
                </c:pt>
                <c:pt idx="89">
                  <c:v>1937</c:v>
                </c:pt>
                <c:pt idx="90">
                  <c:v>2162</c:v>
                </c:pt>
                <c:pt idx="91">
                  <c:v>2095</c:v>
                </c:pt>
                <c:pt idx="92">
                  <c:v>2096</c:v>
                </c:pt>
                <c:pt idx="93">
                  <c:v>1824</c:v>
                </c:pt>
                <c:pt idx="94">
                  <c:v>2006</c:v>
                </c:pt>
                <c:pt idx="95">
                  <c:v>2488</c:v>
                </c:pt>
                <c:pt idx="96">
                  <c:v>1381</c:v>
                </c:pt>
                <c:pt idx="97">
                  <c:v>2180</c:v>
                </c:pt>
                <c:pt idx="98">
                  <c:v>2282</c:v>
                </c:pt>
                <c:pt idx="99">
                  <c:v>2515</c:v>
                </c:pt>
                <c:pt idx="100">
                  <c:v>2631</c:v>
                </c:pt>
                <c:pt idx="101">
                  <c:v>2630</c:v>
                </c:pt>
                <c:pt idx="102">
                  <c:v>2920</c:v>
                </c:pt>
                <c:pt idx="103">
                  <c:v>2816</c:v>
                </c:pt>
                <c:pt idx="104">
                  <c:v>2913</c:v>
                </c:pt>
              </c:numCache>
            </c:numRef>
          </c:val>
          <c:smooth val="0"/>
          <c:extLst>
            <c:ext xmlns:c16="http://schemas.microsoft.com/office/drawing/2014/chart" uri="{C3380CC4-5D6E-409C-BE32-E72D297353CC}">
              <c16:uniqueId val="{00000001-EB52-455C-90D6-BBD13A465EF4}"/>
            </c:ext>
          </c:extLst>
        </c:ser>
        <c:ser>
          <c:idx val="2"/>
          <c:order val="2"/>
          <c:tx>
            <c:strRef>
              <c:f>'Sheet1 (4)'!$E$1:$E$3</c:f>
              <c:strCache>
                <c:ptCount val="1"/>
                <c:pt idx="0">
                  <c:v>Guanfacine - Paediatrician</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 (4)'!$A$4:$A$109</c:f>
              <c:strCache>
                <c:ptCount val="105"/>
                <c:pt idx="0">
                  <c:v>201204</c:v>
                </c:pt>
                <c:pt idx="1">
                  <c:v>201205</c:v>
                </c:pt>
                <c:pt idx="2">
                  <c:v>201206</c:v>
                </c:pt>
                <c:pt idx="3">
                  <c:v>201207</c:v>
                </c:pt>
                <c:pt idx="4">
                  <c:v>201208</c:v>
                </c:pt>
                <c:pt idx="5">
                  <c:v>201209</c:v>
                </c:pt>
                <c:pt idx="6">
                  <c:v>201210</c:v>
                </c:pt>
                <c:pt idx="7">
                  <c:v>201211</c:v>
                </c:pt>
                <c:pt idx="8">
                  <c:v>201212</c:v>
                </c:pt>
                <c:pt idx="9">
                  <c:v>201301</c:v>
                </c:pt>
                <c:pt idx="10">
                  <c:v>201302</c:v>
                </c:pt>
                <c:pt idx="11">
                  <c:v>201303</c:v>
                </c:pt>
                <c:pt idx="12">
                  <c:v>201304</c:v>
                </c:pt>
                <c:pt idx="13">
                  <c:v>201305</c:v>
                </c:pt>
                <c:pt idx="14">
                  <c:v>201306</c:v>
                </c:pt>
                <c:pt idx="15">
                  <c:v>201307</c:v>
                </c:pt>
                <c:pt idx="16">
                  <c:v>201308</c:v>
                </c:pt>
                <c:pt idx="17">
                  <c:v>201309</c:v>
                </c:pt>
                <c:pt idx="18">
                  <c:v>201310</c:v>
                </c:pt>
                <c:pt idx="19">
                  <c:v>201311</c:v>
                </c:pt>
                <c:pt idx="20">
                  <c:v>201312</c:v>
                </c:pt>
                <c:pt idx="21">
                  <c:v>201401</c:v>
                </c:pt>
                <c:pt idx="22">
                  <c:v>201402</c:v>
                </c:pt>
                <c:pt idx="23">
                  <c:v>201403</c:v>
                </c:pt>
                <c:pt idx="24">
                  <c:v>201404</c:v>
                </c:pt>
                <c:pt idx="25">
                  <c:v>201405</c:v>
                </c:pt>
                <c:pt idx="26">
                  <c:v>201406</c:v>
                </c:pt>
                <c:pt idx="27">
                  <c:v>201407</c:v>
                </c:pt>
                <c:pt idx="28">
                  <c:v>201408</c:v>
                </c:pt>
                <c:pt idx="29">
                  <c:v>201409</c:v>
                </c:pt>
                <c:pt idx="30">
                  <c:v>201410</c:v>
                </c:pt>
                <c:pt idx="31">
                  <c:v>201411</c:v>
                </c:pt>
                <c:pt idx="32">
                  <c:v>201412</c:v>
                </c:pt>
                <c:pt idx="33">
                  <c:v>201501</c:v>
                </c:pt>
                <c:pt idx="34">
                  <c:v>201502</c:v>
                </c:pt>
                <c:pt idx="35">
                  <c:v>201503</c:v>
                </c:pt>
                <c:pt idx="36">
                  <c:v>201504</c:v>
                </c:pt>
                <c:pt idx="37">
                  <c:v>201505</c:v>
                </c:pt>
                <c:pt idx="38">
                  <c:v>201506</c:v>
                </c:pt>
                <c:pt idx="39">
                  <c:v>201507</c:v>
                </c:pt>
                <c:pt idx="40">
                  <c:v>201508</c:v>
                </c:pt>
                <c:pt idx="41">
                  <c:v>201509</c:v>
                </c:pt>
                <c:pt idx="42">
                  <c:v>201510</c:v>
                </c:pt>
                <c:pt idx="43">
                  <c:v>201511</c:v>
                </c:pt>
                <c:pt idx="44">
                  <c:v>201512</c:v>
                </c:pt>
                <c:pt idx="45">
                  <c:v>201601</c:v>
                </c:pt>
                <c:pt idx="46">
                  <c:v>201602</c:v>
                </c:pt>
                <c:pt idx="47">
                  <c:v>201603</c:v>
                </c:pt>
                <c:pt idx="48">
                  <c:v>201604</c:v>
                </c:pt>
                <c:pt idx="49">
                  <c:v>201605</c:v>
                </c:pt>
                <c:pt idx="50">
                  <c:v>201606</c:v>
                </c:pt>
                <c:pt idx="51">
                  <c:v>201607</c:v>
                </c:pt>
                <c:pt idx="52">
                  <c:v>201608</c:v>
                </c:pt>
                <c:pt idx="53">
                  <c:v>201609</c:v>
                </c:pt>
                <c:pt idx="54">
                  <c:v>201610</c:v>
                </c:pt>
                <c:pt idx="55">
                  <c:v>201611</c:v>
                </c:pt>
                <c:pt idx="56">
                  <c:v>201612</c:v>
                </c:pt>
                <c:pt idx="57">
                  <c:v>201701</c:v>
                </c:pt>
                <c:pt idx="58">
                  <c:v>201702</c:v>
                </c:pt>
                <c:pt idx="59">
                  <c:v>201703</c:v>
                </c:pt>
                <c:pt idx="60">
                  <c:v>201704</c:v>
                </c:pt>
                <c:pt idx="61">
                  <c:v>201705</c:v>
                </c:pt>
                <c:pt idx="62">
                  <c:v>201706</c:v>
                </c:pt>
                <c:pt idx="63">
                  <c:v>201707</c:v>
                </c:pt>
                <c:pt idx="64">
                  <c:v>201708</c:v>
                </c:pt>
                <c:pt idx="65">
                  <c:v>201709</c:v>
                </c:pt>
                <c:pt idx="66">
                  <c:v>201710</c:v>
                </c:pt>
                <c:pt idx="67">
                  <c:v>201711</c:v>
                </c:pt>
                <c:pt idx="68">
                  <c:v>201712</c:v>
                </c:pt>
                <c:pt idx="69">
                  <c:v>201801</c:v>
                </c:pt>
                <c:pt idx="70">
                  <c:v>201802</c:v>
                </c:pt>
                <c:pt idx="71">
                  <c:v>201803</c:v>
                </c:pt>
                <c:pt idx="72">
                  <c:v>201804</c:v>
                </c:pt>
                <c:pt idx="73">
                  <c:v>201805</c:v>
                </c:pt>
                <c:pt idx="74">
                  <c:v>201806</c:v>
                </c:pt>
                <c:pt idx="75">
                  <c:v>201807</c:v>
                </c:pt>
                <c:pt idx="76">
                  <c:v>201808</c:v>
                </c:pt>
                <c:pt idx="77">
                  <c:v>201809</c:v>
                </c:pt>
                <c:pt idx="78">
                  <c:v>201810</c:v>
                </c:pt>
                <c:pt idx="79">
                  <c:v>201811</c:v>
                </c:pt>
                <c:pt idx="80">
                  <c:v>201812</c:v>
                </c:pt>
                <c:pt idx="81">
                  <c:v>201901</c:v>
                </c:pt>
                <c:pt idx="82">
                  <c:v>201902</c:v>
                </c:pt>
                <c:pt idx="83">
                  <c:v>201903</c:v>
                </c:pt>
                <c:pt idx="84">
                  <c:v>201904</c:v>
                </c:pt>
                <c:pt idx="85">
                  <c:v>201905</c:v>
                </c:pt>
                <c:pt idx="86">
                  <c:v>201906</c:v>
                </c:pt>
                <c:pt idx="87">
                  <c:v>201907</c:v>
                </c:pt>
                <c:pt idx="88">
                  <c:v>201908</c:v>
                </c:pt>
                <c:pt idx="89">
                  <c:v>201909</c:v>
                </c:pt>
                <c:pt idx="90">
                  <c:v>201910</c:v>
                </c:pt>
                <c:pt idx="91">
                  <c:v>201911</c:v>
                </c:pt>
                <c:pt idx="92">
                  <c:v>201912</c:v>
                </c:pt>
                <c:pt idx="93">
                  <c:v>202001</c:v>
                </c:pt>
                <c:pt idx="94">
                  <c:v>202002</c:v>
                </c:pt>
                <c:pt idx="95">
                  <c:v>202003</c:v>
                </c:pt>
                <c:pt idx="96">
                  <c:v>202004</c:v>
                </c:pt>
                <c:pt idx="97">
                  <c:v>202005</c:v>
                </c:pt>
                <c:pt idx="98">
                  <c:v>202006</c:v>
                </c:pt>
                <c:pt idx="99">
                  <c:v>202007</c:v>
                </c:pt>
                <c:pt idx="100">
                  <c:v>202008</c:v>
                </c:pt>
                <c:pt idx="101">
                  <c:v>202009</c:v>
                </c:pt>
                <c:pt idx="102">
                  <c:v>202010</c:v>
                </c:pt>
                <c:pt idx="103">
                  <c:v>202011</c:v>
                </c:pt>
                <c:pt idx="104">
                  <c:v>202012</c:v>
                </c:pt>
              </c:strCache>
            </c:strRef>
          </c:cat>
          <c:val>
            <c:numRef>
              <c:f>'Sheet1 (4)'!$E$4:$E$109</c:f>
              <c:numCache>
                <c:formatCode>General</c:formatCode>
                <c:ptCount val="105"/>
                <c:pt idx="77">
                  <c:v>858</c:v>
                </c:pt>
                <c:pt idx="78">
                  <c:v>1870</c:v>
                </c:pt>
                <c:pt idx="79">
                  <c:v>2457</c:v>
                </c:pt>
                <c:pt idx="80">
                  <c:v>2909</c:v>
                </c:pt>
                <c:pt idx="81">
                  <c:v>2905</c:v>
                </c:pt>
                <c:pt idx="82">
                  <c:v>3142</c:v>
                </c:pt>
                <c:pt idx="83">
                  <c:v>4915</c:v>
                </c:pt>
                <c:pt idx="84">
                  <c:v>5906</c:v>
                </c:pt>
                <c:pt idx="85">
                  <c:v>7189</c:v>
                </c:pt>
                <c:pt idx="86">
                  <c:v>7408</c:v>
                </c:pt>
                <c:pt idx="87">
                  <c:v>8601</c:v>
                </c:pt>
                <c:pt idx="88">
                  <c:v>9226</c:v>
                </c:pt>
                <c:pt idx="89">
                  <c:v>9278</c:v>
                </c:pt>
                <c:pt idx="90">
                  <c:v>10089</c:v>
                </c:pt>
                <c:pt idx="91">
                  <c:v>10144</c:v>
                </c:pt>
                <c:pt idx="92">
                  <c:v>10545</c:v>
                </c:pt>
                <c:pt idx="93">
                  <c:v>9435</c:v>
                </c:pt>
                <c:pt idx="94">
                  <c:v>9855</c:v>
                </c:pt>
                <c:pt idx="95">
                  <c:v>12002</c:v>
                </c:pt>
                <c:pt idx="96">
                  <c:v>6237</c:v>
                </c:pt>
                <c:pt idx="97">
                  <c:v>11155</c:v>
                </c:pt>
                <c:pt idx="98">
                  <c:v>11685</c:v>
                </c:pt>
                <c:pt idx="99">
                  <c:v>12463</c:v>
                </c:pt>
                <c:pt idx="100">
                  <c:v>12733</c:v>
                </c:pt>
                <c:pt idx="101">
                  <c:v>13115</c:v>
                </c:pt>
                <c:pt idx="102">
                  <c:v>13314</c:v>
                </c:pt>
                <c:pt idx="103">
                  <c:v>13628</c:v>
                </c:pt>
                <c:pt idx="104">
                  <c:v>14553</c:v>
                </c:pt>
              </c:numCache>
            </c:numRef>
          </c:val>
          <c:smooth val="0"/>
          <c:extLst>
            <c:ext xmlns:c16="http://schemas.microsoft.com/office/drawing/2014/chart" uri="{C3380CC4-5D6E-409C-BE32-E72D297353CC}">
              <c16:uniqueId val="{00000002-EB52-455C-90D6-BBD13A465EF4}"/>
            </c:ext>
          </c:extLst>
        </c:ser>
        <c:ser>
          <c:idx val="3"/>
          <c:order val="3"/>
          <c:tx>
            <c:strRef>
              <c:f>'Sheet1 (4)'!$F$1:$F$3</c:f>
              <c:strCache>
                <c:ptCount val="1"/>
                <c:pt idx="0">
                  <c:v>Guanfacine - Psychiatrist</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 (4)'!$A$4:$A$109</c:f>
              <c:strCache>
                <c:ptCount val="105"/>
                <c:pt idx="0">
                  <c:v>201204</c:v>
                </c:pt>
                <c:pt idx="1">
                  <c:v>201205</c:v>
                </c:pt>
                <c:pt idx="2">
                  <c:v>201206</c:v>
                </c:pt>
                <c:pt idx="3">
                  <c:v>201207</c:v>
                </c:pt>
                <c:pt idx="4">
                  <c:v>201208</c:v>
                </c:pt>
                <c:pt idx="5">
                  <c:v>201209</c:v>
                </c:pt>
                <c:pt idx="6">
                  <c:v>201210</c:v>
                </c:pt>
                <c:pt idx="7">
                  <c:v>201211</c:v>
                </c:pt>
                <c:pt idx="8">
                  <c:v>201212</c:v>
                </c:pt>
                <c:pt idx="9">
                  <c:v>201301</c:v>
                </c:pt>
                <c:pt idx="10">
                  <c:v>201302</c:v>
                </c:pt>
                <c:pt idx="11">
                  <c:v>201303</c:v>
                </c:pt>
                <c:pt idx="12">
                  <c:v>201304</c:v>
                </c:pt>
                <c:pt idx="13">
                  <c:v>201305</c:v>
                </c:pt>
                <c:pt idx="14">
                  <c:v>201306</c:v>
                </c:pt>
                <c:pt idx="15">
                  <c:v>201307</c:v>
                </c:pt>
                <c:pt idx="16">
                  <c:v>201308</c:v>
                </c:pt>
                <c:pt idx="17">
                  <c:v>201309</c:v>
                </c:pt>
                <c:pt idx="18">
                  <c:v>201310</c:v>
                </c:pt>
                <c:pt idx="19">
                  <c:v>201311</c:v>
                </c:pt>
                <c:pt idx="20">
                  <c:v>201312</c:v>
                </c:pt>
                <c:pt idx="21">
                  <c:v>201401</c:v>
                </c:pt>
                <c:pt idx="22">
                  <c:v>201402</c:v>
                </c:pt>
                <c:pt idx="23">
                  <c:v>201403</c:v>
                </c:pt>
                <c:pt idx="24">
                  <c:v>201404</c:v>
                </c:pt>
                <c:pt idx="25">
                  <c:v>201405</c:v>
                </c:pt>
                <c:pt idx="26">
                  <c:v>201406</c:v>
                </c:pt>
                <c:pt idx="27">
                  <c:v>201407</c:v>
                </c:pt>
                <c:pt idx="28">
                  <c:v>201408</c:v>
                </c:pt>
                <c:pt idx="29">
                  <c:v>201409</c:v>
                </c:pt>
                <c:pt idx="30">
                  <c:v>201410</c:v>
                </c:pt>
                <c:pt idx="31">
                  <c:v>201411</c:v>
                </c:pt>
                <c:pt idx="32">
                  <c:v>201412</c:v>
                </c:pt>
                <c:pt idx="33">
                  <c:v>201501</c:v>
                </c:pt>
                <c:pt idx="34">
                  <c:v>201502</c:v>
                </c:pt>
                <c:pt idx="35">
                  <c:v>201503</c:v>
                </c:pt>
                <c:pt idx="36">
                  <c:v>201504</c:v>
                </c:pt>
                <c:pt idx="37">
                  <c:v>201505</c:v>
                </c:pt>
                <c:pt idx="38">
                  <c:v>201506</c:v>
                </c:pt>
                <c:pt idx="39">
                  <c:v>201507</c:v>
                </c:pt>
                <c:pt idx="40">
                  <c:v>201508</c:v>
                </c:pt>
                <c:pt idx="41">
                  <c:v>201509</c:v>
                </c:pt>
                <c:pt idx="42">
                  <c:v>201510</c:v>
                </c:pt>
                <c:pt idx="43">
                  <c:v>201511</c:v>
                </c:pt>
                <c:pt idx="44">
                  <c:v>201512</c:v>
                </c:pt>
                <c:pt idx="45">
                  <c:v>201601</c:v>
                </c:pt>
                <c:pt idx="46">
                  <c:v>201602</c:v>
                </c:pt>
                <c:pt idx="47">
                  <c:v>201603</c:v>
                </c:pt>
                <c:pt idx="48">
                  <c:v>201604</c:v>
                </c:pt>
                <c:pt idx="49">
                  <c:v>201605</c:v>
                </c:pt>
                <c:pt idx="50">
                  <c:v>201606</c:v>
                </c:pt>
                <c:pt idx="51">
                  <c:v>201607</c:v>
                </c:pt>
                <c:pt idx="52">
                  <c:v>201608</c:v>
                </c:pt>
                <c:pt idx="53">
                  <c:v>201609</c:v>
                </c:pt>
                <c:pt idx="54">
                  <c:v>201610</c:v>
                </c:pt>
                <c:pt idx="55">
                  <c:v>201611</c:v>
                </c:pt>
                <c:pt idx="56">
                  <c:v>201612</c:v>
                </c:pt>
                <c:pt idx="57">
                  <c:v>201701</c:v>
                </c:pt>
                <c:pt idx="58">
                  <c:v>201702</c:v>
                </c:pt>
                <c:pt idx="59">
                  <c:v>201703</c:v>
                </c:pt>
                <c:pt idx="60">
                  <c:v>201704</c:v>
                </c:pt>
                <c:pt idx="61">
                  <c:v>201705</c:v>
                </c:pt>
                <c:pt idx="62">
                  <c:v>201706</c:v>
                </c:pt>
                <c:pt idx="63">
                  <c:v>201707</c:v>
                </c:pt>
                <c:pt idx="64">
                  <c:v>201708</c:v>
                </c:pt>
                <c:pt idx="65">
                  <c:v>201709</c:v>
                </c:pt>
                <c:pt idx="66">
                  <c:v>201710</c:v>
                </c:pt>
                <c:pt idx="67">
                  <c:v>201711</c:v>
                </c:pt>
                <c:pt idx="68">
                  <c:v>201712</c:v>
                </c:pt>
                <c:pt idx="69">
                  <c:v>201801</c:v>
                </c:pt>
                <c:pt idx="70">
                  <c:v>201802</c:v>
                </c:pt>
                <c:pt idx="71">
                  <c:v>201803</c:v>
                </c:pt>
                <c:pt idx="72">
                  <c:v>201804</c:v>
                </c:pt>
                <c:pt idx="73">
                  <c:v>201805</c:v>
                </c:pt>
                <c:pt idx="74">
                  <c:v>201806</c:v>
                </c:pt>
                <c:pt idx="75">
                  <c:v>201807</c:v>
                </c:pt>
                <c:pt idx="76">
                  <c:v>201808</c:v>
                </c:pt>
                <c:pt idx="77">
                  <c:v>201809</c:v>
                </c:pt>
                <c:pt idx="78">
                  <c:v>201810</c:v>
                </c:pt>
                <c:pt idx="79">
                  <c:v>201811</c:v>
                </c:pt>
                <c:pt idx="80">
                  <c:v>201812</c:v>
                </c:pt>
                <c:pt idx="81">
                  <c:v>201901</c:v>
                </c:pt>
                <c:pt idx="82">
                  <c:v>201902</c:v>
                </c:pt>
                <c:pt idx="83">
                  <c:v>201903</c:v>
                </c:pt>
                <c:pt idx="84">
                  <c:v>201904</c:v>
                </c:pt>
                <c:pt idx="85">
                  <c:v>201905</c:v>
                </c:pt>
                <c:pt idx="86">
                  <c:v>201906</c:v>
                </c:pt>
                <c:pt idx="87">
                  <c:v>201907</c:v>
                </c:pt>
                <c:pt idx="88">
                  <c:v>201908</c:v>
                </c:pt>
                <c:pt idx="89">
                  <c:v>201909</c:v>
                </c:pt>
                <c:pt idx="90">
                  <c:v>201910</c:v>
                </c:pt>
                <c:pt idx="91">
                  <c:v>201911</c:v>
                </c:pt>
                <c:pt idx="92">
                  <c:v>201912</c:v>
                </c:pt>
                <c:pt idx="93">
                  <c:v>202001</c:v>
                </c:pt>
                <c:pt idx="94">
                  <c:v>202002</c:v>
                </c:pt>
                <c:pt idx="95">
                  <c:v>202003</c:v>
                </c:pt>
                <c:pt idx="96">
                  <c:v>202004</c:v>
                </c:pt>
                <c:pt idx="97">
                  <c:v>202005</c:v>
                </c:pt>
                <c:pt idx="98">
                  <c:v>202006</c:v>
                </c:pt>
                <c:pt idx="99">
                  <c:v>202007</c:v>
                </c:pt>
                <c:pt idx="100">
                  <c:v>202008</c:v>
                </c:pt>
                <c:pt idx="101">
                  <c:v>202009</c:v>
                </c:pt>
                <c:pt idx="102">
                  <c:v>202010</c:v>
                </c:pt>
                <c:pt idx="103">
                  <c:v>202011</c:v>
                </c:pt>
                <c:pt idx="104">
                  <c:v>202012</c:v>
                </c:pt>
              </c:strCache>
            </c:strRef>
          </c:cat>
          <c:val>
            <c:numRef>
              <c:f>'Sheet1 (4)'!$F$4:$F$109</c:f>
              <c:numCache>
                <c:formatCode>General</c:formatCode>
                <c:ptCount val="105"/>
                <c:pt idx="77">
                  <c:v>160</c:v>
                </c:pt>
                <c:pt idx="78">
                  <c:v>377</c:v>
                </c:pt>
                <c:pt idx="79">
                  <c:v>488</c:v>
                </c:pt>
                <c:pt idx="80">
                  <c:v>629</c:v>
                </c:pt>
                <c:pt idx="81">
                  <c:v>649</c:v>
                </c:pt>
                <c:pt idx="82">
                  <c:v>689</c:v>
                </c:pt>
                <c:pt idx="83">
                  <c:v>955</c:v>
                </c:pt>
                <c:pt idx="84">
                  <c:v>1036</c:v>
                </c:pt>
                <c:pt idx="85">
                  <c:v>1253</c:v>
                </c:pt>
                <c:pt idx="86">
                  <c:v>1269</c:v>
                </c:pt>
                <c:pt idx="87">
                  <c:v>1461</c:v>
                </c:pt>
                <c:pt idx="88">
                  <c:v>1544</c:v>
                </c:pt>
                <c:pt idx="89">
                  <c:v>1602</c:v>
                </c:pt>
                <c:pt idx="90">
                  <c:v>1781</c:v>
                </c:pt>
                <c:pt idx="91">
                  <c:v>1802</c:v>
                </c:pt>
                <c:pt idx="92">
                  <c:v>1893</c:v>
                </c:pt>
                <c:pt idx="93">
                  <c:v>1778</c:v>
                </c:pt>
                <c:pt idx="94">
                  <c:v>1809</c:v>
                </c:pt>
                <c:pt idx="95">
                  <c:v>2164</c:v>
                </c:pt>
                <c:pt idx="96">
                  <c:v>1122</c:v>
                </c:pt>
                <c:pt idx="97">
                  <c:v>2058</c:v>
                </c:pt>
                <c:pt idx="98">
                  <c:v>2220</c:v>
                </c:pt>
                <c:pt idx="99">
                  <c:v>2478</c:v>
                </c:pt>
                <c:pt idx="100">
                  <c:v>2462</c:v>
                </c:pt>
                <c:pt idx="101">
                  <c:v>2560</c:v>
                </c:pt>
                <c:pt idx="102">
                  <c:v>2678</c:v>
                </c:pt>
                <c:pt idx="103">
                  <c:v>2638</c:v>
                </c:pt>
                <c:pt idx="104">
                  <c:v>2913</c:v>
                </c:pt>
              </c:numCache>
            </c:numRef>
          </c:val>
          <c:smooth val="0"/>
          <c:extLst>
            <c:ext xmlns:c16="http://schemas.microsoft.com/office/drawing/2014/chart" uri="{C3380CC4-5D6E-409C-BE32-E72D297353CC}">
              <c16:uniqueId val="{00000003-EB52-455C-90D6-BBD13A465EF4}"/>
            </c:ext>
          </c:extLst>
        </c:ser>
        <c:dLbls>
          <c:showLegendKey val="0"/>
          <c:showVal val="0"/>
          <c:showCatName val="0"/>
          <c:showSerName val="0"/>
          <c:showPercent val="0"/>
          <c:showBubbleSize val="0"/>
        </c:dLbls>
        <c:marker val="1"/>
        <c:smooth val="0"/>
        <c:axId val="309192360"/>
        <c:axId val="369584912"/>
      </c:lineChart>
      <c:catAx>
        <c:axId val="309192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9584912"/>
        <c:crosses val="autoZero"/>
        <c:auto val="1"/>
        <c:lblAlgn val="ctr"/>
        <c:lblOffset val="100"/>
        <c:noMultiLvlLbl val="0"/>
      </c:catAx>
      <c:valAx>
        <c:axId val="3695849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 of prescriptions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9192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[D1304_SCRPT_SUM_NO_NARC + clonifine, v2.xlsx]Sheet1 (4)!PivotTable1</c:name>
    <c:fmtId val="-1"/>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a:noFill/>
          </a:ln>
          <a:effectLst/>
        </c:spPr>
        <c:marker>
          <c:symbol val="none"/>
        </c:marker>
      </c:pivotFmt>
      <c:pivotFmt>
        <c:idx val="11"/>
        <c:spPr>
          <a:solidFill>
            <a:schemeClr val="accent1"/>
          </a:solidFill>
          <a:ln>
            <a:noFill/>
          </a:ln>
          <a:effectLst/>
        </c:spPr>
        <c:marker>
          <c:symbol val="none"/>
        </c:marker>
      </c:pivotFmt>
      <c:pivotFmt>
        <c:idx val="12"/>
        <c:spPr>
          <a:solidFill>
            <a:schemeClr val="accent1"/>
          </a:solidFill>
          <a:ln>
            <a:noFill/>
          </a:ln>
          <a:effectLst/>
        </c:spPr>
        <c:marker>
          <c:symbol val="none"/>
        </c:marker>
      </c:pivotFmt>
      <c:pivotFmt>
        <c:idx val="13"/>
        <c:spPr>
          <a:solidFill>
            <a:schemeClr val="accent1"/>
          </a:solidFill>
          <a:ln>
            <a:noFill/>
          </a:ln>
          <a:effectLst/>
        </c:spPr>
        <c:marker>
          <c:symbol val="none"/>
        </c:marker>
      </c:pivotFmt>
      <c:pivotFmt>
        <c:idx val="14"/>
        <c:spPr>
          <a:solidFill>
            <a:schemeClr val="accent1"/>
          </a:solidFill>
          <a:ln>
            <a:noFill/>
          </a:ln>
          <a:effectLst/>
        </c:spPr>
        <c:marker>
          <c:symbol val="none"/>
        </c:marker>
      </c:pivotFmt>
      <c:pivotFmt>
        <c:idx val="15"/>
        <c:spPr>
          <a:solidFill>
            <a:schemeClr val="accent1"/>
          </a:solidFill>
          <a:ln>
            <a:noFill/>
          </a:ln>
          <a:effectLst/>
        </c:spPr>
        <c:marker>
          <c:symbol val="none"/>
        </c:marker>
      </c:pivotFmt>
      <c:pivotFmt>
        <c:idx val="16"/>
        <c:spPr>
          <a:solidFill>
            <a:schemeClr val="accent1"/>
          </a:solidFill>
          <a:ln>
            <a:noFill/>
          </a:ln>
          <a:effectLst/>
        </c:spPr>
        <c:marker>
          <c:symbol val="circle"/>
          <c:size val="5"/>
          <c:spPr>
            <a:solidFill>
              <a:schemeClr val="accent1"/>
            </a:solidFill>
            <a:ln w="9525">
              <a:solidFill>
                <a:schemeClr val="accent1"/>
              </a:solidFill>
            </a:ln>
            <a:effectLst/>
          </c:spPr>
        </c:marker>
      </c:pivotFmt>
      <c:pivotFmt>
        <c:idx val="17"/>
        <c:spPr>
          <a:solidFill>
            <a:schemeClr val="accent1"/>
          </a:solidFill>
          <a:ln>
            <a:noFill/>
          </a:ln>
          <a:effectLst/>
        </c:spPr>
        <c:marker>
          <c:symbol val="circle"/>
          <c:size val="5"/>
          <c:spPr>
            <a:solidFill>
              <a:schemeClr val="accent1"/>
            </a:solidFill>
            <a:ln w="9525">
              <a:solidFill>
                <a:schemeClr val="accent1"/>
              </a:solidFill>
            </a:ln>
            <a:effectLst/>
          </c:spPr>
        </c:marker>
      </c:pivotFmt>
      <c:pivotFmt>
        <c:idx val="18"/>
        <c:spPr>
          <a:solidFill>
            <a:schemeClr val="accent1"/>
          </a:solidFill>
          <a:ln>
            <a:noFill/>
          </a:ln>
          <a:effectLst/>
        </c:spPr>
        <c:marker>
          <c:symbol val="circle"/>
          <c:size val="5"/>
          <c:spPr>
            <a:solidFill>
              <a:schemeClr val="accent1"/>
            </a:solidFill>
            <a:ln w="9525">
              <a:solidFill>
                <a:schemeClr val="accent1"/>
              </a:solidFill>
            </a:ln>
            <a:effectLst/>
          </c:spPr>
        </c:marker>
      </c:pivotFmt>
      <c:pivotFmt>
        <c:idx val="19"/>
        <c:spPr>
          <a:solidFill>
            <a:schemeClr val="accent1"/>
          </a:solidFill>
          <a:ln>
            <a:noFill/>
          </a:ln>
          <a:effectLst/>
        </c:spPr>
        <c:marker>
          <c:symbol val="circle"/>
          <c:size val="5"/>
          <c:spPr>
            <a:solidFill>
              <a:schemeClr val="accent1"/>
            </a:solidFill>
            <a:ln w="9525">
              <a:solidFill>
                <a:schemeClr val="accent1"/>
              </a:solidFill>
            </a:ln>
            <a:effectLst/>
          </c:spPr>
        </c:marker>
      </c:pivotFmt>
      <c:pivotFmt>
        <c:idx val="20"/>
        <c:spPr>
          <a:solidFill>
            <a:schemeClr val="accent1"/>
          </a:solidFill>
          <a:ln>
            <a:noFill/>
          </a:ln>
          <a:effectLst/>
        </c:spPr>
        <c:marker>
          <c:symbol val="circle"/>
          <c:size val="5"/>
          <c:spPr>
            <a:solidFill>
              <a:schemeClr val="accent1"/>
            </a:solidFill>
            <a:ln w="9525">
              <a:solidFill>
                <a:schemeClr val="accent1"/>
              </a:solidFill>
            </a:ln>
            <a:effectLst/>
          </c:spPr>
        </c:marker>
      </c:pivotFmt>
      <c:pivotFmt>
        <c:idx val="21"/>
        <c:spPr>
          <a:solidFill>
            <a:schemeClr val="accent1"/>
          </a:solidFill>
          <a:ln>
            <a:noFill/>
          </a:ln>
          <a:effectLst/>
        </c:spPr>
        <c:marker>
          <c:symbol val="circle"/>
          <c:size val="5"/>
          <c:spPr>
            <a:solidFill>
              <a:schemeClr val="accent1"/>
            </a:solidFill>
            <a:ln w="9525">
              <a:solidFill>
                <a:schemeClr val="accent1"/>
              </a:solidFill>
            </a:ln>
            <a:effectLst/>
          </c:spPr>
        </c:marker>
      </c:pivotFmt>
      <c:pivotFmt>
        <c:idx val="22"/>
        <c:spPr>
          <a:solidFill>
            <a:schemeClr val="accent1"/>
          </a:solidFill>
          <a:ln>
            <a:noFill/>
          </a:ln>
          <a:effectLst/>
        </c:spPr>
        <c:marker>
          <c:symbol val="circle"/>
          <c:size val="5"/>
          <c:spPr>
            <a:solidFill>
              <a:schemeClr val="accent1"/>
            </a:solidFill>
            <a:ln w="9525">
              <a:solidFill>
                <a:schemeClr val="accent1"/>
              </a:solidFill>
            </a:ln>
            <a:effectLst/>
          </c:spPr>
        </c:marker>
      </c:pivotFmt>
      <c:pivotFmt>
        <c:idx val="23"/>
        <c:spPr>
          <a:solidFill>
            <a:schemeClr val="accent1"/>
          </a:solidFill>
          <a:ln>
            <a:noFill/>
          </a:ln>
          <a:effectLst/>
        </c:spPr>
        <c:marker>
          <c:symbol val="circle"/>
          <c:size val="5"/>
          <c:spPr>
            <a:solidFill>
              <a:schemeClr val="accent1"/>
            </a:solidFill>
            <a:ln w="9525">
              <a:solidFill>
                <a:schemeClr val="accent1"/>
              </a:solidFill>
            </a:ln>
            <a:effectLst/>
          </c:spPr>
        </c:marker>
      </c:pivotFmt>
      <c:pivotFmt>
        <c:idx val="24"/>
        <c:spPr>
          <a:solidFill>
            <a:schemeClr val="accent1"/>
          </a:solidFill>
          <a:ln>
            <a:noFill/>
          </a:ln>
          <a:effectLst/>
        </c:spPr>
        <c:marker>
          <c:symbol val="circle"/>
          <c:size val="5"/>
          <c:spPr>
            <a:solidFill>
              <a:schemeClr val="accent1"/>
            </a:solidFill>
            <a:ln w="9525">
              <a:solidFill>
                <a:schemeClr val="accent1"/>
              </a:solidFill>
            </a:ln>
            <a:effectLst/>
          </c:spPr>
        </c:marker>
      </c:pivotFmt>
      <c:pivotFmt>
        <c:idx val="25"/>
        <c:spPr>
          <a:solidFill>
            <a:schemeClr val="accent1"/>
          </a:solidFill>
          <a:ln>
            <a:noFill/>
          </a:ln>
          <a:effectLst/>
        </c:spPr>
        <c:marker>
          <c:symbol val="circle"/>
          <c:size val="5"/>
          <c:spPr>
            <a:solidFill>
              <a:schemeClr val="accent1"/>
            </a:solidFill>
            <a:ln w="9525">
              <a:solidFill>
                <a:schemeClr val="accent1"/>
              </a:solidFill>
            </a:ln>
            <a:effectLst/>
          </c:spPr>
        </c:marker>
      </c:pivotFmt>
      <c:pivotFmt>
        <c:idx val="26"/>
        <c:spPr>
          <a:solidFill>
            <a:schemeClr val="accent1"/>
          </a:solidFill>
          <a:ln>
            <a:noFill/>
          </a:ln>
          <a:effectLst/>
        </c:spPr>
        <c:marker>
          <c:symbol val="circle"/>
          <c:size val="5"/>
          <c:spPr>
            <a:solidFill>
              <a:schemeClr val="accent1"/>
            </a:solidFill>
            <a:ln w="9525">
              <a:solidFill>
                <a:schemeClr val="accent1"/>
              </a:solidFill>
            </a:ln>
            <a:effectLst/>
          </c:spPr>
        </c:marker>
      </c:pivotFmt>
      <c:pivotFmt>
        <c:idx val="27"/>
        <c:spPr>
          <a:solidFill>
            <a:schemeClr val="accent1"/>
          </a:solidFill>
          <a:ln>
            <a:noFill/>
          </a:ln>
          <a:effectLst/>
        </c:spPr>
        <c:marker>
          <c:symbol val="circle"/>
          <c:size val="5"/>
          <c:spPr>
            <a:solidFill>
              <a:schemeClr val="accent1"/>
            </a:solidFill>
            <a:ln w="9525">
              <a:solidFill>
                <a:schemeClr val="accent1"/>
              </a:solidFill>
            </a:ln>
            <a:effectLst/>
          </c:spPr>
        </c:marker>
      </c:pivotFmt>
      <c:pivotFmt>
        <c:idx val="28"/>
        <c:spPr>
          <a:solidFill>
            <a:schemeClr val="accent1"/>
          </a:solidFill>
          <a:ln>
            <a:noFill/>
          </a:ln>
          <a:effectLst/>
        </c:spPr>
        <c:marker>
          <c:symbol val="circle"/>
          <c:size val="5"/>
          <c:spPr>
            <a:solidFill>
              <a:schemeClr val="accent1"/>
            </a:solidFill>
            <a:ln w="9525">
              <a:solidFill>
                <a:schemeClr val="accent1"/>
              </a:solidFill>
            </a:ln>
            <a:effectLst/>
          </c:spPr>
        </c:marker>
      </c:pivotFmt>
      <c:pivotFmt>
        <c:idx val="29"/>
        <c:spPr>
          <a:solidFill>
            <a:schemeClr val="accent1"/>
          </a:solidFill>
          <a:ln>
            <a:noFill/>
          </a:ln>
          <a:effectLst/>
        </c:spPr>
        <c:marker>
          <c:symbol val="circle"/>
          <c:size val="5"/>
          <c:spPr>
            <a:solidFill>
              <a:schemeClr val="accent1"/>
            </a:solidFill>
            <a:ln w="9525">
              <a:solidFill>
                <a:schemeClr val="accent1"/>
              </a:solidFill>
            </a:ln>
            <a:effectLst/>
          </c:spPr>
        </c:marker>
      </c:pivotFmt>
      <c:pivotFmt>
        <c:idx val="30"/>
        <c:spPr>
          <a:solidFill>
            <a:schemeClr val="accent1"/>
          </a:solidFill>
          <a:ln>
            <a:noFill/>
          </a:ln>
          <a:effectLst/>
        </c:spPr>
        <c:marker>
          <c:symbol val="circle"/>
          <c:size val="5"/>
          <c:spPr>
            <a:solidFill>
              <a:schemeClr val="accent1"/>
            </a:solidFill>
            <a:ln w="9525">
              <a:solidFill>
                <a:schemeClr val="accent1"/>
              </a:solidFill>
            </a:ln>
            <a:effectLst/>
          </c:spPr>
        </c:marker>
      </c:pivotFmt>
      <c:pivotFmt>
        <c:idx val="31"/>
        <c:spPr>
          <a:solidFill>
            <a:schemeClr val="accent1"/>
          </a:solidFill>
          <a:ln>
            <a:noFill/>
          </a:ln>
          <a:effectLst/>
        </c:spPr>
        <c:marker>
          <c:symbol val="circle"/>
          <c:size val="5"/>
          <c:spPr>
            <a:solidFill>
              <a:schemeClr val="accent1"/>
            </a:solidFill>
            <a:ln w="9525">
              <a:solidFill>
                <a:schemeClr val="accent1"/>
              </a:solidFill>
            </a:ln>
            <a:effectLst/>
          </c:spPr>
        </c:marker>
      </c:pivotFmt>
      <c:pivotFmt>
        <c:idx val="32"/>
        <c:spPr>
          <a:solidFill>
            <a:schemeClr val="accent1"/>
          </a:solidFill>
          <a:ln>
            <a:noFill/>
          </a:ln>
          <a:effectLst/>
        </c:spPr>
        <c:marker>
          <c:symbol val="circle"/>
          <c:size val="5"/>
          <c:spPr>
            <a:solidFill>
              <a:schemeClr val="accent1"/>
            </a:solidFill>
            <a:ln w="9525">
              <a:solidFill>
                <a:schemeClr val="accent1"/>
              </a:solidFill>
            </a:ln>
            <a:effectLst/>
          </c:spPr>
        </c:marker>
      </c:pivotFmt>
      <c:pivotFmt>
        <c:idx val="33"/>
        <c:spPr>
          <a:solidFill>
            <a:schemeClr val="accent1"/>
          </a:solidFill>
          <a:ln>
            <a:noFill/>
          </a:ln>
          <a:effectLst/>
        </c:spPr>
        <c:marker>
          <c:symbol val="circle"/>
          <c:size val="5"/>
          <c:spPr>
            <a:solidFill>
              <a:schemeClr val="accent1"/>
            </a:solidFill>
            <a:ln w="9525">
              <a:solidFill>
                <a:schemeClr val="accent1"/>
              </a:solidFill>
            </a:ln>
            <a:effectLst/>
          </c:spPr>
        </c:marker>
      </c:pivotFmt>
      <c:pivotFmt>
        <c:idx val="34"/>
        <c:spPr>
          <a:solidFill>
            <a:schemeClr val="accent1"/>
          </a:solidFill>
          <a:ln>
            <a:noFill/>
          </a:ln>
          <a:effectLst/>
        </c:spPr>
        <c:marker>
          <c:symbol val="circle"/>
          <c:size val="5"/>
          <c:spPr>
            <a:solidFill>
              <a:schemeClr val="accent1"/>
            </a:solidFill>
            <a:ln w="9525">
              <a:solidFill>
                <a:schemeClr val="accent1"/>
              </a:solidFill>
            </a:ln>
            <a:effectLst/>
          </c:spPr>
        </c:marker>
      </c:pivotFmt>
      <c:pivotFmt>
        <c:idx val="35"/>
        <c:spPr>
          <a:solidFill>
            <a:schemeClr val="accent1"/>
          </a:solidFill>
          <a:ln>
            <a:noFill/>
          </a:ln>
          <a:effectLst/>
        </c:spPr>
        <c:marker>
          <c:symbol val="circle"/>
          <c:size val="5"/>
          <c:spPr>
            <a:solidFill>
              <a:schemeClr val="accent1"/>
            </a:solidFill>
            <a:ln w="9525">
              <a:solidFill>
                <a:schemeClr val="accent1"/>
              </a:solidFill>
            </a:ln>
            <a:effectLst/>
          </c:spPr>
        </c:marker>
      </c:pivotFmt>
      <c:pivotFmt>
        <c:idx val="36"/>
        <c:spPr>
          <a:solidFill>
            <a:schemeClr val="accent1"/>
          </a:solidFill>
          <a:ln>
            <a:noFill/>
          </a:ln>
          <a:effectLst/>
        </c:spPr>
        <c:marker>
          <c:symbol val="circle"/>
          <c:size val="5"/>
          <c:spPr>
            <a:solidFill>
              <a:schemeClr val="accent1"/>
            </a:solidFill>
            <a:ln w="9525">
              <a:solidFill>
                <a:schemeClr val="accent1"/>
              </a:solidFill>
            </a:ln>
            <a:effectLst/>
          </c:spPr>
        </c:marker>
      </c:pivotFmt>
      <c:pivotFmt>
        <c:idx val="37"/>
        <c:spPr>
          <a:solidFill>
            <a:schemeClr val="accent1"/>
          </a:solidFill>
          <a:ln>
            <a:noFill/>
          </a:ln>
          <a:effectLst/>
        </c:spPr>
        <c:marker>
          <c:spPr>
            <a:solidFill>
              <a:schemeClr val="accent1"/>
            </a:solidFill>
            <a:ln w="9525">
              <a:solidFill>
                <a:schemeClr val="accent1"/>
              </a:solidFill>
            </a:ln>
            <a:effectLst/>
          </c:spPr>
        </c:marker>
      </c:pivotFmt>
      <c:pivotFmt>
        <c:idx val="38"/>
        <c:spPr>
          <a:solidFill>
            <a:schemeClr val="accent1"/>
          </a:solidFill>
          <a:ln>
            <a:noFill/>
          </a:ln>
          <a:effectLst/>
        </c:spPr>
        <c:marker>
          <c:spPr>
            <a:solidFill>
              <a:schemeClr val="accent1"/>
            </a:solidFill>
            <a:ln w="9525">
              <a:solidFill>
                <a:schemeClr val="accent1"/>
              </a:solidFill>
            </a:ln>
            <a:effectLst/>
          </c:spPr>
        </c:marker>
      </c:pivotFmt>
      <c:pivotFmt>
        <c:idx val="39"/>
        <c:spPr>
          <a:solidFill>
            <a:schemeClr val="accent1"/>
          </a:solidFill>
          <a:ln>
            <a:noFill/>
          </a:ln>
          <a:effectLst/>
        </c:spPr>
        <c:marker>
          <c:symbol val="circle"/>
          <c:size val="5"/>
          <c:spPr>
            <a:solidFill>
              <a:schemeClr val="accent1"/>
            </a:solidFill>
            <a:ln w="9525">
              <a:solidFill>
                <a:schemeClr val="accent1"/>
              </a:solidFill>
            </a:ln>
            <a:effectLst/>
          </c:spPr>
        </c:marker>
      </c:pivotFmt>
      <c:pivotFmt>
        <c:idx val="40"/>
        <c:spPr>
          <a:solidFill>
            <a:schemeClr val="accent1"/>
          </a:solidFill>
          <a:ln>
            <a:noFill/>
          </a:ln>
          <a:effectLst/>
        </c:spPr>
        <c:marker>
          <c:symbol val="circle"/>
          <c:size val="5"/>
          <c:spPr>
            <a:solidFill>
              <a:schemeClr val="accent1"/>
            </a:solidFill>
            <a:ln w="9525">
              <a:solidFill>
                <a:schemeClr val="accent1"/>
              </a:solidFill>
            </a:ln>
            <a:effectLst/>
          </c:spPr>
        </c:marker>
      </c:pivotFmt>
      <c:pivotFmt>
        <c:idx val="41"/>
        <c:spPr>
          <a:solidFill>
            <a:schemeClr val="accent1"/>
          </a:solidFill>
          <a:ln>
            <a:noFill/>
          </a:ln>
          <a:effectLst/>
        </c:spPr>
        <c:marker>
          <c:symbol val="circle"/>
          <c:size val="5"/>
          <c:spPr>
            <a:solidFill>
              <a:schemeClr val="accent1"/>
            </a:solidFill>
            <a:ln w="9525">
              <a:solidFill>
                <a:schemeClr val="accent1"/>
              </a:solidFill>
            </a:ln>
            <a:effectLst/>
          </c:spPr>
        </c:marker>
      </c:pivotFmt>
      <c:pivotFmt>
        <c:idx val="42"/>
        <c:spPr>
          <a:solidFill>
            <a:schemeClr val="accent1"/>
          </a:solidFill>
          <a:ln>
            <a:noFill/>
          </a:ln>
          <a:effectLst/>
        </c:spPr>
        <c:marker>
          <c:symbol val="circle"/>
          <c:size val="5"/>
          <c:spPr>
            <a:solidFill>
              <a:schemeClr val="accent1"/>
            </a:solidFill>
            <a:ln w="9525">
              <a:solidFill>
                <a:schemeClr val="accent1"/>
              </a:solidFill>
            </a:ln>
            <a:effectLst/>
          </c:spPr>
        </c:marker>
      </c:pivotFmt>
      <c:pivotFmt>
        <c:idx val="43"/>
        <c:spPr>
          <a:solidFill>
            <a:schemeClr val="accent1"/>
          </a:solidFill>
          <a:ln>
            <a:noFill/>
          </a:ln>
          <a:effectLst/>
        </c:spPr>
        <c:marker>
          <c:symbol val="circle"/>
          <c:size val="5"/>
          <c:spPr>
            <a:solidFill>
              <a:schemeClr val="accent1"/>
            </a:solidFill>
            <a:ln w="9525">
              <a:solidFill>
                <a:schemeClr val="accent1"/>
              </a:solidFill>
            </a:ln>
            <a:effectLst/>
          </c:spPr>
        </c:marker>
      </c:pivotFmt>
    </c:pivotFmts>
    <c:plotArea>
      <c:layout/>
      <c:lineChart>
        <c:grouping val="standard"/>
        <c:varyColors val="0"/>
        <c:ser>
          <c:idx val="0"/>
          <c:order val="0"/>
          <c:tx>
            <c:strRef>
              <c:f>'Sheet1 (4)'!$B$1:$B$2</c:f>
              <c:strCache>
                <c:ptCount val="1"/>
                <c:pt idx="0">
                  <c:v>Clonidine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 (4)'!$A$3:$A$108</c:f>
              <c:strCache>
                <c:ptCount val="105"/>
                <c:pt idx="0">
                  <c:v>201204</c:v>
                </c:pt>
                <c:pt idx="1">
                  <c:v>201205</c:v>
                </c:pt>
                <c:pt idx="2">
                  <c:v>201206</c:v>
                </c:pt>
                <c:pt idx="3">
                  <c:v>201207</c:v>
                </c:pt>
                <c:pt idx="4">
                  <c:v>201208</c:v>
                </c:pt>
                <c:pt idx="5">
                  <c:v>201209</c:v>
                </c:pt>
                <c:pt idx="6">
                  <c:v>201210</c:v>
                </c:pt>
                <c:pt idx="7">
                  <c:v>201211</c:v>
                </c:pt>
                <c:pt idx="8">
                  <c:v>201212</c:v>
                </c:pt>
                <c:pt idx="9">
                  <c:v>201301</c:v>
                </c:pt>
                <c:pt idx="10">
                  <c:v>201302</c:v>
                </c:pt>
                <c:pt idx="11">
                  <c:v>201303</c:v>
                </c:pt>
                <c:pt idx="12">
                  <c:v>201304</c:v>
                </c:pt>
                <c:pt idx="13">
                  <c:v>201305</c:v>
                </c:pt>
                <c:pt idx="14">
                  <c:v>201306</c:v>
                </c:pt>
                <c:pt idx="15">
                  <c:v>201307</c:v>
                </c:pt>
                <c:pt idx="16">
                  <c:v>201308</c:v>
                </c:pt>
                <c:pt idx="17">
                  <c:v>201309</c:v>
                </c:pt>
                <c:pt idx="18">
                  <c:v>201310</c:v>
                </c:pt>
                <c:pt idx="19">
                  <c:v>201311</c:v>
                </c:pt>
                <c:pt idx="20">
                  <c:v>201312</c:v>
                </c:pt>
                <c:pt idx="21">
                  <c:v>201401</c:v>
                </c:pt>
                <c:pt idx="22">
                  <c:v>201402</c:v>
                </c:pt>
                <c:pt idx="23">
                  <c:v>201403</c:v>
                </c:pt>
                <c:pt idx="24">
                  <c:v>201404</c:v>
                </c:pt>
                <c:pt idx="25">
                  <c:v>201405</c:v>
                </c:pt>
                <c:pt idx="26">
                  <c:v>201406</c:v>
                </c:pt>
                <c:pt idx="27">
                  <c:v>201407</c:v>
                </c:pt>
                <c:pt idx="28">
                  <c:v>201408</c:v>
                </c:pt>
                <c:pt idx="29">
                  <c:v>201409</c:v>
                </c:pt>
                <c:pt idx="30">
                  <c:v>201410</c:v>
                </c:pt>
                <c:pt idx="31">
                  <c:v>201411</c:v>
                </c:pt>
                <c:pt idx="32">
                  <c:v>201412</c:v>
                </c:pt>
                <c:pt idx="33">
                  <c:v>201501</c:v>
                </c:pt>
                <c:pt idx="34">
                  <c:v>201502</c:v>
                </c:pt>
                <c:pt idx="35">
                  <c:v>201503</c:v>
                </c:pt>
                <c:pt idx="36">
                  <c:v>201504</c:v>
                </c:pt>
                <c:pt idx="37">
                  <c:v>201505</c:v>
                </c:pt>
                <c:pt idx="38">
                  <c:v>201506</c:v>
                </c:pt>
                <c:pt idx="39">
                  <c:v>201507</c:v>
                </c:pt>
                <c:pt idx="40">
                  <c:v>201508</c:v>
                </c:pt>
                <c:pt idx="41">
                  <c:v>201509</c:v>
                </c:pt>
                <c:pt idx="42">
                  <c:v>201510</c:v>
                </c:pt>
                <c:pt idx="43">
                  <c:v>201511</c:v>
                </c:pt>
                <c:pt idx="44">
                  <c:v>201512</c:v>
                </c:pt>
                <c:pt idx="45">
                  <c:v>201601</c:v>
                </c:pt>
                <c:pt idx="46">
                  <c:v>201602</c:v>
                </c:pt>
                <c:pt idx="47">
                  <c:v>201603</c:v>
                </c:pt>
                <c:pt idx="48">
                  <c:v>201604</c:v>
                </c:pt>
                <c:pt idx="49">
                  <c:v>201605</c:v>
                </c:pt>
                <c:pt idx="50">
                  <c:v>201606</c:v>
                </c:pt>
                <c:pt idx="51">
                  <c:v>201607</c:v>
                </c:pt>
                <c:pt idx="52">
                  <c:v>201608</c:v>
                </c:pt>
                <c:pt idx="53">
                  <c:v>201609</c:v>
                </c:pt>
                <c:pt idx="54">
                  <c:v>201610</c:v>
                </c:pt>
                <c:pt idx="55">
                  <c:v>201611</c:v>
                </c:pt>
                <c:pt idx="56">
                  <c:v>201612</c:v>
                </c:pt>
                <c:pt idx="57">
                  <c:v>201701</c:v>
                </c:pt>
                <c:pt idx="58">
                  <c:v>201702</c:v>
                </c:pt>
                <c:pt idx="59">
                  <c:v>201703</c:v>
                </c:pt>
                <c:pt idx="60">
                  <c:v>201704</c:v>
                </c:pt>
                <c:pt idx="61">
                  <c:v>201705</c:v>
                </c:pt>
                <c:pt idx="62">
                  <c:v>201706</c:v>
                </c:pt>
                <c:pt idx="63">
                  <c:v>201707</c:v>
                </c:pt>
                <c:pt idx="64">
                  <c:v>201708</c:v>
                </c:pt>
                <c:pt idx="65">
                  <c:v>201709</c:v>
                </c:pt>
                <c:pt idx="66">
                  <c:v>201710</c:v>
                </c:pt>
                <c:pt idx="67">
                  <c:v>201711</c:v>
                </c:pt>
                <c:pt idx="68">
                  <c:v>201712</c:v>
                </c:pt>
                <c:pt idx="69">
                  <c:v>201801</c:v>
                </c:pt>
                <c:pt idx="70">
                  <c:v>201802</c:v>
                </c:pt>
                <c:pt idx="71">
                  <c:v>201803</c:v>
                </c:pt>
                <c:pt idx="72">
                  <c:v>201804</c:v>
                </c:pt>
                <c:pt idx="73">
                  <c:v>201805</c:v>
                </c:pt>
                <c:pt idx="74">
                  <c:v>201806</c:v>
                </c:pt>
                <c:pt idx="75">
                  <c:v>201807</c:v>
                </c:pt>
                <c:pt idx="76">
                  <c:v>201808</c:v>
                </c:pt>
                <c:pt idx="77">
                  <c:v>201809</c:v>
                </c:pt>
                <c:pt idx="78">
                  <c:v>201810</c:v>
                </c:pt>
                <c:pt idx="79">
                  <c:v>201811</c:v>
                </c:pt>
                <c:pt idx="80">
                  <c:v>201812</c:v>
                </c:pt>
                <c:pt idx="81">
                  <c:v>201901</c:v>
                </c:pt>
                <c:pt idx="82">
                  <c:v>201902</c:v>
                </c:pt>
                <c:pt idx="83">
                  <c:v>201903</c:v>
                </c:pt>
                <c:pt idx="84">
                  <c:v>201904</c:v>
                </c:pt>
                <c:pt idx="85">
                  <c:v>201905</c:v>
                </c:pt>
                <c:pt idx="86">
                  <c:v>201906</c:v>
                </c:pt>
                <c:pt idx="87">
                  <c:v>201907</c:v>
                </c:pt>
                <c:pt idx="88">
                  <c:v>201908</c:v>
                </c:pt>
                <c:pt idx="89">
                  <c:v>201909</c:v>
                </c:pt>
                <c:pt idx="90">
                  <c:v>201910</c:v>
                </c:pt>
                <c:pt idx="91">
                  <c:v>201911</c:v>
                </c:pt>
                <c:pt idx="92">
                  <c:v>201912</c:v>
                </c:pt>
                <c:pt idx="93">
                  <c:v>202001</c:v>
                </c:pt>
                <c:pt idx="94">
                  <c:v>202002</c:v>
                </c:pt>
                <c:pt idx="95">
                  <c:v>202003</c:v>
                </c:pt>
                <c:pt idx="96">
                  <c:v>202004</c:v>
                </c:pt>
                <c:pt idx="97">
                  <c:v>202005</c:v>
                </c:pt>
                <c:pt idx="98">
                  <c:v>202006</c:v>
                </c:pt>
                <c:pt idx="99">
                  <c:v>202007</c:v>
                </c:pt>
                <c:pt idx="100">
                  <c:v>202008</c:v>
                </c:pt>
                <c:pt idx="101">
                  <c:v>202009</c:v>
                </c:pt>
                <c:pt idx="102">
                  <c:v>202010</c:v>
                </c:pt>
                <c:pt idx="103">
                  <c:v>202011</c:v>
                </c:pt>
                <c:pt idx="104">
                  <c:v>202012</c:v>
                </c:pt>
              </c:strCache>
            </c:strRef>
          </c:cat>
          <c:val>
            <c:numRef>
              <c:f>'Sheet1 (4)'!$B$3:$B$108</c:f>
              <c:numCache>
                <c:formatCode>General</c:formatCode>
                <c:ptCount val="105"/>
                <c:pt idx="0">
                  <c:v>11519</c:v>
                </c:pt>
                <c:pt idx="1">
                  <c:v>12937</c:v>
                </c:pt>
                <c:pt idx="2">
                  <c:v>12243</c:v>
                </c:pt>
                <c:pt idx="3">
                  <c:v>12971</c:v>
                </c:pt>
                <c:pt idx="4">
                  <c:v>13599</c:v>
                </c:pt>
                <c:pt idx="5">
                  <c:v>12575</c:v>
                </c:pt>
                <c:pt idx="6">
                  <c:v>13635</c:v>
                </c:pt>
                <c:pt idx="7">
                  <c:v>14041</c:v>
                </c:pt>
                <c:pt idx="8">
                  <c:v>15273</c:v>
                </c:pt>
                <c:pt idx="9">
                  <c:v>11599</c:v>
                </c:pt>
                <c:pt idx="10">
                  <c:v>11863</c:v>
                </c:pt>
                <c:pt idx="11">
                  <c:v>13086</c:v>
                </c:pt>
                <c:pt idx="12">
                  <c:v>13026</c:v>
                </c:pt>
                <c:pt idx="13">
                  <c:v>14076</c:v>
                </c:pt>
                <c:pt idx="14">
                  <c:v>13013</c:v>
                </c:pt>
                <c:pt idx="15">
                  <c:v>14382</c:v>
                </c:pt>
                <c:pt idx="16">
                  <c:v>14253</c:v>
                </c:pt>
                <c:pt idx="17">
                  <c:v>13646</c:v>
                </c:pt>
                <c:pt idx="18">
                  <c:v>14650</c:v>
                </c:pt>
                <c:pt idx="19">
                  <c:v>14544</c:v>
                </c:pt>
                <c:pt idx="20">
                  <c:v>16414</c:v>
                </c:pt>
                <c:pt idx="21">
                  <c:v>12324</c:v>
                </c:pt>
                <c:pt idx="22">
                  <c:v>12803</c:v>
                </c:pt>
                <c:pt idx="23">
                  <c:v>13930</c:v>
                </c:pt>
                <c:pt idx="24">
                  <c:v>13791</c:v>
                </c:pt>
                <c:pt idx="25">
                  <c:v>15064</c:v>
                </c:pt>
                <c:pt idx="26">
                  <c:v>14184</c:v>
                </c:pt>
                <c:pt idx="27">
                  <c:v>15087</c:v>
                </c:pt>
                <c:pt idx="28">
                  <c:v>14862</c:v>
                </c:pt>
                <c:pt idx="29">
                  <c:v>15061</c:v>
                </c:pt>
                <c:pt idx="30">
                  <c:v>15850</c:v>
                </c:pt>
                <c:pt idx="31">
                  <c:v>15086</c:v>
                </c:pt>
                <c:pt idx="32">
                  <c:v>18223</c:v>
                </c:pt>
                <c:pt idx="33">
                  <c:v>13081</c:v>
                </c:pt>
                <c:pt idx="34">
                  <c:v>13628</c:v>
                </c:pt>
                <c:pt idx="35">
                  <c:v>15350</c:v>
                </c:pt>
                <c:pt idx="36">
                  <c:v>14388</c:v>
                </c:pt>
                <c:pt idx="37">
                  <c:v>15355</c:v>
                </c:pt>
                <c:pt idx="38">
                  <c:v>15181</c:v>
                </c:pt>
                <c:pt idx="39">
                  <c:v>16293</c:v>
                </c:pt>
                <c:pt idx="40">
                  <c:v>15881</c:v>
                </c:pt>
                <c:pt idx="41">
                  <c:v>15913</c:v>
                </c:pt>
                <c:pt idx="42">
                  <c:v>16428</c:v>
                </c:pt>
                <c:pt idx="43">
                  <c:v>16625</c:v>
                </c:pt>
                <c:pt idx="44">
                  <c:v>19150</c:v>
                </c:pt>
                <c:pt idx="45">
                  <c:v>14026</c:v>
                </c:pt>
                <c:pt idx="46">
                  <c:v>15632</c:v>
                </c:pt>
                <c:pt idx="47">
                  <c:v>17016</c:v>
                </c:pt>
                <c:pt idx="48">
                  <c:v>16172</c:v>
                </c:pt>
                <c:pt idx="49">
                  <c:v>17251</c:v>
                </c:pt>
                <c:pt idx="50">
                  <c:v>16931</c:v>
                </c:pt>
                <c:pt idx="51">
                  <c:v>17279</c:v>
                </c:pt>
                <c:pt idx="52">
                  <c:v>18271</c:v>
                </c:pt>
                <c:pt idx="53">
                  <c:v>17768</c:v>
                </c:pt>
                <c:pt idx="54">
                  <c:v>18155</c:v>
                </c:pt>
                <c:pt idx="55">
                  <c:v>18878</c:v>
                </c:pt>
                <c:pt idx="56">
                  <c:v>20889</c:v>
                </c:pt>
                <c:pt idx="57">
                  <c:v>15848</c:v>
                </c:pt>
                <c:pt idx="58">
                  <c:v>16476</c:v>
                </c:pt>
                <c:pt idx="59">
                  <c:v>19365</c:v>
                </c:pt>
                <c:pt idx="60">
                  <c:v>17100</c:v>
                </c:pt>
                <c:pt idx="61">
                  <c:v>19589</c:v>
                </c:pt>
                <c:pt idx="62">
                  <c:v>19228</c:v>
                </c:pt>
                <c:pt idx="63">
                  <c:v>19171</c:v>
                </c:pt>
                <c:pt idx="64">
                  <c:v>20454</c:v>
                </c:pt>
                <c:pt idx="65">
                  <c:v>19204</c:v>
                </c:pt>
                <c:pt idx="66">
                  <c:v>20300</c:v>
                </c:pt>
                <c:pt idx="67">
                  <c:v>21192</c:v>
                </c:pt>
                <c:pt idx="68">
                  <c:v>22561</c:v>
                </c:pt>
                <c:pt idx="69">
                  <c:v>18669</c:v>
                </c:pt>
                <c:pt idx="70">
                  <c:v>18786</c:v>
                </c:pt>
                <c:pt idx="71">
                  <c:v>20985</c:v>
                </c:pt>
                <c:pt idx="72">
                  <c:v>19776</c:v>
                </c:pt>
                <c:pt idx="73">
                  <c:v>22237</c:v>
                </c:pt>
                <c:pt idx="74">
                  <c:v>20990</c:v>
                </c:pt>
                <c:pt idx="75">
                  <c:v>21662</c:v>
                </c:pt>
                <c:pt idx="76">
                  <c:v>23003</c:v>
                </c:pt>
                <c:pt idx="77">
                  <c:v>21094</c:v>
                </c:pt>
                <c:pt idx="78">
                  <c:v>23372</c:v>
                </c:pt>
                <c:pt idx="79">
                  <c:v>23521</c:v>
                </c:pt>
                <c:pt idx="80">
                  <c:v>24954</c:v>
                </c:pt>
                <c:pt idx="81">
                  <c:v>20527</c:v>
                </c:pt>
                <c:pt idx="82">
                  <c:v>20603</c:v>
                </c:pt>
                <c:pt idx="83">
                  <c:v>22831</c:v>
                </c:pt>
                <c:pt idx="84">
                  <c:v>22070</c:v>
                </c:pt>
                <c:pt idx="85">
                  <c:v>24318</c:v>
                </c:pt>
                <c:pt idx="86">
                  <c:v>22623</c:v>
                </c:pt>
                <c:pt idx="87">
                  <c:v>24253</c:v>
                </c:pt>
                <c:pt idx="88">
                  <c:v>24697</c:v>
                </c:pt>
                <c:pt idx="89">
                  <c:v>23702</c:v>
                </c:pt>
                <c:pt idx="90">
                  <c:v>25549</c:v>
                </c:pt>
                <c:pt idx="91">
                  <c:v>24957</c:v>
                </c:pt>
                <c:pt idx="92">
                  <c:v>27412</c:v>
                </c:pt>
                <c:pt idx="93">
                  <c:v>22757</c:v>
                </c:pt>
                <c:pt idx="94">
                  <c:v>23833</c:v>
                </c:pt>
                <c:pt idx="95">
                  <c:v>30347</c:v>
                </c:pt>
                <c:pt idx="96">
                  <c:v>22757</c:v>
                </c:pt>
                <c:pt idx="97">
                  <c:v>25202</c:v>
                </c:pt>
                <c:pt idx="98">
                  <c:v>26180</c:v>
                </c:pt>
                <c:pt idx="99">
                  <c:v>28363</c:v>
                </c:pt>
                <c:pt idx="100">
                  <c:v>28058</c:v>
                </c:pt>
                <c:pt idx="101">
                  <c:v>28122</c:v>
                </c:pt>
                <c:pt idx="102">
                  <c:v>29503</c:v>
                </c:pt>
                <c:pt idx="103">
                  <c:v>29097</c:v>
                </c:pt>
                <c:pt idx="104">
                  <c:v>31899</c:v>
                </c:pt>
              </c:numCache>
            </c:numRef>
          </c:val>
          <c:smooth val="0"/>
          <c:extLst>
            <c:ext xmlns:c16="http://schemas.microsoft.com/office/drawing/2014/chart" uri="{C3380CC4-5D6E-409C-BE32-E72D297353CC}">
              <c16:uniqueId val="{00000000-FBC0-4EE3-8D3F-077855273299}"/>
            </c:ext>
          </c:extLst>
        </c:ser>
        <c:ser>
          <c:idx val="1"/>
          <c:order val="1"/>
          <c:tx>
            <c:strRef>
              <c:f>'Sheet1 (4)'!$C$1:$C$2</c:f>
              <c:strCache>
                <c:ptCount val="1"/>
                <c:pt idx="0">
                  <c:v>Guanfacine</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 (4)'!$A$3:$A$108</c:f>
              <c:strCache>
                <c:ptCount val="105"/>
                <c:pt idx="0">
                  <c:v>201204</c:v>
                </c:pt>
                <c:pt idx="1">
                  <c:v>201205</c:v>
                </c:pt>
                <c:pt idx="2">
                  <c:v>201206</c:v>
                </c:pt>
                <c:pt idx="3">
                  <c:v>201207</c:v>
                </c:pt>
                <c:pt idx="4">
                  <c:v>201208</c:v>
                </c:pt>
                <c:pt idx="5">
                  <c:v>201209</c:v>
                </c:pt>
                <c:pt idx="6">
                  <c:v>201210</c:v>
                </c:pt>
                <c:pt idx="7">
                  <c:v>201211</c:v>
                </c:pt>
                <c:pt idx="8">
                  <c:v>201212</c:v>
                </c:pt>
                <c:pt idx="9">
                  <c:v>201301</c:v>
                </c:pt>
                <c:pt idx="10">
                  <c:v>201302</c:v>
                </c:pt>
                <c:pt idx="11">
                  <c:v>201303</c:v>
                </c:pt>
                <c:pt idx="12">
                  <c:v>201304</c:v>
                </c:pt>
                <c:pt idx="13">
                  <c:v>201305</c:v>
                </c:pt>
                <c:pt idx="14">
                  <c:v>201306</c:v>
                </c:pt>
                <c:pt idx="15">
                  <c:v>201307</c:v>
                </c:pt>
                <c:pt idx="16">
                  <c:v>201308</c:v>
                </c:pt>
                <c:pt idx="17">
                  <c:v>201309</c:v>
                </c:pt>
                <c:pt idx="18">
                  <c:v>201310</c:v>
                </c:pt>
                <c:pt idx="19">
                  <c:v>201311</c:v>
                </c:pt>
                <c:pt idx="20">
                  <c:v>201312</c:v>
                </c:pt>
                <c:pt idx="21">
                  <c:v>201401</c:v>
                </c:pt>
                <c:pt idx="22">
                  <c:v>201402</c:v>
                </c:pt>
                <c:pt idx="23">
                  <c:v>201403</c:v>
                </c:pt>
                <c:pt idx="24">
                  <c:v>201404</c:v>
                </c:pt>
                <c:pt idx="25">
                  <c:v>201405</c:v>
                </c:pt>
                <c:pt idx="26">
                  <c:v>201406</c:v>
                </c:pt>
                <c:pt idx="27">
                  <c:v>201407</c:v>
                </c:pt>
                <c:pt idx="28">
                  <c:v>201408</c:v>
                </c:pt>
                <c:pt idx="29">
                  <c:v>201409</c:v>
                </c:pt>
                <c:pt idx="30">
                  <c:v>201410</c:v>
                </c:pt>
                <c:pt idx="31">
                  <c:v>201411</c:v>
                </c:pt>
                <c:pt idx="32">
                  <c:v>201412</c:v>
                </c:pt>
                <c:pt idx="33">
                  <c:v>201501</c:v>
                </c:pt>
                <c:pt idx="34">
                  <c:v>201502</c:v>
                </c:pt>
                <c:pt idx="35">
                  <c:v>201503</c:v>
                </c:pt>
                <c:pt idx="36">
                  <c:v>201504</c:v>
                </c:pt>
                <c:pt idx="37">
                  <c:v>201505</c:v>
                </c:pt>
                <c:pt idx="38">
                  <c:v>201506</c:v>
                </c:pt>
                <c:pt idx="39">
                  <c:v>201507</c:v>
                </c:pt>
                <c:pt idx="40">
                  <c:v>201508</c:v>
                </c:pt>
                <c:pt idx="41">
                  <c:v>201509</c:v>
                </c:pt>
                <c:pt idx="42">
                  <c:v>201510</c:v>
                </c:pt>
                <c:pt idx="43">
                  <c:v>201511</c:v>
                </c:pt>
                <c:pt idx="44">
                  <c:v>201512</c:v>
                </c:pt>
                <c:pt idx="45">
                  <c:v>201601</c:v>
                </c:pt>
                <c:pt idx="46">
                  <c:v>201602</c:v>
                </c:pt>
                <c:pt idx="47">
                  <c:v>201603</c:v>
                </c:pt>
                <c:pt idx="48">
                  <c:v>201604</c:v>
                </c:pt>
                <c:pt idx="49">
                  <c:v>201605</c:v>
                </c:pt>
                <c:pt idx="50">
                  <c:v>201606</c:v>
                </c:pt>
                <c:pt idx="51">
                  <c:v>201607</c:v>
                </c:pt>
                <c:pt idx="52">
                  <c:v>201608</c:v>
                </c:pt>
                <c:pt idx="53">
                  <c:v>201609</c:v>
                </c:pt>
                <c:pt idx="54">
                  <c:v>201610</c:v>
                </c:pt>
                <c:pt idx="55">
                  <c:v>201611</c:v>
                </c:pt>
                <c:pt idx="56">
                  <c:v>201612</c:v>
                </c:pt>
                <c:pt idx="57">
                  <c:v>201701</c:v>
                </c:pt>
                <c:pt idx="58">
                  <c:v>201702</c:v>
                </c:pt>
                <c:pt idx="59">
                  <c:v>201703</c:v>
                </c:pt>
                <c:pt idx="60">
                  <c:v>201704</c:v>
                </c:pt>
                <c:pt idx="61">
                  <c:v>201705</c:v>
                </c:pt>
                <c:pt idx="62">
                  <c:v>201706</c:v>
                </c:pt>
                <c:pt idx="63">
                  <c:v>201707</c:v>
                </c:pt>
                <c:pt idx="64">
                  <c:v>201708</c:v>
                </c:pt>
                <c:pt idx="65">
                  <c:v>201709</c:v>
                </c:pt>
                <c:pt idx="66">
                  <c:v>201710</c:v>
                </c:pt>
                <c:pt idx="67">
                  <c:v>201711</c:v>
                </c:pt>
                <c:pt idx="68">
                  <c:v>201712</c:v>
                </c:pt>
                <c:pt idx="69">
                  <c:v>201801</c:v>
                </c:pt>
                <c:pt idx="70">
                  <c:v>201802</c:v>
                </c:pt>
                <c:pt idx="71">
                  <c:v>201803</c:v>
                </c:pt>
                <c:pt idx="72">
                  <c:v>201804</c:v>
                </c:pt>
                <c:pt idx="73">
                  <c:v>201805</c:v>
                </c:pt>
                <c:pt idx="74">
                  <c:v>201806</c:v>
                </c:pt>
                <c:pt idx="75">
                  <c:v>201807</c:v>
                </c:pt>
                <c:pt idx="76">
                  <c:v>201808</c:v>
                </c:pt>
                <c:pt idx="77">
                  <c:v>201809</c:v>
                </c:pt>
                <c:pt idx="78">
                  <c:v>201810</c:v>
                </c:pt>
                <c:pt idx="79">
                  <c:v>201811</c:v>
                </c:pt>
                <c:pt idx="80">
                  <c:v>201812</c:v>
                </c:pt>
                <c:pt idx="81">
                  <c:v>201901</c:v>
                </c:pt>
                <c:pt idx="82">
                  <c:v>201902</c:v>
                </c:pt>
                <c:pt idx="83">
                  <c:v>201903</c:v>
                </c:pt>
                <c:pt idx="84">
                  <c:v>201904</c:v>
                </c:pt>
                <c:pt idx="85">
                  <c:v>201905</c:v>
                </c:pt>
                <c:pt idx="86">
                  <c:v>201906</c:v>
                </c:pt>
                <c:pt idx="87">
                  <c:v>201907</c:v>
                </c:pt>
                <c:pt idx="88">
                  <c:v>201908</c:v>
                </c:pt>
                <c:pt idx="89">
                  <c:v>201909</c:v>
                </c:pt>
                <c:pt idx="90">
                  <c:v>201910</c:v>
                </c:pt>
                <c:pt idx="91">
                  <c:v>201911</c:v>
                </c:pt>
                <c:pt idx="92">
                  <c:v>201912</c:v>
                </c:pt>
                <c:pt idx="93">
                  <c:v>202001</c:v>
                </c:pt>
                <c:pt idx="94">
                  <c:v>202002</c:v>
                </c:pt>
                <c:pt idx="95">
                  <c:v>202003</c:v>
                </c:pt>
                <c:pt idx="96">
                  <c:v>202004</c:v>
                </c:pt>
                <c:pt idx="97">
                  <c:v>202005</c:v>
                </c:pt>
                <c:pt idx="98">
                  <c:v>202006</c:v>
                </c:pt>
                <c:pt idx="99">
                  <c:v>202007</c:v>
                </c:pt>
                <c:pt idx="100">
                  <c:v>202008</c:v>
                </c:pt>
                <c:pt idx="101">
                  <c:v>202009</c:v>
                </c:pt>
                <c:pt idx="102">
                  <c:v>202010</c:v>
                </c:pt>
                <c:pt idx="103">
                  <c:v>202011</c:v>
                </c:pt>
                <c:pt idx="104">
                  <c:v>202012</c:v>
                </c:pt>
              </c:strCache>
            </c:strRef>
          </c:cat>
          <c:val>
            <c:numRef>
              <c:f>'Sheet1 (4)'!$C$3:$C$108</c:f>
              <c:numCache>
                <c:formatCode>General</c:formatCode>
                <c:ptCount val="105"/>
                <c:pt idx="77">
                  <c:v>1091</c:v>
                </c:pt>
                <c:pt idx="78">
                  <c:v>2401</c:v>
                </c:pt>
                <c:pt idx="79">
                  <c:v>3161</c:v>
                </c:pt>
                <c:pt idx="80">
                  <c:v>3837</c:v>
                </c:pt>
                <c:pt idx="81">
                  <c:v>3932</c:v>
                </c:pt>
                <c:pt idx="82">
                  <c:v>4230</c:v>
                </c:pt>
                <c:pt idx="83">
                  <c:v>6456</c:v>
                </c:pt>
                <c:pt idx="84">
                  <c:v>7640</c:v>
                </c:pt>
                <c:pt idx="85">
                  <c:v>9258</c:v>
                </c:pt>
                <c:pt idx="86">
                  <c:v>9586</c:v>
                </c:pt>
                <c:pt idx="87">
                  <c:v>11169</c:v>
                </c:pt>
                <c:pt idx="88">
                  <c:v>11964</c:v>
                </c:pt>
                <c:pt idx="89">
                  <c:v>12189</c:v>
                </c:pt>
                <c:pt idx="90">
                  <c:v>13337</c:v>
                </c:pt>
                <c:pt idx="91">
                  <c:v>13525</c:v>
                </c:pt>
                <c:pt idx="92">
                  <c:v>14123</c:v>
                </c:pt>
                <c:pt idx="93">
                  <c:v>12990</c:v>
                </c:pt>
                <c:pt idx="94">
                  <c:v>13561</c:v>
                </c:pt>
                <c:pt idx="95">
                  <c:v>16862</c:v>
                </c:pt>
                <c:pt idx="96">
                  <c:v>13774</c:v>
                </c:pt>
                <c:pt idx="97">
                  <c:v>15439</c:v>
                </c:pt>
                <c:pt idx="98">
                  <c:v>16310</c:v>
                </c:pt>
                <c:pt idx="99">
                  <c:v>17456</c:v>
                </c:pt>
                <c:pt idx="100">
                  <c:v>17735</c:v>
                </c:pt>
                <c:pt idx="101">
                  <c:v>18307</c:v>
                </c:pt>
                <c:pt idx="102">
                  <c:v>18891</c:v>
                </c:pt>
                <c:pt idx="103">
                  <c:v>19142</c:v>
                </c:pt>
                <c:pt idx="104">
                  <c:v>20733</c:v>
                </c:pt>
              </c:numCache>
            </c:numRef>
          </c:val>
          <c:smooth val="0"/>
          <c:extLst>
            <c:ext xmlns:c16="http://schemas.microsoft.com/office/drawing/2014/chart" uri="{C3380CC4-5D6E-409C-BE32-E72D297353CC}">
              <c16:uniqueId val="{00000001-FBC0-4EE3-8D3F-077855273299}"/>
            </c:ext>
          </c:extLst>
        </c:ser>
        <c:dLbls>
          <c:showLegendKey val="0"/>
          <c:showVal val="0"/>
          <c:showCatName val="0"/>
          <c:showSerName val="0"/>
          <c:showPercent val="0"/>
          <c:showBubbleSize val="0"/>
        </c:dLbls>
        <c:marker val="1"/>
        <c:smooth val="0"/>
        <c:axId val="309192360"/>
        <c:axId val="369584912"/>
      </c:lineChart>
      <c:catAx>
        <c:axId val="309192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9584912"/>
        <c:crosses val="autoZero"/>
        <c:auto val="1"/>
        <c:lblAlgn val="ctr"/>
        <c:lblOffset val="100"/>
        <c:noMultiLvlLbl val="0"/>
      </c:catAx>
      <c:valAx>
        <c:axId val="3695849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 of prescriptions</a:t>
                </a:r>
              </a:p>
            </c:rich>
          </c:tx>
          <c:layout>
            <c:manualLayout>
              <c:xMode val="edge"/>
              <c:yMode val="edge"/>
              <c:x val="1.33973428603327E-2"/>
              <c:y val="0.2247158029351179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9192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[D1304_PATCNTBY_FORM_SUPP_Qtr, idvar=age_supp pat_sex.xlsx]Sheet1!PivotTable2</c:name>
    <c:fmtId val="-1"/>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0"/>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1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2"/>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1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4"/>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s>
    <c:plotArea>
      <c:layout/>
      <c:lineChart>
        <c:grouping val="standard"/>
        <c:varyColors val="0"/>
        <c:ser>
          <c:idx val="0"/>
          <c:order val="0"/>
          <c:tx>
            <c:strRef>
              <c:f>Sheet1!$B$1:$B$2</c:f>
              <c:strCache>
                <c:ptCount val="1"/>
                <c:pt idx="0">
                  <c:v>initiating patients by therapy - no script since 201204</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Sheet1!$A$3:$A$38</c:f>
              <c:strCache>
                <c:ptCount val="35"/>
                <c:pt idx="0">
                  <c:v>2012Q2</c:v>
                </c:pt>
                <c:pt idx="1">
                  <c:v>2012Q3</c:v>
                </c:pt>
                <c:pt idx="2">
                  <c:v>2012Q4</c:v>
                </c:pt>
                <c:pt idx="3">
                  <c:v>2013Q1</c:v>
                </c:pt>
                <c:pt idx="4">
                  <c:v>2013Q2</c:v>
                </c:pt>
                <c:pt idx="5">
                  <c:v>2013Q3</c:v>
                </c:pt>
                <c:pt idx="6">
                  <c:v>2013Q4</c:v>
                </c:pt>
                <c:pt idx="7">
                  <c:v>2014Q1</c:v>
                </c:pt>
                <c:pt idx="8">
                  <c:v>2014Q2</c:v>
                </c:pt>
                <c:pt idx="9">
                  <c:v>2014Q3</c:v>
                </c:pt>
                <c:pt idx="10">
                  <c:v>2014Q4</c:v>
                </c:pt>
                <c:pt idx="11">
                  <c:v>2015Q1</c:v>
                </c:pt>
                <c:pt idx="12">
                  <c:v>2015Q2</c:v>
                </c:pt>
                <c:pt idx="13">
                  <c:v>2015Q3</c:v>
                </c:pt>
                <c:pt idx="14">
                  <c:v>2015Q4</c:v>
                </c:pt>
                <c:pt idx="15">
                  <c:v>2016Q1</c:v>
                </c:pt>
                <c:pt idx="16">
                  <c:v>2016Q2</c:v>
                </c:pt>
                <c:pt idx="17">
                  <c:v>2016Q3</c:v>
                </c:pt>
                <c:pt idx="18">
                  <c:v>2016Q4</c:v>
                </c:pt>
                <c:pt idx="19">
                  <c:v>2017Q1</c:v>
                </c:pt>
                <c:pt idx="20">
                  <c:v>2017Q2</c:v>
                </c:pt>
                <c:pt idx="21">
                  <c:v>2017Q3</c:v>
                </c:pt>
                <c:pt idx="22">
                  <c:v>2017Q4</c:v>
                </c:pt>
                <c:pt idx="23">
                  <c:v>2018Q1</c:v>
                </c:pt>
                <c:pt idx="24">
                  <c:v>2018Q2</c:v>
                </c:pt>
                <c:pt idx="25">
                  <c:v>2018Q3</c:v>
                </c:pt>
                <c:pt idx="26">
                  <c:v>2018Q4</c:v>
                </c:pt>
                <c:pt idx="27">
                  <c:v>2019Q1</c:v>
                </c:pt>
                <c:pt idx="28">
                  <c:v>2019Q2</c:v>
                </c:pt>
                <c:pt idx="29">
                  <c:v>2019Q3</c:v>
                </c:pt>
                <c:pt idx="30">
                  <c:v>2019Q4</c:v>
                </c:pt>
                <c:pt idx="31">
                  <c:v>2020Q1</c:v>
                </c:pt>
                <c:pt idx="32">
                  <c:v>2020Q2</c:v>
                </c:pt>
                <c:pt idx="33">
                  <c:v>2020Q3</c:v>
                </c:pt>
                <c:pt idx="34">
                  <c:v>2020Q4</c:v>
                </c:pt>
              </c:strCache>
            </c:strRef>
          </c:cat>
          <c:val>
            <c:numRef>
              <c:f>Sheet1!$B$3:$B$38</c:f>
              <c:numCache>
                <c:formatCode>General</c:formatCode>
                <c:ptCount val="35"/>
                <c:pt idx="7">
                  <c:v>5867</c:v>
                </c:pt>
                <c:pt idx="8">
                  <c:v>6836</c:v>
                </c:pt>
                <c:pt idx="9">
                  <c:v>7323</c:v>
                </c:pt>
                <c:pt idx="10">
                  <c:v>6624</c:v>
                </c:pt>
                <c:pt idx="11">
                  <c:v>6323</c:v>
                </c:pt>
                <c:pt idx="12">
                  <c:v>7565</c:v>
                </c:pt>
                <c:pt idx="13">
                  <c:v>8518</c:v>
                </c:pt>
                <c:pt idx="14">
                  <c:v>7937</c:v>
                </c:pt>
                <c:pt idx="15">
                  <c:v>7037</c:v>
                </c:pt>
                <c:pt idx="16">
                  <c:v>8647</c:v>
                </c:pt>
                <c:pt idx="17">
                  <c:v>9312</c:v>
                </c:pt>
                <c:pt idx="18">
                  <c:v>7926</c:v>
                </c:pt>
                <c:pt idx="19">
                  <c:v>7955</c:v>
                </c:pt>
                <c:pt idx="20">
                  <c:v>9151</c:v>
                </c:pt>
                <c:pt idx="21">
                  <c:v>9911</c:v>
                </c:pt>
                <c:pt idx="22">
                  <c:v>9217</c:v>
                </c:pt>
                <c:pt idx="23">
                  <c:v>9096</c:v>
                </c:pt>
                <c:pt idx="24">
                  <c:v>11056</c:v>
                </c:pt>
                <c:pt idx="25">
                  <c:v>12042</c:v>
                </c:pt>
                <c:pt idx="26">
                  <c:v>11311</c:v>
                </c:pt>
                <c:pt idx="27">
                  <c:v>10785</c:v>
                </c:pt>
                <c:pt idx="28">
                  <c:v>12973</c:v>
                </c:pt>
                <c:pt idx="29">
                  <c:v>14192</c:v>
                </c:pt>
                <c:pt idx="30">
                  <c:v>13467</c:v>
                </c:pt>
                <c:pt idx="31">
                  <c:v>13112</c:v>
                </c:pt>
                <c:pt idx="32">
                  <c:v>14927</c:v>
                </c:pt>
                <c:pt idx="33">
                  <c:v>17948</c:v>
                </c:pt>
                <c:pt idx="34">
                  <c:v>16879</c:v>
                </c:pt>
              </c:numCache>
            </c:numRef>
          </c:val>
          <c:smooth val="0"/>
          <c:extLst>
            <c:ext xmlns:c16="http://schemas.microsoft.com/office/drawing/2014/chart" uri="{C3380CC4-5D6E-409C-BE32-E72D297353CC}">
              <c16:uniqueId val="{00000000-60A3-4313-AB1A-95C77B225A81}"/>
            </c:ext>
          </c:extLst>
        </c:ser>
        <c:ser>
          <c:idx val="1"/>
          <c:order val="1"/>
          <c:tx>
            <c:strRef>
              <c:f>Sheet1!$C$1:$C$2</c:f>
              <c:strCache>
                <c:ptCount val="1"/>
                <c:pt idx="0">
                  <c:v>prevalent patients by therapy</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Sheet1!$A$3:$A$38</c:f>
              <c:strCache>
                <c:ptCount val="35"/>
                <c:pt idx="0">
                  <c:v>2012Q2</c:v>
                </c:pt>
                <c:pt idx="1">
                  <c:v>2012Q3</c:v>
                </c:pt>
                <c:pt idx="2">
                  <c:v>2012Q4</c:v>
                </c:pt>
                <c:pt idx="3">
                  <c:v>2013Q1</c:v>
                </c:pt>
                <c:pt idx="4">
                  <c:v>2013Q2</c:v>
                </c:pt>
                <c:pt idx="5">
                  <c:v>2013Q3</c:v>
                </c:pt>
                <c:pt idx="6">
                  <c:v>2013Q4</c:v>
                </c:pt>
                <c:pt idx="7">
                  <c:v>2014Q1</c:v>
                </c:pt>
                <c:pt idx="8">
                  <c:v>2014Q2</c:v>
                </c:pt>
                <c:pt idx="9">
                  <c:v>2014Q3</c:v>
                </c:pt>
                <c:pt idx="10">
                  <c:v>2014Q4</c:v>
                </c:pt>
                <c:pt idx="11">
                  <c:v>2015Q1</c:v>
                </c:pt>
                <c:pt idx="12">
                  <c:v>2015Q2</c:v>
                </c:pt>
                <c:pt idx="13">
                  <c:v>2015Q3</c:v>
                </c:pt>
                <c:pt idx="14">
                  <c:v>2015Q4</c:v>
                </c:pt>
                <c:pt idx="15">
                  <c:v>2016Q1</c:v>
                </c:pt>
                <c:pt idx="16">
                  <c:v>2016Q2</c:v>
                </c:pt>
                <c:pt idx="17">
                  <c:v>2016Q3</c:v>
                </c:pt>
                <c:pt idx="18">
                  <c:v>2016Q4</c:v>
                </c:pt>
                <c:pt idx="19">
                  <c:v>2017Q1</c:v>
                </c:pt>
                <c:pt idx="20">
                  <c:v>2017Q2</c:v>
                </c:pt>
                <c:pt idx="21">
                  <c:v>2017Q3</c:v>
                </c:pt>
                <c:pt idx="22">
                  <c:v>2017Q4</c:v>
                </c:pt>
                <c:pt idx="23">
                  <c:v>2018Q1</c:v>
                </c:pt>
                <c:pt idx="24">
                  <c:v>2018Q2</c:v>
                </c:pt>
                <c:pt idx="25">
                  <c:v>2018Q3</c:v>
                </c:pt>
                <c:pt idx="26">
                  <c:v>2018Q4</c:v>
                </c:pt>
                <c:pt idx="27">
                  <c:v>2019Q1</c:v>
                </c:pt>
                <c:pt idx="28">
                  <c:v>2019Q2</c:v>
                </c:pt>
                <c:pt idx="29">
                  <c:v>2019Q3</c:v>
                </c:pt>
                <c:pt idx="30">
                  <c:v>2019Q4</c:v>
                </c:pt>
                <c:pt idx="31">
                  <c:v>2020Q1</c:v>
                </c:pt>
                <c:pt idx="32">
                  <c:v>2020Q2</c:v>
                </c:pt>
                <c:pt idx="33">
                  <c:v>2020Q3</c:v>
                </c:pt>
                <c:pt idx="34">
                  <c:v>2020Q4</c:v>
                </c:pt>
              </c:strCache>
            </c:strRef>
          </c:cat>
          <c:val>
            <c:numRef>
              <c:f>Sheet1!$C$3:$C$38</c:f>
              <c:numCache>
                <c:formatCode>General</c:formatCode>
                <c:ptCount val="35"/>
                <c:pt idx="0">
                  <c:v>77479</c:v>
                </c:pt>
                <c:pt idx="1">
                  <c:v>81809</c:v>
                </c:pt>
                <c:pt idx="2">
                  <c:v>82302</c:v>
                </c:pt>
                <c:pt idx="3">
                  <c:v>82049</c:v>
                </c:pt>
                <c:pt idx="4">
                  <c:v>85696</c:v>
                </c:pt>
                <c:pt idx="5">
                  <c:v>88970</c:v>
                </c:pt>
                <c:pt idx="6">
                  <c:v>88378</c:v>
                </c:pt>
                <c:pt idx="7">
                  <c:v>87347</c:v>
                </c:pt>
                <c:pt idx="8">
                  <c:v>90221</c:v>
                </c:pt>
                <c:pt idx="9">
                  <c:v>93384</c:v>
                </c:pt>
                <c:pt idx="10">
                  <c:v>93876</c:v>
                </c:pt>
                <c:pt idx="11">
                  <c:v>93777</c:v>
                </c:pt>
                <c:pt idx="12">
                  <c:v>97825</c:v>
                </c:pt>
                <c:pt idx="13">
                  <c:v>102871</c:v>
                </c:pt>
                <c:pt idx="14">
                  <c:v>105505</c:v>
                </c:pt>
                <c:pt idx="15">
                  <c:v>106085</c:v>
                </c:pt>
                <c:pt idx="16">
                  <c:v>111135</c:v>
                </c:pt>
                <c:pt idx="17">
                  <c:v>116206</c:v>
                </c:pt>
                <c:pt idx="18">
                  <c:v>117338</c:v>
                </c:pt>
                <c:pt idx="19">
                  <c:v>118752</c:v>
                </c:pt>
                <c:pt idx="20">
                  <c:v>123465</c:v>
                </c:pt>
                <c:pt idx="21">
                  <c:v>128941</c:v>
                </c:pt>
                <c:pt idx="22">
                  <c:v>130565</c:v>
                </c:pt>
                <c:pt idx="23">
                  <c:v>132214</c:v>
                </c:pt>
                <c:pt idx="24">
                  <c:v>139299</c:v>
                </c:pt>
                <c:pt idx="25">
                  <c:v>145874</c:v>
                </c:pt>
                <c:pt idx="26">
                  <c:v>149827</c:v>
                </c:pt>
                <c:pt idx="27">
                  <c:v>152042</c:v>
                </c:pt>
                <c:pt idx="28">
                  <c:v>160474</c:v>
                </c:pt>
                <c:pt idx="29">
                  <c:v>169716</c:v>
                </c:pt>
                <c:pt idx="30">
                  <c:v>173862</c:v>
                </c:pt>
                <c:pt idx="31">
                  <c:v>179675</c:v>
                </c:pt>
                <c:pt idx="32">
                  <c:v>183339</c:v>
                </c:pt>
                <c:pt idx="33">
                  <c:v>199617</c:v>
                </c:pt>
                <c:pt idx="34">
                  <c:v>206593</c:v>
                </c:pt>
              </c:numCache>
            </c:numRef>
          </c:val>
          <c:smooth val="0"/>
          <c:extLst>
            <c:ext xmlns:c16="http://schemas.microsoft.com/office/drawing/2014/chart" uri="{C3380CC4-5D6E-409C-BE32-E72D297353CC}">
              <c16:uniqueId val="{00000001-60A3-4313-AB1A-95C77B225A81}"/>
            </c:ext>
          </c:extLst>
        </c:ser>
        <c:dLbls>
          <c:showLegendKey val="0"/>
          <c:showVal val="0"/>
          <c:showCatName val="0"/>
          <c:showSerName val="0"/>
          <c:showPercent val="0"/>
          <c:showBubbleSize val="0"/>
        </c:dLbls>
        <c:marker val="1"/>
        <c:smooth val="0"/>
        <c:axId val="915059048"/>
        <c:axId val="915062984"/>
      </c:lineChart>
      <c:catAx>
        <c:axId val="91505904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5062984"/>
        <c:crosses val="autoZero"/>
        <c:auto val="1"/>
        <c:lblAlgn val="ctr"/>
        <c:lblOffset val="100"/>
        <c:noMultiLvlLbl val="0"/>
      </c:catAx>
      <c:valAx>
        <c:axId val="9150629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a:t>
                </a:r>
                <a:r>
                  <a:rPr lang="en-AU" baseline="0"/>
                  <a:t> of p</a:t>
                </a:r>
                <a:r>
                  <a:rPr lang="en-AU"/>
                  <a:t>atients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50590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[D1304_PATCNTBY_FORM_SUPP_Qtr, idvar=age_supp pat_sex.xlsx]Sheet1 (4)!PivotTable2</c:name>
    <c:fmtId val="-1"/>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2"/>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13"/>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14"/>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15"/>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16"/>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pivotFmt>
      <c:pivotFmt>
        <c:idx val="17"/>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1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9"/>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20"/>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21"/>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pivotFmt>
      <c:pivotFmt>
        <c:idx val="22"/>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2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4"/>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25"/>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26"/>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27"/>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28"/>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pivotFmt>
      <c:pivotFmt>
        <c:idx val="2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0"/>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31"/>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32"/>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33"/>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34"/>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pivotFmt>
    </c:pivotFmts>
    <c:plotArea>
      <c:layout/>
      <c:lineChart>
        <c:grouping val="standard"/>
        <c:varyColors val="0"/>
        <c:ser>
          <c:idx val="0"/>
          <c:order val="0"/>
          <c:tx>
            <c:strRef>
              <c:f>'Sheet1 (4)'!$B$3:$B$4</c:f>
              <c:strCache>
                <c:ptCount val="1"/>
                <c:pt idx="0">
                  <c:v>MPH-IR</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 (4)'!$A$5:$A$33</c:f>
              <c:strCache>
                <c:ptCount val="28"/>
                <c:pt idx="0">
                  <c:v>2014Q1</c:v>
                </c:pt>
                <c:pt idx="1">
                  <c:v>2014Q2</c:v>
                </c:pt>
                <c:pt idx="2">
                  <c:v>2014Q3</c:v>
                </c:pt>
                <c:pt idx="3">
                  <c:v>2014Q4</c:v>
                </c:pt>
                <c:pt idx="4">
                  <c:v>2015Q1</c:v>
                </c:pt>
                <c:pt idx="5">
                  <c:v>2015Q2</c:v>
                </c:pt>
                <c:pt idx="6">
                  <c:v>2015Q3</c:v>
                </c:pt>
                <c:pt idx="7">
                  <c:v>2015Q4</c:v>
                </c:pt>
                <c:pt idx="8">
                  <c:v>2016Q1</c:v>
                </c:pt>
                <c:pt idx="9">
                  <c:v>2016Q2</c:v>
                </c:pt>
                <c:pt idx="10">
                  <c:v>2016Q3</c:v>
                </c:pt>
                <c:pt idx="11">
                  <c:v>2016Q4</c:v>
                </c:pt>
                <c:pt idx="12">
                  <c:v>2017Q1</c:v>
                </c:pt>
                <c:pt idx="13">
                  <c:v>2017Q2</c:v>
                </c:pt>
                <c:pt idx="14">
                  <c:v>2017Q3</c:v>
                </c:pt>
                <c:pt idx="15">
                  <c:v>2017Q4</c:v>
                </c:pt>
                <c:pt idx="16">
                  <c:v>2018Q1</c:v>
                </c:pt>
                <c:pt idx="17">
                  <c:v>2018Q2</c:v>
                </c:pt>
                <c:pt idx="18">
                  <c:v>2018Q3</c:v>
                </c:pt>
                <c:pt idx="19">
                  <c:v>2018Q4</c:v>
                </c:pt>
                <c:pt idx="20">
                  <c:v>2019Q1</c:v>
                </c:pt>
                <c:pt idx="21">
                  <c:v>2019Q2</c:v>
                </c:pt>
                <c:pt idx="22">
                  <c:v>2019Q3</c:v>
                </c:pt>
                <c:pt idx="23">
                  <c:v>2019Q4</c:v>
                </c:pt>
                <c:pt idx="24">
                  <c:v>2020Q1</c:v>
                </c:pt>
                <c:pt idx="25">
                  <c:v>2020Q2</c:v>
                </c:pt>
                <c:pt idx="26">
                  <c:v>2020Q3</c:v>
                </c:pt>
                <c:pt idx="27">
                  <c:v>2020Q4</c:v>
                </c:pt>
              </c:strCache>
            </c:strRef>
          </c:cat>
          <c:val>
            <c:numRef>
              <c:f>'Sheet1 (4)'!$B$5:$B$33</c:f>
              <c:numCache>
                <c:formatCode>General</c:formatCode>
                <c:ptCount val="28"/>
                <c:pt idx="0">
                  <c:v>4529</c:v>
                </c:pt>
                <c:pt idx="1">
                  <c:v>5256</c:v>
                </c:pt>
                <c:pt idx="2">
                  <c:v>5576</c:v>
                </c:pt>
                <c:pt idx="3">
                  <c:v>5005</c:v>
                </c:pt>
                <c:pt idx="4">
                  <c:v>4793</c:v>
                </c:pt>
                <c:pt idx="5">
                  <c:v>5769</c:v>
                </c:pt>
                <c:pt idx="6">
                  <c:v>6151</c:v>
                </c:pt>
                <c:pt idx="7">
                  <c:v>5054</c:v>
                </c:pt>
                <c:pt idx="8">
                  <c:v>4731</c:v>
                </c:pt>
                <c:pt idx="9">
                  <c:v>5697</c:v>
                </c:pt>
                <c:pt idx="10">
                  <c:v>5910</c:v>
                </c:pt>
                <c:pt idx="11">
                  <c:v>5144</c:v>
                </c:pt>
                <c:pt idx="12">
                  <c:v>5070</c:v>
                </c:pt>
                <c:pt idx="13">
                  <c:v>5903</c:v>
                </c:pt>
                <c:pt idx="14">
                  <c:v>6327</c:v>
                </c:pt>
                <c:pt idx="15">
                  <c:v>5799</c:v>
                </c:pt>
                <c:pt idx="16">
                  <c:v>5787</c:v>
                </c:pt>
                <c:pt idx="17">
                  <c:v>7113</c:v>
                </c:pt>
                <c:pt idx="18">
                  <c:v>7675</c:v>
                </c:pt>
                <c:pt idx="19">
                  <c:v>6931</c:v>
                </c:pt>
                <c:pt idx="20">
                  <c:v>6633</c:v>
                </c:pt>
                <c:pt idx="21">
                  <c:v>8204</c:v>
                </c:pt>
                <c:pt idx="22">
                  <c:v>9066</c:v>
                </c:pt>
                <c:pt idx="23">
                  <c:v>8617</c:v>
                </c:pt>
                <c:pt idx="24">
                  <c:v>8243</c:v>
                </c:pt>
                <c:pt idx="25">
                  <c:v>9560</c:v>
                </c:pt>
                <c:pt idx="26">
                  <c:v>11149</c:v>
                </c:pt>
                <c:pt idx="27">
                  <c:v>10509</c:v>
                </c:pt>
              </c:numCache>
            </c:numRef>
          </c:val>
          <c:smooth val="0"/>
          <c:extLst>
            <c:ext xmlns:c16="http://schemas.microsoft.com/office/drawing/2014/chart" uri="{C3380CC4-5D6E-409C-BE32-E72D297353CC}">
              <c16:uniqueId val="{00000000-3C14-429C-8D22-998154852618}"/>
            </c:ext>
          </c:extLst>
        </c:ser>
        <c:ser>
          <c:idx val="1"/>
          <c:order val="1"/>
          <c:tx>
            <c:strRef>
              <c:f>'Sheet1 (4)'!$C$3:$C$4</c:f>
              <c:strCache>
                <c:ptCount val="1"/>
                <c:pt idx="0">
                  <c:v>MPH-MR</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 (4)'!$A$5:$A$33</c:f>
              <c:strCache>
                <c:ptCount val="28"/>
                <c:pt idx="0">
                  <c:v>2014Q1</c:v>
                </c:pt>
                <c:pt idx="1">
                  <c:v>2014Q2</c:v>
                </c:pt>
                <c:pt idx="2">
                  <c:v>2014Q3</c:v>
                </c:pt>
                <c:pt idx="3">
                  <c:v>2014Q4</c:v>
                </c:pt>
                <c:pt idx="4">
                  <c:v>2015Q1</c:v>
                </c:pt>
                <c:pt idx="5">
                  <c:v>2015Q2</c:v>
                </c:pt>
                <c:pt idx="6">
                  <c:v>2015Q3</c:v>
                </c:pt>
                <c:pt idx="7">
                  <c:v>2015Q4</c:v>
                </c:pt>
                <c:pt idx="8">
                  <c:v>2016Q1</c:v>
                </c:pt>
                <c:pt idx="9">
                  <c:v>2016Q2</c:v>
                </c:pt>
                <c:pt idx="10">
                  <c:v>2016Q3</c:v>
                </c:pt>
                <c:pt idx="11">
                  <c:v>2016Q4</c:v>
                </c:pt>
                <c:pt idx="12">
                  <c:v>2017Q1</c:v>
                </c:pt>
                <c:pt idx="13">
                  <c:v>2017Q2</c:v>
                </c:pt>
                <c:pt idx="14">
                  <c:v>2017Q3</c:v>
                </c:pt>
                <c:pt idx="15">
                  <c:v>2017Q4</c:v>
                </c:pt>
                <c:pt idx="16">
                  <c:v>2018Q1</c:v>
                </c:pt>
                <c:pt idx="17">
                  <c:v>2018Q2</c:v>
                </c:pt>
                <c:pt idx="18">
                  <c:v>2018Q3</c:v>
                </c:pt>
                <c:pt idx="19">
                  <c:v>2018Q4</c:v>
                </c:pt>
                <c:pt idx="20">
                  <c:v>2019Q1</c:v>
                </c:pt>
                <c:pt idx="21">
                  <c:v>2019Q2</c:v>
                </c:pt>
                <c:pt idx="22">
                  <c:v>2019Q3</c:v>
                </c:pt>
                <c:pt idx="23">
                  <c:v>2019Q4</c:v>
                </c:pt>
                <c:pt idx="24">
                  <c:v>2020Q1</c:v>
                </c:pt>
                <c:pt idx="25">
                  <c:v>2020Q2</c:v>
                </c:pt>
                <c:pt idx="26">
                  <c:v>2020Q3</c:v>
                </c:pt>
                <c:pt idx="27">
                  <c:v>2020Q4</c:v>
                </c:pt>
              </c:strCache>
            </c:strRef>
          </c:cat>
          <c:val>
            <c:numRef>
              <c:f>'Sheet1 (4)'!$C$5:$C$33</c:f>
              <c:numCache>
                <c:formatCode>General</c:formatCode>
                <c:ptCount val="28"/>
                <c:pt idx="0">
                  <c:v>3485</c:v>
                </c:pt>
                <c:pt idx="1">
                  <c:v>3670</c:v>
                </c:pt>
                <c:pt idx="2">
                  <c:v>3814</c:v>
                </c:pt>
                <c:pt idx="3">
                  <c:v>3737</c:v>
                </c:pt>
                <c:pt idx="4">
                  <c:v>3846</c:v>
                </c:pt>
                <c:pt idx="5">
                  <c:v>3943</c:v>
                </c:pt>
                <c:pt idx="6">
                  <c:v>4198</c:v>
                </c:pt>
                <c:pt idx="7">
                  <c:v>3755</c:v>
                </c:pt>
                <c:pt idx="8">
                  <c:v>3697</c:v>
                </c:pt>
                <c:pt idx="9">
                  <c:v>3943</c:v>
                </c:pt>
                <c:pt idx="10">
                  <c:v>4026</c:v>
                </c:pt>
                <c:pt idx="11">
                  <c:v>3848</c:v>
                </c:pt>
                <c:pt idx="12">
                  <c:v>3829</c:v>
                </c:pt>
                <c:pt idx="13">
                  <c:v>3884</c:v>
                </c:pt>
                <c:pt idx="14">
                  <c:v>4073</c:v>
                </c:pt>
                <c:pt idx="15">
                  <c:v>4007</c:v>
                </c:pt>
                <c:pt idx="16">
                  <c:v>4124</c:v>
                </c:pt>
                <c:pt idx="17">
                  <c:v>4415</c:v>
                </c:pt>
                <c:pt idx="18">
                  <c:v>4611</c:v>
                </c:pt>
                <c:pt idx="19">
                  <c:v>4755</c:v>
                </c:pt>
                <c:pt idx="20">
                  <c:v>4773</c:v>
                </c:pt>
                <c:pt idx="21">
                  <c:v>5042</c:v>
                </c:pt>
                <c:pt idx="22">
                  <c:v>5302</c:v>
                </c:pt>
                <c:pt idx="23">
                  <c:v>5471</c:v>
                </c:pt>
                <c:pt idx="24">
                  <c:v>5940</c:v>
                </c:pt>
                <c:pt idx="25">
                  <c:v>5728</c:v>
                </c:pt>
                <c:pt idx="26">
                  <c:v>6408</c:v>
                </c:pt>
                <c:pt idx="27">
                  <c:v>6518</c:v>
                </c:pt>
              </c:numCache>
            </c:numRef>
          </c:val>
          <c:smooth val="0"/>
          <c:extLst>
            <c:ext xmlns:c16="http://schemas.microsoft.com/office/drawing/2014/chart" uri="{C3380CC4-5D6E-409C-BE32-E72D297353CC}">
              <c16:uniqueId val="{00000001-3C14-429C-8D22-998154852618}"/>
            </c:ext>
          </c:extLst>
        </c:ser>
        <c:ser>
          <c:idx val="2"/>
          <c:order val="2"/>
          <c:tx>
            <c:strRef>
              <c:f>'Sheet1 (4)'!$D$3:$D$4</c:f>
              <c:strCache>
                <c:ptCount val="1"/>
                <c:pt idx="0">
                  <c:v>Lisdexamfetamine</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 (4)'!$A$5:$A$33</c:f>
              <c:strCache>
                <c:ptCount val="28"/>
                <c:pt idx="0">
                  <c:v>2014Q1</c:v>
                </c:pt>
                <c:pt idx="1">
                  <c:v>2014Q2</c:v>
                </c:pt>
                <c:pt idx="2">
                  <c:v>2014Q3</c:v>
                </c:pt>
                <c:pt idx="3">
                  <c:v>2014Q4</c:v>
                </c:pt>
                <c:pt idx="4">
                  <c:v>2015Q1</c:v>
                </c:pt>
                <c:pt idx="5">
                  <c:v>2015Q2</c:v>
                </c:pt>
                <c:pt idx="6">
                  <c:v>2015Q3</c:v>
                </c:pt>
                <c:pt idx="7">
                  <c:v>2015Q4</c:v>
                </c:pt>
                <c:pt idx="8">
                  <c:v>2016Q1</c:v>
                </c:pt>
                <c:pt idx="9">
                  <c:v>2016Q2</c:v>
                </c:pt>
                <c:pt idx="10">
                  <c:v>2016Q3</c:v>
                </c:pt>
                <c:pt idx="11">
                  <c:v>2016Q4</c:v>
                </c:pt>
                <c:pt idx="12">
                  <c:v>2017Q1</c:v>
                </c:pt>
                <c:pt idx="13">
                  <c:v>2017Q2</c:v>
                </c:pt>
                <c:pt idx="14">
                  <c:v>2017Q3</c:v>
                </c:pt>
                <c:pt idx="15">
                  <c:v>2017Q4</c:v>
                </c:pt>
                <c:pt idx="16">
                  <c:v>2018Q1</c:v>
                </c:pt>
                <c:pt idx="17">
                  <c:v>2018Q2</c:v>
                </c:pt>
                <c:pt idx="18">
                  <c:v>2018Q3</c:v>
                </c:pt>
                <c:pt idx="19">
                  <c:v>2018Q4</c:v>
                </c:pt>
                <c:pt idx="20">
                  <c:v>2019Q1</c:v>
                </c:pt>
                <c:pt idx="21">
                  <c:v>2019Q2</c:v>
                </c:pt>
                <c:pt idx="22">
                  <c:v>2019Q3</c:v>
                </c:pt>
                <c:pt idx="23">
                  <c:v>2019Q4</c:v>
                </c:pt>
                <c:pt idx="24">
                  <c:v>2020Q1</c:v>
                </c:pt>
                <c:pt idx="25">
                  <c:v>2020Q2</c:v>
                </c:pt>
                <c:pt idx="26">
                  <c:v>2020Q3</c:v>
                </c:pt>
                <c:pt idx="27">
                  <c:v>2020Q4</c:v>
                </c:pt>
              </c:strCache>
            </c:strRef>
          </c:cat>
          <c:val>
            <c:numRef>
              <c:f>'Sheet1 (4)'!$D$5:$D$33</c:f>
              <c:numCache>
                <c:formatCode>General</c:formatCode>
                <c:ptCount val="28"/>
                <c:pt idx="6">
                  <c:v>2438</c:v>
                </c:pt>
                <c:pt idx="7">
                  <c:v>4986</c:v>
                </c:pt>
                <c:pt idx="8">
                  <c:v>3494</c:v>
                </c:pt>
                <c:pt idx="9">
                  <c:v>3734</c:v>
                </c:pt>
                <c:pt idx="10">
                  <c:v>4098</c:v>
                </c:pt>
                <c:pt idx="11">
                  <c:v>3559</c:v>
                </c:pt>
                <c:pt idx="12">
                  <c:v>3585</c:v>
                </c:pt>
                <c:pt idx="13">
                  <c:v>3798</c:v>
                </c:pt>
                <c:pt idx="14">
                  <c:v>4041</c:v>
                </c:pt>
                <c:pt idx="15">
                  <c:v>3675</c:v>
                </c:pt>
                <c:pt idx="16">
                  <c:v>3861</c:v>
                </c:pt>
                <c:pt idx="17">
                  <c:v>4452</c:v>
                </c:pt>
                <c:pt idx="18">
                  <c:v>4484</c:v>
                </c:pt>
                <c:pt idx="19">
                  <c:v>4085</c:v>
                </c:pt>
                <c:pt idx="20">
                  <c:v>4105</c:v>
                </c:pt>
                <c:pt idx="21">
                  <c:v>4489</c:v>
                </c:pt>
                <c:pt idx="22">
                  <c:v>4967</c:v>
                </c:pt>
                <c:pt idx="23">
                  <c:v>4606</c:v>
                </c:pt>
                <c:pt idx="24">
                  <c:v>4643</c:v>
                </c:pt>
                <c:pt idx="25">
                  <c:v>5037</c:v>
                </c:pt>
                <c:pt idx="26">
                  <c:v>6216</c:v>
                </c:pt>
                <c:pt idx="27">
                  <c:v>5724</c:v>
                </c:pt>
              </c:numCache>
            </c:numRef>
          </c:val>
          <c:smooth val="0"/>
          <c:extLst>
            <c:ext xmlns:c16="http://schemas.microsoft.com/office/drawing/2014/chart" uri="{C3380CC4-5D6E-409C-BE32-E72D297353CC}">
              <c16:uniqueId val="{00000002-3C14-429C-8D22-998154852618}"/>
            </c:ext>
          </c:extLst>
        </c:ser>
        <c:ser>
          <c:idx val="3"/>
          <c:order val="3"/>
          <c:tx>
            <c:strRef>
              <c:f>'Sheet1 (4)'!$E$3:$E$4</c:f>
              <c:strCache>
                <c:ptCount val="1"/>
                <c:pt idx="0">
                  <c:v>Dexamfetamine</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 (4)'!$A$5:$A$33</c:f>
              <c:strCache>
                <c:ptCount val="28"/>
                <c:pt idx="0">
                  <c:v>2014Q1</c:v>
                </c:pt>
                <c:pt idx="1">
                  <c:v>2014Q2</c:v>
                </c:pt>
                <c:pt idx="2">
                  <c:v>2014Q3</c:v>
                </c:pt>
                <c:pt idx="3">
                  <c:v>2014Q4</c:v>
                </c:pt>
                <c:pt idx="4">
                  <c:v>2015Q1</c:v>
                </c:pt>
                <c:pt idx="5">
                  <c:v>2015Q2</c:v>
                </c:pt>
                <c:pt idx="6">
                  <c:v>2015Q3</c:v>
                </c:pt>
                <c:pt idx="7">
                  <c:v>2015Q4</c:v>
                </c:pt>
                <c:pt idx="8">
                  <c:v>2016Q1</c:v>
                </c:pt>
                <c:pt idx="9">
                  <c:v>2016Q2</c:v>
                </c:pt>
                <c:pt idx="10">
                  <c:v>2016Q3</c:v>
                </c:pt>
                <c:pt idx="11">
                  <c:v>2016Q4</c:v>
                </c:pt>
                <c:pt idx="12">
                  <c:v>2017Q1</c:v>
                </c:pt>
                <c:pt idx="13">
                  <c:v>2017Q2</c:v>
                </c:pt>
                <c:pt idx="14">
                  <c:v>2017Q3</c:v>
                </c:pt>
                <c:pt idx="15">
                  <c:v>2017Q4</c:v>
                </c:pt>
                <c:pt idx="16">
                  <c:v>2018Q1</c:v>
                </c:pt>
                <c:pt idx="17">
                  <c:v>2018Q2</c:v>
                </c:pt>
                <c:pt idx="18">
                  <c:v>2018Q3</c:v>
                </c:pt>
                <c:pt idx="19">
                  <c:v>2018Q4</c:v>
                </c:pt>
                <c:pt idx="20">
                  <c:v>2019Q1</c:v>
                </c:pt>
                <c:pt idx="21">
                  <c:v>2019Q2</c:v>
                </c:pt>
                <c:pt idx="22">
                  <c:v>2019Q3</c:v>
                </c:pt>
                <c:pt idx="23">
                  <c:v>2019Q4</c:v>
                </c:pt>
                <c:pt idx="24">
                  <c:v>2020Q1</c:v>
                </c:pt>
                <c:pt idx="25">
                  <c:v>2020Q2</c:v>
                </c:pt>
                <c:pt idx="26">
                  <c:v>2020Q3</c:v>
                </c:pt>
                <c:pt idx="27">
                  <c:v>2020Q4</c:v>
                </c:pt>
              </c:strCache>
            </c:strRef>
          </c:cat>
          <c:val>
            <c:numRef>
              <c:f>'Sheet1 (4)'!$E$5:$E$33</c:f>
              <c:numCache>
                <c:formatCode>General</c:formatCode>
                <c:ptCount val="28"/>
                <c:pt idx="0">
                  <c:v>1940</c:v>
                </c:pt>
                <c:pt idx="1">
                  <c:v>2093</c:v>
                </c:pt>
                <c:pt idx="2">
                  <c:v>2219</c:v>
                </c:pt>
                <c:pt idx="3">
                  <c:v>2079</c:v>
                </c:pt>
                <c:pt idx="4">
                  <c:v>2064</c:v>
                </c:pt>
                <c:pt idx="5">
                  <c:v>2424</c:v>
                </c:pt>
                <c:pt idx="6">
                  <c:v>2451</c:v>
                </c:pt>
                <c:pt idx="7">
                  <c:v>2316</c:v>
                </c:pt>
                <c:pt idx="8">
                  <c:v>2164</c:v>
                </c:pt>
                <c:pt idx="9">
                  <c:v>2532</c:v>
                </c:pt>
                <c:pt idx="10">
                  <c:v>2603</c:v>
                </c:pt>
                <c:pt idx="11">
                  <c:v>2272</c:v>
                </c:pt>
                <c:pt idx="12">
                  <c:v>2424</c:v>
                </c:pt>
                <c:pt idx="13">
                  <c:v>2731</c:v>
                </c:pt>
                <c:pt idx="14">
                  <c:v>3006</c:v>
                </c:pt>
                <c:pt idx="15">
                  <c:v>2810</c:v>
                </c:pt>
                <c:pt idx="16">
                  <c:v>2774</c:v>
                </c:pt>
                <c:pt idx="17">
                  <c:v>3279</c:v>
                </c:pt>
                <c:pt idx="18">
                  <c:v>3481</c:v>
                </c:pt>
                <c:pt idx="19">
                  <c:v>3374</c:v>
                </c:pt>
                <c:pt idx="20">
                  <c:v>3251</c:v>
                </c:pt>
                <c:pt idx="21">
                  <c:v>3761</c:v>
                </c:pt>
                <c:pt idx="22">
                  <c:v>4131</c:v>
                </c:pt>
                <c:pt idx="23">
                  <c:v>4031</c:v>
                </c:pt>
                <c:pt idx="24">
                  <c:v>4205</c:v>
                </c:pt>
                <c:pt idx="25">
                  <c:v>4642</c:v>
                </c:pt>
                <c:pt idx="26">
                  <c:v>5604</c:v>
                </c:pt>
                <c:pt idx="27">
                  <c:v>5427</c:v>
                </c:pt>
              </c:numCache>
            </c:numRef>
          </c:val>
          <c:smooth val="0"/>
          <c:extLst>
            <c:ext xmlns:c16="http://schemas.microsoft.com/office/drawing/2014/chart" uri="{C3380CC4-5D6E-409C-BE32-E72D297353CC}">
              <c16:uniqueId val="{00000003-3C14-429C-8D22-998154852618}"/>
            </c:ext>
          </c:extLst>
        </c:ser>
        <c:ser>
          <c:idx val="4"/>
          <c:order val="4"/>
          <c:tx>
            <c:strRef>
              <c:f>'Sheet1 (4)'!$F$3:$F$4</c:f>
              <c:strCache>
                <c:ptCount val="1"/>
                <c:pt idx="0">
                  <c:v>Guanfacine</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'Sheet1 (4)'!$A$5:$A$33</c:f>
              <c:strCache>
                <c:ptCount val="28"/>
                <c:pt idx="0">
                  <c:v>2014Q1</c:v>
                </c:pt>
                <c:pt idx="1">
                  <c:v>2014Q2</c:v>
                </c:pt>
                <c:pt idx="2">
                  <c:v>2014Q3</c:v>
                </c:pt>
                <c:pt idx="3">
                  <c:v>2014Q4</c:v>
                </c:pt>
                <c:pt idx="4">
                  <c:v>2015Q1</c:v>
                </c:pt>
                <c:pt idx="5">
                  <c:v>2015Q2</c:v>
                </c:pt>
                <c:pt idx="6">
                  <c:v>2015Q3</c:v>
                </c:pt>
                <c:pt idx="7">
                  <c:v>2015Q4</c:v>
                </c:pt>
                <c:pt idx="8">
                  <c:v>2016Q1</c:v>
                </c:pt>
                <c:pt idx="9">
                  <c:v>2016Q2</c:v>
                </c:pt>
                <c:pt idx="10">
                  <c:v>2016Q3</c:v>
                </c:pt>
                <c:pt idx="11">
                  <c:v>2016Q4</c:v>
                </c:pt>
                <c:pt idx="12">
                  <c:v>2017Q1</c:v>
                </c:pt>
                <c:pt idx="13">
                  <c:v>2017Q2</c:v>
                </c:pt>
                <c:pt idx="14">
                  <c:v>2017Q3</c:v>
                </c:pt>
                <c:pt idx="15">
                  <c:v>2017Q4</c:v>
                </c:pt>
                <c:pt idx="16">
                  <c:v>2018Q1</c:v>
                </c:pt>
                <c:pt idx="17">
                  <c:v>2018Q2</c:v>
                </c:pt>
                <c:pt idx="18">
                  <c:v>2018Q3</c:v>
                </c:pt>
                <c:pt idx="19">
                  <c:v>2018Q4</c:v>
                </c:pt>
                <c:pt idx="20">
                  <c:v>2019Q1</c:v>
                </c:pt>
                <c:pt idx="21">
                  <c:v>2019Q2</c:v>
                </c:pt>
                <c:pt idx="22">
                  <c:v>2019Q3</c:v>
                </c:pt>
                <c:pt idx="23">
                  <c:v>2019Q4</c:v>
                </c:pt>
                <c:pt idx="24">
                  <c:v>2020Q1</c:v>
                </c:pt>
                <c:pt idx="25">
                  <c:v>2020Q2</c:v>
                </c:pt>
                <c:pt idx="26">
                  <c:v>2020Q3</c:v>
                </c:pt>
                <c:pt idx="27">
                  <c:v>2020Q4</c:v>
                </c:pt>
              </c:strCache>
            </c:strRef>
          </c:cat>
          <c:val>
            <c:numRef>
              <c:f>'Sheet1 (4)'!$F$5:$F$33</c:f>
              <c:numCache>
                <c:formatCode>General</c:formatCode>
                <c:ptCount val="28"/>
                <c:pt idx="18">
                  <c:v>915</c:v>
                </c:pt>
                <c:pt idx="19">
                  <c:v>2890</c:v>
                </c:pt>
                <c:pt idx="20">
                  <c:v>3269</c:v>
                </c:pt>
                <c:pt idx="21">
                  <c:v>4418</c:v>
                </c:pt>
                <c:pt idx="22">
                  <c:v>3994</c:v>
                </c:pt>
                <c:pt idx="23">
                  <c:v>3353</c:v>
                </c:pt>
                <c:pt idx="24">
                  <c:v>3065</c:v>
                </c:pt>
                <c:pt idx="25">
                  <c:v>3030</c:v>
                </c:pt>
                <c:pt idx="26">
                  <c:v>3703</c:v>
                </c:pt>
                <c:pt idx="27">
                  <c:v>3461</c:v>
                </c:pt>
              </c:numCache>
            </c:numRef>
          </c:val>
          <c:smooth val="0"/>
          <c:extLst>
            <c:ext xmlns:c16="http://schemas.microsoft.com/office/drawing/2014/chart" uri="{C3380CC4-5D6E-409C-BE32-E72D297353CC}">
              <c16:uniqueId val="{00000004-3C14-429C-8D22-998154852618}"/>
            </c:ext>
          </c:extLst>
        </c:ser>
        <c:ser>
          <c:idx val="5"/>
          <c:order val="5"/>
          <c:tx>
            <c:strRef>
              <c:f>'Sheet1 (4)'!$G$3:$G$4</c:f>
              <c:strCache>
                <c:ptCount val="1"/>
                <c:pt idx="0">
                  <c:v>Atomoxetine</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Ref>
              <c:f>'Sheet1 (4)'!$A$5:$A$33</c:f>
              <c:strCache>
                <c:ptCount val="28"/>
                <c:pt idx="0">
                  <c:v>2014Q1</c:v>
                </c:pt>
                <c:pt idx="1">
                  <c:v>2014Q2</c:v>
                </c:pt>
                <c:pt idx="2">
                  <c:v>2014Q3</c:v>
                </c:pt>
                <c:pt idx="3">
                  <c:v>2014Q4</c:v>
                </c:pt>
                <c:pt idx="4">
                  <c:v>2015Q1</c:v>
                </c:pt>
                <c:pt idx="5">
                  <c:v>2015Q2</c:v>
                </c:pt>
                <c:pt idx="6">
                  <c:v>2015Q3</c:v>
                </c:pt>
                <c:pt idx="7">
                  <c:v>2015Q4</c:v>
                </c:pt>
                <c:pt idx="8">
                  <c:v>2016Q1</c:v>
                </c:pt>
                <c:pt idx="9">
                  <c:v>2016Q2</c:v>
                </c:pt>
                <c:pt idx="10">
                  <c:v>2016Q3</c:v>
                </c:pt>
                <c:pt idx="11">
                  <c:v>2016Q4</c:v>
                </c:pt>
                <c:pt idx="12">
                  <c:v>2017Q1</c:v>
                </c:pt>
                <c:pt idx="13">
                  <c:v>2017Q2</c:v>
                </c:pt>
                <c:pt idx="14">
                  <c:v>2017Q3</c:v>
                </c:pt>
                <c:pt idx="15">
                  <c:v>2017Q4</c:v>
                </c:pt>
                <c:pt idx="16">
                  <c:v>2018Q1</c:v>
                </c:pt>
                <c:pt idx="17">
                  <c:v>2018Q2</c:v>
                </c:pt>
                <c:pt idx="18">
                  <c:v>2018Q3</c:v>
                </c:pt>
                <c:pt idx="19">
                  <c:v>2018Q4</c:v>
                </c:pt>
                <c:pt idx="20">
                  <c:v>2019Q1</c:v>
                </c:pt>
                <c:pt idx="21">
                  <c:v>2019Q2</c:v>
                </c:pt>
                <c:pt idx="22">
                  <c:v>2019Q3</c:v>
                </c:pt>
                <c:pt idx="23">
                  <c:v>2019Q4</c:v>
                </c:pt>
                <c:pt idx="24">
                  <c:v>2020Q1</c:v>
                </c:pt>
                <c:pt idx="25">
                  <c:v>2020Q2</c:v>
                </c:pt>
                <c:pt idx="26">
                  <c:v>2020Q3</c:v>
                </c:pt>
                <c:pt idx="27">
                  <c:v>2020Q4</c:v>
                </c:pt>
              </c:strCache>
            </c:strRef>
          </c:cat>
          <c:val>
            <c:numRef>
              <c:f>'Sheet1 (4)'!$G$5:$G$33</c:f>
              <c:numCache>
                <c:formatCode>General</c:formatCode>
                <c:ptCount val="28"/>
                <c:pt idx="0">
                  <c:v>565</c:v>
                </c:pt>
                <c:pt idx="1">
                  <c:v>755</c:v>
                </c:pt>
                <c:pt idx="2">
                  <c:v>878</c:v>
                </c:pt>
                <c:pt idx="3">
                  <c:v>884</c:v>
                </c:pt>
                <c:pt idx="4">
                  <c:v>803</c:v>
                </c:pt>
                <c:pt idx="5">
                  <c:v>796</c:v>
                </c:pt>
                <c:pt idx="6">
                  <c:v>941</c:v>
                </c:pt>
                <c:pt idx="7">
                  <c:v>890</c:v>
                </c:pt>
                <c:pt idx="8">
                  <c:v>869</c:v>
                </c:pt>
                <c:pt idx="9">
                  <c:v>1096</c:v>
                </c:pt>
                <c:pt idx="10">
                  <c:v>1103</c:v>
                </c:pt>
                <c:pt idx="11">
                  <c:v>1025</c:v>
                </c:pt>
                <c:pt idx="12">
                  <c:v>1061</c:v>
                </c:pt>
                <c:pt idx="13">
                  <c:v>1165</c:v>
                </c:pt>
                <c:pt idx="14">
                  <c:v>1159</c:v>
                </c:pt>
                <c:pt idx="15">
                  <c:v>1200</c:v>
                </c:pt>
                <c:pt idx="16">
                  <c:v>1173</c:v>
                </c:pt>
                <c:pt idx="17">
                  <c:v>1229</c:v>
                </c:pt>
                <c:pt idx="18">
                  <c:v>1199</c:v>
                </c:pt>
                <c:pt idx="19">
                  <c:v>1125</c:v>
                </c:pt>
                <c:pt idx="20">
                  <c:v>1087</c:v>
                </c:pt>
                <c:pt idx="21">
                  <c:v>1241</c:v>
                </c:pt>
                <c:pt idx="22">
                  <c:v>1246</c:v>
                </c:pt>
                <c:pt idx="23">
                  <c:v>1256</c:v>
                </c:pt>
                <c:pt idx="24">
                  <c:v>1196</c:v>
                </c:pt>
                <c:pt idx="25">
                  <c:v>1321</c:v>
                </c:pt>
                <c:pt idx="26">
                  <c:v>1506</c:v>
                </c:pt>
                <c:pt idx="27">
                  <c:v>1460</c:v>
                </c:pt>
              </c:numCache>
            </c:numRef>
          </c:val>
          <c:smooth val="0"/>
          <c:extLst>
            <c:ext xmlns:c16="http://schemas.microsoft.com/office/drawing/2014/chart" uri="{C3380CC4-5D6E-409C-BE32-E72D297353CC}">
              <c16:uniqueId val="{00000005-3C14-429C-8D22-998154852618}"/>
            </c:ext>
          </c:extLst>
        </c:ser>
        <c:dLbls>
          <c:showLegendKey val="0"/>
          <c:showVal val="0"/>
          <c:showCatName val="0"/>
          <c:showSerName val="0"/>
          <c:showPercent val="0"/>
          <c:showBubbleSize val="0"/>
        </c:dLbls>
        <c:marker val="1"/>
        <c:smooth val="0"/>
        <c:axId val="915059048"/>
        <c:axId val="915062984"/>
      </c:lineChart>
      <c:catAx>
        <c:axId val="915059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5062984"/>
        <c:crosses val="autoZero"/>
        <c:auto val="1"/>
        <c:lblAlgn val="ctr"/>
        <c:lblOffset val="100"/>
        <c:noMultiLvlLbl val="0"/>
      </c:catAx>
      <c:valAx>
        <c:axId val="9150629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 of patients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50590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[D1304_PATCNTBY_FORM_SUPP_Qtr, idvar=age_supp pat_sex.xlsx]Sheet1 (2)!PivotTable2</c:name>
    <c:fmtId val="-1"/>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2"/>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13"/>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14"/>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15"/>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16"/>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pivotFmt>
      <c:pivotFmt>
        <c:idx val="1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8"/>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19"/>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20"/>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21"/>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22"/>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pivotFmt>
      <c:pivotFmt>
        <c:idx val="2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4"/>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25"/>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26"/>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27"/>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28"/>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pivotFmt>
    </c:pivotFmts>
    <c:plotArea>
      <c:layout>
        <c:manualLayout>
          <c:layoutTarget val="inner"/>
          <c:xMode val="edge"/>
          <c:yMode val="edge"/>
          <c:x val="0.12196156418010487"/>
          <c:y val="0.10831270214552774"/>
          <c:w val="0.86437027634143604"/>
          <c:h val="0.66840489419712434"/>
        </c:manualLayout>
      </c:layout>
      <c:lineChart>
        <c:grouping val="standard"/>
        <c:varyColors val="0"/>
        <c:ser>
          <c:idx val="0"/>
          <c:order val="0"/>
          <c:tx>
            <c:strRef>
              <c:f>'Sheet1 (2)'!$B$3:$B$4</c:f>
              <c:strCache>
                <c:ptCount val="1"/>
                <c:pt idx="0">
                  <c:v>MPH-MR</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 (2)'!$A$5:$A$40</c:f>
              <c:strCache>
                <c:ptCount val="35"/>
                <c:pt idx="0">
                  <c:v>2012Q2</c:v>
                </c:pt>
                <c:pt idx="1">
                  <c:v>2012Q3</c:v>
                </c:pt>
                <c:pt idx="2">
                  <c:v>2012Q4</c:v>
                </c:pt>
                <c:pt idx="3">
                  <c:v>2013Q1</c:v>
                </c:pt>
                <c:pt idx="4">
                  <c:v>2013Q2</c:v>
                </c:pt>
                <c:pt idx="5">
                  <c:v>2013Q3</c:v>
                </c:pt>
                <c:pt idx="6">
                  <c:v>2013Q4</c:v>
                </c:pt>
                <c:pt idx="7">
                  <c:v>2014Q1</c:v>
                </c:pt>
                <c:pt idx="8">
                  <c:v>2014Q2</c:v>
                </c:pt>
                <c:pt idx="9">
                  <c:v>2014Q3</c:v>
                </c:pt>
                <c:pt idx="10">
                  <c:v>2014Q4</c:v>
                </c:pt>
                <c:pt idx="11">
                  <c:v>2015Q1</c:v>
                </c:pt>
                <c:pt idx="12">
                  <c:v>2015Q2</c:v>
                </c:pt>
                <c:pt idx="13">
                  <c:v>2015Q3</c:v>
                </c:pt>
                <c:pt idx="14">
                  <c:v>2015Q4</c:v>
                </c:pt>
                <c:pt idx="15">
                  <c:v>2016Q1</c:v>
                </c:pt>
                <c:pt idx="16">
                  <c:v>2016Q2</c:v>
                </c:pt>
                <c:pt idx="17">
                  <c:v>2016Q3</c:v>
                </c:pt>
                <c:pt idx="18">
                  <c:v>2016Q4</c:v>
                </c:pt>
                <c:pt idx="19">
                  <c:v>2017Q1</c:v>
                </c:pt>
                <c:pt idx="20">
                  <c:v>2017Q2</c:v>
                </c:pt>
                <c:pt idx="21">
                  <c:v>2017Q3</c:v>
                </c:pt>
                <c:pt idx="22">
                  <c:v>2017Q4</c:v>
                </c:pt>
                <c:pt idx="23">
                  <c:v>2018Q1</c:v>
                </c:pt>
                <c:pt idx="24">
                  <c:v>2018Q2</c:v>
                </c:pt>
                <c:pt idx="25">
                  <c:v>2018Q3</c:v>
                </c:pt>
                <c:pt idx="26">
                  <c:v>2018Q4</c:v>
                </c:pt>
                <c:pt idx="27">
                  <c:v>2019Q1</c:v>
                </c:pt>
                <c:pt idx="28">
                  <c:v>2019Q2</c:v>
                </c:pt>
                <c:pt idx="29">
                  <c:v>2019Q3</c:v>
                </c:pt>
                <c:pt idx="30">
                  <c:v>2019Q4</c:v>
                </c:pt>
                <c:pt idx="31">
                  <c:v>2020Q1</c:v>
                </c:pt>
                <c:pt idx="32">
                  <c:v>2020Q2</c:v>
                </c:pt>
                <c:pt idx="33">
                  <c:v>2020Q3</c:v>
                </c:pt>
                <c:pt idx="34">
                  <c:v>2020Q4</c:v>
                </c:pt>
              </c:strCache>
            </c:strRef>
          </c:cat>
          <c:val>
            <c:numRef>
              <c:f>'Sheet1 (2)'!$B$5:$B$40</c:f>
              <c:numCache>
                <c:formatCode>General</c:formatCode>
                <c:ptCount val="35"/>
                <c:pt idx="0">
                  <c:v>37834</c:v>
                </c:pt>
                <c:pt idx="1">
                  <c:v>39357</c:v>
                </c:pt>
                <c:pt idx="2">
                  <c:v>39613</c:v>
                </c:pt>
                <c:pt idx="3">
                  <c:v>39591</c:v>
                </c:pt>
                <c:pt idx="4">
                  <c:v>41390</c:v>
                </c:pt>
                <c:pt idx="5">
                  <c:v>42932</c:v>
                </c:pt>
                <c:pt idx="6">
                  <c:v>42918</c:v>
                </c:pt>
                <c:pt idx="7">
                  <c:v>42644</c:v>
                </c:pt>
                <c:pt idx="8">
                  <c:v>44127</c:v>
                </c:pt>
                <c:pt idx="9">
                  <c:v>45569</c:v>
                </c:pt>
                <c:pt idx="10">
                  <c:v>45869</c:v>
                </c:pt>
                <c:pt idx="11">
                  <c:v>45991</c:v>
                </c:pt>
                <c:pt idx="12">
                  <c:v>47642</c:v>
                </c:pt>
                <c:pt idx="13">
                  <c:v>49350</c:v>
                </c:pt>
                <c:pt idx="14">
                  <c:v>48891</c:v>
                </c:pt>
                <c:pt idx="15">
                  <c:v>48295</c:v>
                </c:pt>
                <c:pt idx="16">
                  <c:v>49510</c:v>
                </c:pt>
                <c:pt idx="17">
                  <c:v>50661</c:v>
                </c:pt>
                <c:pt idx="18">
                  <c:v>50547</c:v>
                </c:pt>
                <c:pt idx="19">
                  <c:v>50483</c:v>
                </c:pt>
                <c:pt idx="20">
                  <c:v>51592</c:v>
                </c:pt>
                <c:pt idx="21">
                  <c:v>52944</c:v>
                </c:pt>
                <c:pt idx="22">
                  <c:v>53017</c:v>
                </c:pt>
                <c:pt idx="23">
                  <c:v>52965</c:v>
                </c:pt>
                <c:pt idx="24">
                  <c:v>54925</c:v>
                </c:pt>
                <c:pt idx="25">
                  <c:v>56362</c:v>
                </c:pt>
                <c:pt idx="26">
                  <c:v>56885</c:v>
                </c:pt>
                <c:pt idx="27">
                  <c:v>57137</c:v>
                </c:pt>
                <c:pt idx="28">
                  <c:v>59379</c:v>
                </c:pt>
                <c:pt idx="29">
                  <c:v>61500</c:v>
                </c:pt>
                <c:pt idx="30">
                  <c:v>62416</c:v>
                </c:pt>
                <c:pt idx="31">
                  <c:v>64545</c:v>
                </c:pt>
                <c:pt idx="32">
                  <c:v>64920</c:v>
                </c:pt>
                <c:pt idx="33">
                  <c:v>69240</c:v>
                </c:pt>
                <c:pt idx="34">
                  <c:v>71067</c:v>
                </c:pt>
              </c:numCache>
            </c:numRef>
          </c:val>
          <c:smooth val="0"/>
          <c:extLst>
            <c:ext xmlns:c16="http://schemas.microsoft.com/office/drawing/2014/chart" uri="{C3380CC4-5D6E-409C-BE32-E72D297353CC}">
              <c16:uniqueId val="{00000000-8196-47B8-915C-69B06DE629FA}"/>
            </c:ext>
          </c:extLst>
        </c:ser>
        <c:ser>
          <c:idx val="1"/>
          <c:order val="1"/>
          <c:tx>
            <c:strRef>
              <c:f>'Sheet1 (2)'!$C$3:$C$4</c:f>
              <c:strCache>
                <c:ptCount val="1"/>
                <c:pt idx="0">
                  <c:v>MPH-IR</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 (2)'!$A$5:$A$40</c:f>
              <c:strCache>
                <c:ptCount val="35"/>
                <c:pt idx="0">
                  <c:v>2012Q2</c:v>
                </c:pt>
                <c:pt idx="1">
                  <c:v>2012Q3</c:v>
                </c:pt>
                <c:pt idx="2">
                  <c:v>2012Q4</c:v>
                </c:pt>
                <c:pt idx="3">
                  <c:v>2013Q1</c:v>
                </c:pt>
                <c:pt idx="4">
                  <c:v>2013Q2</c:v>
                </c:pt>
                <c:pt idx="5">
                  <c:v>2013Q3</c:v>
                </c:pt>
                <c:pt idx="6">
                  <c:v>2013Q4</c:v>
                </c:pt>
                <c:pt idx="7">
                  <c:v>2014Q1</c:v>
                </c:pt>
                <c:pt idx="8">
                  <c:v>2014Q2</c:v>
                </c:pt>
                <c:pt idx="9">
                  <c:v>2014Q3</c:v>
                </c:pt>
                <c:pt idx="10">
                  <c:v>2014Q4</c:v>
                </c:pt>
                <c:pt idx="11">
                  <c:v>2015Q1</c:v>
                </c:pt>
                <c:pt idx="12">
                  <c:v>2015Q2</c:v>
                </c:pt>
                <c:pt idx="13">
                  <c:v>2015Q3</c:v>
                </c:pt>
                <c:pt idx="14">
                  <c:v>2015Q4</c:v>
                </c:pt>
                <c:pt idx="15">
                  <c:v>2016Q1</c:v>
                </c:pt>
                <c:pt idx="16">
                  <c:v>2016Q2</c:v>
                </c:pt>
                <c:pt idx="17">
                  <c:v>2016Q3</c:v>
                </c:pt>
                <c:pt idx="18">
                  <c:v>2016Q4</c:v>
                </c:pt>
                <c:pt idx="19">
                  <c:v>2017Q1</c:v>
                </c:pt>
                <c:pt idx="20">
                  <c:v>2017Q2</c:v>
                </c:pt>
                <c:pt idx="21">
                  <c:v>2017Q3</c:v>
                </c:pt>
                <c:pt idx="22">
                  <c:v>2017Q4</c:v>
                </c:pt>
                <c:pt idx="23">
                  <c:v>2018Q1</c:v>
                </c:pt>
                <c:pt idx="24">
                  <c:v>2018Q2</c:v>
                </c:pt>
                <c:pt idx="25">
                  <c:v>2018Q3</c:v>
                </c:pt>
                <c:pt idx="26">
                  <c:v>2018Q4</c:v>
                </c:pt>
                <c:pt idx="27">
                  <c:v>2019Q1</c:v>
                </c:pt>
                <c:pt idx="28">
                  <c:v>2019Q2</c:v>
                </c:pt>
                <c:pt idx="29">
                  <c:v>2019Q3</c:v>
                </c:pt>
                <c:pt idx="30">
                  <c:v>2019Q4</c:v>
                </c:pt>
                <c:pt idx="31">
                  <c:v>2020Q1</c:v>
                </c:pt>
                <c:pt idx="32">
                  <c:v>2020Q2</c:v>
                </c:pt>
                <c:pt idx="33">
                  <c:v>2020Q3</c:v>
                </c:pt>
                <c:pt idx="34">
                  <c:v>2020Q4</c:v>
                </c:pt>
              </c:strCache>
            </c:strRef>
          </c:cat>
          <c:val>
            <c:numRef>
              <c:f>'Sheet1 (2)'!$C$5:$C$40</c:f>
              <c:numCache>
                <c:formatCode>General</c:formatCode>
                <c:ptCount val="35"/>
                <c:pt idx="0">
                  <c:v>19444</c:v>
                </c:pt>
                <c:pt idx="1">
                  <c:v>21581</c:v>
                </c:pt>
                <c:pt idx="2">
                  <c:v>21478</c:v>
                </c:pt>
                <c:pt idx="3">
                  <c:v>21233</c:v>
                </c:pt>
                <c:pt idx="4">
                  <c:v>22666</c:v>
                </c:pt>
                <c:pt idx="5">
                  <c:v>24289</c:v>
                </c:pt>
                <c:pt idx="6">
                  <c:v>23754</c:v>
                </c:pt>
                <c:pt idx="7">
                  <c:v>23414</c:v>
                </c:pt>
                <c:pt idx="8">
                  <c:v>24562</c:v>
                </c:pt>
                <c:pt idx="9">
                  <c:v>25975</c:v>
                </c:pt>
                <c:pt idx="10">
                  <c:v>25914</c:v>
                </c:pt>
                <c:pt idx="11">
                  <c:v>25704</c:v>
                </c:pt>
                <c:pt idx="12">
                  <c:v>27362</c:v>
                </c:pt>
                <c:pt idx="13">
                  <c:v>28701</c:v>
                </c:pt>
                <c:pt idx="14">
                  <c:v>27906</c:v>
                </c:pt>
                <c:pt idx="15">
                  <c:v>27305</c:v>
                </c:pt>
                <c:pt idx="16">
                  <c:v>28904</c:v>
                </c:pt>
                <c:pt idx="17">
                  <c:v>29963</c:v>
                </c:pt>
                <c:pt idx="18">
                  <c:v>29340</c:v>
                </c:pt>
                <c:pt idx="19">
                  <c:v>29237</c:v>
                </c:pt>
                <c:pt idx="20">
                  <c:v>30587</c:v>
                </c:pt>
                <c:pt idx="21">
                  <c:v>32220</c:v>
                </c:pt>
                <c:pt idx="22">
                  <c:v>31985</c:v>
                </c:pt>
                <c:pt idx="23">
                  <c:v>32256</c:v>
                </c:pt>
                <c:pt idx="24">
                  <c:v>34559</c:v>
                </c:pt>
                <c:pt idx="25">
                  <c:v>36458</c:v>
                </c:pt>
                <c:pt idx="26">
                  <c:v>36451</c:v>
                </c:pt>
                <c:pt idx="27">
                  <c:v>36357</c:v>
                </c:pt>
                <c:pt idx="28">
                  <c:v>38726</c:v>
                </c:pt>
                <c:pt idx="29">
                  <c:v>41594</c:v>
                </c:pt>
                <c:pt idx="30">
                  <c:v>42336</c:v>
                </c:pt>
                <c:pt idx="31">
                  <c:v>43645</c:v>
                </c:pt>
                <c:pt idx="32">
                  <c:v>43388</c:v>
                </c:pt>
                <c:pt idx="33">
                  <c:v>49003</c:v>
                </c:pt>
                <c:pt idx="34">
                  <c:v>49918</c:v>
                </c:pt>
              </c:numCache>
            </c:numRef>
          </c:val>
          <c:smooth val="0"/>
          <c:extLst>
            <c:ext xmlns:c16="http://schemas.microsoft.com/office/drawing/2014/chart" uri="{C3380CC4-5D6E-409C-BE32-E72D297353CC}">
              <c16:uniqueId val="{00000001-8196-47B8-915C-69B06DE629FA}"/>
            </c:ext>
          </c:extLst>
        </c:ser>
        <c:ser>
          <c:idx val="2"/>
          <c:order val="2"/>
          <c:tx>
            <c:strRef>
              <c:f>'Sheet1 (2)'!$D$3:$D$4</c:f>
              <c:strCache>
                <c:ptCount val="1"/>
                <c:pt idx="0">
                  <c:v>Dexamfetamine</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 (2)'!$A$5:$A$40</c:f>
              <c:strCache>
                <c:ptCount val="35"/>
                <c:pt idx="0">
                  <c:v>2012Q2</c:v>
                </c:pt>
                <c:pt idx="1">
                  <c:v>2012Q3</c:v>
                </c:pt>
                <c:pt idx="2">
                  <c:v>2012Q4</c:v>
                </c:pt>
                <c:pt idx="3">
                  <c:v>2013Q1</c:v>
                </c:pt>
                <c:pt idx="4">
                  <c:v>2013Q2</c:v>
                </c:pt>
                <c:pt idx="5">
                  <c:v>2013Q3</c:v>
                </c:pt>
                <c:pt idx="6">
                  <c:v>2013Q4</c:v>
                </c:pt>
                <c:pt idx="7">
                  <c:v>2014Q1</c:v>
                </c:pt>
                <c:pt idx="8">
                  <c:v>2014Q2</c:v>
                </c:pt>
                <c:pt idx="9">
                  <c:v>2014Q3</c:v>
                </c:pt>
                <c:pt idx="10">
                  <c:v>2014Q4</c:v>
                </c:pt>
                <c:pt idx="11">
                  <c:v>2015Q1</c:v>
                </c:pt>
                <c:pt idx="12">
                  <c:v>2015Q2</c:v>
                </c:pt>
                <c:pt idx="13">
                  <c:v>2015Q3</c:v>
                </c:pt>
                <c:pt idx="14">
                  <c:v>2015Q4</c:v>
                </c:pt>
                <c:pt idx="15">
                  <c:v>2016Q1</c:v>
                </c:pt>
                <c:pt idx="16">
                  <c:v>2016Q2</c:v>
                </c:pt>
                <c:pt idx="17">
                  <c:v>2016Q3</c:v>
                </c:pt>
                <c:pt idx="18">
                  <c:v>2016Q4</c:v>
                </c:pt>
                <c:pt idx="19">
                  <c:v>2017Q1</c:v>
                </c:pt>
                <c:pt idx="20">
                  <c:v>2017Q2</c:v>
                </c:pt>
                <c:pt idx="21">
                  <c:v>2017Q3</c:v>
                </c:pt>
                <c:pt idx="22">
                  <c:v>2017Q4</c:v>
                </c:pt>
                <c:pt idx="23">
                  <c:v>2018Q1</c:v>
                </c:pt>
                <c:pt idx="24">
                  <c:v>2018Q2</c:v>
                </c:pt>
                <c:pt idx="25">
                  <c:v>2018Q3</c:v>
                </c:pt>
                <c:pt idx="26">
                  <c:v>2018Q4</c:v>
                </c:pt>
                <c:pt idx="27">
                  <c:v>2019Q1</c:v>
                </c:pt>
                <c:pt idx="28">
                  <c:v>2019Q2</c:v>
                </c:pt>
                <c:pt idx="29">
                  <c:v>2019Q3</c:v>
                </c:pt>
                <c:pt idx="30">
                  <c:v>2019Q4</c:v>
                </c:pt>
                <c:pt idx="31">
                  <c:v>2020Q1</c:v>
                </c:pt>
                <c:pt idx="32">
                  <c:v>2020Q2</c:v>
                </c:pt>
                <c:pt idx="33">
                  <c:v>2020Q3</c:v>
                </c:pt>
                <c:pt idx="34">
                  <c:v>2020Q4</c:v>
                </c:pt>
              </c:strCache>
            </c:strRef>
          </c:cat>
          <c:val>
            <c:numRef>
              <c:f>'Sheet1 (2)'!$D$5:$D$40</c:f>
              <c:numCache>
                <c:formatCode>General</c:formatCode>
                <c:ptCount val="35"/>
                <c:pt idx="0">
                  <c:v>21557</c:v>
                </c:pt>
                <c:pt idx="1">
                  <c:v>22730</c:v>
                </c:pt>
                <c:pt idx="2">
                  <c:v>22908</c:v>
                </c:pt>
                <c:pt idx="3">
                  <c:v>22863</c:v>
                </c:pt>
                <c:pt idx="4">
                  <c:v>23573</c:v>
                </c:pt>
                <c:pt idx="5">
                  <c:v>23975</c:v>
                </c:pt>
                <c:pt idx="6">
                  <c:v>23965</c:v>
                </c:pt>
                <c:pt idx="7">
                  <c:v>23550</c:v>
                </c:pt>
                <c:pt idx="8">
                  <c:v>23930</c:v>
                </c:pt>
                <c:pt idx="9">
                  <c:v>24565</c:v>
                </c:pt>
                <c:pt idx="10">
                  <c:v>24737</c:v>
                </c:pt>
                <c:pt idx="11">
                  <c:v>24732</c:v>
                </c:pt>
                <c:pt idx="12">
                  <c:v>25671</c:v>
                </c:pt>
                <c:pt idx="13">
                  <c:v>26458</c:v>
                </c:pt>
                <c:pt idx="14">
                  <c:v>26501</c:v>
                </c:pt>
                <c:pt idx="15">
                  <c:v>26127</c:v>
                </c:pt>
                <c:pt idx="16">
                  <c:v>26669</c:v>
                </c:pt>
                <c:pt idx="17">
                  <c:v>27381</c:v>
                </c:pt>
                <c:pt idx="18">
                  <c:v>27468</c:v>
                </c:pt>
                <c:pt idx="19">
                  <c:v>27672</c:v>
                </c:pt>
                <c:pt idx="20">
                  <c:v>28400</c:v>
                </c:pt>
                <c:pt idx="21">
                  <c:v>29239</c:v>
                </c:pt>
                <c:pt idx="22">
                  <c:v>29699</c:v>
                </c:pt>
                <c:pt idx="23">
                  <c:v>29978</c:v>
                </c:pt>
                <c:pt idx="24">
                  <c:v>31289</c:v>
                </c:pt>
                <c:pt idx="25">
                  <c:v>32335</c:v>
                </c:pt>
                <c:pt idx="26">
                  <c:v>33196</c:v>
                </c:pt>
                <c:pt idx="27">
                  <c:v>33443</c:v>
                </c:pt>
                <c:pt idx="28">
                  <c:v>34784</c:v>
                </c:pt>
                <c:pt idx="29">
                  <c:v>36582</c:v>
                </c:pt>
                <c:pt idx="30">
                  <c:v>37721</c:v>
                </c:pt>
                <c:pt idx="31">
                  <c:v>39151</c:v>
                </c:pt>
                <c:pt idx="32">
                  <c:v>39877</c:v>
                </c:pt>
                <c:pt idx="33">
                  <c:v>43430</c:v>
                </c:pt>
                <c:pt idx="34">
                  <c:v>45134</c:v>
                </c:pt>
              </c:numCache>
            </c:numRef>
          </c:val>
          <c:smooth val="0"/>
          <c:extLst>
            <c:ext xmlns:c16="http://schemas.microsoft.com/office/drawing/2014/chart" uri="{C3380CC4-5D6E-409C-BE32-E72D297353CC}">
              <c16:uniqueId val="{00000002-8196-47B8-915C-69B06DE629FA}"/>
            </c:ext>
          </c:extLst>
        </c:ser>
        <c:ser>
          <c:idx val="3"/>
          <c:order val="3"/>
          <c:tx>
            <c:strRef>
              <c:f>'Sheet1 (2)'!$E$3:$E$4</c:f>
              <c:strCache>
                <c:ptCount val="1"/>
                <c:pt idx="0">
                  <c:v>Lisdexamfetamine</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 (2)'!$A$5:$A$40</c:f>
              <c:strCache>
                <c:ptCount val="35"/>
                <c:pt idx="0">
                  <c:v>2012Q2</c:v>
                </c:pt>
                <c:pt idx="1">
                  <c:v>2012Q3</c:v>
                </c:pt>
                <c:pt idx="2">
                  <c:v>2012Q4</c:v>
                </c:pt>
                <c:pt idx="3">
                  <c:v>2013Q1</c:v>
                </c:pt>
                <c:pt idx="4">
                  <c:v>2013Q2</c:v>
                </c:pt>
                <c:pt idx="5">
                  <c:v>2013Q3</c:v>
                </c:pt>
                <c:pt idx="6">
                  <c:v>2013Q4</c:v>
                </c:pt>
                <c:pt idx="7">
                  <c:v>2014Q1</c:v>
                </c:pt>
                <c:pt idx="8">
                  <c:v>2014Q2</c:v>
                </c:pt>
                <c:pt idx="9">
                  <c:v>2014Q3</c:v>
                </c:pt>
                <c:pt idx="10">
                  <c:v>2014Q4</c:v>
                </c:pt>
                <c:pt idx="11">
                  <c:v>2015Q1</c:v>
                </c:pt>
                <c:pt idx="12">
                  <c:v>2015Q2</c:v>
                </c:pt>
                <c:pt idx="13">
                  <c:v>2015Q3</c:v>
                </c:pt>
                <c:pt idx="14">
                  <c:v>2015Q4</c:v>
                </c:pt>
                <c:pt idx="15">
                  <c:v>2016Q1</c:v>
                </c:pt>
                <c:pt idx="16">
                  <c:v>2016Q2</c:v>
                </c:pt>
                <c:pt idx="17">
                  <c:v>2016Q3</c:v>
                </c:pt>
                <c:pt idx="18">
                  <c:v>2016Q4</c:v>
                </c:pt>
                <c:pt idx="19">
                  <c:v>2017Q1</c:v>
                </c:pt>
                <c:pt idx="20">
                  <c:v>2017Q2</c:v>
                </c:pt>
                <c:pt idx="21">
                  <c:v>2017Q3</c:v>
                </c:pt>
                <c:pt idx="22">
                  <c:v>2017Q4</c:v>
                </c:pt>
                <c:pt idx="23">
                  <c:v>2018Q1</c:v>
                </c:pt>
                <c:pt idx="24">
                  <c:v>2018Q2</c:v>
                </c:pt>
                <c:pt idx="25">
                  <c:v>2018Q3</c:v>
                </c:pt>
                <c:pt idx="26">
                  <c:v>2018Q4</c:v>
                </c:pt>
                <c:pt idx="27">
                  <c:v>2019Q1</c:v>
                </c:pt>
                <c:pt idx="28">
                  <c:v>2019Q2</c:v>
                </c:pt>
                <c:pt idx="29">
                  <c:v>2019Q3</c:v>
                </c:pt>
                <c:pt idx="30">
                  <c:v>2019Q4</c:v>
                </c:pt>
                <c:pt idx="31">
                  <c:v>2020Q1</c:v>
                </c:pt>
                <c:pt idx="32">
                  <c:v>2020Q2</c:v>
                </c:pt>
                <c:pt idx="33">
                  <c:v>2020Q3</c:v>
                </c:pt>
                <c:pt idx="34">
                  <c:v>2020Q4</c:v>
                </c:pt>
              </c:strCache>
            </c:strRef>
          </c:cat>
          <c:val>
            <c:numRef>
              <c:f>'Sheet1 (2)'!$E$5:$E$40</c:f>
              <c:numCache>
                <c:formatCode>General</c:formatCode>
                <c:ptCount val="35"/>
                <c:pt idx="13">
                  <c:v>2438</c:v>
                </c:pt>
                <c:pt idx="14">
                  <c:v>7090</c:v>
                </c:pt>
                <c:pt idx="15">
                  <c:v>9074</c:v>
                </c:pt>
                <c:pt idx="16">
                  <c:v>11306</c:v>
                </c:pt>
                <c:pt idx="17">
                  <c:v>13759</c:v>
                </c:pt>
                <c:pt idx="18">
                  <c:v>15163</c:v>
                </c:pt>
                <c:pt idx="19">
                  <c:v>16478</c:v>
                </c:pt>
                <c:pt idx="20">
                  <c:v>18477</c:v>
                </c:pt>
                <c:pt idx="21">
                  <c:v>20580</c:v>
                </c:pt>
                <c:pt idx="22">
                  <c:v>21690</c:v>
                </c:pt>
                <c:pt idx="23">
                  <c:v>22883</c:v>
                </c:pt>
                <c:pt idx="24">
                  <c:v>25310</c:v>
                </c:pt>
                <c:pt idx="25">
                  <c:v>27402</c:v>
                </c:pt>
                <c:pt idx="26">
                  <c:v>28316</c:v>
                </c:pt>
                <c:pt idx="27">
                  <c:v>29045</c:v>
                </c:pt>
                <c:pt idx="28">
                  <c:v>31241</c:v>
                </c:pt>
                <c:pt idx="29">
                  <c:v>33847</c:v>
                </c:pt>
                <c:pt idx="30">
                  <c:v>34907</c:v>
                </c:pt>
                <c:pt idx="31">
                  <c:v>36094</c:v>
                </c:pt>
                <c:pt idx="32">
                  <c:v>37937</c:v>
                </c:pt>
                <c:pt idx="33">
                  <c:v>42132</c:v>
                </c:pt>
                <c:pt idx="34">
                  <c:v>44019</c:v>
                </c:pt>
              </c:numCache>
            </c:numRef>
          </c:val>
          <c:smooth val="0"/>
          <c:extLst>
            <c:ext xmlns:c16="http://schemas.microsoft.com/office/drawing/2014/chart" uri="{C3380CC4-5D6E-409C-BE32-E72D297353CC}">
              <c16:uniqueId val="{00000003-8196-47B8-915C-69B06DE629FA}"/>
            </c:ext>
          </c:extLst>
        </c:ser>
        <c:ser>
          <c:idx val="4"/>
          <c:order val="4"/>
          <c:tx>
            <c:strRef>
              <c:f>'Sheet1 (2)'!$F$3:$F$4</c:f>
              <c:strCache>
                <c:ptCount val="1"/>
                <c:pt idx="0">
                  <c:v>Atomoxetine</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'Sheet1 (2)'!$A$5:$A$40</c:f>
              <c:strCache>
                <c:ptCount val="35"/>
                <c:pt idx="0">
                  <c:v>2012Q2</c:v>
                </c:pt>
                <c:pt idx="1">
                  <c:v>2012Q3</c:v>
                </c:pt>
                <c:pt idx="2">
                  <c:v>2012Q4</c:v>
                </c:pt>
                <c:pt idx="3">
                  <c:v>2013Q1</c:v>
                </c:pt>
                <c:pt idx="4">
                  <c:v>2013Q2</c:v>
                </c:pt>
                <c:pt idx="5">
                  <c:v>2013Q3</c:v>
                </c:pt>
                <c:pt idx="6">
                  <c:v>2013Q4</c:v>
                </c:pt>
                <c:pt idx="7">
                  <c:v>2014Q1</c:v>
                </c:pt>
                <c:pt idx="8">
                  <c:v>2014Q2</c:v>
                </c:pt>
                <c:pt idx="9">
                  <c:v>2014Q3</c:v>
                </c:pt>
                <c:pt idx="10">
                  <c:v>2014Q4</c:v>
                </c:pt>
                <c:pt idx="11">
                  <c:v>2015Q1</c:v>
                </c:pt>
                <c:pt idx="12">
                  <c:v>2015Q2</c:v>
                </c:pt>
                <c:pt idx="13">
                  <c:v>2015Q3</c:v>
                </c:pt>
                <c:pt idx="14">
                  <c:v>2015Q4</c:v>
                </c:pt>
                <c:pt idx="15">
                  <c:v>2016Q1</c:v>
                </c:pt>
                <c:pt idx="16">
                  <c:v>2016Q2</c:v>
                </c:pt>
                <c:pt idx="17">
                  <c:v>2016Q3</c:v>
                </c:pt>
                <c:pt idx="18">
                  <c:v>2016Q4</c:v>
                </c:pt>
                <c:pt idx="19">
                  <c:v>2017Q1</c:v>
                </c:pt>
                <c:pt idx="20">
                  <c:v>2017Q2</c:v>
                </c:pt>
                <c:pt idx="21">
                  <c:v>2017Q3</c:v>
                </c:pt>
                <c:pt idx="22">
                  <c:v>2017Q4</c:v>
                </c:pt>
                <c:pt idx="23">
                  <c:v>2018Q1</c:v>
                </c:pt>
                <c:pt idx="24">
                  <c:v>2018Q2</c:v>
                </c:pt>
                <c:pt idx="25">
                  <c:v>2018Q3</c:v>
                </c:pt>
                <c:pt idx="26">
                  <c:v>2018Q4</c:v>
                </c:pt>
                <c:pt idx="27">
                  <c:v>2019Q1</c:v>
                </c:pt>
                <c:pt idx="28">
                  <c:v>2019Q2</c:v>
                </c:pt>
                <c:pt idx="29">
                  <c:v>2019Q3</c:v>
                </c:pt>
                <c:pt idx="30">
                  <c:v>2019Q4</c:v>
                </c:pt>
                <c:pt idx="31">
                  <c:v>2020Q1</c:v>
                </c:pt>
                <c:pt idx="32">
                  <c:v>2020Q2</c:v>
                </c:pt>
                <c:pt idx="33">
                  <c:v>2020Q3</c:v>
                </c:pt>
                <c:pt idx="34">
                  <c:v>2020Q4</c:v>
                </c:pt>
              </c:strCache>
            </c:strRef>
          </c:cat>
          <c:val>
            <c:numRef>
              <c:f>'Sheet1 (2)'!$F$5:$F$40</c:f>
              <c:numCache>
                <c:formatCode>General</c:formatCode>
                <c:ptCount val="35"/>
                <c:pt idx="0">
                  <c:v>4571</c:v>
                </c:pt>
                <c:pt idx="1">
                  <c:v>4703</c:v>
                </c:pt>
                <c:pt idx="2">
                  <c:v>4783</c:v>
                </c:pt>
                <c:pt idx="3">
                  <c:v>4697</c:v>
                </c:pt>
                <c:pt idx="4">
                  <c:v>4872</c:v>
                </c:pt>
                <c:pt idx="5">
                  <c:v>4991</c:v>
                </c:pt>
                <c:pt idx="6">
                  <c:v>4822</c:v>
                </c:pt>
                <c:pt idx="7">
                  <c:v>4513</c:v>
                </c:pt>
                <c:pt idx="8">
                  <c:v>4750</c:v>
                </c:pt>
                <c:pt idx="9">
                  <c:v>4962</c:v>
                </c:pt>
                <c:pt idx="10">
                  <c:v>5113</c:v>
                </c:pt>
                <c:pt idx="11">
                  <c:v>4983</c:v>
                </c:pt>
                <c:pt idx="12">
                  <c:v>5187</c:v>
                </c:pt>
                <c:pt idx="13">
                  <c:v>5375</c:v>
                </c:pt>
                <c:pt idx="14">
                  <c:v>5330</c:v>
                </c:pt>
                <c:pt idx="15">
                  <c:v>5188</c:v>
                </c:pt>
                <c:pt idx="16">
                  <c:v>5530</c:v>
                </c:pt>
                <c:pt idx="17">
                  <c:v>5710</c:v>
                </c:pt>
                <c:pt idx="18">
                  <c:v>5699</c:v>
                </c:pt>
                <c:pt idx="19">
                  <c:v>5768</c:v>
                </c:pt>
                <c:pt idx="20">
                  <c:v>5971</c:v>
                </c:pt>
                <c:pt idx="21">
                  <c:v>6095</c:v>
                </c:pt>
                <c:pt idx="22">
                  <c:v>6195</c:v>
                </c:pt>
                <c:pt idx="23">
                  <c:v>6246</c:v>
                </c:pt>
                <c:pt idx="24">
                  <c:v>6433</c:v>
                </c:pt>
                <c:pt idx="25">
                  <c:v>6455</c:v>
                </c:pt>
                <c:pt idx="26">
                  <c:v>6431</c:v>
                </c:pt>
                <c:pt idx="27">
                  <c:v>6250</c:v>
                </c:pt>
                <c:pt idx="28">
                  <c:v>6437</c:v>
                </c:pt>
                <c:pt idx="29">
                  <c:v>6573</c:v>
                </c:pt>
                <c:pt idx="30">
                  <c:v>6565</c:v>
                </c:pt>
                <c:pt idx="31">
                  <c:v>6575</c:v>
                </c:pt>
                <c:pt idx="32">
                  <c:v>6638</c:v>
                </c:pt>
                <c:pt idx="33">
                  <c:v>7159</c:v>
                </c:pt>
                <c:pt idx="34">
                  <c:v>7310</c:v>
                </c:pt>
              </c:numCache>
            </c:numRef>
          </c:val>
          <c:smooth val="0"/>
          <c:extLst>
            <c:ext xmlns:c16="http://schemas.microsoft.com/office/drawing/2014/chart" uri="{C3380CC4-5D6E-409C-BE32-E72D297353CC}">
              <c16:uniqueId val="{00000004-8196-47B8-915C-69B06DE629FA}"/>
            </c:ext>
          </c:extLst>
        </c:ser>
        <c:ser>
          <c:idx val="5"/>
          <c:order val="5"/>
          <c:tx>
            <c:strRef>
              <c:f>'Sheet1 (2)'!$G$3:$G$4</c:f>
              <c:strCache>
                <c:ptCount val="1"/>
                <c:pt idx="0">
                  <c:v>Guanfacine</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Ref>
              <c:f>'Sheet1 (2)'!$A$5:$A$40</c:f>
              <c:strCache>
                <c:ptCount val="35"/>
                <c:pt idx="0">
                  <c:v>2012Q2</c:v>
                </c:pt>
                <c:pt idx="1">
                  <c:v>2012Q3</c:v>
                </c:pt>
                <c:pt idx="2">
                  <c:v>2012Q4</c:v>
                </c:pt>
                <c:pt idx="3">
                  <c:v>2013Q1</c:v>
                </c:pt>
                <c:pt idx="4">
                  <c:v>2013Q2</c:v>
                </c:pt>
                <c:pt idx="5">
                  <c:v>2013Q3</c:v>
                </c:pt>
                <c:pt idx="6">
                  <c:v>2013Q4</c:v>
                </c:pt>
                <c:pt idx="7">
                  <c:v>2014Q1</c:v>
                </c:pt>
                <c:pt idx="8">
                  <c:v>2014Q2</c:v>
                </c:pt>
                <c:pt idx="9">
                  <c:v>2014Q3</c:v>
                </c:pt>
                <c:pt idx="10">
                  <c:v>2014Q4</c:v>
                </c:pt>
                <c:pt idx="11">
                  <c:v>2015Q1</c:v>
                </c:pt>
                <c:pt idx="12">
                  <c:v>2015Q2</c:v>
                </c:pt>
                <c:pt idx="13">
                  <c:v>2015Q3</c:v>
                </c:pt>
                <c:pt idx="14">
                  <c:v>2015Q4</c:v>
                </c:pt>
                <c:pt idx="15">
                  <c:v>2016Q1</c:v>
                </c:pt>
                <c:pt idx="16">
                  <c:v>2016Q2</c:v>
                </c:pt>
                <c:pt idx="17">
                  <c:v>2016Q3</c:v>
                </c:pt>
                <c:pt idx="18">
                  <c:v>2016Q4</c:v>
                </c:pt>
                <c:pt idx="19">
                  <c:v>2017Q1</c:v>
                </c:pt>
                <c:pt idx="20">
                  <c:v>2017Q2</c:v>
                </c:pt>
                <c:pt idx="21">
                  <c:v>2017Q3</c:v>
                </c:pt>
                <c:pt idx="22">
                  <c:v>2017Q4</c:v>
                </c:pt>
                <c:pt idx="23">
                  <c:v>2018Q1</c:v>
                </c:pt>
                <c:pt idx="24">
                  <c:v>2018Q2</c:v>
                </c:pt>
                <c:pt idx="25">
                  <c:v>2018Q3</c:v>
                </c:pt>
                <c:pt idx="26">
                  <c:v>2018Q4</c:v>
                </c:pt>
                <c:pt idx="27">
                  <c:v>2019Q1</c:v>
                </c:pt>
                <c:pt idx="28">
                  <c:v>2019Q2</c:v>
                </c:pt>
                <c:pt idx="29">
                  <c:v>2019Q3</c:v>
                </c:pt>
                <c:pt idx="30">
                  <c:v>2019Q4</c:v>
                </c:pt>
                <c:pt idx="31">
                  <c:v>2020Q1</c:v>
                </c:pt>
                <c:pt idx="32">
                  <c:v>2020Q2</c:v>
                </c:pt>
                <c:pt idx="33">
                  <c:v>2020Q3</c:v>
                </c:pt>
                <c:pt idx="34">
                  <c:v>2020Q4</c:v>
                </c:pt>
              </c:strCache>
            </c:strRef>
          </c:cat>
          <c:val>
            <c:numRef>
              <c:f>'Sheet1 (2)'!$G$5:$G$40</c:f>
              <c:numCache>
                <c:formatCode>General</c:formatCode>
                <c:ptCount val="35"/>
                <c:pt idx="25">
                  <c:v>915</c:v>
                </c:pt>
                <c:pt idx="26">
                  <c:v>3699</c:v>
                </c:pt>
                <c:pt idx="27">
                  <c:v>6091</c:v>
                </c:pt>
                <c:pt idx="28">
                  <c:v>9520</c:v>
                </c:pt>
                <c:pt idx="29">
                  <c:v>12173</c:v>
                </c:pt>
                <c:pt idx="30">
                  <c:v>13668</c:v>
                </c:pt>
                <c:pt idx="31">
                  <c:v>14715</c:v>
                </c:pt>
                <c:pt idx="32">
                  <c:v>16024</c:v>
                </c:pt>
                <c:pt idx="33">
                  <c:v>18160</c:v>
                </c:pt>
                <c:pt idx="34">
                  <c:v>19539</c:v>
                </c:pt>
              </c:numCache>
            </c:numRef>
          </c:val>
          <c:smooth val="0"/>
          <c:extLst>
            <c:ext xmlns:c16="http://schemas.microsoft.com/office/drawing/2014/chart" uri="{C3380CC4-5D6E-409C-BE32-E72D297353CC}">
              <c16:uniqueId val="{00000005-8196-47B8-915C-69B06DE629FA}"/>
            </c:ext>
          </c:extLst>
        </c:ser>
        <c:dLbls>
          <c:showLegendKey val="0"/>
          <c:showVal val="0"/>
          <c:showCatName val="0"/>
          <c:showSerName val="0"/>
          <c:showPercent val="0"/>
          <c:showBubbleSize val="0"/>
        </c:dLbls>
        <c:marker val="1"/>
        <c:smooth val="0"/>
        <c:axId val="915059048"/>
        <c:axId val="915062984"/>
      </c:lineChart>
      <c:catAx>
        <c:axId val="915059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5062984"/>
        <c:crosses val="autoZero"/>
        <c:auto val="1"/>
        <c:lblAlgn val="ctr"/>
        <c:lblOffset val="100"/>
        <c:noMultiLvlLbl val="0"/>
      </c:catAx>
      <c:valAx>
        <c:axId val="9150629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 of patients</a:t>
                </a:r>
              </a:p>
            </c:rich>
          </c:tx>
          <c:layout>
            <c:manualLayout>
              <c:xMode val="edge"/>
              <c:yMode val="edge"/>
              <c:x val="1.5034867008152944E-2"/>
              <c:y val="0.412420132201707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5059048"/>
        <c:crosses val="autoZero"/>
        <c:crossBetween val="between"/>
      </c:valAx>
      <c:spPr>
        <a:noFill/>
        <a:ln>
          <a:noFill/>
        </a:ln>
        <a:effectLst/>
      </c:spPr>
    </c:plotArea>
    <c:legend>
      <c:legendPos val="b"/>
      <c:layout>
        <c:manualLayout>
          <c:xMode val="edge"/>
          <c:yMode val="edge"/>
          <c:x val="0.19996116688359944"/>
          <c:y val="0.90516190467634794"/>
          <c:w val="0.59571323633645634"/>
          <c:h val="9.198584204356087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[D1304_PATCNTBY_FORM  SUPP_Year idvarage_supp pat_sex pat_state v2 - figs 67 incl clonidine.xlsx]Sheet1 (3)!PivotTable2</c:name>
    <c:fmtId val="-1"/>
  </c:pivotSource>
  <c:chart>
    <c:autoTitleDeleted val="1"/>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8"/>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19"/>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20"/>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21"/>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pivotFmt>
      <c:pivotFmt>
        <c:idx val="22"/>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pivotFmt>
      <c:pivotFmt>
        <c:idx val="23"/>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2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5"/>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26"/>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27"/>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28"/>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29"/>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pivotFmt>
      <c:pivotFmt>
        <c:idx val="30"/>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pivotFmt>
      <c:pivotFmt>
        <c:idx val="3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2"/>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33"/>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34"/>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35"/>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36"/>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pivotFmt>
      <c:pivotFmt>
        <c:idx val="37"/>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pivotFmt>
    </c:pivotFmts>
    <c:plotArea>
      <c:layout/>
      <c:lineChart>
        <c:grouping val="standard"/>
        <c:varyColors val="0"/>
        <c:ser>
          <c:idx val="0"/>
          <c:order val="0"/>
          <c:tx>
            <c:strRef>
              <c:f>'Sheet1 (3)'!$B$1</c:f>
              <c:strCache>
                <c:ptCount val="1"/>
                <c:pt idx="0">
                  <c:v>MPH-IR</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 (3)'!$B$1</c:f>
              <c:strCache>
                <c:ptCount val="67"/>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&gt; 65</c:v>
                </c:pt>
              </c:strCache>
            </c:strRef>
          </c:cat>
          <c:val>
            <c:numRef>
              <c:f>'Sheet1 (3)'!$B$1</c:f>
              <c:numCache>
                <c:formatCode>General</c:formatCode>
                <c:ptCount val="67"/>
                <c:pt idx="0">
                  <c:v>2</c:v>
                </c:pt>
                <c:pt idx="1">
                  <c:v>5</c:v>
                </c:pt>
                <c:pt idx="2">
                  <c:v>4</c:v>
                </c:pt>
                <c:pt idx="3">
                  <c:v>62</c:v>
                </c:pt>
                <c:pt idx="4">
                  <c:v>441</c:v>
                </c:pt>
                <c:pt idx="5">
                  <c:v>1979</c:v>
                </c:pt>
                <c:pt idx="6">
                  <c:v>4111</c:v>
                </c:pt>
                <c:pt idx="7">
                  <c:v>3865</c:v>
                </c:pt>
                <c:pt idx="8">
                  <c:v>3150</c:v>
                </c:pt>
                <c:pt idx="9">
                  <c:v>2409</c:v>
                </c:pt>
                <c:pt idx="10">
                  <c:v>1722</c:v>
                </c:pt>
                <c:pt idx="11">
                  <c:v>1308</c:v>
                </c:pt>
                <c:pt idx="12">
                  <c:v>1005</c:v>
                </c:pt>
                <c:pt idx="13">
                  <c:v>978</c:v>
                </c:pt>
                <c:pt idx="14">
                  <c:v>740</c:v>
                </c:pt>
                <c:pt idx="15">
                  <c:v>611</c:v>
                </c:pt>
                <c:pt idx="16">
                  <c:v>667</c:v>
                </c:pt>
                <c:pt idx="17">
                  <c:v>688</c:v>
                </c:pt>
                <c:pt idx="18">
                  <c:v>318</c:v>
                </c:pt>
                <c:pt idx="19">
                  <c:v>302</c:v>
                </c:pt>
                <c:pt idx="20">
                  <c:v>345</c:v>
                </c:pt>
                <c:pt idx="21">
                  <c:v>337</c:v>
                </c:pt>
                <c:pt idx="22">
                  <c:v>338</c:v>
                </c:pt>
                <c:pt idx="23">
                  <c:v>291</c:v>
                </c:pt>
                <c:pt idx="24">
                  <c:v>296</c:v>
                </c:pt>
                <c:pt idx="25">
                  <c:v>311</c:v>
                </c:pt>
                <c:pt idx="26">
                  <c:v>306</c:v>
                </c:pt>
                <c:pt idx="27">
                  <c:v>264</c:v>
                </c:pt>
                <c:pt idx="28">
                  <c:v>297</c:v>
                </c:pt>
                <c:pt idx="29">
                  <c:v>259</c:v>
                </c:pt>
                <c:pt idx="30">
                  <c:v>273</c:v>
                </c:pt>
                <c:pt idx="31">
                  <c:v>238</c:v>
                </c:pt>
                <c:pt idx="32">
                  <c:v>213</c:v>
                </c:pt>
                <c:pt idx="33">
                  <c:v>206</c:v>
                </c:pt>
                <c:pt idx="34">
                  <c:v>198</c:v>
                </c:pt>
                <c:pt idx="35">
                  <c:v>221</c:v>
                </c:pt>
                <c:pt idx="36">
                  <c:v>194</c:v>
                </c:pt>
                <c:pt idx="37">
                  <c:v>179</c:v>
                </c:pt>
                <c:pt idx="38">
                  <c:v>167</c:v>
                </c:pt>
                <c:pt idx="39">
                  <c:v>155</c:v>
                </c:pt>
                <c:pt idx="40">
                  <c:v>137</c:v>
                </c:pt>
                <c:pt idx="41">
                  <c:v>129</c:v>
                </c:pt>
                <c:pt idx="42">
                  <c:v>145</c:v>
                </c:pt>
                <c:pt idx="43">
                  <c:v>138</c:v>
                </c:pt>
                <c:pt idx="44">
                  <c:v>141</c:v>
                </c:pt>
                <c:pt idx="45">
                  <c:v>123</c:v>
                </c:pt>
                <c:pt idx="46">
                  <c:v>121</c:v>
                </c:pt>
                <c:pt idx="47">
                  <c:v>108</c:v>
                </c:pt>
                <c:pt idx="48">
                  <c:v>113</c:v>
                </c:pt>
                <c:pt idx="49">
                  <c:v>82</c:v>
                </c:pt>
                <c:pt idx="50">
                  <c:v>80</c:v>
                </c:pt>
                <c:pt idx="51">
                  <c:v>67</c:v>
                </c:pt>
                <c:pt idx="52">
                  <c:v>58</c:v>
                </c:pt>
                <c:pt idx="53">
                  <c:v>63</c:v>
                </c:pt>
                <c:pt idx="54">
                  <c:v>45</c:v>
                </c:pt>
                <c:pt idx="55">
                  <c:v>34</c:v>
                </c:pt>
                <c:pt idx="56">
                  <c:v>34</c:v>
                </c:pt>
                <c:pt idx="57">
                  <c:v>30</c:v>
                </c:pt>
                <c:pt idx="58">
                  <c:v>29</c:v>
                </c:pt>
                <c:pt idx="59">
                  <c:v>35</c:v>
                </c:pt>
                <c:pt idx="60">
                  <c:v>21</c:v>
                </c:pt>
                <c:pt idx="61">
                  <c:v>24</c:v>
                </c:pt>
                <c:pt idx="62">
                  <c:v>12</c:v>
                </c:pt>
                <c:pt idx="63">
                  <c:v>16</c:v>
                </c:pt>
                <c:pt idx="64">
                  <c:v>8</c:v>
                </c:pt>
                <c:pt idx="65">
                  <c:v>11</c:v>
                </c:pt>
                <c:pt idx="66">
                  <c:v>70</c:v>
                </c:pt>
              </c:numCache>
            </c:numRef>
          </c:val>
          <c:smooth val="0"/>
          <c:extLst>
            <c:ext xmlns:c16="http://schemas.microsoft.com/office/drawing/2014/chart" uri="{C3380CC4-5D6E-409C-BE32-E72D297353CC}">
              <c16:uniqueId val="{00000000-B458-400F-B91F-BD518582DAF1}"/>
            </c:ext>
          </c:extLst>
        </c:ser>
        <c:ser>
          <c:idx val="1"/>
          <c:order val="1"/>
          <c:tx>
            <c:strRef>
              <c:f>'Sheet1 (3)'!$B$1</c:f>
              <c:strCache>
                <c:ptCount val="1"/>
                <c:pt idx="0">
                  <c:v>Clonidine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 (3)'!$B$1</c:f>
              <c:strCache>
                <c:ptCount val="67"/>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&gt; 65</c:v>
                </c:pt>
              </c:strCache>
            </c:strRef>
          </c:cat>
          <c:val>
            <c:numRef>
              <c:f>'Sheet1 (3)'!$B$1</c:f>
              <c:numCache>
                <c:formatCode>General</c:formatCode>
                <c:ptCount val="67"/>
                <c:pt idx="0">
                  <c:v>14</c:v>
                </c:pt>
                <c:pt idx="1">
                  <c:v>46</c:v>
                </c:pt>
                <c:pt idx="2">
                  <c:v>178</c:v>
                </c:pt>
                <c:pt idx="3">
                  <c:v>472</c:v>
                </c:pt>
                <c:pt idx="4">
                  <c:v>756</c:v>
                </c:pt>
                <c:pt idx="5">
                  <c:v>778</c:v>
                </c:pt>
                <c:pt idx="6">
                  <c:v>550</c:v>
                </c:pt>
                <c:pt idx="7">
                  <c:v>450</c:v>
                </c:pt>
                <c:pt idx="8">
                  <c:v>451</c:v>
                </c:pt>
                <c:pt idx="9">
                  <c:v>379</c:v>
                </c:pt>
                <c:pt idx="10">
                  <c:v>358</c:v>
                </c:pt>
                <c:pt idx="11">
                  <c:v>379</c:v>
                </c:pt>
                <c:pt idx="12">
                  <c:v>328</c:v>
                </c:pt>
                <c:pt idx="13">
                  <c:v>341</c:v>
                </c:pt>
                <c:pt idx="14">
                  <c:v>366</c:v>
                </c:pt>
                <c:pt idx="15">
                  <c:v>389</c:v>
                </c:pt>
                <c:pt idx="16">
                  <c:v>392</c:v>
                </c:pt>
                <c:pt idx="17">
                  <c:v>313</c:v>
                </c:pt>
                <c:pt idx="18">
                  <c:v>216</c:v>
                </c:pt>
                <c:pt idx="19">
                  <c:v>180</c:v>
                </c:pt>
                <c:pt idx="20">
                  <c:v>220</c:v>
                </c:pt>
                <c:pt idx="21">
                  <c:v>213</c:v>
                </c:pt>
                <c:pt idx="22">
                  <c:v>209</c:v>
                </c:pt>
                <c:pt idx="23">
                  <c:v>221</c:v>
                </c:pt>
                <c:pt idx="24">
                  <c:v>230</c:v>
                </c:pt>
                <c:pt idx="25">
                  <c:v>228</c:v>
                </c:pt>
                <c:pt idx="26">
                  <c:v>243</c:v>
                </c:pt>
                <c:pt idx="27">
                  <c:v>246</c:v>
                </c:pt>
                <c:pt idx="28">
                  <c:v>246</c:v>
                </c:pt>
                <c:pt idx="29">
                  <c:v>247</c:v>
                </c:pt>
                <c:pt idx="30">
                  <c:v>224</c:v>
                </c:pt>
                <c:pt idx="31">
                  <c:v>270</c:v>
                </c:pt>
                <c:pt idx="32">
                  <c:v>245</c:v>
                </c:pt>
                <c:pt idx="33">
                  <c:v>233</c:v>
                </c:pt>
                <c:pt idx="34">
                  <c:v>257</c:v>
                </c:pt>
                <c:pt idx="35">
                  <c:v>259</c:v>
                </c:pt>
                <c:pt idx="36">
                  <c:v>276</c:v>
                </c:pt>
                <c:pt idx="37">
                  <c:v>261</c:v>
                </c:pt>
                <c:pt idx="38">
                  <c:v>304</c:v>
                </c:pt>
                <c:pt idx="39">
                  <c:v>300</c:v>
                </c:pt>
                <c:pt idx="40">
                  <c:v>290</c:v>
                </c:pt>
                <c:pt idx="41">
                  <c:v>304</c:v>
                </c:pt>
                <c:pt idx="42">
                  <c:v>316</c:v>
                </c:pt>
                <c:pt idx="43">
                  <c:v>325</c:v>
                </c:pt>
                <c:pt idx="44">
                  <c:v>333</c:v>
                </c:pt>
                <c:pt idx="45">
                  <c:v>394</c:v>
                </c:pt>
                <c:pt idx="46">
                  <c:v>412</c:v>
                </c:pt>
                <c:pt idx="47">
                  <c:v>494</c:v>
                </c:pt>
                <c:pt idx="48">
                  <c:v>614</c:v>
                </c:pt>
                <c:pt idx="49">
                  <c:v>611</c:v>
                </c:pt>
                <c:pt idx="50">
                  <c:v>639</c:v>
                </c:pt>
                <c:pt idx="51">
                  <c:v>723</c:v>
                </c:pt>
                <c:pt idx="52">
                  <c:v>729</c:v>
                </c:pt>
                <c:pt idx="53">
                  <c:v>610</c:v>
                </c:pt>
                <c:pt idx="54">
                  <c:v>587</c:v>
                </c:pt>
                <c:pt idx="55">
                  <c:v>539</c:v>
                </c:pt>
                <c:pt idx="56">
                  <c:v>430</c:v>
                </c:pt>
                <c:pt idx="57">
                  <c:v>433</c:v>
                </c:pt>
                <c:pt idx="58">
                  <c:v>413</c:v>
                </c:pt>
                <c:pt idx="59">
                  <c:v>377</c:v>
                </c:pt>
                <c:pt idx="60">
                  <c:v>349</c:v>
                </c:pt>
                <c:pt idx="61">
                  <c:v>321</c:v>
                </c:pt>
                <c:pt idx="62">
                  <c:v>319</c:v>
                </c:pt>
                <c:pt idx="63">
                  <c:v>278</c:v>
                </c:pt>
                <c:pt idx="64">
                  <c:v>290</c:v>
                </c:pt>
                <c:pt idx="65">
                  <c:v>293</c:v>
                </c:pt>
                <c:pt idx="66">
                  <c:v>3331</c:v>
                </c:pt>
              </c:numCache>
            </c:numRef>
          </c:val>
          <c:smooth val="0"/>
          <c:extLst>
            <c:ext xmlns:c16="http://schemas.microsoft.com/office/drawing/2014/chart" uri="{C3380CC4-5D6E-409C-BE32-E72D297353CC}">
              <c16:uniqueId val="{00000001-B458-400F-B91F-BD518582DAF1}"/>
            </c:ext>
          </c:extLst>
        </c:ser>
        <c:ser>
          <c:idx val="2"/>
          <c:order val="2"/>
          <c:tx>
            <c:strRef>
              <c:f>'Sheet1 (3)'!$B$1</c:f>
              <c:strCache>
                <c:ptCount val="1"/>
                <c:pt idx="0">
                  <c:v>Dexamfetamine</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 (3)'!$B$1</c:f>
              <c:strCache>
                <c:ptCount val="67"/>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&gt; 65</c:v>
                </c:pt>
              </c:strCache>
            </c:strRef>
          </c:cat>
          <c:val>
            <c:numRef>
              <c:f>'Sheet1 (3)'!$B$1</c:f>
              <c:numCache>
                <c:formatCode>General</c:formatCode>
                <c:ptCount val="67"/>
                <c:pt idx="1">
                  <c:v>1</c:v>
                </c:pt>
                <c:pt idx="2">
                  <c:v>3</c:v>
                </c:pt>
                <c:pt idx="3">
                  <c:v>31</c:v>
                </c:pt>
                <c:pt idx="4">
                  <c:v>147</c:v>
                </c:pt>
                <c:pt idx="5">
                  <c:v>426</c:v>
                </c:pt>
                <c:pt idx="6">
                  <c:v>252</c:v>
                </c:pt>
                <c:pt idx="7">
                  <c:v>234</c:v>
                </c:pt>
                <c:pt idx="8">
                  <c:v>173</c:v>
                </c:pt>
                <c:pt idx="9">
                  <c:v>147</c:v>
                </c:pt>
                <c:pt idx="10">
                  <c:v>88</c:v>
                </c:pt>
                <c:pt idx="11">
                  <c:v>81</c:v>
                </c:pt>
                <c:pt idx="12">
                  <c:v>73</c:v>
                </c:pt>
                <c:pt idx="13">
                  <c:v>89</c:v>
                </c:pt>
                <c:pt idx="14">
                  <c:v>93</c:v>
                </c:pt>
                <c:pt idx="15">
                  <c:v>111</c:v>
                </c:pt>
                <c:pt idx="16">
                  <c:v>142</c:v>
                </c:pt>
                <c:pt idx="17">
                  <c:v>175</c:v>
                </c:pt>
                <c:pt idx="18">
                  <c:v>156</c:v>
                </c:pt>
                <c:pt idx="19">
                  <c:v>261</c:v>
                </c:pt>
                <c:pt idx="20">
                  <c:v>328</c:v>
                </c:pt>
                <c:pt idx="21">
                  <c:v>320</c:v>
                </c:pt>
                <c:pt idx="22">
                  <c:v>321</c:v>
                </c:pt>
                <c:pt idx="23">
                  <c:v>312</c:v>
                </c:pt>
                <c:pt idx="24">
                  <c:v>309</c:v>
                </c:pt>
                <c:pt idx="25">
                  <c:v>319</c:v>
                </c:pt>
                <c:pt idx="26">
                  <c:v>358</c:v>
                </c:pt>
                <c:pt idx="27">
                  <c:v>345</c:v>
                </c:pt>
                <c:pt idx="28">
                  <c:v>368</c:v>
                </c:pt>
                <c:pt idx="29">
                  <c:v>313</c:v>
                </c:pt>
                <c:pt idx="30">
                  <c:v>340</c:v>
                </c:pt>
                <c:pt idx="31">
                  <c:v>298</c:v>
                </c:pt>
                <c:pt idx="32">
                  <c:v>293</c:v>
                </c:pt>
                <c:pt idx="33">
                  <c:v>289</c:v>
                </c:pt>
                <c:pt idx="34">
                  <c:v>241</c:v>
                </c:pt>
                <c:pt idx="35">
                  <c:v>259</c:v>
                </c:pt>
                <c:pt idx="36">
                  <c:v>239</c:v>
                </c:pt>
                <c:pt idx="37">
                  <c:v>281</c:v>
                </c:pt>
                <c:pt idx="38">
                  <c:v>240</c:v>
                </c:pt>
                <c:pt idx="39">
                  <c:v>214</c:v>
                </c:pt>
                <c:pt idx="40">
                  <c:v>207</c:v>
                </c:pt>
                <c:pt idx="41">
                  <c:v>218</c:v>
                </c:pt>
                <c:pt idx="42">
                  <c:v>199</c:v>
                </c:pt>
                <c:pt idx="43">
                  <c:v>187</c:v>
                </c:pt>
                <c:pt idx="44">
                  <c:v>172</c:v>
                </c:pt>
                <c:pt idx="45">
                  <c:v>174</c:v>
                </c:pt>
                <c:pt idx="46">
                  <c:v>161</c:v>
                </c:pt>
                <c:pt idx="47">
                  <c:v>141</c:v>
                </c:pt>
                <c:pt idx="48">
                  <c:v>155</c:v>
                </c:pt>
                <c:pt idx="49">
                  <c:v>127</c:v>
                </c:pt>
                <c:pt idx="50">
                  <c:v>121</c:v>
                </c:pt>
                <c:pt idx="51">
                  <c:v>100</c:v>
                </c:pt>
                <c:pt idx="52">
                  <c:v>97</c:v>
                </c:pt>
                <c:pt idx="53">
                  <c:v>87</c:v>
                </c:pt>
                <c:pt idx="54">
                  <c:v>49</c:v>
                </c:pt>
                <c:pt idx="55">
                  <c:v>58</c:v>
                </c:pt>
                <c:pt idx="56">
                  <c:v>55</c:v>
                </c:pt>
                <c:pt idx="57">
                  <c:v>55</c:v>
                </c:pt>
                <c:pt idx="58">
                  <c:v>46</c:v>
                </c:pt>
                <c:pt idx="59">
                  <c:v>34</c:v>
                </c:pt>
                <c:pt idx="60">
                  <c:v>28</c:v>
                </c:pt>
                <c:pt idx="61">
                  <c:v>32</c:v>
                </c:pt>
                <c:pt idx="62">
                  <c:v>28</c:v>
                </c:pt>
                <c:pt idx="63">
                  <c:v>21</c:v>
                </c:pt>
                <c:pt idx="64">
                  <c:v>14</c:v>
                </c:pt>
                <c:pt idx="65">
                  <c:v>22</c:v>
                </c:pt>
                <c:pt idx="66">
                  <c:v>126</c:v>
                </c:pt>
              </c:numCache>
            </c:numRef>
          </c:val>
          <c:smooth val="0"/>
          <c:extLst>
            <c:ext xmlns:c16="http://schemas.microsoft.com/office/drawing/2014/chart" uri="{C3380CC4-5D6E-409C-BE32-E72D297353CC}">
              <c16:uniqueId val="{00000002-B458-400F-B91F-BD518582DAF1}"/>
            </c:ext>
          </c:extLst>
        </c:ser>
        <c:ser>
          <c:idx val="3"/>
          <c:order val="3"/>
          <c:tx>
            <c:strRef>
              <c:f>'Sheet1 (3)'!$B$1</c:f>
              <c:strCache>
                <c:ptCount val="1"/>
                <c:pt idx="0">
                  <c:v>Lisdexamfetamine</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 (3)'!$B$1</c:f>
              <c:strCache>
                <c:ptCount val="67"/>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&gt; 65</c:v>
                </c:pt>
              </c:strCache>
            </c:strRef>
          </c:cat>
          <c:val>
            <c:numRef>
              <c:f>'Sheet1 (3)'!$B$1</c:f>
              <c:numCache>
                <c:formatCode>General</c:formatCode>
                <c:ptCount val="67"/>
                <c:pt idx="2">
                  <c:v>1</c:v>
                </c:pt>
                <c:pt idx="3">
                  <c:v>1</c:v>
                </c:pt>
                <c:pt idx="5">
                  <c:v>13</c:v>
                </c:pt>
                <c:pt idx="6">
                  <c:v>676</c:v>
                </c:pt>
                <c:pt idx="7">
                  <c:v>641</c:v>
                </c:pt>
                <c:pt idx="8">
                  <c:v>610</c:v>
                </c:pt>
                <c:pt idx="9">
                  <c:v>613</c:v>
                </c:pt>
                <c:pt idx="10">
                  <c:v>497</c:v>
                </c:pt>
                <c:pt idx="11">
                  <c:v>543</c:v>
                </c:pt>
                <c:pt idx="12">
                  <c:v>569</c:v>
                </c:pt>
                <c:pt idx="13">
                  <c:v>663</c:v>
                </c:pt>
                <c:pt idx="14">
                  <c:v>610</c:v>
                </c:pt>
                <c:pt idx="15">
                  <c:v>579</c:v>
                </c:pt>
                <c:pt idx="16">
                  <c:v>543</c:v>
                </c:pt>
                <c:pt idx="17">
                  <c:v>472</c:v>
                </c:pt>
                <c:pt idx="18">
                  <c:v>157</c:v>
                </c:pt>
                <c:pt idx="19">
                  <c:v>97</c:v>
                </c:pt>
                <c:pt idx="20">
                  <c:v>82</c:v>
                </c:pt>
                <c:pt idx="21">
                  <c:v>73</c:v>
                </c:pt>
                <c:pt idx="22">
                  <c:v>88</c:v>
                </c:pt>
                <c:pt idx="23">
                  <c:v>83</c:v>
                </c:pt>
                <c:pt idx="24">
                  <c:v>66</c:v>
                </c:pt>
                <c:pt idx="25">
                  <c:v>72</c:v>
                </c:pt>
                <c:pt idx="26">
                  <c:v>64</c:v>
                </c:pt>
                <c:pt idx="27">
                  <c:v>72</c:v>
                </c:pt>
                <c:pt idx="28">
                  <c:v>68</c:v>
                </c:pt>
                <c:pt idx="29">
                  <c:v>80</c:v>
                </c:pt>
                <c:pt idx="30">
                  <c:v>81</c:v>
                </c:pt>
                <c:pt idx="31">
                  <c:v>62</c:v>
                </c:pt>
                <c:pt idx="32">
                  <c:v>66</c:v>
                </c:pt>
                <c:pt idx="33">
                  <c:v>70</c:v>
                </c:pt>
                <c:pt idx="34">
                  <c:v>53</c:v>
                </c:pt>
                <c:pt idx="35">
                  <c:v>51</c:v>
                </c:pt>
                <c:pt idx="36">
                  <c:v>50</c:v>
                </c:pt>
                <c:pt idx="37">
                  <c:v>54</c:v>
                </c:pt>
                <c:pt idx="38">
                  <c:v>42</c:v>
                </c:pt>
                <c:pt idx="39">
                  <c:v>38</c:v>
                </c:pt>
                <c:pt idx="40">
                  <c:v>37</c:v>
                </c:pt>
                <c:pt idx="41">
                  <c:v>27</c:v>
                </c:pt>
                <c:pt idx="42">
                  <c:v>24</c:v>
                </c:pt>
                <c:pt idx="43">
                  <c:v>26</c:v>
                </c:pt>
                <c:pt idx="44">
                  <c:v>27</c:v>
                </c:pt>
                <c:pt idx="45">
                  <c:v>29</c:v>
                </c:pt>
                <c:pt idx="46">
                  <c:v>23</c:v>
                </c:pt>
                <c:pt idx="47">
                  <c:v>15</c:v>
                </c:pt>
                <c:pt idx="48">
                  <c:v>23</c:v>
                </c:pt>
                <c:pt idx="49">
                  <c:v>22</c:v>
                </c:pt>
                <c:pt idx="50">
                  <c:v>15</c:v>
                </c:pt>
                <c:pt idx="51">
                  <c:v>12</c:v>
                </c:pt>
                <c:pt idx="52">
                  <c:v>9</c:v>
                </c:pt>
                <c:pt idx="53">
                  <c:v>10</c:v>
                </c:pt>
                <c:pt idx="54">
                  <c:v>10</c:v>
                </c:pt>
                <c:pt idx="55">
                  <c:v>12</c:v>
                </c:pt>
                <c:pt idx="56">
                  <c:v>3</c:v>
                </c:pt>
                <c:pt idx="57">
                  <c:v>4</c:v>
                </c:pt>
                <c:pt idx="58">
                  <c:v>4</c:v>
                </c:pt>
                <c:pt idx="59">
                  <c:v>7</c:v>
                </c:pt>
                <c:pt idx="60">
                  <c:v>3</c:v>
                </c:pt>
                <c:pt idx="61">
                  <c:v>4</c:v>
                </c:pt>
                <c:pt idx="62">
                  <c:v>1</c:v>
                </c:pt>
                <c:pt idx="63">
                  <c:v>1</c:v>
                </c:pt>
                <c:pt idx="64">
                  <c:v>6</c:v>
                </c:pt>
                <c:pt idx="65">
                  <c:v>3</c:v>
                </c:pt>
                <c:pt idx="66">
                  <c:v>14</c:v>
                </c:pt>
              </c:numCache>
            </c:numRef>
          </c:val>
          <c:smooth val="0"/>
          <c:extLst>
            <c:ext xmlns:c16="http://schemas.microsoft.com/office/drawing/2014/chart" uri="{C3380CC4-5D6E-409C-BE32-E72D297353CC}">
              <c16:uniqueId val="{00000003-B458-400F-B91F-BD518582DAF1}"/>
            </c:ext>
          </c:extLst>
        </c:ser>
        <c:ser>
          <c:idx val="4"/>
          <c:order val="4"/>
          <c:tx>
            <c:strRef>
              <c:f>'Sheet1 (3)'!$B$1</c:f>
              <c:strCache>
                <c:ptCount val="1"/>
                <c:pt idx="0">
                  <c:v>MPH-MR</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'Sheet1 (3)'!$B$1</c:f>
              <c:strCache>
                <c:ptCount val="67"/>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&gt; 65</c:v>
                </c:pt>
              </c:strCache>
            </c:strRef>
          </c:cat>
          <c:val>
            <c:numRef>
              <c:f>'Sheet1 (3)'!$B$1</c:f>
              <c:numCache>
                <c:formatCode>General</c:formatCode>
                <c:ptCount val="67"/>
                <c:pt idx="2">
                  <c:v>2</c:v>
                </c:pt>
                <c:pt idx="4">
                  <c:v>5</c:v>
                </c:pt>
                <c:pt idx="5">
                  <c:v>18</c:v>
                </c:pt>
                <c:pt idx="6">
                  <c:v>203</c:v>
                </c:pt>
                <c:pt idx="7">
                  <c:v>201</c:v>
                </c:pt>
                <c:pt idx="8">
                  <c:v>205</c:v>
                </c:pt>
                <c:pt idx="9">
                  <c:v>213</c:v>
                </c:pt>
                <c:pt idx="10">
                  <c:v>156</c:v>
                </c:pt>
                <c:pt idx="11">
                  <c:v>143</c:v>
                </c:pt>
                <c:pt idx="12">
                  <c:v>138</c:v>
                </c:pt>
                <c:pt idx="13">
                  <c:v>142</c:v>
                </c:pt>
                <c:pt idx="14">
                  <c:v>132</c:v>
                </c:pt>
                <c:pt idx="15">
                  <c:v>121</c:v>
                </c:pt>
                <c:pt idx="16">
                  <c:v>109</c:v>
                </c:pt>
                <c:pt idx="17">
                  <c:v>116</c:v>
                </c:pt>
                <c:pt idx="18">
                  <c:v>50</c:v>
                </c:pt>
                <c:pt idx="19">
                  <c:v>33</c:v>
                </c:pt>
                <c:pt idx="20">
                  <c:v>29</c:v>
                </c:pt>
                <c:pt idx="21">
                  <c:v>40</c:v>
                </c:pt>
                <c:pt idx="22">
                  <c:v>40</c:v>
                </c:pt>
                <c:pt idx="23">
                  <c:v>37</c:v>
                </c:pt>
                <c:pt idx="24">
                  <c:v>47</c:v>
                </c:pt>
                <c:pt idx="25">
                  <c:v>32</c:v>
                </c:pt>
                <c:pt idx="26">
                  <c:v>43</c:v>
                </c:pt>
                <c:pt idx="27">
                  <c:v>35</c:v>
                </c:pt>
                <c:pt idx="28">
                  <c:v>54</c:v>
                </c:pt>
                <c:pt idx="29">
                  <c:v>43</c:v>
                </c:pt>
                <c:pt idx="30">
                  <c:v>33</c:v>
                </c:pt>
                <c:pt idx="31">
                  <c:v>30</c:v>
                </c:pt>
                <c:pt idx="32">
                  <c:v>32</c:v>
                </c:pt>
                <c:pt idx="33">
                  <c:v>38</c:v>
                </c:pt>
                <c:pt idx="34">
                  <c:v>24</c:v>
                </c:pt>
                <c:pt idx="35">
                  <c:v>27</c:v>
                </c:pt>
                <c:pt idx="36">
                  <c:v>24</c:v>
                </c:pt>
                <c:pt idx="37">
                  <c:v>31</c:v>
                </c:pt>
                <c:pt idx="38">
                  <c:v>21</c:v>
                </c:pt>
                <c:pt idx="39">
                  <c:v>22</c:v>
                </c:pt>
                <c:pt idx="40">
                  <c:v>22</c:v>
                </c:pt>
                <c:pt idx="41">
                  <c:v>21</c:v>
                </c:pt>
                <c:pt idx="42">
                  <c:v>23</c:v>
                </c:pt>
                <c:pt idx="43">
                  <c:v>13</c:v>
                </c:pt>
                <c:pt idx="44">
                  <c:v>20</c:v>
                </c:pt>
                <c:pt idx="45">
                  <c:v>15</c:v>
                </c:pt>
                <c:pt idx="46">
                  <c:v>11</c:v>
                </c:pt>
                <c:pt idx="47">
                  <c:v>16</c:v>
                </c:pt>
                <c:pt idx="48">
                  <c:v>27</c:v>
                </c:pt>
                <c:pt idx="49">
                  <c:v>17</c:v>
                </c:pt>
                <c:pt idx="50">
                  <c:v>16</c:v>
                </c:pt>
                <c:pt idx="51">
                  <c:v>7</c:v>
                </c:pt>
                <c:pt idx="52">
                  <c:v>6</c:v>
                </c:pt>
                <c:pt idx="53">
                  <c:v>8</c:v>
                </c:pt>
                <c:pt idx="54">
                  <c:v>6</c:v>
                </c:pt>
                <c:pt idx="55">
                  <c:v>6</c:v>
                </c:pt>
                <c:pt idx="56">
                  <c:v>5</c:v>
                </c:pt>
                <c:pt idx="57">
                  <c:v>7</c:v>
                </c:pt>
                <c:pt idx="58">
                  <c:v>1</c:v>
                </c:pt>
                <c:pt idx="59">
                  <c:v>4</c:v>
                </c:pt>
                <c:pt idx="60">
                  <c:v>2</c:v>
                </c:pt>
                <c:pt idx="62">
                  <c:v>2</c:v>
                </c:pt>
                <c:pt idx="63">
                  <c:v>2</c:v>
                </c:pt>
                <c:pt idx="64">
                  <c:v>4</c:v>
                </c:pt>
                <c:pt idx="65">
                  <c:v>3</c:v>
                </c:pt>
                <c:pt idx="66">
                  <c:v>18</c:v>
                </c:pt>
              </c:numCache>
            </c:numRef>
          </c:val>
          <c:smooth val="0"/>
          <c:extLst>
            <c:ext xmlns:c16="http://schemas.microsoft.com/office/drawing/2014/chart" uri="{C3380CC4-5D6E-409C-BE32-E72D297353CC}">
              <c16:uniqueId val="{00000004-B458-400F-B91F-BD518582DAF1}"/>
            </c:ext>
          </c:extLst>
        </c:ser>
        <c:ser>
          <c:idx val="5"/>
          <c:order val="5"/>
          <c:tx>
            <c:strRef>
              <c:f>'Sheet1 (3)'!$B$1</c:f>
              <c:strCache>
                <c:ptCount val="1"/>
                <c:pt idx="0">
                  <c:v>Atomoxetine</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Ref>
              <c:f>'Sheet1 (3)'!$B$1</c:f>
              <c:strCache>
                <c:ptCount val="67"/>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&gt; 65</c:v>
                </c:pt>
              </c:strCache>
            </c:strRef>
          </c:cat>
          <c:val>
            <c:numRef>
              <c:f>'Sheet1 (3)'!$B$1</c:f>
              <c:numCache>
                <c:formatCode>General</c:formatCode>
                <c:ptCount val="67"/>
                <c:pt idx="4">
                  <c:v>2</c:v>
                </c:pt>
                <c:pt idx="5">
                  <c:v>18</c:v>
                </c:pt>
                <c:pt idx="6">
                  <c:v>54</c:v>
                </c:pt>
                <c:pt idx="7">
                  <c:v>92</c:v>
                </c:pt>
                <c:pt idx="8">
                  <c:v>82</c:v>
                </c:pt>
                <c:pt idx="9">
                  <c:v>89</c:v>
                </c:pt>
                <c:pt idx="10">
                  <c:v>64</c:v>
                </c:pt>
                <c:pt idx="11">
                  <c:v>61</c:v>
                </c:pt>
                <c:pt idx="12">
                  <c:v>60</c:v>
                </c:pt>
                <c:pt idx="13">
                  <c:v>51</c:v>
                </c:pt>
                <c:pt idx="14">
                  <c:v>67</c:v>
                </c:pt>
                <c:pt idx="15">
                  <c:v>65</c:v>
                </c:pt>
                <c:pt idx="16">
                  <c:v>59</c:v>
                </c:pt>
                <c:pt idx="17">
                  <c:v>54</c:v>
                </c:pt>
                <c:pt idx="18">
                  <c:v>49</c:v>
                </c:pt>
                <c:pt idx="19">
                  <c:v>42</c:v>
                </c:pt>
                <c:pt idx="20">
                  <c:v>44</c:v>
                </c:pt>
                <c:pt idx="21">
                  <c:v>68</c:v>
                </c:pt>
                <c:pt idx="22">
                  <c:v>50</c:v>
                </c:pt>
                <c:pt idx="23">
                  <c:v>68</c:v>
                </c:pt>
                <c:pt idx="24">
                  <c:v>65</c:v>
                </c:pt>
                <c:pt idx="25">
                  <c:v>52</c:v>
                </c:pt>
                <c:pt idx="26">
                  <c:v>53</c:v>
                </c:pt>
                <c:pt idx="27">
                  <c:v>50</c:v>
                </c:pt>
                <c:pt idx="28">
                  <c:v>60</c:v>
                </c:pt>
                <c:pt idx="29">
                  <c:v>59</c:v>
                </c:pt>
                <c:pt idx="30">
                  <c:v>44</c:v>
                </c:pt>
                <c:pt idx="31">
                  <c:v>52</c:v>
                </c:pt>
                <c:pt idx="32">
                  <c:v>56</c:v>
                </c:pt>
                <c:pt idx="33">
                  <c:v>38</c:v>
                </c:pt>
                <c:pt idx="34">
                  <c:v>47</c:v>
                </c:pt>
                <c:pt idx="35">
                  <c:v>31</c:v>
                </c:pt>
                <c:pt idx="36">
                  <c:v>42</c:v>
                </c:pt>
                <c:pt idx="37">
                  <c:v>50</c:v>
                </c:pt>
                <c:pt idx="38">
                  <c:v>43</c:v>
                </c:pt>
                <c:pt idx="39">
                  <c:v>34</c:v>
                </c:pt>
                <c:pt idx="40">
                  <c:v>30</c:v>
                </c:pt>
                <c:pt idx="41">
                  <c:v>30</c:v>
                </c:pt>
                <c:pt idx="42">
                  <c:v>22</c:v>
                </c:pt>
                <c:pt idx="43">
                  <c:v>12</c:v>
                </c:pt>
                <c:pt idx="44">
                  <c:v>22</c:v>
                </c:pt>
                <c:pt idx="45">
                  <c:v>16</c:v>
                </c:pt>
                <c:pt idx="46">
                  <c:v>26</c:v>
                </c:pt>
                <c:pt idx="47">
                  <c:v>24</c:v>
                </c:pt>
                <c:pt idx="48">
                  <c:v>19</c:v>
                </c:pt>
                <c:pt idx="49">
                  <c:v>14</c:v>
                </c:pt>
                <c:pt idx="50">
                  <c:v>16</c:v>
                </c:pt>
                <c:pt idx="51">
                  <c:v>14</c:v>
                </c:pt>
                <c:pt idx="52">
                  <c:v>6</c:v>
                </c:pt>
                <c:pt idx="53">
                  <c:v>12</c:v>
                </c:pt>
                <c:pt idx="54">
                  <c:v>11</c:v>
                </c:pt>
                <c:pt idx="55">
                  <c:v>9</c:v>
                </c:pt>
                <c:pt idx="56">
                  <c:v>5</c:v>
                </c:pt>
                <c:pt idx="57">
                  <c:v>4</c:v>
                </c:pt>
                <c:pt idx="58">
                  <c:v>2</c:v>
                </c:pt>
                <c:pt idx="59">
                  <c:v>2</c:v>
                </c:pt>
                <c:pt idx="60">
                  <c:v>8</c:v>
                </c:pt>
                <c:pt idx="61">
                  <c:v>4</c:v>
                </c:pt>
                <c:pt idx="62">
                  <c:v>5</c:v>
                </c:pt>
                <c:pt idx="63">
                  <c:v>3</c:v>
                </c:pt>
                <c:pt idx="64">
                  <c:v>4</c:v>
                </c:pt>
                <c:pt idx="65">
                  <c:v>2</c:v>
                </c:pt>
                <c:pt idx="66">
                  <c:v>10</c:v>
                </c:pt>
              </c:numCache>
            </c:numRef>
          </c:val>
          <c:smooth val="0"/>
          <c:extLst>
            <c:ext xmlns:c16="http://schemas.microsoft.com/office/drawing/2014/chart" uri="{C3380CC4-5D6E-409C-BE32-E72D297353CC}">
              <c16:uniqueId val="{00000005-B458-400F-B91F-BD518582DAF1}"/>
            </c:ext>
          </c:extLst>
        </c:ser>
        <c:ser>
          <c:idx val="6"/>
          <c:order val="6"/>
          <c:tx>
            <c:strRef>
              <c:f>'Sheet1 (3)'!$B$1</c:f>
              <c:strCache>
                <c:ptCount val="1"/>
                <c:pt idx="0">
                  <c:v>Guanfacine</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strRef>
              <c:f>'Sheet1 (3)'!$B$1</c:f>
              <c:strCache>
                <c:ptCount val="67"/>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&gt; 65</c:v>
                </c:pt>
              </c:strCache>
            </c:strRef>
          </c:cat>
          <c:val>
            <c:numRef>
              <c:f>'Sheet1 (3)'!$B$1</c:f>
              <c:numCache>
                <c:formatCode>General</c:formatCode>
                <c:ptCount val="67"/>
                <c:pt idx="3">
                  <c:v>5</c:v>
                </c:pt>
                <c:pt idx="4">
                  <c:v>15</c:v>
                </c:pt>
                <c:pt idx="5">
                  <c:v>88</c:v>
                </c:pt>
                <c:pt idx="6">
                  <c:v>288</c:v>
                </c:pt>
                <c:pt idx="7">
                  <c:v>252</c:v>
                </c:pt>
                <c:pt idx="8">
                  <c:v>234</c:v>
                </c:pt>
                <c:pt idx="9">
                  <c:v>194</c:v>
                </c:pt>
                <c:pt idx="10">
                  <c:v>162</c:v>
                </c:pt>
                <c:pt idx="11">
                  <c:v>148</c:v>
                </c:pt>
                <c:pt idx="12">
                  <c:v>96</c:v>
                </c:pt>
                <c:pt idx="13">
                  <c:v>96</c:v>
                </c:pt>
                <c:pt idx="14">
                  <c:v>85</c:v>
                </c:pt>
                <c:pt idx="15">
                  <c:v>87</c:v>
                </c:pt>
                <c:pt idx="16">
                  <c:v>69</c:v>
                </c:pt>
                <c:pt idx="17">
                  <c:v>42</c:v>
                </c:pt>
                <c:pt idx="18">
                  <c:v>29</c:v>
                </c:pt>
                <c:pt idx="19">
                  <c:v>8</c:v>
                </c:pt>
                <c:pt idx="20">
                  <c:v>16</c:v>
                </c:pt>
                <c:pt idx="21">
                  <c:v>9</c:v>
                </c:pt>
                <c:pt idx="22">
                  <c:v>11</c:v>
                </c:pt>
                <c:pt idx="23">
                  <c:v>9</c:v>
                </c:pt>
                <c:pt idx="24">
                  <c:v>10</c:v>
                </c:pt>
                <c:pt idx="25">
                  <c:v>7</c:v>
                </c:pt>
                <c:pt idx="26">
                  <c:v>10</c:v>
                </c:pt>
                <c:pt idx="27">
                  <c:v>9</c:v>
                </c:pt>
                <c:pt idx="28">
                  <c:v>8</c:v>
                </c:pt>
                <c:pt idx="29">
                  <c:v>8</c:v>
                </c:pt>
                <c:pt idx="30">
                  <c:v>7</c:v>
                </c:pt>
                <c:pt idx="31">
                  <c:v>10</c:v>
                </c:pt>
                <c:pt idx="32">
                  <c:v>5</c:v>
                </c:pt>
                <c:pt idx="33">
                  <c:v>9</c:v>
                </c:pt>
                <c:pt idx="34">
                  <c:v>11</c:v>
                </c:pt>
                <c:pt idx="35">
                  <c:v>6</c:v>
                </c:pt>
                <c:pt idx="36">
                  <c:v>11</c:v>
                </c:pt>
                <c:pt idx="37">
                  <c:v>7</c:v>
                </c:pt>
                <c:pt idx="38">
                  <c:v>8</c:v>
                </c:pt>
                <c:pt idx="39">
                  <c:v>8</c:v>
                </c:pt>
                <c:pt idx="40">
                  <c:v>11</c:v>
                </c:pt>
                <c:pt idx="41">
                  <c:v>3</c:v>
                </c:pt>
                <c:pt idx="42">
                  <c:v>6</c:v>
                </c:pt>
                <c:pt idx="43">
                  <c:v>1</c:v>
                </c:pt>
                <c:pt idx="44">
                  <c:v>4</c:v>
                </c:pt>
                <c:pt idx="45">
                  <c:v>6</c:v>
                </c:pt>
                <c:pt idx="46">
                  <c:v>6</c:v>
                </c:pt>
                <c:pt idx="47">
                  <c:v>7</c:v>
                </c:pt>
                <c:pt idx="48">
                  <c:v>7</c:v>
                </c:pt>
                <c:pt idx="49">
                  <c:v>4</c:v>
                </c:pt>
                <c:pt idx="50">
                  <c:v>2</c:v>
                </c:pt>
                <c:pt idx="51">
                  <c:v>4</c:v>
                </c:pt>
                <c:pt idx="52">
                  <c:v>3</c:v>
                </c:pt>
                <c:pt idx="53">
                  <c:v>2</c:v>
                </c:pt>
                <c:pt idx="54">
                  <c:v>3</c:v>
                </c:pt>
                <c:pt idx="55">
                  <c:v>1</c:v>
                </c:pt>
                <c:pt idx="56">
                  <c:v>1</c:v>
                </c:pt>
                <c:pt idx="57">
                  <c:v>4</c:v>
                </c:pt>
                <c:pt idx="58">
                  <c:v>4</c:v>
                </c:pt>
                <c:pt idx="59">
                  <c:v>3</c:v>
                </c:pt>
                <c:pt idx="60">
                  <c:v>2</c:v>
                </c:pt>
                <c:pt idx="61">
                  <c:v>1</c:v>
                </c:pt>
                <c:pt idx="64">
                  <c:v>1</c:v>
                </c:pt>
                <c:pt idx="65">
                  <c:v>2</c:v>
                </c:pt>
                <c:pt idx="66">
                  <c:v>9</c:v>
                </c:pt>
              </c:numCache>
            </c:numRef>
          </c:val>
          <c:smooth val="0"/>
          <c:extLst>
            <c:ext xmlns:c16="http://schemas.microsoft.com/office/drawing/2014/chart" uri="{C3380CC4-5D6E-409C-BE32-E72D297353CC}">
              <c16:uniqueId val="{00000006-B458-400F-B91F-BD518582DAF1}"/>
            </c:ext>
          </c:extLst>
        </c:ser>
        <c:dLbls>
          <c:showLegendKey val="0"/>
          <c:showVal val="0"/>
          <c:showCatName val="0"/>
          <c:showSerName val="0"/>
          <c:showPercent val="0"/>
          <c:showBubbleSize val="0"/>
        </c:dLbls>
        <c:marker val="1"/>
        <c:smooth val="0"/>
        <c:axId val="915059048"/>
        <c:axId val="915062984"/>
      </c:lineChart>
      <c:catAx>
        <c:axId val="915059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414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5062984"/>
        <c:crosses val="autoZero"/>
        <c:auto val="1"/>
        <c:lblAlgn val="ctr"/>
        <c:lblOffset val="100"/>
        <c:noMultiLvlLbl val="0"/>
      </c:catAx>
      <c:valAx>
        <c:axId val="9150629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 of patients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50590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[D1304_PATCNTBY_FORM  SUPP_Year idvarage_supp pat_sex pat_state v2 - figs 67 incl clonidine.xlsx]Sheet1 (5)!PivotTable2</c:name>
    <c:fmtId val="-1"/>
  </c:pivotSource>
  <c:chart>
    <c:autoTitleDeleted val="1"/>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8"/>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19"/>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20"/>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21"/>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22"/>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pivotFmt>
      <c:pivotFmt>
        <c:idx val="23"/>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24"/>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25"/>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26"/>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27"/>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pivotFmt>
      <c:pivotFmt>
        <c:idx val="28"/>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pivotFmt>
      <c:pivotFmt>
        <c:idx val="2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1"/>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32"/>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33"/>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34"/>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35"/>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pivotFmt>
      <c:pivotFmt>
        <c:idx val="36"/>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pivotFmt>
      <c:pivotFmt>
        <c:idx val="3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8"/>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39"/>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40"/>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41"/>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42"/>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pivotFmt>
      <c:pivotFmt>
        <c:idx val="43"/>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pivotFmt>
    </c:pivotFmts>
    <c:plotArea>
      <c:layout/>
      <c:lineChart>
        <c:grouping val="standard"/>
        <c:varyColors val="0"/>
        <c:ser>
          <c:idx val="0"/>
          <c:order val="0"/>
          <c:tx>
            <c:strRef>
              <c:f>'Sheet1 (5)'!$B$4:$B$5</c:f>
              <c:strCache>
                <c:ptCount val="1"/>
                <c:pt idx="0">
                  <c:v>Clonidine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 (5)'!$A$6:$A$73</c:f>
              <c:strCache>
                <c:ptCount val="67"/>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&gt; 65</c:v>
                </c:pt>
              </c:strCache>
            </c:strRef>
          </c:cat>
          <c:val>
            <c:numRef>
              <c:f>'Sheet1 (5)'!$B$6:$B$73</c:f>
              <c:numCache>
                <c:formatCode>General</c:formatCode>
                <c:ptCount val="67"/>
                <c:pt idx="0">
                  <c:v>14</c:v>
                </c:pt>
                <c:pt idx="1">
                  <c:v>49</c:v>
                </c:pt>
                <c:pt idx="2">
                  <c:v>217</c:v>
                </c:pt>
                <c:pt idx="3">
                  <c:v>636</c:v>
                </c:pt>
                <c:pt idx="4">
                  <c:v>1355</c:v>
                </c:pt>
                <c:pt idx="5">
                  <c:v>2072</c:v>
                </c:pt>
                <c:pt idx="6">
                  <c:v>2700</c:v>
                </c:pt>
                <c:pt idx="7">
                  <c:v>3250</c:v>
                </c:pt>
                <c:pt idx="8">
                  <c:v>3614</c:v>
                </c:pt>
                <c:pt idx="9">
                  <c:v>3724</c:v>
                </c:pt>
                <c:pt idx="10">
                  <c:v>3877</c:v>
                </c:pt>
                <c:pt idx="11">
                  <c:v>3719</c:v>
                </c:pt>
                <c:pt idx="12">
                  <c:v>3566</c:v>
                </c:pt>
                <c:pt idx="13">
                  <c:v>3133</c:v>
                </c:pt>
                <c:pt idx="14">
                  <c:v>2765</c:v>
                </c:pt>
                <c:pt idx="15">
                  <c:v>2252</c:v>
                </c:pt>
                <c:pt idx="16">
                  <c:v>2019</c:v>
                </c:pt>
                <c:pt idx="17">
                  <c:v>1535</c:v>
                </c:pt>
                <c:pt idx="18">
                  <c:v>1121</c:v>
                </c:pt>
                <c:pt idx="19">
                  <c:v>857</c:v>
                </c:pt>
                <c:pt idx="20">
                  <c:v>838</c:v>
                </c:pt>
                <c:pt idx="21">
                  <c:v>708</c:v>
                </c:pt>
                <c:pt idx="22">
                  <c:v>670</c:v>
                </c:pt>
                <c:pt idx="23">
                  <c:v>680</c:v>
                </c:pt>
                <c:pt idx="24">
                  <c:v>620</c:v>
                </c:pt>
                <c:pt idx="25">
                  <c:v>621</c:v>
                </c:pt>
                <c:pt idx="26">
                  <c:v>622</c:v>
                </c:pt>
                <c:pt idx="27">
                  <c:v>643</c:v>
                </c:pt>
                <c:pt idx="28">
                  <c:v>664</c:v>
                </c:pt>
                <c:pt idx="29">
                  <c:v>599</c:v>
                </c:pt>
                <c:pt idx="30">
                  <c:v>585</c:v>
                </c:pt>
                <c:pt idx="31">
                  <c:v>645</c:v>
                </c:pt>
                <c:pt idx="32">
                  <c:v>584</c:v>
                </c:pt>
                <c:pt idx="33">
                  <c:v>565</c:v>
                </c:pt>
                <c:pt idx="34">
                  <c:v>607</c:v>
                </c:pt>
                <c:pt idx="35">
                  <c:v>637</c:v>
                </c:pt>
                <c:pt idx="36">
                  <c:v>662</c:v>
                </c:pt>
                <c:pt idx="37">
                  <c:v>606</c:v>
                </c:pt>
                <c:pt idx="38">
                  <c:v>676</c:v>
                </c:pt>
                <c:pt idx="39">
                  <c:v>651</c:v>
                </c:pt>
                <c:pt idx="40">
                  <c:v>650</c:v>
                </c:pt>
                <c:pt idx="41">
                  <c:v>654</c:v>
                </c:pt>
                <c:pt idx="42">
                  <c:v>655</c:v>
                </c:pt>
                <c:pt idx="43">
                  <c:v>672</c:v>
                </c:pt>
                <c:pt idx="44">
                  <c:v>711</c:v>
                </c:pt>
                <c:pt idx="45">
                  <c:v>807</c:v>
                </c:pt>
                <c:pt idx="46">
                  <c:v>851</c:v>
                </c:pt>
                <c:pt idx="47">
                  <c:v>985</c:v>
                </c:pt>
                <c:pt idx="48">
                  <c:v>1149</c:v>
                </c:pt>
                <c:pt idx="49">
                  <c:v>1231</c:v>
                </c:pt>
                <c:pt idx="50">
                  <c:v>1230</c:v>
                </c:pt>
                <c:pt idx="51">
                  <c:v>1383</c:v>
                </c:pt>
                <c:pt idx="52">
                  <c:v>1432</c:v>
                </c:pt>
                <c:pt idx="53">
                  <c:v>1345</c:v>
                </c:pt>
                <c:pt idx="54">
                  <c:v>1299</c:v>
                </c:pt>
                <c:pt idx="55">
                  <c:v>1276</c:v>
                </c:pt>
                <c:pt idx="56">
                  <c:v>1153</c:v>
                </c:pt>
                <c:pt idx="57">
                  <c:v>1095</c:v>
                </c:pt>
                <c:pt idx="58">
                  <c:v>1129</c:v>
                </c:pt>
                <c:pt idx="59">
                  <c:v>1034</c:v>
                </c:pt>
                <c:pt idx="60">
                  <c:v>936</c:v>
                </c:pt>
                <c:pt idx="61">
                  <c:v>949</c:v>
                </c:pt>
                <c:pt idx="62">
                  <c:v>927</c:v>
                </c:pt>
                <c:pt idx="63">
                  <c:v>778</c:v>
                </c:pt>
                <c:pt idx="64">
                  <c:v>769</c:v>
                </c:pt>
                <c:pt idx="65">
                  <c:v>787</c:v>
                </c:pt>
                <c:pt idx="66">
                  <c:v>9610</c:v>
                </c:pt>
              </c:numCache>
            </c:numRef>
          </c:val>
          <c:smooth val="0"/>
          <c:extLst>
            <c:ext xmlns:c16="http://schemas.microsoft.com/office/drawing/2014/chart" uri="{C3380CC4-5D6E-409C-BE32-E72D297353CC}">
              <c16:uniqueId val="{00000000-62E4-4046-ADA6-4C1918387AFE}"/>
            </c:ext>
          </c:extLst>
        </c:ser>
        <c:ser>
          <c:idx val="1"/>
          <c:order val="1"/>
          <c:tx>
            <c:strRef>
              <c:f>'Sheet1 (5)'!$C$4:$C$5</c:f>
              <c:strCache>
                <c:ptCount val="1"/>
                <c:pt idx="0">
                  <c:v>MPH-MR</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 (5)'!$A$6:$A$73</c:f>
              <c:strCache>
                <c:ptCount val="67"/>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&gt; 65</c:v>
                </c:pt>
              </c:strCache>
            </c:strRef>
          </c:cat>
          <c:val>
            <c:numRef>
              <c:f>'Sheet1 (5)'!$C$6:$C$73</c:f>
              <c:numCache>
                <c:formatCode>General</c:formatCode>
                <c:ptCount val="67"/>
                <c:pt idx="2">
                  <c:v>3</c:v>
                </c:pt>
                <c:pt idx="3">
                  <c:v>5</c:v>
                </c:pt>
                <c:pt idx="4">
                  <c:v>24</c:v>
                </c:pt>
                <c:pt idx="5">
                  <c:v>149</c:v>
                </c:pt>
                <c:pt idx="6">
                  <c:v>3829</c:v>
                </c:pt>
                <c:pt idx="7">
                  <c:v>5622</c:v>
                </c:pt>
                <c:pt idx="8">
                  <c:v>7141</c:v>
                </c:pt>
                <c:pt idx="9">
                  <c:v>7880</c:v>
                </c:pt>
                <c:pt idx="10">
                  <c:v>8008</c:v>
                </c:pt>
                <c:pt idx="11">
                  <c:v>8387</c:v>
                </c:pt>
                <c:pt idx="12">
                  <c:v>8165</c:v>
                </c:pt>
                <c:pt idx="13">
                  <c:v>7319</c:v>
                </c:pt>
                <c:pt idx="14">
                  <c:v>6271</c:v>
                </c:pt>
                <c:pt idx="15">
                  <c:v>4993</c:v>
                </c:pt>
                <c:pt idx="16">
                  <c:v>4217</c:v>
                </c:pt>
                <c:pt idx="17">
                  <c:v>3211</c:v>
                </c:pt>
                <c:pt idx="18">
                  <c:v>2010</c:v>
                </c:pt>
                <c:pt idx="19">
                  <c:v>1464</c:v>
                </c:pt>
                <c:pt idx="20">
                  <c:v>1157</c:v>
                </c:pt>
                <c:pt idx="21">
                  <c:v>1004</c:v>
                </c:pt>
                <c:pt idx="22">
                  <c:v>809</c:v>
                </c:pt>
                <c:pt idx="23">
                  <c:v>769</c:v>
                </c:pt>
                <c:pt idx="24">
                  <c:v>647</c:v>
                </c:pt>
                <c:pt idx="25">
                  <c:v>591</c:v>
                </c:pt>
                <c:pt idx="26">
                  <c:v>563</c:v>
                </c:pt>
                <c:pt idx="27">
                  <c:v>480</c:v>
                </c:pt>
                <c:pt idx="28">
                  <c:v>468</c:v>
                </c:pt>
                <c:pt idx="29">
                  <c:v>439</c:v>
                </c:pt>
                <c:pt idx="30">
                  <c:v>371</c:v>
                </c:pt>
                <c:pt idx="31">
                  <c:v>340</c:v>
                </c:pt>
                <c:pt idx="32">
                  <c:v>309</c:v>
                </c:pt>
                <c:pt idx="33">
                  <c:v>320</c:v>
                </c:pt>
                <c:pt idx="34">
                  <c:v>254</c:v>
                </c:pt>
                <c:pt idx="35">
                  <c:v>236</c:v>
                </c:pt>
                <c:pt idx="36">
                  <c:v>194</c:v>
                </c:pt>
                <c:pt idx="37">
                  <c:v>215</c:v>
                </c:pt>
                <c:pt idx="38">
                  <c:v>169</c:v>
                </c:pt>
                <c:pt idx="39">
                  <c:v>168</c:v>
                </c:pt>
                <c:pt idx="40">
                  <c:v>173</c:v>
                </c:pt>
                <c:pt idx="41">
                  <c:v>149</c:v>
                </c:pt>
                <c:pt idx="42">
                  <c:v>145</c:v>
                </c:pt>
                <c:pt idx="43">
                  <c:v>118</c:v>
                </c:pt>
                <c:pt idx="44">
                  <c:v>103</c:v>
                </c:pt>
                <c:pt idx="45">
                  <c:v>136</c:v>
                </c:pt>
                <c:pt idx="46">
                  <c:v>112</c:v>
                </c:pt>
                <c:pt idx="47">
                  <c:v>125</c:v>
                </c:pt>
                <c:pt idx="48">
                  <c:v>142</c:v>
                </c:pt>
                <c:pt idx="49">
                  <c:v>124</c:v>
                </c:pt>
                <c:pt idx="50">
                  <c:v>94</c:v>
                </c:pt>
                <c:pt idx="51">
                  <c:v>80</c:v>
                </c:pt>
                <c:pt idx="52">
                  <c:v>66</c:v>
                </c:pt>
                <c:pt idx="53">
                  <c:v>69</c:v>
                </c:pt>
                <c:pt idx="54">
                  <c:v>47</c:v>
                </c:pt>
                <c:pt idx="55">
                  <c:v>40</c:v>
                </c:pt>
                <c:pt idx="56">
                  <c:v>43</c:v>
                </c:pt>
                <c:pt idx="57">
                  <c:v>39</c:v>
                </c:pt>
                <c:pt idx="58">
                  <c:v>32</c:v>
                </c:pt>
                <c:pt idx="59">
                  <c:v>30</c:v>
                </c:pt>
                <c:pt idx="60">
                  <c:v>23</c:v>
                </c:pt>
                <c:pt idx="61">
                  <c:v>19</c:v>
                </c:pt>
                <c:pt idx="62">
                  <c:v>15</c:v>
                </c:pt>
                <c:pt idx="63">
                  <c:v>20</c:v>
                </c:pt>
                <c:pt idx="64">
                  <c:v>12</c:v>
                </c:pt>
                <c:pt idx="65">
                  <c:v>10</c:v>
                </c:pt>
                <c:pt idx="66">
                  <c:v>86</c:v>
                </c:pt>
              </c:numCache>
            </c:numRef>
          </c:val>
          <c:smooth val="0"/>
          <c:extLst>
            <c:ext xmlns:c16="http://schemas.microsoft.com/office/drawing/2014/chart" uri="{C3380CC4-5D6E-409C-BE32-E72D297353CC}">
              <c16:uniqueId val="{00000001-62E4-4046-ADA6-4C1918387AFE}"/>
            </c:ext>
          </c:extLst>
        </c:ser>
        <c:ser>
          <c:idx val="2"/>
          <c:order val="2"/>
          <c:tx>
            <c:strRef>
              <c:f>'Sheet1 (5)'!$D$4:$D$5</c:f>
              <c:strCache>
                <c:ptCount val="1"/>
                <c:pt idx="0">
                  <c:v>MPH-IR</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 (5)'!$A$6:$A$73</c:f>
              <c:strCache>
                <c:ptCount val="67"/>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&gt; 65</c:v>
                </c:pt>
              </c:strCache>
            </c:strRef>
          </c:cat>
          <c:val>
            <c:numRef>
              <c:f>'Sheet1 (5)'!$D$6:$D$73</c:f>
              <c:numCache>
                <c:formatCode>General</c:formatCode>
                <c:ptCount val="67"/>
                <c:pt idx="0">
                  <c:v>2</c:v>
                </c:pt>
                <c:pt idx="1">
                  <c:v>5</c:v>
                </c:pt>
                <c:pt idx="2">
                  <c:v>6</c:v>
                </c:pt>
                <c:pt idx="3">
                  <c:v>106</c:v>
                </c:pt>
                <c:pt idx="4">
                  <c:v>726</c:v>
                </c:pt>
                <c:pt idx="5">
                  <c:v>3197</c:v>
                </c:pt>
                <c:pt idx="6">
                  <c:v>7142</c:v>
                </c:pt>
                <c:pt idx="7">
                  <c:v>8559</c:v>
                </c:pt>
                <c:pt idx="8">
                  <c:v>8481</c:v>
                </c:pt>
                <c:pt idx="9">
                  <c:v>7609</c:v>
                </c:pt>
                <c:pt idx="10">
                  <c:v>6340</c:v>
                </c:pt>
                <c:pt idx="11">
                  <c:v>5206</c:v>
                </c:pt>
                <c:pt idx="12">
                  <c:v>4055</c:v>
                </c:pt>
                <c:pt idx="13">
                  <c:v>3461</c:v>
                </c:pt>
                <c:pt idx="14">
                  <c:v>2618</c:v>
                </c:pt>
                <c:pt idx="15">
                  <c:v>2245</c:v>
                </c:pt>
                <c:pt idx="16">
                  <c:v>2199</c:v>
                </c:pt>
                <c:pt idx="17">
                  <c:v>1971</c:v>
                </c:pt>
                <c:pt idx="18">
                  <c:v>1184</c:v>
                </c:pt>
                <c:pt idx="19">
                  <c:v>1007</c:v>
                </c:pt>
                <c:pt idx="20">
                  <c:v>996</c:v>
                </c:pt>
                <c:pt idx="21">
                  <c:v>950</c:v>
                </c:pt>
                <c:pt idx="22">
                  <c:v>943</c:v>
                </c:pt>
                <c:pt idx="23">
                  <c:v>856</c:v>
                </c:pt>
                <c:pt idx="24">
                  <c:v>846</c:v>
                </c:pt>
                <c:pt idx="25">
                  <c:v>812</c:v>
                </c:pt>
                <c:pt idx="26">
                  <c:v>806</c:v>
                </c:pt>
                <c:pt idx="27">
                  <c:v>753</c:v>
                </c:pt>
                <c:pt idx="28">
                  <c:v>838</c:v>
                </c:pt>
                <c:pt idx="29">
                  <c:v>750</c:v>
                </c:pt>
                <c:pt idx="30">
                  <c:v>776</c:v>
                </c:pt>
                <c:pt idx="31">
                  <c:v>683</c:v>
                </c:pt>
                <c:pt idx="32">
                  <c:v>595</c:v>
                </c:pt>
                <c:pt idx="33">
                  <c:v>642</c:v>
                </c:pt>
                <c:pt idx="34">
                  <c:v>590</c:v>
                </c:pt>
                <c:pt idx="35">
                  <c:v>592</c:v>
                </c:pt>
                <c:pt idx="36">
                  <c:v>566</c:v>
                </c:pt>
                <c:pt idx="37">
                  <c:v>555</c:v>
                </c:pt>
                <c:pt idx="38">
                  <c:v>509</c:v>
                </c:pt>
                <c:pt idx="39">
                  <c:v>507</c:v>
                </c:pt>
                <c:pt idx="40">
                  <c:v>464</c:v>
                </c:pt>
                <c:pt idx="41">
                  <c:v>399</c:v>
                </c:pt>
                <c:pt idx="42">
                  <c:v>437</c:v>
                </c:pt>
                <c:pt idx="43">
                  <c:v>427</c:v>
                </c:pt>
                <c:pt idx="44">
                  <c:v>387</c:v>
                </c:pt>
                <c:pt idx="45">
                  <c:v>429</c:v>
                </c:pt>
                <c:pt idx="46">
                  <c:v>425</c:v>
                </c:pt>
                <c:pt idx="47">
                  <c:v>389</c:v>
                </c:pt>
                <c:pt idx="48">
                  <c:v>382</c:v>
                </c:pt>
                <c:pt idx="49">
                  <c:v>360</c:v>
                </c:pt>
                <c:pt idx="50">
                  <c:v>295</c:v>
                </c:pt>
                <c:pt idx="51">
                  <c:v>280</c:v>
                </c:pt>
                <c:pt idx="52">
                  <c:v>256</c:v>
                </c:pt>
                <c:pt idx="53">
                  <c:v>239</c:v>
                </c:pt>
                <c:pt idx="54">
                  <c:v>203</c:v>
                </c:pt>
                <c:pt idx="55">
                  <c:v>178</c:v>
                </c:pt>
                <c:pt idx="56">
                  <c:v>171</c:v>
                </c:pt>
                <c:pt idx="57">
                  <c:v>156</c:v>
                </c:pt>
                <c:pt idx="58">
                  <c:v>145</c:v>
                </c:pt>
                <c:pt idx="59">
                  <c:v>149</c:v>
                </c:pt>
                <c:pt idx="60">
                  <c:v>112</c:v>
                </c:pt>
                <c:pt idx="61">
                  <c:v>109</c:v>
                </c:pt>
                <c:pt idx="62">
                  <c:v>86</c:v>
                </c:pt>
                <c:pt idx="63">
                  <c:v>79</c:v>
                </c:pt>
                <c:pt idx="64">
                  <c:v>63</c:v>
                </c:pt>
                <c:pt idx="65">
                  <c:v>64</c:v>
                </c:pt>
                <c:pt idx="66">
                  <c:v>367</c:v>
                </c:pt>
              </c:numCache>
            </c:numRef>
          </c:val>
          <c:smooth val="0"/>
          <c:extLst>
            <c:ext xmlns:c16="http://schemas.microsoft.com/office/drawing/2014/chart" uri="{C3380CC4-5D6E-409C-BE32-E72D297353CC}">
              <c16:uniqueId val="{00000002-62E4-4046-ADA6-4C1918387AFE}"/>
            </c:ext>
          </c:extLst>
        </c:ser>
        <c:ser>
          <c:idx val="3"/>
          <c:order val="3"/>
          <c:tx>
            <c:strRef>
              <c:f>'Sheet1 (5)'!$E$4:$E$5</c:f>
              <c:strCache>
                <c:ptCount val="1"/>
                <c:pt idx="0">
                  <c:v>Dexamfetamine</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 (5)'!$A$6:$A$73</c:f>
              <c:strCache>
                <c:ptCount val="67"/>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&gt; 65</c:v>
                </c:pt>
              </c:strCache>
            </c:strRef>
          </c:cat>
          <c:val>
            <c:numRef>
              <c:f>'Sheet1 (5)'!$E$6:$E$73</c:f>
              <c:numCache>
                <c:formatCode>General</c:formatCode>
                <c:ptCount val="67"/>
                <c:pt idx="1">
                  <c:v>1</c:v>
                </c:pt>
                <c:pt idx="2">
                  <c:v>3</c:v>
                </c:pt>
                <c:pt idx="3">
                  <c:v>53</c:v>
                </c:pt>
                <c:pt idx="4">
                  <c:v>330</c:v>
                </c:pt>
                <c:pt idx="5">
                  <c:v>966</c:v>
                </c:pt>
                <c:pt idx="6">
                  <c:v>1081</c:v>
                </c:pt>
                <c:pt idx="7">
                  <c:v>1307</c:v>
                </c:pt>
                <c:pt idx="8">
                  <c:v>1282</c:v>
                </c:pt>
                <c:pt idx="9">
                  <c:v>1193</c:v>
                </c:pt>
                <c:pt idx="10">
                  <c:v>1046</c:v>
                </c:pt>
                <c:pt idx="11">
                  <c:v>977</c:v>
                </c:pt>
                <c:pt idx="12">
                  <c:v>885</c:v>
                </c:pt>
                <c:pt idx="13">
                  <c:v>783</c:v>
                </c:pt>
                <c:pt idx="14">
                  <c:v>726</c:v>
                </c:pt>
                <c:pt idx="15">
                  <c:v>748</c:v>
                </c:pt>
                <c:pt idx="16">
                  <c:v>865</c:v>
                </c:pt>
                <c:pt idx="17">
                  <c:v>1007</c:v>
                </c:pt>
                <c:pt idx="18">
                  <c:v>855</c:v>
                </c:pt>
                <c:pt idx="19">
                  <c:v>965</c:v>
                </c:pt>
                <c:pt idx="20">
                  <c:v>1133</c:v>
                </c:pt>
                <c:pt idx="21">
                  <c:v>1205</c:v>
                </c:pt>
                <c:pt idx="22">
                  <c:v>1166</c:v>
                </c:pt>
                <c:pt idx="23">
                  <c:v>1292</c:v>
                </c:pt>
                <c:pt idx="24">
                  <c:v>1318</c:v>
                </c:pt>
                <c:pt idx="25">
                  <c:v>1422</c:v>
                </c:pt>
                <c:pt idx="26">
                  <c:v>1546</c:v>
                </c:pt>
                <c:pt idx="27">
                  <c:v>1535</c:v>
                </c:pt>
                <c:pt idx="28">
                  <c:v>1596</c:v>
                </c:pt>
                <c:pt idx="29">
                  <c:v>1613</c:v>
                </c:pt>
                <c:pt idx="30">
                  <c:v>1675</c:v>
                </c:pt>
                <c:pt idx="31">
                  <c:v>1679</c:v>
                </c:pt>
                <c:pt idx="32">
                  <c:v>1547</c:v>
                </c:pt>
                <c:pt idx="33">
                  <c:v>1592</c:v>
                </c:pt>
                <c:pt idx="34">
                  <c:v>1559</c:v>
                </c:pt>
                <c:pt idx="35">
                  <c:v>1504</c:v>
                </c:pt>
                <c:pt idx="36">
                  <c:v>1483</c:v>
                </c:pt>
                <c:pt idx="37">
                  <c:v>1450</c:v>
                </c:pt>
                <c:pt idx="38">
                  <c:v>1398</c:v>
                </c:pt>
                <c:pt idx="39">
                  <c:v>1260</c:v>
                </c:pt>
                <c:pt idx="40">
                  <c:v>1178</c:v>
                </c:pt>
                <c:pt idx="41">
                  <c:v>1146</c:v>
                </c:pt>
                <c:pt idx="42">
                  <c:v>1129</c:v>
                </c:pt>
                <c:pt idx="43">
                  <c:v>1008</c:v>
                </c:pt>
                <c:pt idx="44">
                  <c:v>959</c:v>
                </c:pt>
                <c:pt idx="45">
                  <c:v>971</c:v>
                </c:pt>
                <c:pt idx="46">
                  <c:v>907</c:v>
                </c:pt>
                <c:pt idx="47">
                  <c:v>970</c:v>
                </c:pt>
                <c:pt idx="48">
                  <c:v>876</c:v>
                </c:pt>
                <c:pt idx="49">
                  <c:v>844</c:v>
                </c:pt>
                <c:pt idx="50">
                  <c:v>737</c:v>
                </c:pt>
                <c:pt idx="51">
                  <c:v>682</c:v>
                </c:pt>
                <c:pt idx="52">
                  <c:v>619</c:v>
                </c:pt>
                <c:pt idx="53">
                  <c:v>579</c:v>
                </c:pt>
                <c:pt idx="54">
                  <c:v>481</c:v>
                </c:pt>
                <c:pt idx="55">
                  <c:v>483</c:v>
                </c:pt>
                <c:pt idx="56">
                  <c:v>433</c:v>
                </c:pt>
                <c:pt idx="57">
                  <c:v>397</c:v>
                </c:pt>
                <c:pt idx="58">
                  <c:v>400</c:v>
                </c:pt>
                <c:pt idx="59">
                  <c:v>381</c:v>
                </c:pt>
                <c:pt idx="60">
                  <c:v>311</c:v>
                </c:pt>
                <c:pt idx="61">
                  <c:v>295</c:v>
                </c:pt>
                <c:pt idx="62">
                  <c:v>242</c:v>
                </c:pt>
                <c:pt idx="63">
                  <c:v>220</c:v>
                </c:pt>
                <c:pt idx="64">
                  <c:v>229</c:v>
                </c:pt>
                <c:pt idx="65">
                  <c:v>201</c:v>
                </c:pt>
                <c:pt idx="66">
                  <c:v>1060</c:v>
                </c:pt>
              </c:numCache>
            </c:numRef>
          </c:val>
          <c:smooth val="0"/>
          <c:extLst>
            <c:ext xmlns:c16="http://schemas.microsoft.com/office/drawing/2014/chart" uri="{C3380CC4-5D6E-409C-BE32-E72D297353CC}">
              <c16:uniqueId val="{00000003-62E4-4046-ADA6-4C1918387AFE}"/>
            </c:ext>
          </c:extLst>
        </c:ser>
        <c:ser>
          <c:idx val="4"/>
          <c:order val="4"/>
          <c:tx>
            <c:strRef>
              <c:f>'Sheet1 (5)'!$F$4:$F$5</c:f>
              <c:strCache>
                <c:ptCount val="1"/>
                <c:pt idx="0">
                  <c:v>Lisdexamfetamine</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'Sheet1 (5)'!$A$6:$A$73</c:f>
              <c:strCache>
                <c:ptCount val="67"/>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&gt; 65</c:v>
                </c:pt>
              </c:strCache>
            </c:strRef>
          </c:cat>
          <c:val>
            <c:numRef>
              <c:f>'Sheet1 (5)'!$F$6:$F$73</c:f>
              <c:numCache>
                <c:formatCode>General</c:formatCode>
                <c:ptCount val="67"/>
                <c:pt idx="2">
                  <c:v>1</c:v>
                </c:pt>
                <c:pt idx="3">
                  <c:v>1</c:v>
                </c:pt>
                <c:pt idx="4">
                  <c:v>6</c:v>
                </c:pt>
                <c:pt idx="5">
                  <c:v>64</c:v>
                </c:pt>
                <c:pt idx="6">
                  <c:v>2151</c:v>
                </c:pt>
                <c:pt idx="7">
                  <c:v>2906</c:v>
                </c:pt>
                <c:pt idx="8">
                  <c:v>3534</c:v>
                </c:pt>
                <c:pt idx="9">
                  <c:v>3931</c:v>
                </c:pt>
                <c:pt idx="10">
                  <c:v>4132</c:v>
                </c:pt>
                <c:pt idx="11">
                  <c:v>4301</c:v>
                </c:pt>
                <c:pt idx="12">
                  <c:v>4491</c:v>
                </c:pt>
                <c:pt idx="13">
                  <c:v>4469</c:v>
                </c:pt>
                <c:pt idx="14">
                  <c:v>4030</c:v>
                </c:pt>
                <c:pt idx="15">
                  <c:v>3506</c:v>
                </c:pt>
                <c:pt idx="16">
                  <c:v>3123</c:v>
                </c:pt>
                <c:pt idx="17">
                  <c:v>2615</c:v>
                </c:pt>
                <c:pt idx="18">
                  <c:v>1548</c:v>
                </c:pt>
                <c:pt idx="19">
                  <c:v>1175</c:v>
                </c:pt>
                <c:pt idx="20">
                  <c:v>912</c:v>
                </c:pt>
                <c:pt idx="21">
                  <c:v>750</c:v>
                </c:pt>
                <c:pt idx="22">
                  <c:v>568</c:v>
                </c:pt>
                <c:pt idx="23">
                  <c:v>561</c:v>
                </c:pt>
                <c:pt idx="24">
                  <c:v>526</c:v>
                </c:pt>
                <c:pt idx="25">
                  <c:v>481</c:v>
                </c:pt>
                <c:pt idx="26">
                  <c:v>453</c:v>
                </c:pt>
                <c:pt idx="27">
                  <c:v>449</c:v>
                </c:pt>
                <c:pt idx="28">
                  <c:v>407</c:v>
                </c:pt>
                <c:pt idx="29">
                  <c:v>442</c:v>
                </c:pt>
                <c:pt idx="30">
                  <c:v>437</c:v>
                </c:pt>
                <c:pt idx="31">
                  <c:v>425</c:v>
                </c:pt>
                <c:pt idx="32">
                  <c:v>351</c:v>
                </c:pt>
                <c:pt idx="33">
                  <c:v>376</c:v>
                </c:pt>
                <c:pt idx="34">
                  <c:v>358</c:v>
                </c:pt>
                <c:pt idx="35">
                  <c:v>323</c:v>
                </c:pt>
                <c:pt idx="36">
                  <c:v>311</c:v>
                </c:pt>
                <c:pt idx="37">
                  <c:v>282</c:v>
                </c:pt>
                <c:pt idx="38">
                  <c:v>272</c:v>
                </c:pt>
                <c:pt idx="39">
                  <c:v>220</c:v>
                </c:pt>
                <c:pt idx="40">
                  <c:v>218</c:v>
                </c:pt>
                <c:pt idx="41">
                  <c:v>202</c:v>
                </c:pt>
                <c:pt idx="42">
                  <c:v>154</c:v>
                </c:pt>
                <c:pt idx="43">
                  <c:v>142</c:v>
                </c:pt>
                <c:pt idx="44">
                  <c:v>149</c:v>
                </c:pt>
                <c:pt idx="45">
                  <c:v>142</c:v>
                </c:pt>
                <c:pt idx="46">
                  <c:v>129</c:v>
                </c:pt>
                <c:pt idx="47">
                  <c:v>103</c:v>
                </c:pt>
                <c:pt idx="48">
                  <c:v>114</c:v>
                </c:pt>
                <c:pt idx="49">
                  <c:v>116</c:v>
                </c:pt>
                <c:pt idx="50">
                  <c:v>86</c:v>
                </c:pt>
                <c:pt idx="51">
                  <c:v>85</c:v>
                </c:pt>
                <c:pt idx="52">
                  <c:v>67</c:v>
                </c:pt>
                <c:pt idx="53">
                  <c:v>51</c:v>
                </c:pt>
                <c:pt idx="54">
                  <c:v>39</c:v>
                </c:pt>
                <c:pt idx="55">
                  <c:v>49</c:v>
                </c:pt>
                <c:pt idx="56">
                  <c:v>35</c:v>
                </c:pt>
                <c:pt idx="57">
                  <c:v>34</c:v>
                </c:pt>
                <c:pt idx="58">
                  <c:v>35</c:v>
                </c:pt>
                <c:pt idx="59">
                  <c:v>28</c:v>
                </c:pt>
                <c:pt idx="60">
                  <c:v>21</c:v>
                </c:pt>
                <c:pt idx="61">
                  <c:v>17</c:v>
                </c:pt>
                <c:pt idx="62">
                  <c:v>22</c:v>
                </c:pt>
                <c:pt idx="63">
                  <c:v>14</c:v>
                </c:pt>
                <c:pt idx="64">
                  <c:v>15</c:v>
                </c:pt>
                <c:pt idx="65">
                  <c:v>9</c:v>
                </c:pt>
                <c:pt idx="66">
                  <c:v>57</c:v>
                </c:pt>
              </c:numCache>
            </c:numRef>
          </c:val>
          <c:smooth val="0"/>
          <c:extLst>
            <c:ext xmlns:c16="http://schemas.microsoft.com/office/drawing/2014/chart" uri="{C3380CC4-5D6E-409C-BE32-E72D297353CC}">
              <c16:uniqueId val="{00000004-62E4-4046-ADA6-4C1918387AFE}"/>
            </c:ext>
          </c:extLst>
        </c:ser>
        <c:ser>
          <c:idx val="5"/>
          <c:order val="5"/>
          <c:tx>
            <c:strRef>
              <c:f>'Sheet1 (5)'!$G$4:$G$5</c:f>
              <c:strCache>
                <c:ptCount val="1"/>
                <c:pt idx="0">
                  <c:v>Guanfacine</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Ref>
              <c:f>'Sheet1 (5)'!$A$6:$A$73</c:f>
              <c:strCache>
                <c:ptCount val="67"/>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&gt; 65</c:v>
                </c:pt>
              </c:strCache>
            </c:strRef>
          </c:cat>
          <c:val>
            <c:numRef>
              <c:f>'Sheet1 (5)'!$G$6:$G$73</c:f>
              <c:numCache>
                <c:formatCode>General</c:formatCode>
                <c:ptCount val="67"/>
                <c:pt idx="2">
                  <c:v>1</c:v>
                </c:pt>
                <c:pt idx="3">
                  <c:v>15</c:v>
                </c:pt>
                <c:pt idx="4">
                  <c:v>50</c:v>
                </c:pt>
                <c:pt idx="5">
                  <c:v>316</c:v>
                </c:pt>
                <c:pt idx="6">
                  <c:v>1645</c:v>
                </c:pt>
                <c:pt idx="7">
                  <c:v>2421</c:v>
                </c:pt>
                <c:pt idx="8">
                  <c:v>2752</c:v>
                </c:pt>
                <c:pt idx="9">
                  <c:v>2803</c:v>
                </c:pt>
                <c:pt idx="10">
                  <c:v>2737</c:v>
                </c:pt>
                <c:pt idx="11">
                  <c:v>2486</c:v>
                </c:pt>
                <c:pt idx="12">
                  <c:v>2241</c:v>
                </c:pt>
                <c:pt idx="13">
                  <c:v>1984</c:v>
                </c:pt>
                <c:pt idx="14">
                  <c:v>1561</c:v>
                </c:pt>
                <c:pt idx="15">
                  <c:v>1154</c:v>
                </c:pt>
                <c:pt idx="16">
                  <c:v>849</c:v>
                </c:pt>
                <c:pt idx="17">
                  <c:v>562</c:v>
                </c:pt>
                <c:pt idx="18">
                  <c:v>242</c:v>
                </c:pt>
                <c:pt idx="19">
                  <c:v>181</c:v>
                </c:pt>
                <c:pt idx="20">
                  <c:v>154</c:v>
                </c:pt>
                <c:pt idx="21">
                  <c:v>104</c:v>
                </c:pt>
                <c:pt idx="22">
                  <c:v>95</c:v>
                </c:pt>
                <c:pt idx="23">
                  <c:v>70</c:v>
                </c:pt>
                <c:pt idx="24">
                  <c:v>68</c:v>
                </c:pt>
                <c:pt idx="25">
                  <c:v>58</c:v>
                </c:pt>
                <c:pt idx="26">
                  <c:v>57</c:v>
                </c:pt>
                <c:pt idx="27">
                  <c:v>68</c:v>
                </c:pt>
                <c:pt idx="28">
                  <c:v>47</c:v>
                </c:pt>
                <c:pt idx="29">
                  <c:v>41</c:v>
                </c:pt>
                <c:pt idx="30">
                  <c:v>41</c:v>
                </c:pt>
                <c:pt idx="31">
                  <c:v>57</c:v>
                </c:pt>
                <c:pt idx="32">
                  <c:v>35</c:v>
                </c:pt>
                <c:pt idx="33">
                  <c:v>47</c:v>
                </c:pt>
                <c:pt idx="34">
                  <c:v>40</c:v>
                </c:pt>
                <c:pt idx="35">
                  <c:v>32</c:v>
                </c:pt>
                <c:pt idx="36">
                  <c:v>41</c:v>
                </c:pt>
                <c:pt idx="37">
                  <c:v>31</c:v>
                </c:pt>
                <c:pt idx="38">
                  <c:v>31</c:v>
                </c:pt>
                <c:pt idx="39">
                  <c:v>37</c:v>
                </c:pt>
                <c:pt idx="40">
                  <c:v>37</c:v>
                </c:pt>
                <c:pt idx="41">
                  <c:v>33</c:v>
                </c:pt>
                <c:pt idx="42">
                  <c:v>24</c:v>
                </c:pt>
                <c:pt idx="43">
                  <c:v>26</c:v>
                </c:pt>
                <c:pt idx="44">
                  <c:v>17</c:v>
                </c:pt>
                <c:pt idx="45">
                  <c:v>26</c:v>
                </c:pt>
                <c:pt idx="46">
                  <c:v>29</c:v>
                </c:pt>
                <c:pt idx="47">
                  <c:v>27</c:v>
                </c:pt>
                <c:pt idx="48">
                  <c:v>25</c:v>
                </c:pt>
                <c:pt idx="49">
                  <c:v>24</c:v>
                </c:pt>
                <c:pt idx="50">
                  <c:v>13</c:v>
                </c:pt>
                <c:pt idx="51">
                  <c:v>20</c:v>
                </c:pt>
                <c:pt idx="52">
                  <c:v>9</c:v>
                </c:pt>
                <c:pt idx="53">
                  <c:v>13</c:v>
                </c:pt>
                <c:pt idx="54">
                  <c:v>6</c:v>
                </c:pt>
                <c:pt idx="55">
                  <c:v>7</c:v>
                </c:pt>
                <c:pt idx="56">
                  <c:v>5</c:v>
                </c:pt>
                <c:pt idx="57">
                  <c:v>7</c:v>
                </c:pt>
                <c:pt idx="58">
                  <c:v>16</c:v>
                </c:pt>
                <c:pt idx="59">
                  <c:v>8</c:v>
                </c:pt>
                <c:pt idx="60">
                  <c:v>8</c:v>
                </c:pt>
                <c:pt idx="61">
                  <c:v>3</c:v>
                </c:pt>
                <c:pt idx="62">
                  <c:v>5</c:v>
                </c:pt>
                <c:pt idx="63">
                  <c:v>6</c:v>
                </c:pt>
                <c:pt idx="64">
                  <c:v>5</c:v>
                </c:pt>
                <c:pt idx="65">
                  <c:v>6</c:v>
                </c:pt>
                <c:pt idx="66">
                  <c:v>21</c:v>
                </c:pt>
              </c:numCache>
            </c:numRef>
          </c:val>
          <c:smooth val="0"/>
          <c:extLst>
            <c:ext xmlns:c16="http://schemas.microsoft.com/office/drawing/2014/chart" uri="{C3380CC4-5D6E-409C-BE32-E72D297353CC}">
              <c16:uniqueId val="{00000005-62E4-4046-ADA6-4C1918387AFE}"/>
            </c:ext>
          </c:extLst>
        </c:ser>
        <c:ser>
          <c:idx val="6"/>
          <c:order val="6"/>
          <c:tx>
            <c:strRef>
              <c:f>'Sheet1 (5)'!$H$4:$H$5</c:f>
              <c:strCache>
                <c:ptCount val="1"/>
                <c:pt idx="0">
                  <c:v>Atomoxetine</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strRef>
              <c:f>'Sheet1 (5)'!$A$6:$A$73</c:f>
              <c:strCache>
                <c:ptCount val="67"/>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&gt; 65</c:v>
                </c:pt>
              </c:strCache>
            </c:strRef>
          </c:cat>
          <c:val>
            <c:numRef>
              <c:f>'Sheet1 (5)'!$H$6:$H$73</c:f>
              <c:numCache>
                <c:formatCode>General</c:formatCode>
                <c:ptCount val="67"/>
                <c:pt idx="4">
                  <c:v>6</c:v>
                </c:pt>
                <c:pt idx="5">
                  <c:v>54</c:v>
                </c:pt>
                <c:pt idx="6">
                  <c:v>267</c:v>
                </c:pt>
                <c:pt idx="7">
                  <c:v>475</c:v>
                </c:pt>
                <c:pt idx="8">
                  <c:v>616</c:v>
                </c:pt>
                <c:pt idx="9">
                  <c:v>669</c:v>
                </c:pt>
                <c:pt idx="10">
                  <c:v>682</c:v>
                </c:pt>
                <c:pt idx="11">
                  <c:v>675</c:v>
                </c:pt>
                <c:pt idx="12">
                  <c:v>671</c:v>
                </c:pt>
                <c:pt idx="13">
                  <c:v>640</c:v>
                </c:pt>
                <c:pt idx="14">
                  <c:v>596</c:v>
                </c:pt>
                <c:pt idx="15">
                  <c:v>533</c:v>
                </c:pt>
                <c:pt idx="16">
                  <c:v>506</c:v>
                </c:pt>
                <c:pt idx="17">
                  <c:v>372</c:v>
                </c:pt>
                <c:pt idx="18">
                  <c:v>285</c:v>
                </c:pt>
                <c:pt idx="19">
                  <c:v>245</c:v>
                </c:pt>
                <c:pt idx="20">
                  <c:v>223</c:v>
                </c:pt>
                <c:pt idx="21">
                  <c:v>244</c:v>
                </c:pt>
                <c:pt idx="22">
                  <c:v>186</c:v>
                </c:pt>
                <c:pt idx="23">
                  <c:v>242</c:v>
                </c:pt>
                <c:pt idx="24">
                  <c:v>202</c:v>
                </c:pt>
                <c:pt idx="25">
                  <c:v>183</c:v>
                </c:pt>
                <c:pt idx="26">
                  <c:v>181</c:v>
                </c:pt>
                <c:pt idx="27">
                  <c:v>158</c:v>
                </c:pt>
                <c:pt idx="28">
                  <c:v>158</c:v>
                </c:pt>
                <c:pt idx="29">
                  <c:v>157</c:v>
                </c:pt>
                <c:pt idx="30">
                  <c:v>136</c:v>
                </c:pt>
                <c:pt idx="31">
                  <c:v>143</c:v>
                </c:pt>
                <c:pt idx="32">
                  <c:v>155</c:v>
                </c:pt>
                <c:pt idx="33">
                  <c:v>130</c:v>
                </c:pt>
                <c:pt idx="34">
                  <c:v>152</c:v>
                </c:pt>
                <c:pt idx="35">
                  <c:v>133</c:v>
                </c:pt>
                <c:pt idx="36">
                  <c:v>111</c:v>
                </c:pt>
                <c:pt idx="37">
                  <c:v>127</c:v>
                </c:pt>
                <c:pt idx="38">
                  <c:v>111</c:v>
                </c:pt>
                <c:pt idx="39">
                  <c:v>112</c:v>
                </c:pt>
                <c:pt idx="40">
                  <c:v>93</c:v>
                </c:pt>
                <c:pt idx="41">
                  <c:v>91</c:v>
                </c:pt>
                <c:pt idx="42">
                  <c:v>79</c:v>
                </c:pt>
                <c:pt idx="43">
                  <c:v>60</c:v>
                </c:pt>
                <c:pt idx="44">
                  <c:v>76</c:v>
                </c:pt>
                <c:pt idx="45">
                  <c:v>57</c:v>
                </c:pt>
                <c:pt idx="46">
                  <c:v>72</c:v>
                </c:pt>
                <c:pt idx="47">
                  <c:v>63</c:v>
                </c:pt>
                <c:pt idx="48">
                  <c:v>56</c:v>
                </c:pt>
                <c:pt idx="49">
                  <c:v>43</c:v>
                </c:pt>
                <c:pt idx="50">
                  <c:v>45</c:v>
                </c:pt>
                <c:pt idx="51">
                  <c:v>48</c:v>
                </c:pt>
                <c:pt idx="52">
                  <c:v>31</c:v>
                </c:pt>
                <c:pt idx="53">
                  <c:v>40</c:v>
                </c:pt>
                <c:pt idx="54">
                  <c:v>33</c:v>
                </c:pt>
                <c:pt idx="55">
                  <c:v>20</c:v>
                </c:pt>
                <c:pt idx="56">
                  <c:v>26</c:v>
                </c:pt>
                <c:pt idx="57">
                  <c:v>11</c:v>
                </c:pt>
                <c:pt idx="58">
                  <c:v>12</c:v>
                </c:pt>
                <c:pt idx="59">
                  <c:v>12</c:v>
                </c:pt>
                <c:pt idx="60">
                  <c:v>22</c:v>
                </c:pt>
                <c:pt idx="61">
                  <c:v>12</c:v>
                </c:pt>
                <c:pt idx="62">
                  <c:v>15</c:v>
                </c:pt>
                <c:pt idx="63">
                  <c:v>11</c:v>
                </c:pt>
                <c:pt idx="64">
                  <c:v>10</c:v>
                </c:pt>
                <c:pt idx="65">
                  <c:v>9</c:v>
                </c:pt>
                <c:pt idx="66">
                  <c:v>45</c:v>
                </c:pt>
              </c:numCache>
            </c:numRef>
          </c:val>
          <c:smooth val="0"/>
          <c:extLst>
            <c:ext xmlns:c16="http://schemas.microsoft.com/office/drawing/2014/chart" uri="{C3380CC4-5D6E-409C-BE32-E72D297353CC}">
              <c16:uniqueId val="{00000006-62E4-4046-ADA6-4C1918387AFE}"/>
            </c:ext>
          </c:extLst>
        </c:ser>
        <c:dLbls>
          <c:showLegendKey val="0"/>
          <c:showVal val="0"/>
          <c:showCatName val="0"/>
          <c:showSerName val="0"/>
          <c:showPercent val="0"/>
          <c:showBubbleSize val="0"/>
        </c:dLbls>
        <c:marker val="1"/>
        <c:smooth val="0"/>
        <c:axId val="915059048"/>
        <c:axId val="915062984"/>
      </c:lineChart>
      <c:catAx>
        <c:axId val="915059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42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5062984"/>
        <c:crosses val="autoZero"/>
        <c:auto val="1"/>
        <c:lblAlgn val="ctr"/>
        <c:lblOffset val="100"/>
        <c:noMultiLvlLbl val="0"/>
      </c:catAx>
      <c:valAx>
        <c:axId val="9150629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 of patients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50590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[D1304_PATCNTBY_PRESCR_SUPP_Year  v4.xlsx]pivot (3)!PivotTable4</c:name>
    <c:fmtId val="-1"/>
  </c:pivotSource>
  <c:chart>
    <c:autoTitleDeleted val="1"/>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a:noFill/>
          </a:ln>
          <a:effectLst/>
        </c:spPr>
        <c:marker>
          <c:symbol val="none"/>
        </c:marker>
      </c:pivotFmt>
      <c:pivotFmt>
        <c:idx val="11"/>
        <c:spPr>
          <a:solidFill>
            <a:schemeClr val="accent1"/>
          </a:solidFill>
          <a:ln>
            <a:noFill/>
          </a:ln>
          <a:effectLst/>
        </c:spPr>
        <c:marker>
          <c:symbol val="none"/>
        </c:marker>
      </c:pivotFmt>
      <c:pivotFmt>
        <c:idx val="12"/>
        <c:spPr>
          <a:solidFill>
            <a:schemeClr val="accent1"/>
          </a:solidFill>
          <a:ln>
            <a:noFill/>
          </a:ln>
          <a:effectLst/>
        </c:spPr>
        <c:marker>
          <c:symbol val="none"/>
        </c:marker>
      </c:pivotFmt>
      <c:pivotFmt>
        <c:idx val="13"/>
        <c:spPr>
          <a:solidFill>
            <a:schemeClr val="accent1"/>
          </a:solidFill>
          <a:ln>
            <a:noFill/>
          </a:ln>
          <a:effectLst/>
        </c:spPr>
        <c:marker>
          <c:symbol val="none"/>
        </c:marker>
      </c:pivotFmt>
      <c:pivotFmt>
        <c:idx val="14"/>
        <c:spPr>
          <a:solidFill>
            <a:schemeClr val="accent1"/>
          </a:solidFill>
          <a:ln>
            <a:noFill/>
          </a:ln>
          <a:effectLst/>
        </c:spPr>
        <c:marker>
          <c:symbol val="none"/>
        </c:marker>
      </c:pivotFmt>
      <c:pivotFmt>
        <c:idx val="15"/>
        <c:spPr>
          <a:solidFill>
            <a:schemeClr val="accent1"/>
          </a:solidFill>
          <a:ln>
            <a:noFill/>
          </a:ln>
          <a:effectLst/>
        </c:spPr>
        <c:marker>
          <c:symbol val="none"/>
        </c:marker>
      </c:pivotFmt>
      <c:pivotFmt>
        <c:idx val="16"/>
        <c:spPr>
          <a:solidFill>
            <a:schemeClr val="accent1"/>
          </a:solidFill>
          <a:ln>
            <a:noFill/>
          </a:ln>
          <a:effectLst/>
        </c:spPr>
        <c:marker>
          <c:symbol val="none"/>
        </c:marker>
      </c:pivotFmt>
      <c:pivotFmt>
        <c:idx val="17"/>
        <c:spPr>
          <a:solidFill>
            <a:schemeClr val="accent1"/>
          </a:solidFill>
          <a:ln>
            <a:noFill/>
          </a:ln>
          <a:effectLst/>
        </c:spPr>
        <c:marker>
          <c:symbol val="none"/>
        </c:marker>
      </c:pivotFmt>
      <c:pivotFmt>
        <c:idx val="18"/>
        <c:spPr>
          <a:solidFill>
            <a:schemeClr val="accent1"/>
          </a:solidFill>
          <a:ln>
            <a:noFill/>
          </a:ln>
          <a:effectLst/>
        </c:spPr>
        <c:marker>
          <c:symbol val="none"/>
        </c:marker>
      </c:pivotFmt>
      <c:pivotFmt>
        <c:idx val="19"/>
        <c:spPr>
          <a:solidFill>
            <a:schemeClr val="accent1"/>
          </a:solidFill>
          <a:ln>
            <a:noFill/>
          </a:ln>
          <a:effectLst/>
        </c:spPr>
        <c:marker>
          <c:symbol val="none"/>
        </c:marker>
      </c:pivotFmt>
      <c:pivotFmt>
        <c:idx val="20"/>
        <c:spPr>
          <a:solidFill>
            <a:schemeClr val="accent1"/>
          </a:solidFill>
          <a:ln>
            <a:noFill/>
          </a:ln>
          <a:effectLst/>
        </c:spPr>
        <c:marker>
          <c:symbol val="none"/>
        </c:marker>
      </c:pivotFmt>
      <c:pivotFmt>
        <c:idx val="21"/>
        <c:spPr>
          <a:solidFill>
            <a:schemeClr val="accent1"/>
          </a:solidFill>
          <a:ln>
            <a:noFill/>
          </a:ln>
          <a:effectLst/>
        </c:spPr>
        <c:marker>
          <c:symbol val="none"/>
        </c:marker>
      </c:pivotFmt>
      <c:pivotFmt>
        <c:idx val="22"/>
        <c:spPr>
          <a:solidFill>
            <a:schemeClr val="accent1"/>
          </a:solidFill>
          <a:ln>
            <a:noFill/>
          </a:ln>
          <a:effectLst/>
        </c:spPr>
        <c:marker>
          <c:symbol val="none"/>
        </c:marker>
      </c:pivotFmt>
      <c:pivotFmt>
        <c:idx val="2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8"/>
        <c:spPr>
          <a:solidFill>
            <a:schemeClr val="accent1"/>
          </a:solidFill>
          <a:ln>
            <a:noFill/>
          </a:ln>
          <a:effectLst/>
        </c:spPr>
        <c:marker>
          <c:symbol val="none"/>
        </c:marker>
      </c:pivotFmt>
      <c:pivotFmt>
        <c:idx val="29"/>
        <c:spPr>
          <a:solidFill>
            <a:schemeClr val="accent1"/>
          </a:solidFill>
          <a:ln>
            <a:noFill/>
          </a:ln>
          <a:effectLst/>
        </c:spPr>
        <c:marker>
          <c:symbol val="none"/>
        </c:marker>
      </c:pivotFmt>
      <c:pivotFmt>
        <c:idx val="30"/>
        <c:spPr>
          <a:solidFill>
            <a:schemeClr val="accent1"/>
          </a:solidFill>
          <a:ln>
            <a:noFill/>
          </a:ln>
          <a:effectLst/>
        </c:spPr>
        <c:marker>
          <c:symbol val="none"/>
        </c:marker>
      </c:pivotFmt>
      <c:pivotFmt>
        <c:idx val="31"/>
        <c:spPr>
          <a:solidFill>
            <a:schemeClr val="accent1"/>
          </a:solidFill>
          <a:ln>
            <a:noFill/>
          </a:ln>
          <a:effectLst/>
        </c:spPr>
        <c:marker>
          <c:symbol val="none"/>
        </c:marker>
      </c:pivotFmt>
      <c:pivotFmt>
        <c:idx val="32"/>
        <c:spPr>
          <a:solidFill>
            <a:schemeClr val="accent1"/>
          </a:solidFill>
          <a:ln>
            <a:noFill/>
          </a:ln>
          <a:effectLst/>
        </c:spPr>
        <c:marker>
          <c:symbol val="none"/>
        </c:marker>
      </c:pivotFmt>
      <c:pivotFmt>
        <c:idx val="33"/>
        <c:spPr>
          <a:solidFill>
            <a:schemeClr val="accent1"/>
          </a:solidFill>
          <a:ln>
            <a:noFill/>
          </a:ln>
          <a:effectLst/>
        </c:spPr>
        <c:marker>
          <c:symbol val="none"/>
        </c:marker>
      </c:pivotFmt>
      <c:pivotFmt>
        <c:idx val="34"/>
        <c:spPr>
          <a:solidFill>
            <a:schemeClr val="accent1"/>
          </a:solidFill>
          <a:ln>
            <a:noFill/>
          </a:ln>
          <a:effectLst/>
        </c:spPr>
        <c:marker>
          <c:symbol val="none"/>
        </c:marker>
      </c:pivotFmt>
      <c:pivotFmt>
        <c:idx val="35"/>
        <c:spPr>
          <a:solidFill>
            <a:schemeClr val="accent1"/>
          </a:solidFill>
          <a:ln>
            <a:noFill/>
          </a:ln>
          <a:effectLst/>
        </c:spPr>
        <c:marker>
          <c:symbol val="none"/>
        </c:marker>
      </c:pivotFmt>
      <c:pivotFmt>
        <c:idx val="36"/>
        <c:spPr>
          <a:solidFill>
            <a:schemeClr val="accent1"/>
          </a:solidFill>
          <a:ln>
            <a:noFill/>
          </a:ln>
          <a:effectLst/>
        </c:spPr>
        <c:marker>
          <c:symbol val="none"/>
        </c:marker>
      </c:pivotFmt>
      <c:pivotFmt>
        <c:idx val="37"/>
        <c:spPr>
          <a:solidFill>
            <a:schemeClr val="accent1"/>
          </a:solidFill>
          <a:ln>
            <a:noFill/>
          </a:ln>
          <a:effectLst/>
        </c:spPr>
        <c:marker>
          <c:symbol val="none"/>
        </c:marker>
      </c:pivotFmt>
      <c:pivotFmt>
        <c:idx val="38"/>
        <c:spPr>
          <a:solidFill>
            <a:schemeClr val="accent1"/>
          </a:solidFill>
          <a:ln>
            <a:noFill/>
          </a:ln>
          <a:effectLst/>
        </c:spPr>
        <c:marker>
          <c:symbol val="none"/>
        </c:marker>
      </c:pivotFmt>
      <c:pivotFmt>
        <c:idx val="39"/>
        <c:spPr>
          <a:solidFill>
            <a:schemeClr val="accent1"/>
          </a:solidFill>
          <a:ln>
            <a:noFill/>
          </a:ln>
          <a:effectLst/>
        </c:spPr>
        <c:marker>
          <c:symbol val="none"/>
        </c:marker>
      </c:pivotFmt>
      <c:pivotFmt>
        <c:idx val="40"/>
        <c:spPr>
          <a:solidFill>
            <a:schemeClr val="accent1"/>
          </a:solidFill>
          <a:ln>
            <a:noFill/>
          </a:ln>
          <a:effectLst/>
        </c:spPr>
        <c:marker>
          <c:symbol val="none"/>
        </c:marker>
      </c:pivotFmt>
      <c:pivotFmt>
        <c:idx val="41"/>
        <c:spPr>
          <a:solidFill>
            <a:schemeClr val="accent1"/>
          </a:solidFill>
          <a:ln>
            <a:noFill/>
          </a:ln>
          <a:effectLst/>
        </c:spPr>
        <c:marker>
          <c:symbol val="none"/>
        </c:marker>
      </c:pivotFmt>
      <c:pivotFmt>
        <c:idx val="42"/>
        <c:spPr>
          <a:solidFill>
            <a:schemeClr val="accent1"/>
          </a:solidFill>
          <a:ln>
            <a:noFill/>
          </a:ln>
          <a:effectLst/>
        </c:spPr>
        <c:marker>
          <c:symbol val="none"/>
        </c:marker>
      </c:pivotFmt>
      <c:pivotFmt>
        <c:idx val="43"/>
        <c:spPr>
          <a:solidFill>
            <a:schemeClr val="accent1"/>
          </a:solidFill>
          <a:ln>
            <a:noFill/>
          </a:ln>
          <a:effectLst/>
        </c:spPr>
        <c:marker>
          <c:symbol val="none"/>
        </c:marker>
      </c:pivotFmt>
      <c:pivotFmt>
        <c:idx val="44"/>
        <c:spPr>
          <a:solidFill>
            <a:schemeClr val="accent1"/>
          </a:solidFill>
          <a:ln>
            <a:noFill/>
          </a:ln>
          <a:effectLst/>
        </c:spPr>
        <c:marker>
          <c:symbol val="none"/>
        </c:marker>
      </c:pivotFmt>
      <c:pivotFmt>
        <c:idx val="45"/>
        <c:spPr>
          <a:solidFill>
            <a:schemeClr val="accent1"/>
          </a:solidFill>
          <a:ln>
            <a:noFill/>
          </a:ln>
          <a:effectLst/>
        </c:spPr>
        <c:marker>
          <c:symbol val="none"/>
        </c:marker>
      </c:pivotFmt>
      <c:pivotFmt>
        <c:idx val="46"/>
        <c:spPr>
          <a:solidFill>
            <a:schemeClr val="accent1"/>
          </a:solidFill>
          <a:ln>
            <a:noFill/>
          </a:ln>
          <a:effectLst/>
        </c:spPr>
        <c:marker>
          <c:symbol val="none"/>
        </c:marker>
      </c:pivotFmt>
      <c:pivotFmt>
        <c:idx val="47"/>
        <c:spPr>
          <a:solidFill>
            <a:schemeClr val="accent1"/>
          </a:solidFill>
          <a:ln>
            <a:noFill/>
          </a:ln>
          <a:effectLst/>
        </c:spPr>
        <c:marker>
          <c:symbol val="none"/>
        </c:marker>
      </c:pivotFmt>
    </c:pivotFmts>
    <c:plotArea>
      <c:layout>
        <c:manualLayout>
          <c:layoutTarget val="inner"/>
          <c:xMode val="edge"/>
          <c:yMode val="edge"/>
          <c:x val="0.12649131150668241"/>
          <c:y val="3.6869603223530577E-2"/>
          <c:w val="0.81141998788612957"/>
          <c:h val="0.66292989971998184"/>
        </c:manualLayout>
      </c:layout>
      <c:barChart>
        <c:barDir val="col"/>
        <c:grouping val="stacked"/>
        <c:varyColors val="0"/>
        <c:ser>
          <c:idx val="0"/>
          <c:order val="0"/>
          <c:tx>
            <c:strRef>
              <c:f>'pivot (3)'!$B$4:$B$5</c:f>
              <c:strCache>
                <c:ptCount val="1"/>
                <c:pt idx="0">
                  <c:v>Paediatrician</c:v>
                </c:pt>
              </c:strCache>
            </c:strRef>
          </c:tx>
          <c:spPr>
            <a:solidFill>
              <a:schemeClr val="accent1"/>
            </a:solidFill>
            <a:ln>
              <a:noFill/>
            </a:ln>
            <a:effectLst/>
          </c:spPr>
          <c:invertIfNegative val="0"/>
          <c:cat>
            <c:strRef>
              <c:f>'pivot (3)'!$A$6:$A$13</c:f>
              <c:strCache>
                <c:ptCount val="7"/>
                <c:pt idx="0">
                  <c:v>Atomoxetine</c:v>
                </c:pt>
                <c:pt idx="1">
                  <c:v>Clonidine</c:v>
                </c:pt>
                <c:pt idx="2">
                  <c:v>Dexamfetamine</c:v>
                </c:pt>
                <c:pt idx="3">
                  <c:v>Guanfacine</c:v>
                </c:pt>
                <c:pt idx="4">
                  <c:v>Lisdexamfetamine</c:v>
                </c:pt>
                <c:pt idx="5">
                  <c:v>MPH-IR</c:v>
                </c:pt>
                <c:pt idx="6">
                  <c:v>MPH-MR</c:v>
                </c:pt>
              </c:strCache>
            </c:strRef>
          </c:cat>
          <c:val>
            <c:numRef>
              <c:f>'pivot (3)'!$B$6:$B$13</c:f>
              <c:numCache>
                <c:formatCode>General</c:formatCode>
                <c:ptCount val="7"/>
                <c:pt idx="0">
                  <c:v>2055</c:v>
                </c:pt>
                <c:pt idx="1">
                  <c:v>9245</c:v>
                </c:pt>
                <c:pt idx="2">
                  <c:v>4921</c:v>
                </c:pt>
                <c:pt idx="3">
                  <c:v>9353</c:v>
                </c:pt>
                <c:pt idx="4">
                  <c:v>13444</c:v>
                </c:pt>
                <c:pt idx="5">
                  <c:v>23701</c:v>
                </c:pt>
                <c:pt idx="6">
                  <c:v>17399</c:v>
                </c:pt>
              </c:numCache>
            </c:numRef>
          </c:val>
          <c:extLst>
            <c:ext xmlns:c16="http://schemas.microsoft.com/office/drawing/2014/chart" uri="{C3380CC4-5D6E-409C-BE32-E72D297353CC}">
              <c16:uniqueId val="{00000000-7B58-457C-AB10-523F6A9DBF96}"/>
            </c:ext>
          </c:extLst>
        </c:ser>
        <c:ser>
          <c:idx val="1"/>
          <c:order val="1"/>
          <c:tx>
            <c:strRef>
              <c:f>'pivot (3)'!$C$4:$C$5</c:f>
              <c:strCache>
                <c:ptCount val="1"/>
                <c:pt idx="0">
                  <c:v>Psychiatrist</c:v>
                </c:pt>
              </c:strCache>
            </c:strRef>
          </c:tx>
          <c:spPr>
            <a:solidFill>
              <a:schemeClr val="accent2"/>
            </a:solidFill>
            <a:ln>
              <a:noFill/>
            </a:ln>
            <a:effectLst/>
          </c:spPr>
          <c:invertIfNegative val="0"/>
          <c:cat>
            <c:strRef>
              <c:f>'pivot (3)'!$A$6:$A$13</c:f>
              <c:strCache>
                <c:ptCount val="7"/>
                <c:pt idx="0">
                  <c:v>Atomoxetine</c:v>
                </c:pt>
                <c:pt idx="1">
                  <c:v>Clonidine</c:v>
                </c:pt>
                <c:pt idx="2">
                  <c:v>Dexamfetamine</c:v>
                </c:pt>
                <c:pt idx="3">
                  <c:v>Guanfacine</c:v>
                </c:pt>
                <c:pt idx="4">
                  <c:v>Lisdexamfetamine</c:v>
                </c:pt>
                <c:pt idx="5">
                  <c:v>MPH-IR</c:v>
                </c:pt>
                <c:pt idx="6">
                  <c:v>MPH-MR</c:v>
                </c:pt>
              </c:strCache>
            </c:strRef>
          </c:cat>
          <c:val>
            <c:numRef>
              <c:f>'pivot (3)'!$C$6:$C$13</c:f>
              <c:numCache>
                <c:formatCode>General</c:formatCode>
                <c:ptCount val="7"/>
                <c:pt idx="0">
                  <c:v>2101</c:v>
                </c:pt>
                <c:pt idx="1">
                  <c:v>5973</c:v>
                </c:pt>
                <c:pt idx="2">
                  <c:v>12472</c:v>
                </c:pt>
                <c:pt idx="3">
                  <c:v>2329</c:v>
                </c:pt>
                <c:pt idx="4">
                  <c:v>6012</c:v>
                </c:pt>
                <c:pt idx="5">
                  <c:v>11436</c:v>
                </c:pt>
                <c:pt idx="6">
                  <c:v>4059</c:v>
                </c:pt>
              </c:numCache>
            </c:numRef>
          </c:val>
          <c:extLst>
            <c:ext xmlns:c16="http://schemas.microsoft.com/office/drawing/2014/chart" uri="{C3380CC4-5D6E-409C-BE32-E72D297353CC}">
              <c16:uniqueId val="{00000001-7B58-457C-AB10-523F6A9DBF96}"/>
            </c:ext>
          </c:extLst>
        </c:ser>
        <c:ser>
          <c:idx val="2"/>
          <c:order val="2"/>
          <c:tx>
            <c:strRef>
              <c:f>'pivot (3)'!$D$4:$D$5</c:f>
              <c:strCache>
                <c:ptCount val="1"/>
                <c:pt idx="0">
                  <c:v>GP</c:v>
                </c:pt>
              </c:strCache>
            </c:strRef>
          </c:tx>
          <c:spPr>
            <a:solidFill>
              <a:schemeClr val="accent3"/>
            </a:solidFill>
            <a:ln>
              <a:noFill/>
            </a:ln>
            <a:effectLst/>
          </c:spPr>
          <c:invertIfNegative val="0"/>
          <c:cat>
            <c:strRef>
              <c:f>'pivot (3)'!$A$6:$A$13</c:f>
              <c:strCache>
                <c:ptCount val="7"/>
                <c:pt idx="0">
                  <c:v>Atomoxetine</c:v>
                </c:pt>
                <c:pt idx="1">
                  <c:v>Clonidine</c:v>
                </c:pt>
                <c:pt idx="2">
                  <c:v>Dexamfetamine</c:v>
                </c:pt>
                <c:pt idx="3">
                  <c:v>Guanfacine</c:v>
                </c:pt>
                <c:pt idx="4">
                  <c:v>Lisdexamfetamine</c:v>
                </c:pt>
                <c:pt idx="5">
                  <c:v>MPH-IR</c:v>
                </c:pt>
                <c:pt idx="6">
                  <c:v>MPH-MR</c:v>
                </c:pt>
              </c:strCache>
            </c:strRef>
          </c:cat>
          <c:val>
            <c:numRef>
              <c:f>'pivot (3)'!$D$6:$D$13</c:f>
              <c:numCache>
                <c:formatCode>General</c:formatCode>
                <c:ptCount val="7"/>
                <c:pt idx="0">
                  <c:v>789</c:v>
                </c:pt>
                <c:pt idx="1">
                  <c:v>14908</c:v>
                </c:pt>
                <c:pt idx="2">
                  <c:v>1566</c:v>
                </c:pt>
                <c:pt idx="3">
                  <c:v>498</c:v>
                </c:pt>
                <c:pt idx="4">
                  <c:v>941</c:v>
                </c:pt>
                <c:pt idx="5">
                  <c:v>1933</c:v>
                </c:pt>
                <c:pt idx="6">
                  <c:v>1430</c:v>
                </c:pt>
              </c:numCache>
            </c:numRef>
          </c:val>
          <c:extLst>
            <c:ext xmlns:c16="http://schemas.microsoft.com/office/drawing/2014/chart" uri="{C3380CC4-5D6E-409C-BE32-E72D297353CC}">
              <c16:uniqueId val="{00000002-7B58-457C-AB10-523F6A9DBF96}"/>
            </c:ext>
          </c:extLst>
        </c:ser>
        <c:ser>
          <c:idx val="3"/>
          <c:order val="3"/>
          <c:tx>
            <c:strRef>
              <c:f>'pivot (3)'!$E$4:$E$5</c:f>
              <c:strCache>
                <c:ptCount val="1"/>
                <c:pt idx="0">
                  <c:v>Other</c:v>
                </c:pt>
              </c:strCache>
            </c:strRef>
          </c:tx>
          <c:spPr>
            <a:solidFill>
              <a:schemeClr val="accent4"/>
            </a:solidFill>
            <a:ln>
              <a:noFill/>
            </a:ln>
            <a:effectLst/>
          </c:spPr>
          <c:invertIfNegative val="0"/>
          <c:cat>
            <c:strRef>
              <c:f>'pivot (3)'!$A$6:$A$13</c:f>
              <c:strCache>
                <c:ptCount val="7"/>
                <c:pt idx="0">
                  <c:v>Atomoxetine</c:v>
                </c:pt>
                <c:pt idx="1">
                  <c:v>Clonidine</c:v>
                </c:pt>
                <c:pt idx="2">
                  <c:v>Dexamfetamine</c:v>
                </c:pt>
                <c:pt idx="3">
                  <c:v>Guanfacine</c:v>
                </c:pt>
                <c:pt idx="4">
                  <c:v>Lisdexamfetamine</c:v>
                </c:pt>
                <c:pt idx="5">
                  <c:v>MPH-IR</c:v>
                </c:pt>
                <c:pt idx="6">
                  <c:v>MPH-MR</c:v>
                </c:pt>
              </c:strCache>
            </c:strRef>
          </c:cat>
          <c:val>
            <c:numRef>
              <c:f>'pivot (3)'!$E$6:$E$13</c:f>
              <c:numCache>
                <c:formatCode>General</c:formatCode>
                <c:ptCount val="7"/>
                <c:pt idx="0">
                  <c:v>538</c:v>
                </c:pt>
                <c:pt idx="1">
                  <c:v>6633</c:v>
                </c:pt>
                <c:pt idx="2">
                  <c:v>913</c:v>
                </c:pt>
                <c:pt idx="3">
                  <c:v>1079</c:v>
                </c:pt>
                <c:pt idx="4">
                  <c:v>1214</c:v>
                </c:pt>
                <c:pt idx="5">
                  <c:v>2386</c:v>
                </c:pt>
                <c:pt idx="6">
                  <c:v>1690</c:v>
                </c:pt>
              </c:numCache>
            </c:numRef>
          </c:val>
          <c:extLst>
            <c:ext xmlns:c16="http://schemas.microsoft.com/office/drawing/2014/chart" uri="{C3380CC4-5D6E-409C-BE32-E72D297353CC}">
              <c16:uniqueId val="{00000003-7B58-457C-AB10-523F6A9DBF96}"/>
            </c:ext>
          </c:extLst>
        </c:ser>
        <c:ser>
          <c:idx val="4"/>
          <c:order val="4"/>
          <c:tx>
            <c:strRef>
              <c:f>'pivot (3)'!$F$4:$F$5</c:f>
              <c:strCache>
                <c:ptCount val="1"/>
                <c:pt idx="0">
                  <c:v>Nurse Practitioner</c:v>
                </c:pt>
              </c:strCache>
            </c:strRef>
          </c:tx>
          <c:spPr>
            <a:solidFill>
              <a:schemeClr val="accent5"/>
            </a:solidFill>
            <a:ln>
              <a:noFill/>
            </a:ln>
            <a:effectLst/>
          </c:spPr>
          <c:invertIfNegative val="0"/>
          <c:cat>
            <c:strRef>
              <c:f>'pivot (3)'!$A$6:$A$13</c:f>
              <c:strCache>
                <c:ptCount val="7"/>
                <c:pt idx="0">
                  <c:v>Atomoxetine</c:v>
                </c:pt>
                <c:pt idx="1">
                  <c:v>Clonidine</c:v>
                </c:pt>
                <c:pt idx="2">
                  <c:v>Dexamfetamine</c:v>
                </c:pt>
                <c:pt idx="3">
                  <c:v>Guanfacine</c:v>
                </c:pt>
                <c:pt idx="4">
                  <c:v>Lisdexamfetamine</c:v>
                </c:pt>
                <c:pt idx="5">
                  <c:v>MPH-IR</c:v>
                </c:pt>
                <c:pt idx="6">
                  <c:v>MPH-MR</c:v>
                </c:pt>
              </c:strCache>
            </c:strRef>
          </c:cat>
          <c:val>
            <c:numRef>
              <c:f>'pivot (3)'!$F$6:$F$13</c:f>
              <c:numCache>
                <c:formatCode>General</c:formatCode>
                <c:ptCount val="7"/>
                <c:pt idx="1">
                  <c:v>44</c:v>
                </c:pt>
                <c:pt idx="2">
                  <c:v>6</c:v>
                </c:pt>
                <c:pt idx="4">
                  <c:v>9</c:v>
                </c:pt>
                <c:pt idx="5">
                  <c:v>5</c:v>
                </c:pt>
                <c:pt idx="6">
                  <c:v>16</c:v>
                </c:pt>
              </c:numCache>
            </c:numRef>
          </c:val>
          <c:extLst>
            <c:ext xmlns:c16="http://schemas.microsoft.com/office/drawing/2014/chart" uri="{C3380CC4-5D6E-409C-BE32-E72D297353CC}">
              <c16:uniqueId val="{00000004-7B58-457C-AB10-523F6A9DBF96}"/>
            </c:ext>
          </c:extLst>
        </c:ser>
        <c:dLbls>
          <c:showLegendKey val="0"/>
          <c:showVal val="0"/>
          <c:showCatName val="0"/>
          <c:showSerName val="0"/>
          <c:showPercent val="0"/>
          <c:showBubbleSize val="0"/>
        </c:dLbls>
        <c:gapWidth val="150"/>
        <c:overlap val="100"/>
        <c:axId val="237402520"/>
        <c:axId val="237397272"/>
      </c:barChart>
      <c:catAx>
        <c:axId val="23740252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7397272"/>
        <c:crosses val="autoZero"/>
        <c:auto val="1"/>
        <c:lblAlgn val="ctr"/>
        <c:lblOffset val="100"/>
        <c:noMultiLvlLbl val="0"/>
      </c:catAx>
      <c:valAx>
        <c:axId val="2373972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a:t>
                </a:r>
                <a:r>
                  <a:rPr lang="en-AU" baseline="0"/>
                  <a:t> of p</a:t>
                </a:r>
                <a:r>
                  <a:rPr lang="en-AU"/>
                  <a:t>atients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7402520"/>
        <c:crosses val="autoZero"/>
        <c:crossBetween val="between"/>
      </c:valAx>
      <c:spPr>
        <a:noFill/>
        <a:ln>
          <a:noFill/>
        </a:ln>
        <a:effectLst/>
      </c:spPr>
    </c:plotArea>
    <c:legend>
      <c:legendPos val="b"/>
      <c:layout>
        <c:manualLayout>
          <c:xMode val="edge"/>
          <c:yMode val="edge"/>
          <c:x val="0.10209830168460156"/>
          <c:y val="0.89894879760200752"/>
          <c:w val="0.81143362996785151"/>
          <c:h val="6.586140205676209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[D1304 - AGSTD_PATS5 fig9 back to 2014 excld clopinidine.xlsx]Sheet1 (2)!PivotTable1</c:name>
    <c:fmtId val="-1"/>
  </c:pivotSource>
  <c:chart>
    <c:autoTitleDeleted val="1"/>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1"/>
          </a:solidFill>
          <a:ln>
            <a:noFill/>
          </a:ln>
          <a:effectLst/>
        </c:spPr>
        <c:marker>
          <c:symbol val="none"/>
        </c:marker>
      </c:pivotFmt>
      <c:pivotFmt>
        <c:idx val="15"/>
        <c:spPr>
          <a:solidFill>
            <a:schemeClr val="accent1"/>
          </a:solidFill>
          <a:ln>
            <a:noFill/>
          </a:ln>
          <a:effectLst/>
        </c:spPr>
        <c:marker>
          <c:symbol val="none"/>
        </c:marker>
      </c:pivotFmt>
      <c:pivotFmt>
        <c:idx val="16"/>
        <c:spPr>
          <a:solidFill>
            <a:schemeClr val="accent1"/>
          </a:solidFill>
          <a:ln>
            <a:noFill/>
          </a:ln>
          <a:effectLst/>
        </c:spPr>
        <c:marker>
          <c:symbol val="none"/>
        </c:marker>
      </c:pivotFmt>
      <c:pivotFmt>
        <c:idx val="17"/>
        <c:spPr>
          <a:solidFill>
            <a:schemeClr val="accent1"/>
          </a:solidFill>
          <a:ln>
            <a:noFill/>
          </a:ln>
          <a:effectLst/>
        </c:spPr>
        <c:marker>
          <c:symbol val="none"/>
        </c:marker>
      </c:pivotFmt>
      <c:pivotFmt>
        <c:idx val="18"/>
        <c:spPr>
          <a:solidFill>
            <a:schemeClr val="accent1"/>
          </a:solidFill>
          <a:ln>
            <a:noFill/>
          </a:ln>
          <a:effectLst/>
        </c:spPr>
        <c:marker>
          <c:symbol val="none"/>
        </c:marker>
      </c:pivotFmt>
      <c:pivotFmt>
        <c:idx val="19"/>
        <c:spPr>
          <a:solidFill>
            <a:schemeClr val="accent1"/>
          </a:solidFill>
          <a:ln>
            <a:noFill/>
          </a:ln>
          <a:effectLst/>
        </c:spPr>
        <c:marker>
          <c:symbol val="none"/>
        </c:marker>
      </c:pivotFmt>
      <c:pivotFmt>
        <c:idx val="20"/>
        <c:spPr>
          <a:solidFill>
            <a:schemeClr val="accent1"/>
          </a:solidFill>
          <a:ln>
            <a:noFill/>
          </a:ln>
          <a:effectLst/>
        </c:spPr>
        <c:marker>
          <c:symbol val="none"/>
        </c:marker>
      </c:pivotFmt>
      <c:pivotFmt>
        <c:idx val="21"/>
        <c:spPr>
          <a:solidFill>
            <a:schemeClr val="accent1"/>
          </a:solidFill>
          <a:ln>
            <a:noFill/>
          </a:ln>
          <a:effectLst/>
        </c:spPr>
        <c:marker>
          <c:symbol val="none"/>
        </c:marker>
      </c:pivotFmt>
    </c:pivotFmts>
    <c:plotArea>
      <c:layout/>
      <c:barChart>
        <c:barDir val="col"/>
        <c:grouping val="clustered"/>
        <c:varyColors val="0"/>
        <c:ser>
          <c:idx val="0"/>
          <c:order val="0"/>
          <c:tx>
            <c:strRef>
              <c:f>'Sheet1 (2)'!$B$5:$B$6</c:f>
              <c:strCache>
                <c:ptCount val="1"/>
                <c:pt idx="0">
                  <c:v>&lt; 6 years</c:v>
                </c:pt>
              </c:strCache>
            </c:strRef>
          </c:tx>
          <c:spPr>
            <a:solidFill>
              <a:schemeClr val="accent1"/>
            </a:solidFill>
            <a:ln>
              <a:noFill/>
            </a:ln>
            <a:effectLst/>
          </c:spPr>
          <c:invertIfNegative val="0"/>
          <c:cat>
            <c:strRef>
              <c:f>'Sheet1 (2)'!$A$7:$A$15</c:f>
              <c:strCache>
                <c:ptCount val="8"/>
                <c:pt idx="0">
                  <c:v>ACT</c:v>
                </c:pt>
                <c:pt idx="1">
                  <c:v>NSW</c:v>
                </c:pt>
                <c:pt idx="2">
                  <c:v>NT</c:v>
                </c:pt>
                <c:pt idx="3">
                  <c:v>QLD</c:v>
                </c:pt>
                <c:pt idx="4">
                  <c:v>SA</c:v>
                </c:pt>
                <c:pt idx="5">
                  <c:v>TAS</c:v>
                </c:pt>
                <c:pt idx="6">
                  <c:v>VIC</c:v>
                </c:pt>
                <c:pt idx="7">
                  <c:v>WA</c:v>
                </c:pt>
              </c:strCache>
            </c:strRef>
          </c:cat>
          <c:val>
            <c:numRef>
              <c:f>'Sheet1 (2)'!$B$7:$B$15</c:f>
              <c:numCache>
                <c:formatCode>General</c:formatCode>
                <c:ptCount val="8"/>
                <c:pt idx="0">
                  <c:v>1.5970661304</c:v>
                </c:pt>
                <c:pt idx="1">
                  <c:v>3.2767880775999996</c:v>
                </c:pt>
                <c:pt idx="2">
                  <c:v>2.9158632365999995</c:v>
                </c:pt>
                <c:pt idx="3">
                  <c:v>3.4593902234000007</c:v>
                </c:pt>
                <c:pt idx="4">
                  <c:v>2.4402106463999997</c:v>
                </c:pt>
                <c:pt idx="5">
                  <c:v>4.7877883234</c:v>
                </c:pt>
                <c:pt idx="6">
                  <c:v>2.1829034672000001</c:v>
                </c:pt>
                <c:pt idx="7">
                  <c:v>2.4609106821999998</c:v>
                </c:pt>
              </c:numCache>
            </c:numRef>
          </c:val>
          <c:extLst>
            <c:ext xmlns:c16="http://schemas.microsoft.com/office/drawing/2014/chart" uri="{C3380CC4-5D6E-409C-BE32-E72D297353CC}">
              <c16:uniqueId val="{00000000-04F4-4C8C-BCC3-109D27CC5D39}"/>
            </c:ext>
          </c:extLst>
        </c:ser>
        <c:ser>
          <c:idx val="1"/>
          <c:order val="1"/>
          <c:tx>
            <c:strRef>
              <c:f>'Sheet1 (2)'!$C$5:$C$6</c:f>
              <c:strCache>
                <c:ptCount val="1"/>
                <c:pt idx="0">
                  <c:v> 6-12 years</c:v>
                </c:pt>
              </c:strCache>
            </c:strRef>
          </c:tx>
          <c:spPr>
            <a:solidFill>
              <a:schemeClr val="accent2"/>
            </a:solidFill>
            <a:ln>
              <a:noFill/>
            </a:ln>
            <a:effectLst/>
          </c:spPr>
          <c:invertIfNegative val="0"/>
          <c:cat>
            <c:strRef>
              <c:f>'Sheet1 (2)'!$A$7:$A$15</c:f>
              <c:strCache>
                <c:ptCount val="8"/>
                <c:pt idx="0">
                  <c:v>ACT</c:v>
                </c:pt>
                <c:pt idx="1">
                  <c:v>NSW</c:v>
                </c:pt>
                <c:pt idx="2">
                  <c:v>NT</c:v>
                </c:pt>
                <c:pt idx="3">
                  <c:v>QLD</c:v>
                </c:pt>
                <c:pt idx="4">
                  <c:v>SA</c:v>
                </c:pt>
                <c:pt idx="5">
                  <c:v>TAS</c:v>
                </c:pt>
                <c:pt idx="6">
                  <c:v>VIC</c:v>
                </c:pt>
                <c:pt idx="7">
                  <c:v>WA</c:v>
                </c:pt>
              </c:strCache>
            </c:strRef>
          </c:cat>
          <c:val>
            <c:numRef>
              <c:f>'Sheet1 (2)'!$C$7:$C$15</c:f>
              <c:numCache>
                <c:formatCode>General</c:formatCode>
                <c:ptCount val="8"/>
                <c:pt idx="0">
                  <c:v>53.562729160700002</c:v>
                </c:pt>
                <c:pt idx="1">
                  <c:v>50.142279801500003</c:v>
                </c:pt>
                <c:pt idx="2">
                  <c:v>52.984953891099998</c:v>
                </c:pt>
                <c:pt idx="3">
                  <c:v>57.8145130666</c:v>
                </c:pt>
                <c:pt idx="4">
                  <c:v>29.3290101296</c:v>
                </c:pt>
                <c:pt idx="5">
                  <c:v>56.027388242299992</c:v>
                </c:pt>
                <c:pt idx="6">
                  <c:v>34.635482937799999</c:v>
                </c:pt>
                <c:pt idx="7">
                  <c:v>47.123343945599999</c:v>
                </c:pt>
              </c:numCache>
            </c:numRef>
          </c:val>
          <c:extLst>
            <c:ext xmlns:c16="http://schemas.microsoft.com/office/drawing/2014/chart" uri="{C3380CC4-5D6E-409C-BE32-E72D297353CC}">
              <c16:uniqueId val="{00000001-04F4-4C8C-BCC3-109D27CC5D39}"/>
            </c:ext>
          </c:extLst>
        </c:ser>
        <c:ser>
          <c:idx val="2"/>
          <c:order val="2"/>
          <c:tx>
            <c:strRef>
              <c:f>'Sheet1 (2)'!$D$5:$D$6</c:f>
              <c:strCache>
                <c:ptCount val="1"/>
                <c:pt idx="0">
                  <c:v>13-18 years</c:v>
                </c:pt>
              </c:strCache>
            </c:strRef>
          </c:tx>
          <c:spPr>
            <a:solidFill>
              <a:schemeClr val="accent3"/>
            </a:solidFill>
            <a:ln>
              <a:noFill/>
            </a:ln>
            <a:effectLst/>
          </c:spPr>
          <c:invertIfNegative val="0"/>
          <c:cat>
            <c:strRef>
              <c:f>'Sheet1 (2)'!$A$7:$A$15</c:f>
              <c:strCache>
                <c:ptCount val="8"/>
                <c:pt idx="0">
                  <c:v>ACT</c:v>
                </c:pt>
                <c:pt idx="1">
                  <c:v>NSW</c:v>
                </c:pt>
                <c:pt idx="2">
                  <c:v>NT</c:v>
                </c:pt>
                <c:pt idx="3">
                  <c:v>QLD</c:v>
                </c:pt>
                <c:pt idx="4">
                  <c:v>SA</c:v>
                </c:pt>
                <c:pt idx="5">
                  <c:v>TAS</c:v>
                </c:pt>
                <c:pt idx="6">
                  <c:v>VIC</c:v>
                </c:pt>
                <c:pt idx="7">
                  <c:v>WA</c:v>
                </c:pt>
              </c:strCache>
            </c:strRef>
          </c:cat>
          <c:val>
            <c:numRef>
              <c:f>'Sheet1 (2)'!$D$7:$D$15</c:f>
              <c:numCache>
                <c:formatCode>General</c:formatCode>
                <c:ptCount val="8"/>
                <c:pt idx="0">
                  <c:v>41.0213184419</c:v>
                </c:pt>
                <c:pt idx="1">
                  <c:v>37.092752233100001</c:v>
                </c:pt>
                <c:pt idx="2">
                  <c:v>19.937828276899999</c:v>
                </c:pt>
                <c:pt idx="3">
                  <c:v>34.206172217799995</c:v>
                </c:pt>
                <c:pt idx="4">
                  <c:v>14.736047523</c:v>
                </c:pt>
                <c:pt idx="5">
                  <c:v>34.391813482899998</c:v>
                </c:pt>
                <c:pt idx="6">
                  <c:v>23.400981073700002</c:v>
                </c:pt>
                <c:pt idx="7">
                  <c:v>35.335038255400001</c:v>
                </c:pt>
              </c:numCache>
            </c:numRef>
          </c:val>
          <c:extLst>
            <c:ext xmlns:c16="http://schemas.microsoft.com/office/drawing/2014/chart" uri="{C3380CC4-5D6E-409C-BE32-E72D297353CC}">
              <c16:uniqueId val="{00000002-04F4-4C8C-BCC3-109D27CC5D39}"/>
            </c:ext>
          </c:extLst>
        </c:ser>
        <c:ser>
          <c:idx val="3"/>
          <c:order val="3"/>
          <c:tx>
            <c:strRef>
              <c:f>'Sheet1 (2)'!$E$5:$E$6</c:f>
              <c:strCache>
                <c:ptCount val="1"/>
                <c:pt idx="0">
                  <c:v>19+ years</c:v>
                </c:pt>
              </c:strCache>
            </c:strRef>
          </c:tx>
          <c:spPr>
            <a:solidFill>
              <a:schemeClr val="accent4"/>
            </a:solidFill>
            <a:ln>
              <a:noFill/>
            </a:ln>
            <a:effectLst/>
          </c:spPr>
          <c:invertIfNegative val="0"/>
          <c:cat>
            <c:strRef>
              <c:f>'Sheet1 (2)'!$A$7:$A$15</c:f>
              <c:strCache>
                <c:ptCount val="8"/>
                <c:pt idx="0">
                  <c:v>ACT</c:v>
                </c:pt>
                <c:pt idx="1">
                  <c:v>NSW</c:v>
                </c:pt>
                <c:pt idx="2">
                  <c:v>NT</c:v>
                </c:pt>
                <c:pt idx="3">
                  <c:v>QLD</c:v>
                </c:pt>
                <c:pt idx="4">
                  <c:v>SA</c:v>
                </c:pt>
                <c:pt idx="5">
                  <c:v>TAS</c:v>
                </c:pt>
                <c:pt idx="6">
                  <c:v>VIC</c:v>
                </c:pt>
                <c:pt idx="7">
                  <c:v>WA</c:v>
                </c:pt>
              </c:strCache>
            </c:strRef>
          </c:cat>
          <c:val>
            <c:numRef>
              <c:f>'Sheet1 (2)'!$E$7:$E$15</c:f>
              <c:numCache>
                <c:formatCode>General</c:formatCode>
                <c:ptCount val="8"/>
                <c:pt idx="0">
                  <c:v>6.4678546110999999</c:v>
                </c:pt>
                <c:pt idx="1">
                  <c:v>4.4526624397000001</c:v>
                </c:pt>
                <c:pt idx="2">
                  <c:v>2.2975459785000005</c:v>
                </c:pt>
                <c:pt idx="3">
                  <c:v>4.1687489599999994</c:v>
                </c:pt>
                <c:pt idx="4">
                  <c:v>2.4826572694000002</c:v>
                </c:pt>
                <c:pt idx="5">
                  <c:v>3.1200360369999998</c:v>
                </c:pt>
                <c:pt idx="6">
                  <c:v>3.2118417599999995</c:v>
                </c:pt>
                <c:pt idx="7">
                  <c:v>9.3462840242999992</c:v>
                </c:pt>
              </c:numCache>
            </c:numRef>
          </c:val>
          <c:extLst>
            <c:ext xmlns:c16="http://schemas.microsoft.com/office/drawing/2014/chart" uri="{C3380CC4-5D6E-409C-BE32-E72D297353CC}">
              <c16:uniqueId val="{00000003-04F4-4C8C-BCC3-109D27CC5D39}"/>
            </c:ext>
          </c:extLst>
        </c:ser>
        <c:dLbls>
          <c:showLegendKey val="0"/>
          <c:showVal val="0"/>
          <c:showCatName val="0"/>
          <c:showSerName val="0"/>
          <c:showPercent val="0"/>
          <c:showBubbleSize val="0"/>
        </c:dLbls>
        <c:gapWidth val="219"/>
        <c:overlap val="-27"/>
        <c:axId val="640844264"/>
        <c:axId val="640844592"/>
      </c:barChart>
      <c:catAx>
        <c:axId val="6408442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Patient State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0844592"/>
        <c:crosses val="autoZero"/>
        <c:auto val="1"/>
        <c:lblAlgn val="ctr"/>
        <c:lblOffset val="100"/>
        <c:noMultiLvlLbl val="0"/>
      </c:catAx>
      <c:valAx>
        <c:axId val="6408445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Patients per 1,000 population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08442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[Copy of D1304 - AGSTD_PATS5 fig9 back to 2014 excld clopinidine sh.xlsx]Sheet1 (3)!PivotTable1</c:name>
    <c:fmtId val="-1"/>
  </c:pivotSource>
  <c:chart>
    <c:autoTitleDeleted val="1"/>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a:noFill/>
          </a:ln>
          <a:effectLst/>
        </c:spPr>
        <c:marker>
          <c:symbol val="none"/>
        </c:marker>
      </c:pivotFmt>
      <c:pivotFmt>
        <c:idx val="11"/>
        <c:spPr>
          <a:solidFill>
            <a:schemeClr val="accent1"/>
          </a:solidFill>
          <a:ln>
            <a:noFill/>
          </a:ln>
          <a:effectLst/>
        </c:spPr>
        <c:marker>
          <c:symbol val="none"/>
        </c:marker>
      </c:pivotFmt>
      <c:pivotFmt>
        <c:idx val="12"/>
        <c:spPr>
          <a:solidFill>
            <a:schemeClr val="accent1"/>
          </a:solidFill>
          <a:ln>
            <a:noFill/>
          </a:ln>
          <a:effectLst/>
        </c:spPr>
        <c:marker>
          <c:symbol val="none"/>
        </c:marker>
      </c:pivotFmt>
      <c:pivotFmt>
        <c:idx val="13"/>
        <c:spPr>
          <a:solidFill>
            <a:schemeClr val="accent1"/>
          </a:solidFill>
          <a:ln>
            <a:noFill/>
          </a:ln>
          <a:effectLst/>
        </c:spPr>
        <c:marker>
          <c:symbol val="none"/>
        </c:marker>
      </c:pivotFmt>
      <c:pivotFmt>
        <c:idx val="14"/>
        <c:spPr>
          <a:solidFill>
            <a:schemeClr val="accent1"/>
          </a:solidFill>
          <a:ln>
            <a:noFill/>
          </a:ln>
          <a:effectLst/>
        </c:spPr>
        <c:marker>
          <c:symbol val="none"/>
        </c:marker>
      </c:pivotFmt>
      <c:pivotFmt>
        <c:idx val="15"/>
        <c:spPr>
          <a:solidFill>
            <a:schemeClr val="accent1"/>
          </a:solidFill>
          <a:ln>
            <a:noFill/>
          </a:ln>
          <a:effectLst/>
        </c:spPr>
        <c:marker>
          <c:symbol val="none"/>
        </c:marker>
      </c:pivotFmt>
      <c:pivotFmt>
        <c:idx val="16"/>
        <c:spPr>
          <a:solidFill>
            <a:schemeClr val="accent1"/>
          </a:solidFill>
          <a:ln>
            <a:noFill/>
          </a:ln>
          <a:effectLst/>
        </c:spPr>
        <c:marker>
          <c:symbol val="none"/>
        </c:marker>
      </c:pivotFmt>
      <c:pivotFmt>
        <c:idx val="17"/>
        <c:spPr>
          <a:solidFill>
            <a:schemeClr val="accent1"/>
          </a:solidFill>
          <a:ln>
            <a:noFill/>
          </a:ln>
          <a:effectLst/>
        </c:spPr>
        <c:marker>
          <c:symbol val="none"/>
        </c:marker>
      </c:pivotFmt>
      <c:pivotFmt>
        <c:idx val="18"/>
        <c:spPr>
          <a:solidFill>
            <a:schemeClr val="accent1"/>
          </a:solidFill>
          <a:ln>
            <a:noFill/>
          </a:ln>
          <a:effectLst/>
        </c:spPr>
        <c:marker>
          <c:symbol val="none"/>
        </c:marker>
      </c:pivotFmt>
      <c:pivotFmt>
        <c:idx val="19"/>
        <c:spPr>
          <a:solidFill>
            <a:schemeClr val="accent1"/>
          </a:solidFill>
          <a:ln>
            <a:noFill/>
          </a:ln>
          <a:effectLst/>
        </c:spPr>
        <c:marker>
          <c:symbol val="none"/>
        </c:marker>
      </c:pivotFmt>
      <c:pivotFmt>
        <c:idx val="20"/>
        <c:spPr>
          <a:solidFill>
            <a:schemeClr val="accent1"/>
          </a:solidFill>
          <a:ln>
            <a:noFill/>
          </a:ln>
          <a:effectLst/>
        </c:spPr>
        <c:marker>
          <c:symbol val="none"/>
        </c:marker>
      </c:pivotFmt>
      <c:pivotFmt>
        <c:idx val="21"/>
        <c:spPr>
          <a:solidFill>
            <a:schemeClr val="accent1"/>
          </a:solidFill>
          <a:ln>
            <a:noFill/>
          </a:ln>
          <a:effectLst/>
        </c:spPr>
        <c:marker>
          <c:symbol val="none"/>
        </c:marker>
      </c:pivotFmt>
      <c:pivotFmt>
        <c:idx val="22"/>
        <c:spPr>
          <a:solidFill>
            <a:schemeClr val="accent1"/>
          </a:solidFill>
          <a:ln>
            <a:noFill/>
          </a:ln>
          <a:effectLst/>
        </c:spPr>
        <c:marker>
          <c:symbol val="none"/>
        </c:marker>
      </c:pivotFmt>
      <c:pivotFmt>
        <c:idx val="23"/>
        <c:spPr>
          <a:solidFill>
            <a:schemeClr val="accent1"/>
          </a:solidFill>
          <a:ln>
            <a:noFill/>
          </a:ln>
          <a:effectLst/>
        </c:spPr>
        <c:marker>
          <c:symbol val="none"/>
        </c:marker>
      </c:pivotFmt>
      <c:pivotFmt>
        <c:idx val="24"/>
        <c:spPr>
          <a:solidFill>
            <a:schemeClr val="accent1"/>
          </a:solidFill>
          <a:ln>
            <a:noFill/>
          </a:ln>
          <a:effectLst/>
        </c:spPr>
        <c:marker>
          <c:symbol val="none"/>
        </c:marker>
      </c:pivotFmt>
      <c:pivotFmt>
        <c:idx val="25"/>
        <c:spPr>
          <a:solidFill>
            <a:schemeClr val="accent1"/>
          </a:solidFill>
          <a:ln>
            <a:noFill/>
          </a:ln>
          <a:effectLst/>
        </c:spPr>
        <c:marker>
          <c:symbol val="none"/>
        </c:marker>
      </c:pivotFmt>
      <c:pivotFmt>
        <c:idx val="26"/>
        <c:spPr>
          <a:solidFill>
            <a:schemeClr val="accent1"/>
          </a:solidFill>
          <a:ln>
            <a:noFill/>
          </a:ln>
          <a:effectLst/>
        </c:spPr>
        <c:marker>
          <c:symbol val="none"/>
        </c:marker>
      </c:pivotFmt>
      <c:pivotFmt>
        <c:idx val="27"/>
        <c:spPr>
          <a:solidFill>
            <a:schemeClr val="accent1"/>
          </a:solidFill>
          <a:ln>
            <a:noFill/>
          </a:ln>
          <a:effectLst/>
        </c:spPr>
        <c:marker>
          <c:symbol val="none"/>
        </c:marker>
      </c:pivotFmt>
      <c:pivotFmt>
        <c:idx val="28"/>
        <c:spPr>
          <a:solidFill>
            <a:schemeClr val="accent1"/>
          </a:solidFill>
          <a:ln>
            <a:noFill/>
          </a:ln>
          <a:effectLst/>
        </c:spPr>
        <c:marker>
          <c:symbol val="none"/>
        </c:marker>
      </c:pivotFmt>
      <c:pivotFmt>
        <c:idx val="29"/>
        <c:spPr>
          <a:solidFill>
            <a:schemeClr val="accent1"/>
          </a:solidFill>
          <a:ln>
            <a:noFill/>
          </a:ln>
          <a:effectLst/>
        </c:spPr>
        <c:marker>
          <c:symbol val="none"/>
        </c:marker>
      </c:pivotFmt>
      <c:pivotFmt>
        <c:idx val="30"/>
        <c:spPr>
          <a:solidFill>
            <a:schemeClr val="accent1"/>
          </a:solidFill>
          <a:ln>
            <a:noFill/>
          </a:ln>
          <a:effectLst/>
        </c:spPr>
        <c:marker>
          <c:symbol val="none"/>
        </c:marker>
      </c:pivotFmt>
      <c:pivotFmt>
        <c:idx val="31"/>
        <c:spPr>
          <a:solidFill>
            <a:schemeClr val="accent1"/>
          </a:solidFill>
          <a:ln>
            <a:noFill/>
          </a:ln>
          <a:effectLst/>
        </c:spPr>
        <c:marker>
          <c:symbol val="none"/>
        </c:marker>
      </c:pivotFmt>
      <c:pivotFmt>
        <c:idx val="32"/>
        <c:spPr>
          <a:solidFill>
            <a:schemeClr val="accent1"/>
          </a:solidFill>
          <a:ln>
            <a:noFill/>
          </a:ln>
          <a:effectLst/>
        </c:spPr>
        <c:marker>
          <c:symbol val="none"/>
        </c:marker>
      </c:pivotFmt>
      <c:pivotFmt>
        <c:idx val="33"/>
        <c:spPr>
          <a:solidFill>
            <a:schemeClr val="accent1"/>
          </a:solidFill>
          <a:ln>
            <a:noFill/>
          </a:ln>
          <a:effectLst/>
        </c:spPr>
        <c:marker>
          <c:symbol val="none"/>
        </c:marker>
      </c:pivotFmt>
      <c:pivotFmt>
        <c:idx val="34"/>
        <c:spPr>
          <a:solidFill>
            <a:schemeClr val="accent1"/>
          </a:solidFill>
          <a:ln>
            <a:noFill/>
          </a:ln>
          <a:effectLst/>
        </c:spPr>
        <c:marker>
          <c:symbol val="none"/>
        </c:marker>
      </c:pivotFmt>
      <c:pivotFmt>
        <c:idx val="35"/>
        <c:spPr>
          <a:solidFill>
            <a:schemeClr val="accent1"/>
          </a:solidFill>
          <a:ln>
            <a:noFill/>
          </a:ln>
          <a:effectLst/>
        </c:spPr>
        <c:marker>
          <c:symbol val="none"/>
        </c:marker>
      </c:pivotFmt>
      <c:pivotFmt>
        <c:idx val="36"/>
        <c:spPr>
          <a:solidFill>
            <a:schemeClr val="accent1"/>
          </a:solidFill>
          <a:ln>
            <a:noFill/>
          </a:ln>
          <a:effectLst/>
        </c:spPr>
        <c:marker>
          <c:symbol val="none"/>
        </c:marker>
      </c:pivotFmt>
      <c:pivotFmt>
        <c:idx val="37"/>
        <c:spPr>
          <a:solidFill>
            <a:schemeClr val="accent1"/>
          </a:solidFill>
          <a:ln>
            <a:noFill/>
          </a:ln>
          <a:effectLst/>
        </c:spPr>
        <c:marker>
          <c:symbol val="none"/>
        </c:marker>
      </c:pivotFmt>
      <c:pivotFmt>
        <c:idx val="38"/>
        <c:spPr>
          <a:solidFill>
            <a:schemeClr val="accent1"/>
          </a:solidFill>
          <a:ln>
            <a:noFill/>
          </a:ln>
          <a:effectLst/>
        </c:spPr>
        <c:marker>
          <c:symbol val="none"/>
        </c:marker>
      </c:pivotFmt>
      <c:pivotFmt>
        <c:idx val="39"/>
        <c:spPr>
          <a:solidFill>
            <a:schemeClr val="accent1"/>
          </a:solidFill>
          <a:ln>
            <a:noFill/>
          </a:ln>
          <a:effectLst/>
        </c:spPr>
        <c:marker>
          <c:symbol val="none"/>
        </c:marker>
      </c:pivotFmt>
      <c:pivotFmt>
        <c:idx val="40"/>
        <c:spPr>
          <a:solidFill>
            <a:schemeClr val="accent1"/>
          </a:solidFill>
          <a:ln>
            <a:noFill/>
          </a:ln>
          <a:effectLst/>
        </c:spPr>
        <c:marker>
          <c:symbol val="none"/>
        </c:marker>
      </c:pivotFmt>
      <c:pivotFmt>
        <c:idx val="41"/>
        <c:spPr>
          <a:solidFill>
            <a:schemeClr val="accent1"/>
          </a:solidFill>
          <a:ln>
            <a:noFill/>
          </a:ln>
          <a:effectLst/>
        </c:spPr>
        <c:marker>
          <c:symbol val="none"/>
        </c:marker>
      </c:pivotFmt>
      <c:pivotFmt>
        <c:idx val="42"/>
        <c:spPr>
          <a:solidFill>
            <a:schemeClr val="accent1"/>
          </a:solidFill>
          <a:ln>
            <a:noFill/>
          </a:ln>
          <a:effectLst/>
        </c:spPr>
        <c:marker>
          <c:symbol val="none"/>
        </c:marker>
      </c:pivotFmt>
      <c:pivotFmt>
        <c:idx val="43"/>
        <c:spPr>
          <a:solidFill>
            <a:schemeClr val="accent1"/>
          </a:solidFill>
          <a:ln>
            <a:noFill/>
          </a:ln>
          <a:effectLst/>
        </c:spPr>
        <c:marker>
          <c:symbol val="none"/>
        </c:marker>
      </c:pivotFmt>
      <c:pivotFmt>
        <c:idx val="44"/>
        <c:spPr>
          <a:solidFill>
            <a:schemeClr val="accent1"/>
          </a:solidFill>
          <a:ln>
            <a:noFill/>
          </a:ln>
          <a:effectLst/>
        </c:spPr>
        <c:marker>
          <c:symbol val="none"/>
        </c:marker>
      </c:pivotFmt>
      <c:pivotFmt>
        <c:idx val="45"/>
        <c:spPr>
          <a:solidFill>
            <a:schemeClr val="accent1"/>
          </a:solidFill>
          <a:ln>
            <a:noFill/>
          </a:ln>
          <a:effectLst/>
        </c:spPr>
        <c:marker>
          <c:symbol val="none"/>
        </c:marker>
      </c:pivotFmt>
      <c:pivotFmt>
        <c:idx val="46"/>
        <c:spPr>
          <a:solidFill>
            <a:schemeClr val="accent1"/>
          </a:solidFill>
          <a:ln>
            <a:noFill/>
          </a:ln>
          <a:effectLst/>
        </c:spPr>
        <c:marker>
          <c:symbol val="none"/>
        </c:marker>
      </c:pivotFmt>
      <c:pivotFmt>
        <c:idx val="47"/>
        <c:spPr>
          <a:solidFill>
            <a:schemeClr val="accent1"/>
          </a:solidFill>
          <a:ln>
            <a:noFill/>
          </a:ln>
          <a:effectLst/>
        </c:spPr>
        <c:marker>
          <c:symbol val="none"/>
        </c:marker>
      </c:pivotFmt>
      <c:pivotFmt>
        <c:idx val="48"/>
        <c:spPr>
          <a:solidFill>
            <a:schemeClr val="accent1"/>
          </a:solidFill>
          <a:ln>
            <a:noFill/>
          </a:ln>
          <a:effectLst/>
        </c:spPr>
        <c:marker>
          <c:symbol val="none"/>
        </c:marker>
      </c:pivotFmt>
      <c:pivotFmt>
        <c:idx val="49"/>
        <c:spPr>
          <a:solidFill>
            <a:schemeClr val="accent1"/>
          </a:solidFill>
          <a:ln>
            <a:noFill/>
          </a:ln>
          <a:effectLst/>
        </c:spPr>
        <c:marker>
          <c:symbol val="none"/>
        </c:marker>
      </c:pivotFmt>
      <c:pivotFmt>
        <c:idx val="50"/>
        <c:spPr>
          <a:solidFill>
            <a:schemeClr val="accent1"/>
          </a:solidFill>
          <a:ln>
            <a:noFill/>
          </a:ln>
          <a:effectLst/>
        </c:spPr>
        <c:marker>
          <c:symbol val="none"/>
        </c:marker>
      </c:pivotFmt>
      <c:pivotFmt>
        <c:idx val="51"/>
        <c:spPr>
          <a:solidFill>
            <a:schemeClr val="accent1"/>
          </a:solidFill>
          <a:ln>
            <a:noFill/>
          </a:ln>
          <a:effectLst/>
        </c:spPr>
        <c:marker>
          <c:symbol val="none"/>
        </c:marker>
      </c:pivotFmt>
      <c:pivotFmt>
        <c:idx val="52"/>
        <c:spPr>
          <a:solidFill>
            <a:schemeClr val="accent1"/>
          </a:solidFill>
          <a:ln>
            <a:noFill/>
          </a:ln>
          <a:effectLst/>
        </c:spPr>
        <c:marker>
          <c:symbol val="none"/>
        </c:marker>
      </c:pivotFmt>
      <c:pivotFmt>
        <c:idx val="53"/>
        <c:spPr>
          <a:solidFill>
            <a:schemeClr val="accent1"/>
          </a:solidFill>
          <a:ln>
            <a:noFill/>
          </a:ln>
          <a:effectLst/>
        </c:spPr>
        <c:marker>
          <c:symbol val="none"/>
        </c:marker>
      </c:pivotFmt>
      <c:pivotFmt>
        <c:idx val="54"/>
        <c:spPr>
          <a:solidFill>
            <a:schemeClr val="accent1"/>
          </a:solidFill>
          <a:ln>
            <a:noFill/>
          </a:ln>
          <a:effectLst/>
        </c:spPr>
        <c:marker>
          <c:symbol val="none"/>
        </c:marker>
      </c:pivotFmt>
      <c:pivotFmt>
        <c:idx val="55"/>
        <c:spPr>
          <a:solidFill>
            <a:schemeClr val="accent1"/>
          </a:solidFill>
          <a:ln>
            <a:noFill/>
          </a:ln>
          <a:effectLst/>
        </c:spPr>
        <c:marker>
          <c:symbol val="none"/>
        </c:marker>
      </c:pivotFmt>
      <c:pivotFmt>
        <c:idx val="56"/>
        <c:spPr>
          <a:solidFill>
            <a:schemeClr val="accent1"/>
          </a:solidFill>
          <a:ln>
            <a:noFill/>
          </a:ln>
          <a:effectLst/>
        </c:spPr>
        <c:marker>
          <c:symbol val="none"/>
        </c:marker>
      </c:pivotFmt>
      <c:pivotFmt>
        <c:idx val="57"/>
        <c:spPr>
          <a:solidFill>
            <a:schemeClr val="accent1"/>
          </a:solidFill>
          <a:ln>
            <a:noFill/>
          </a:ln>
          <a:effectLst/>
        </c:spPr>
        <c:marker>
          <c:symbol val="none"/>
        </c:marker>
      </c:pivotFmt>
      <c:pivotFmt>
        <c:idx val="58"/>
        <c:spPr>
          <a:solidFill>
            <a:schemeClr val="accent1"/>
          </a:solidFill>
          <a:ln>
            <a:noFill/>
          </a:ln>
          <a:effectLst/>
        </c:spPr>
        <c:marker>
          <c:symbol val="none"/>
        </c:marker>
      </c:pivotFmt>
      <c:pivotFmt>
        <c:idx val="59"/>
        <c:spPr>
          <a:solidFill>
            <a:schemeClr val="accent1"/>
          </a:solidFill>
          <a:ln>
            <a:noFill/>
          </a:ln>
          <a:effectLst/>
        </c:spPr>
        <c:marker>
          <c:symbol val="none"/>
        </c:marker>
      </c:pivotFmt>
      <c:pivotFmt>
        <c:idx val="60"/>
        <c:spPr>
          <a:solidFill>
            <a:schemeClr val="accent1"/>
          </a:solidFill>
          <a:ln>
            <a:noFill/>
          </a:ln>
          <a:effectLst/>
        </c:spPr>
        <c:marker>
          <c:symbol val="none"/>
        </c:marker>
      </c:pivotFmt>
      <c:pivotFmt>
        <c:idx val="61"/>
        <c:spPr>
          <a:solidFill>
            <a:schemeClr val="accent1"/>
          </a:solidFill>
          <a:ln>
            <a:noFill/>
          </a:ln>
          <a:effectLst/>
        </c:spPr>
        <c:marker>
          <c:symbol val="none"/>
        </c:marker>
      </c:pivotFmt>
      <c:pivotFmt>
        <c:idx val="62"/>
        <c:spPr>
          <a:solidFill>
            <a:schemeClr val="accent1"/>
          </a:solidFill>
          <a:ln>
            <a:noFill/>
          </a:ln>
          <a:effectLst/>
        </c:spPr>
        <c:marker>
          <c:symbol val="none"/>
        </c:marker>
      </c:pivotFmt>
      <c:pivotFmt>
        <c:idx val="63"/>
        <c:spPr>
          <a:solidFill>
            <a:schemeClr val="accent1"/>
          </a:solidFill>
          <a:ln>
            <a:noFill/>
          </a:ln>
          <a:effectLst/>
        </c:spPr>
        <c:marker>
          <c:symbol val="none"/>
        </c:marker>
      </c:pivotFmt>
      <c:pivotFmt>
        <c:idx val="64"/>
        <c:spPr>
          <a:solidFill>
            <a:schemeClr val="accent1"/>
          </a:solidFill>
          <a:ln>
            <a:noFill/>
          </a:ln>
          <a:effectLst/>
        </c:spPr>
        <c:marker>
          <c:symbol val="none"/>
        </c:marker>
      </c:pivotFmt>
      <c:pivotFmt>
        <c:idx val="65"/>
        <c:spPr>
          <a:solidFill>
            <a:schemeClr val="accent1"/>
          </a:solidFill>
          <a:ln>
            <a:noFill/>
          </a:ln>
          <a:effectLst/>
        </c:spPr>
        <c:marker>
          <c:symbol val="none"/>
        </c:marker>
      </c:pivotFmt>
      <c:pivotFmt>
        <c:idx val="66"/>
        <c:spPr>
          <a:solidFill>
            <a:schemeClr val="accent1"/>
          </a:solidFill>
          <a:ln>
            <a:noFill/>
          </a:ln>
          <a:effectLst/>
        </c:spPr>
        <c:marker>
          <c:symbol val="none"/>
        </c:marker>
      </c:pivotFmt>
      <c:pivotFmt>
        <c:idx val="67"/>
        <c:spPr>
          <a:solidFill>
            <a:schemeClr val="accent1"/>
          </a:solidFill>
          <a:ln>
            <a:noFill/>
          </a:ln>
          <a:effectLst/>
        </c:spPr>
        <c:marker>
          <c:symbol val="none"/>
        </c:marker>
      </c:pivotFmt>
      <c:pivotFmt>
        <c:idx val="68"/>
        <c:spPr>
          <a:solidFill>
            <a:schemeClr val="accent1"/>
          </a:solidFill>
          <a:ln>
            <a:noFill/>
          </a:ln>
          <a:effectLst/>
        </c:spPr>
        <c:marker>
          <c:symbol val="none"/>
        </c:marker>
      </c:pivotFmt>
      <c:pivotFmt>
        <c:idx val="69"/>
        <c:spPr>
          <a:solidFill>
            <a:schemeClr val="accent1"/>
          </a:solidFill>
          <a:ln>
            <a:noFill/>
          </a:ln>
          <a:effectLst/>
        </c:spPr>
        <c:marker>
          <c:symbol val="none"/>
        </c:marker>
      </c:pivotFmt>
      <c:pivotFmt>
        <c:idx val="70"/>
        <c:spPr>
          <a:solidFill>
            <a:schemeClr val="accent1"/>
          </a:solidFill>
          <a:ln>
            <a:noFill/>
          </a:ln>
          <a:effectLst/>
        </c:spPr>
        <c:marker>
          <c:symbol val="none"/>
        </c:marker>
      </c:pivotFmt>
      <c:pivotFmt>
        <c:idx val="71"/>
        <c:spPr>
          <a:solidFill>
            <a:schemeClr val="accent1"/>
          </a:solidFill>
          <a:ln>
            <a:noFill/>
          </a:ln>
          <a:effectLst/>
        </c:spPr>
        <c:marker>
          <c:symbol val="none"/>
        </c:marker>
      </c:pivotFmt>
      <c:pivotFmt>
        <c:idx val="72"/>
        <c:spPr>
          <a:solidFill>
            <a:schemeClr val="accent1"/>
          </a:solidFill>
          <a:ln>
            <a:noFill/>
          </a:ln>
          <a:effectLst/>
        </c:spPr>
        <c:marker>
          <c:symbol val="none"/>
        </c:marker>
      </c:pivotFmt>
      <c:pivotFmt>
        <c:idx val="73"/>
        <c:spPr>
          <a:solidFill>
            <a:schemeClr val="accent1"/>
          </a:solidFill>
          <a:ln>
            <a:noFill/>
          </a:ln>
          <a:effectLst/>
        </c:spPr>
        <c:marker>
          <c:symbol val="none"/>
        </c:marker>
      </c:pivotFmt>
      <c:pivotFmt>
        <c:idx val="74"/>
        <c:spPr>
          <a:solidFill>
            <a:schemeClr val="accent1"/>
          </a:solidFill>
          <a:ln>
            <a:noFill/>
          </a:ln>
          <a:effectLst/>
        </c:spPr>
        <c:marker>
          <c:symbol val="none"/>
        </c:marker>
      </c:pivotFmt>
      <c:pivotFmt>
        <c:idx val="75"/>
        <c:spPr>
          <a:solidFill>
            <a:schemeClr val="accent1"/>
          </a:solidFill>
          <a:ln>
            <a:noFill/>
          </a:ln>
          <a:effectLst/>
        </c:spPr>
        <c:marker>
          <c:symbol val="none"/>
        </c:marker>
      </c:pivotFmt>
      <c:pivotFmt>
        <c:idx val="76"/>
        <c:spPr>
          <a:solidFill>
            <a:schemeClr val="accent1"/>
          </a:solidFill>
          <a:ln>
            <a:noFill/>
          </a:ln>
          <a:effectLst/>
        </c:spPr>
        <c:marker>
          <c:symbol val="none"/>
        </c:marker>
      </c:pivotFmt>
      <c:pivotFmt>
        <c:idx val="77"/>
        <c:spPr>
          <a:solidFill>
            <a:schemeClr val="accent1"/>
          </a:solidFill>
          <a:ln>
            <a:noFill/>
          </a:ln>
          <a:effectLst/>
        </c:spPr>
        <c:marker>
          <c:symbol val="none"/>
        </c:marker>
      </c:pivotFmt>
      <c:pivotFmt>
        <c:idx val="78"/>
        <c:spPr>
          <a:solidFill>
            <a:schemeClr val="accent1"/>
          </a:solidFill>
          <a:ln>
            <a:noFill/>
          </a:ln>
          <a:effectLst/>
        </c:spPr>
        <c:marker>
          <c:symbol val="none"/>
        </c:marker>
      </c:pivotFmt>
      <c:pivotFmt>
        <c:idx val="79"/>
        <c:spPr>
          <a:solidFill>
            <a:schemeClr val="accent1"/>
          </a:solidFill>
          <a:ln>
            <a:noFill/>
          </a:ln>
          <a:effectLst/>
        </c:spPr>
        <c:marker>
          <c:symbol val="none"/>
        </c:marker>
      </c:pivotFmt>
      <c:pivotFmt>
        <c:idx val="80"/>
        <c:spPr>
          <a:solidFill>
            <a:schemeClr val="accent1"/>
          </a:solidFill>
          <a:ln>
            <a:noFill/>
          </a:ln>
          <a:effectLst/>
        </c:spPr>
        <c:marker>
          <c:symbol val="none"/>
        </c:marker>
      </c:pivotFmt>
      <c:pivotFmt>
        <c:idx val="81"/>
        <c:spPr>
          <a:solidFill>
            <a:schemeClr val="accent1"/>
          </a:solidFill>
          <a:ln>
            <a:noFill/>
          </a:ln>
          <a:effectLst/>
        </c:spPr>
        <c:marker>
          <c:symbol val="none"/>
        </c:marker>
      </c:pivotFmt>
      <c:pivotFmt>
        <c:idx val="82"/>
        <c:spPr>
          <a:solidFill>
            <a:schemeClr val="accent1"/>
          </a:solidFill>
          <a:ln>
            <a:noFill/>
          </a:ln>
          <a:effectLst/>
        </c:spPr>
        <c:marker>
          <c:symbol val="none"/>
        </c:marker>
      </c:pivotFmt>
      <c:pivotFmt>
        <c:idx val="83"/>
        <c:spPr>
          <a:solidFill>
            <a:schemeClr val="accent1"/>
          </a:solidFill>
          <a:ln>
            <a:noFill/>
          </a:ln>
          <a:effectLst/>
        </c:spPr>
        <c:marker>
          <c:symbol val="none"/>
        </c:marker>
      </c:pivotFmt>
      <c:pivotFmt>
        <c:idx val="84"/>
        <c:spPr>
          <a:solidFill>
            <a:schemeClr val="accent1"/>
          </a:solidFill>
          <a:ln>
            <a:noFill/>
          </a:ln>
          <a:effectLst/>
        </c:spPr>
        <c:marker>
          <c:symbol val="none"/>
        </c:marker>
      </c:pivotFmt>
      <c:pivotFmt>
        <c:idx val="85"/>
        <c:spPr>
          <a:solidFill>
            <a:schemeClr val="accent1"/>
          </a:solidFill>
          <a:ln>
            <a:noFill/>
          </a:ln>
          <a:effectLst/>
        </c:spPr>
        <c:marker>
          <c:symbol val="none"/>
        </c:marker>
      </c:pivotFmt>
      <c:pivotFmt>
        <c:idx val="86"/>
        <c:spPr>
          <a:solidFill>
            <a:schemeClr val="accent1"/>
          </a:solidFill>
          <a:ln>
            <a:noFill/>
          </a:ln>
          <a:effectLst/>
        </c:spPr>
        <c:marker>
          <c:symbol val="none"/>
        </c:marker>
      </c:pivotFmt>
      <c:pivotFmt>
        <c:idx val="87"/>
        <c:spPr>
          <a:solidFill>
            <a:schemeClr val="accent1"/>
          </a:solidFill>
          <a:ln>
            <a:noFill/>
          </a:ln>
          <a:effectLst/>
        </c:spPr>
        <c:marker>
          <c:symbol val="none"/>
        </c:marker>
      </c:pivotFmt>
      <c:pivotFmt>
        <c:idx val="88"/>
        <c:spPr>
          <a:solidFill>
            <a:schemeClr val="accent1"/>
          </a:solidFill>
          <a:ln>
            <a:noFill/>
          </a:ln>
          <a:effectLst/>
        </c:spPr>
        <c:marker>
          <c:symbol val="none"/>
        </c:marker>
      </c:pivotFmt>
      <c:pivotFmt>
        <c:idx val="89"/>
        <c:spPr>
          <a:solidFill>
            <a:schemeClr val="accent1"/>
          </a:solidFill>
          <a:ln>
            <a:noFill/>
          </a:ln>
          <a:effectLst/>
        </c:spPr>
        <c:marker>
          <c:symbol val="none"/>
        </c:marker>
      </c:pivotFmt>
      <c:pivotFmt>
        <c:idx val="90"/>
        <c:spPr>
          <a:solidFill>
            <a:schemeClr val="accent1"/>
          </a:solidFill>
          <a:ln>
            <a:noFill/>
          </a:ln>
          <a:effectLst/>
        </c:spPr>
        <c:marker>
          <c:symbol val="none"/>
        </c:marker>
      </c:pivotFmt>
      <c:pivotFmt>
        <c:idx val="91"/>
        <c:spPr>
          <a:solidFill>
            <a:schemeClr val="accent1"/>
          </a:solidFill>
          <a:ln>
            <a:noFill/>
          </a:ln>
          <a:effectLst/>
        </c:spPr>
        <c:marker>
          <c:symbol val="none"/>
        </c:marker>
      </c:pivotFmt>
      <c:pivotFmt>
        <c:idx val="92"/>
        <c:spPr>
          <a:solidFill>
            <a:schemeClr val="accent1"/>
          </a:solidFill>
          <a:ln>
            <a:noFill/>
          </a:ln>
          <a:effectLst/>
        </c:spPr>
        <c:marker>
          <c:symbol val="none"/>
        </c:marker>
      </c:pivotFmt>
      <c:pivotFmt>
        <c:idx val="93"/>
        <c:spPr>
          <a:solidFill>
            <a:schemeClr val="accent1"/>
          </a:solidFill>
          <a:ln>
            <a:noFill/>
          </a:ln>
          <a:effectLst/>
        </c:spPr>
        <c:marker>
          <c:symbol val="none"/>
        </c:marker>
      </c:pivotFmt>
      <c:pivotFmt>
        <c:idx val="94"/>
        <c:spPr>
          <a:solidFill>
            <a:schemeClr val="accent1"/>
          </a:solidFill>
          <a:ln>
            <a:noFill/>
          </a:ln>
          <a:effectLst/>
        </c:spPr>
        <c:marker>
          <c:symbol val="none"/>
        </c:marker>
      </c:pivotFmt>
      <c:pivotFmt>
        <c:idx val="95"/>
        <c:spPr>
          <a:solidFill>
            <a:schemeClr val="accent1"/>
          </a:solidFill>
          <a:ln>
            <a:noFill/>
          </a:ln>
          <a:effectLst/>
        </c:spPr>
        <c:marker>
          <c:symbol val="none"/>
        </c:marker>
      </c:pivotFmt>
      <c:pivotFmt>
        <c:idx val="96"/>
        <c:spPr>
          <a:solidFill>
            <a:schemeClr val="accent1"/>
          </a:solidFill>
          <a:ln>
            <a:noFill/>
          </a:ln>
          <a:effectLst/>
        </c:spPr>
        <c:marker>
          <c:symbol val="none"/>
        </c:marker>
      </c:pivotFmt>
    </c:pivotFmts>
    <c:plotArea>
      <c:layout>
        <c:manualLayout>
          <c:layoutTarget val="inner"/>
          <c:xMode val="edge"/>
          <c:yMode val="edge"/>
          <c:x val="7.8808371507706421E-2"/>
          <c:y val="0.1183212863449043"/>
          <c:w val="0.81157588684536164"/>
          <c:h val="0.69317004732720977"/>
        </c:manualLayout>
      </c:layout>
      <c:barChart>
        <c:barDir val="col"/>
        <c:grouping val="clustered"/>
        <c:varyColors val="0"/>
        <c:ser>
          <c:idx val="0"/>
          <c:order val="0"/>
          <c:tx>
            <c:strRef>
              <c:f>'Sheet1 (3)'!$B$5:$B$6</c:f>
              <c:strCache>
                <c:ptCount val="1"/>
                <c:pt idx="0">
                  <c:v>2014</c:v>
                </c:pt>
              </c:strCache>
            </c:strRef>
          </c:tx>
          <c:spPr>
            <a:solidFill>
              <a:schemeClr val="accent1"/>
            </a:solidFill>
            <a:ln>
              <a:noFill/>
            </a:ln>
            <a:effectLst/>
          </c:spPr>
          <c:invertIfNegative val="0"/>
          <c:cat>
            <c:multiLvlStrRef>
              <c:f>'Sheet1 (3)'!$A$7:$A$47</c:f>
              <c:multiLvlStrCache>
                <c:ptCount val="32"/>
                <c:lvl>
                  <c:pt idx="0">
                    <c:v>&lt; 6 years</c:v>
                  </c:pt>
                  <c:pt idx="1">
                    <c:v> 6-12 years</c:v>
                  </c:pt>
                  <c:pt idx="2">
                    <c:v>13-18 years</c:v>
                  </c:pt>
                  <c:pt idx="3">
                    <c:v>19+ years</c:v>
                  </c:pt>
                  <c:pt idx="4">
                    <c:v>&lt; 6 years</c:v>
                  </c:pt>
                  <c:pt idx="5">
                    <c:v> 6-12 years</c:v>
                  </c:pt>
                  <c:pt idx="6">
                    <c:v>13-18 years</c:v>
                  </c:pt>
                  <c:pt idx="7">
                    <c:v>19+ years</c:v>
                  </c:pt>
                  <c:pt idx="8">
                    <c:v>&lt; 6 years</c:v>
                  </c:pt>
                  <c:pt idx="9">
                    <c:v> 6-12 years</c:v>
                  </c:pt>
                  <c:pt idx="10">
                    <c:v>13-18 years</c:v>
                  </c:pt>
                  <c:pt idx="11">
                    <c:v>19+ years</c:v>
                  </c:pt>
                  <c:pt idx="12">
                    <c:v>&lt; 6 years</c:v>
                  </c:pt>
                  <c:pt idx="13">
                    <c:v> 6-12 years</c:v>
                  </c:pt>
                  <c:pt idx="14">
                    <c:v>13-18 years</c:v>
                  </c:pt>
                  <c:pt idx="15">
                    <c:v>19+ years</c:v>
                  </c:pt>
                  <c:pt idx="16">
                    <c:v>&lt; 6 years</c:v>
                  </c:pt>
                  <c:pt idx="17">
                    <c:v> 6-12 years</c:v>
                  </c:pt>
                  <c:pt idx="18">
                    <c:v>13-18 years</c:v>
                  </c:pt>
                  <c:pt idx="19">
                    <c:v>19+ years</c:v>
                  </c:pt>
                  <c:pt idx="20">
                    <c:v>&lt; 6 years</c:v>
                  </c:pt>
                  <c:pt idx="21">
                    <c:v> 6-12 years</c:v>
                  </c:pt>
                  <c:pt idx="22">
                    <c:v>13-18 years</c:v>
                  </c:pt>
                  <c:pt idx="23">
                    <c:v>19+ years</c:v>
                  </c:pt>
                  <c:pt idx="24">
                    <c:v>&lt; 6 years</c:v>
                  </c:pt>
                  <c:pt idx="25">
                    <c:v> 6-12 years</c:v>
                  </c:pt>
                  <c:pt idx="26">
                    <c:v>13-18 years</c:v>
                  </c:pt>
                  <c:pt idx="27">
                    <c:v>19+ years</c:v>
                  </c:pt>
                  <c:pt idx="28">
                    <c:v>&lt; 6 years</c:v>
                  </c:pt>
                  <c:pt idx="29">
                    <c:v> 6-12 years</c:v>
                  </c:pt>
                  <c:pt idx="30">
                    <c:v>13-18 years</c:v>
                  </c:pt>
                  <c:pt idx="31">
                    <c:v>19+ years</c:v>
                  </c:pt>
                </c:lvl>
                <c:lvl>
                  <c:pt idx="0">
                    <c:v>ACT</c:v>
                  </c:pt>
                  <c:pt idx="4">
                    <c:v>NSW</c:v>
                  </c:pt>
                  <c:pt idx="8">
                    <c:v>NT</c:v>
                  </c:pt>
                  <c:pt idx="12">
                    <c:v>QLD</c:v>
                  </c:pt>
                  <c:pt idx="16">
                    <c:v>SA</c:v>
                  </c:pt>
                  <c:pt idx="20">
                    <c:v>TAS</c:v>
                  </c:pt>
                  <c:pt idx="24">
                    <c:v>VIC</c:v>
                  </c:pt>
                  <c:pt idx="28">
                    <c:v>WA</c:v>
                  </c:pt>
                </c:lvl>
              </c:multiLvlStrCache>
            </c:multiLvlStrRef>
          </c:cat>
          <c:val>
            <c:numRef>
              <c:f>'Sheet1 (3)'!$B$7:$B$47</c:f>
              <c:numCache>
                <c:formatCode>General</c:formatCode>
                <c:ptCount val="32"/>
                <c:pt idx="0">
                  <c:v>1.0019412611</c:v>
                </c:pt>
                <c:pt idx="1">
                  <c:v>26.712977581700002</c:v>
                </c:pt>
                <c:pt idx="2">
                  <c:v>15.571438990199999</c:v>
                </c:pt>
                <c:pt idx="3">
                  <c:v>2.6698548204000003</c:v>
                </c:pt>
                <c:pt idx="4">
                  <c:v>1.8989552354000001</c:v>
                </c:pt>
                <c:pt idx="5">
                  <c:v>30.447948822900003</c:v>
                </c:pt>
                <c:pt idx="6">
                  <c:v>21.3367765066</c:v>
                </c:pt>
                <c:pt idx="7">
                  <c:v>2.0681983474000001</c:v>
                </c:pt>
                <c:pt idx="8">
                  <c:v>0.87317179649999999</c:v>
                </c:pt>
                <c:pt idx="9">
                  <c:v>15.5217136641</c:v>
                </c:pt>
                <c:pt idx="10">
                  <c:v>8.618832148300001</c:v>
                </c:pt>
                <c:pt idx="11">
                  <c:v>1.1322476524</c:v>
                </c:pt>
                <c:pt idx="12">
                  <c:v>1.8563241647999997</c:v>
                </c:pt>
                <c:pt idx="13">
                  <c:v>32.431656408599999</c:v>
                </c:pt>
                <c:pt idx="14">
                  <c:v>17.310458046099999</c:v>
                </c:pt>
                <c:pt idx="15">
                  <c:v>1.8855600328</c:v>
                </c:pt>
                <c:pt idx="16">
                  <c:v>1.1013215858999998</c:v>
                </c:pt>
                <c:pt idx="17">
                  <c:v>13.8353434104</c:v>
                </c:pt>
                <c:pt idx="18">
                  <c:v>7.2650132686999997</c:v>
                </c:pt>
                <c:pt idx="19">
                  <c:v>1.2162792889</c:v>
                </c:pt>
                <c:pt idx="20">
                  <c:v>2.1182464137000001</c:v>
                </c:pt>
                <c:pt idx="21">
                  <c:v>26.329587160799999</c:v>
                </c:pt>
                <c:pt idx="22">
                  <c:v>17.693197891600001</c:v>
                </c:pt>
                <c:pt idx="23">
                  <c:v>0.99345993390000009</c:v>
                </c:pt>
                <c:pt idx="24">
                  <c:v>1.0637364566</c:v>
                </c:pt>
                <c:pt idx="25">
                  <c:v>17.184961023699998</c:v>
                </c:pt>
                <c:pt idx="26">
                  <c:v>10.9446594335</c:v>
                </c:pt>
                <c:pt idx="27">
                  <c:v>1.2697583636000001</c:v>
                </c:pt>
                <c:pt idx="28">
                  <c:v>1.0340704147999999</c:v>
                </c:pt>
                <c:pt idx="29">
                  <c:v>22.404089289799998</c:v>
                </c:pt>
                <c:pt idx="30">
                  <c:v>16.572315311900002</c:v>
                </c:pt>
                <c:pt idx="31">
                  <c:v>5.4299429907999999</c:v>
                </c:pt>
              </c:numCache>
            </c:numRef>
          </c:val>
          <c:extLst>
            <c:ext xmlns:c16="http://schemas.microsoft.com/office/drawing/2014/chart" uri="{C3380CC4-5D6E-409C-BE32-E72D297353CC}">
              <c16:uniqueId val="{00000000-26B6-4077-82CE-6097D4FE6987}"/>
            </c:ext>
          </c:extLst>
        </c:ser>
        <c:ser>
          <c:idx val="1"/>
          <c:order val="1"/>
          <c:tx>
            <c:strRef>
              <c:f>'Sheet1 (3)'!$C$5:$C$6</c:f>
              <c:strCache>
                <c:ptCount val="1"/>
                <c:pt idx="0">
                  <c:v>2015</c:v>
                </c:pt>
              </c:strCache>
            </c:strRef>
          </c:tx>
          <c:spPr>
            <a:solidFill>
              <a:schemeClr val="accent2"/>
            </a:solidFill>
            <a:ln>
              <a:noFill/>
            </a:ln>
            <a:effectLst/>
          </c:spPr>
          <c:invertIfNegative val="0"/>
          <c:cat>
            <c:multiLvlStrRef>
              <c:f>'Sheet1 (3)'!$A$7:$A$47</c:f>
              <c:multiLvlStrCache>
                <c:ptCount val="32"/>
                <c:lvl>
                  <c:pt idx="0">
                    <c:v>&lt; 6 years</c:v>
                  </c:pt>
                  <c:pt idx="1">
                    <c:v> 6-12 years</c:v>
                  </c:pt>
                  <c:pt idx="2">
                    <c:v>13-18 years</c:v>
                  </c:pt>
                  <c:pt idx="3">
                    <c:v>19+ years</c:v>
                  </c:pt>
                  <c:pt idx="4">
                    <c:v>&lt; 6 years</c:v>
                  </c:pt>
                  <c:pt idx="5">
                    <c:v> 6-12 years</c:v>
                  </c:pt>
                  <c:pt idx="6">
                    <c:v>13-18 years</c:v>
                  </c:pt>
                  <c:pt idx="7">
                    <c:v>19+ years</c:v>
                  </c:pt>
                  <c:pt idx="8">
                    <c:v>&lt; 6 years</c:v>
                  </c:pt>
                  <c:pt idx="9">
                    <c:v> 6-12 years</c:v>
                  </c:pt>
                  <c:pt idx="10">
                    <c:v>13-18 years</c:v>
                  </c:pt>
                  <c:pt idx="11">
                    <c:v>19+ years</c:v>
                  </c:pt>
                  <c:pt idx="12">
                    <c:v>&lt; 6 years</c:v>
                  </c:pt>
                  <c:pt idx="13">
                    <c:v> 6-12 years</c:v>
                  </c:pt>
                  <c:pt idx="14">
                    <c:v>13-18 years</c:v>
                  </c:pt>
                  <c:pt idx="15">
                    <c:v>19+ years</c:v>
                  </c:pt>
                  <c:pt idx="16">
                    <c:v>&lt; 6 years</c:v>
                  </c:pt>
                  <c:pt idx="17">
                    <c:v> 6-12 years</c:v>
                  </c:pt>
                  <c:pt idx="18">
                    <c:v>13-18 years</c:v>
                  </c:pt>
                  <c:pt idx="19">
                    <c:v>19+ years</c:v>
                  </c:pt>
                  <c:pt idx="20">
                    <c:v>&lt; 6 years</c:v>
                  </c:pt>
                  <c:pt idx="21">
                    <c:v> 6-12 years</c:v>
                  </c:pt>
                  <c:pt idx="22">
                    <c:v>13-18 years</c:v>
                  </c:pt>
                  <c:pt idx="23">
                    <c:v>19+ years</c:v>
                  </c:pt>
                  <c:pt idx="24">
                    <c:v>&lt; 6 years</c:v>
                  </c:pt>
                  <c:pt idx="25">
                    <c:v> 6-12 years</c:v>
                  </c:pt>
                  <c:pt idx="26">
                    <c:v>13-18 years</c:v>
                  </c:pt>
                  <c:pt idx="27">
                    <c:v>19+ years</c:v>
                  </c:pt>
                  <c:pt idx="28">
                    <c:v>&lt; 6 years</c:v>
                  </c:pt>
                  <c:pt idx="29">
                    <c:v> 6-12 years</c:v>
                  </c:pt>
                  <c:pt idx="30">
                    <c:v>13-18 years</c:v>
                  </c:pt>
                  <c:pt idx="31">
                    <c:v>19+ years</c:v>
                  </c:pt>
                </c:lvl>
                <c:lvl>
                  <c:pt idx="0">
                    <c:v>ACT</c:v>
                  </c:pt>
                  <c:pt idx="4">
                    <c:v>NSW</c:v>
                  </c:pt>
                  <c:pt idx="8">
                    <c:v>NT</c:v>
                  </c:pt>
                  <c:pt idx="12">
                    <c:v>QLD</c:v>
                  </c:pt>
                  <c:pt idx="16">
                    <c:v>SA</c:v>
                  </c:pt>
                  <c:pt idx="20">
                    <c:v>TAS</c:v>
                  </c:pt>
                  <c:pt idx="24">
                    <c:v>VIC</c:v>
                  </c:pt>
                  <c:pt idx="28">
                    <c:v>WA</c:v>
                  </c:pt>
                </c:lvl>
              </c:multiLvlStrCache>
            </c:multiLvlStrRef>
          </c:cat>
          <c:val>
            <c:numRef>
              <c:f>'Sheet1 (3)'!$C$7:$C$47</c:f>
              <c:numCache>
                <c:formatCode>General</c:formatCode>
                <c:ptCount val="32"/>
                <c:pt idx="0">
                  <c:v>1.0381996395999999</c:v>
                </c:pt>
                <c:pt idx="1">
                  <c:v>29.151674087</c:v>
                </c:pt>
                <c:pt idx="2">
                  <c:v>17.5757135592</c:v>
                </c:pt>
                <c:pt idx="3">
                  <c:v>2.8242802214</c:v>
                </c:pt>
                <c:pt idx="4">
                  <c:v>1.9659834454</c:v>
                </c:pt>
                <c:pt idx="5">
                  <c:v>32.698241809799995</c:v>
                </c:pt>
                <c:pt idx="6">
                  <c:v>22.802104470200003</c:v>
                </c:pt>
                <c:pt idx="7">
                  <c:v>2.2791793578999999</c:v>
                </c:pt>
                <c:pt idx="8">
                  <c:v>1.3501742160000001</c:v>
                </c:pt>
                <c:pt idx="9">
                  <c:v>17.884751995300004</c:v>
                </c:pt>
                <c:pt idx="10">
                  <c:v>9.5181116065999998</c:v>
                </c:pt>
                <c:pt idx="11">
                  <c:v>1.2707967562</c:v>
                </c:pt>
                <c:pt idx="12">
                  <c:v>1.9964617680000001</c:v>
                </c:pt>
                <c:pt idx="13">
                  <c:v>35.328702443499999</c:v>
                </c:pt>
                <c:pt idx="14">
                  <c:v>19.055402378499998</c:v>
                </c:pt>
                <c:pt idx="15">
                  <c:v>2.1416949380000001</c:v>
                </c:pt>
                <c:pt idx="16">
                  <c:v>1.0470694232</c:v>
                </c:pt>
                <c:pt idx="17">
                  <c:v>14.763053704000001</c:v>
                </c:pt>
                <c:pt idx="18">
                  <c:v>7.2872958690999994</c:v>
                </c:pt>
                <c:pt idx="19">
                  <c:v>1.2920750450999998</c:v>
                </c:pt>
                <c:pt idx="20">
                  <c:v>1.6966777954000001</c:v>
                </c:pt>
                <c:pt idx="21">
                  <c:v>27.7947395801</c:v>
                </c:pt>
                <c:pt idx="22">
                  <c:v>18.295229146800001</c:v>
                </c:pt>
                <c:pt idx="23">
                  <c:v>1.1715929117999999</c:v>
                </c:pt>
                <c:pt idx="24">
                  <c:v>1.1246541795</c:v>
                </c:pt>
                <c:pt idx="25">
                  <c:v>19.073095408900002</c:v>
                </c:pt>
                <c:pt idx="26">
                  <c:v>11.887988104800002</c:v>
                </c:pt>
                <c:pt idx="27">
                  <c:v>1.4195234179</c:v>
                </c:pt>
                <c:pt idx="28">
                  <c:v>1.1631062691</c:v>
                </c:pt>
                <c:pt idx="29">
                  <c:v>25.4623353884</c:v>
                </c:pt>
                <c:pt idx="30">
                  <c:v>17.968992332399999</c:v>
                </c:pt>
                <c:pt idx="31">
                  <c:v>5.8689176388999993</c:v>
                </c:pt>
              </c:numCache>
            </c:numRef>
          </c:val>
          <c:extLst>
            <c:ext xmlns:c16="http://schemas.microsoft.com/office/drawing/2014/chart" uri="{C3380CC4-5D6E-409C-BE32-E72D297353CC}">
              <c16:uniqueId val="{00000001-26B6-4077-82CE-6097D4FE6987}"/>
            </c:ext>
          </c:extLst>
        </c:ser>
        <c:ser>
          <c:idx val="2"/>
          <c:order val="2"/>
          <c:tx>
            <c:strRef>
              <c:f>'Sheet1 (3)'!$D$5:$D$6</c:f>
              <c:strCache>
                <c:ptCount val="1"/>
                <c:pt idx="0">
                  <c:v>2016</c:v>
                </c:pt>
              </c:strCache>
            </c:strRef>
          </c:tx>
          <c:spPr>
            <a:solidFill>
              <a:schemeClr val="accent3"/>
            </a:solidFill>
            <a:ln>
              <a:noFill/>
            </a:ln>
            <a:effectLst/>
          </c:spPr>
          <c:invertIfNegative val="0"/>
          <c:cat>
            <c:multiLvlStrRef>
              <c:f>'Sheet1 (3)'!$A$7:$A$47</c:f>
              <c:multiLvlStrCache>
                <c:ptCount val="32"/>
                <c:lvl>
                  <c:pt idx="0">
                    <c:v>&lt; 6 years</c:v>
                  </c:pt>
                  <c:pt idx="1">
                    <c:v> 6-12 years</c:v>
                  </c:pt>
                  <c:pt idx="2">
                    <c:v>13-18 years</c:v>
                  </c:pt>
                  <c:pt idx="3">
                    <c:v>19+ years</c:v>
                  </c:pt>
                  <c:pt idx="4">
                    <c:v>&lt; 6 years</c:v>
                  </c:pt>
                  <c:pt idx="5">
                    <c:v> 6-12 years</c:v>
                  </c:pt>
                  <c:pt idx="6">
                    <c:v>13-18 years</c:v>
                  </c:pt>
                  <c:pt idx="7">
                    <c:v>19+ years</c:v>
                  </c:pt>
                  <c:pt idx="8">
                    <c:v>&lt; 6 years</c:v>
                  </c:pt>
                  <c:pt idx="9">
                    <c:v> 6-12 years</c:v>
                  </c:pt>
                  <c:pt idx="10">
                    <c:v>13-18 years</c:v>
                  </c:pt>
                  <c:pt idx="11">
                    <c:v>19+ years</c:v>
                  </c:pt>
                  <c:pt idx="12">
                    <c:v>&lt; 6 years</c:v>
                  </c:pt>
                  <c:pt idx="13">
                    <c:v> 6-12 years</c:v>
                  </c:pt>
                  <c:pt idx="14">
                    <c:v>13-18 years</c:v>
                  </c:pt>
                  <c:pt idx="15">
                    <c:v>19+ years</c:v>
                  </c:pt>
                  <c:pt idx="16">
                    <c:v>&lt; 6 years</c:v>
                  </c:pt>
                  <c:pt idx="17">
                    <c:v> 6-12 years</c:v>
                  </c:pt>
                  <c:pt idx="18">
                    <c:v>13-18 years</c:v>
                  </c:pt>
                  <c:pt idx="19">
                    <c:v>19+ years</c:v>
                  </c:pt>
                  <c:pt idx="20">
                    <c:v>&lt; 6 years</c:v>
                  </c:pt>
                  <c:pt idx="21">
                    <c:v> 6-12 years</c:v>
                  </c:pt>
                  <c:pt idx="22">
                    <c:v>13-18 years</c:v>
                  </c:pt>
                  <c:pt idx="23">
                    <c:v>19+ years</c:v>
                  </c:pt>
                  <c:pt idx="24">
                    <c:v>&lt; 6 years</c:v>
                  </c:pt>
                  <c:pt idx="25">
                    <c:v> 6-12 years</c:v>
                  </c:pt>
                  <c:pt idx="26">
                    <c:v>13-18 years</c:v>
                  </c:pt>
                  <c:pt idx="27">
                    <c:v>19+ years</c:v>
                  </c:pt>
                  <c:pt idx="28">
                    <c:v>&lt; 6 years</c:v>
                  </c:pt>
                  <c:pt idx="29">
                    <c:v> 6-12 years</c:v>
                  </c:pt>
                  <c:pt idx="30">
                    <c:v>13-18 years</c:v>
                  </c:pt>
                  <c:pt idx="31">
                    <c:v>19+ years</c:v>
                  </c:pt>
                </c:lvl>
                <c:lvl>
                  <c:pt idx="0">
                    <c:v>ACT</c:v>
                  </c:pt>
                  <c:pt idx="4">
                    <c:v>NSW</c:v>
                  </c:pt>
                  <c:pt idx="8">
                    <c:v>NT</c:v>
                  </c:pt>
                  <c:pt idx="12">
                    <c:v>QLD</c:v>
                  </c:pt>
                  <c:pt idx="16">
                    <c:v>SA</c:v>
                  </c:pt>
                  <c:pt idx="20">
                    <c:v>TAS</c:v>
                  </c:pt>
                  <c:pt idx="24">
                    <c:v>VIC</c:v>
                  </c:pt>
                  <c:pt idx="28">
                    <c:v>WA</c:v>
                  </c:pt>
                </c:lvl>
              </c:multiLvlStrCache>
            </c:multiLvlStrRef>
          </c:cat>
          <c:val>
            <c:numRef>
              <c:f>'Sheet1 (3)'!$D$7:$D$47</c:f>
              <c:numCache>
                <c:formatCode>General</c:formatCode>
                <c:ptCount val="32"/>
                <c:pt idx="0">
                  <c:v>0.83719539549999999</c:v>
                </c:pt>
                <c:pt idx="1">
                  <c:v>32.457042150199996</c:v>
                </c:pt>
                <c:pt idx="2">
                  <c:v>19.554093567300001</c:v>
                </c:pt>
                <c:pt idx="3">
                  <c:v>3.0688977271</c:v>
                </c:pt>
                <c:pt idx="4">
                  <c:v>2.0230699796000002</c:v>
                </c:pt>
                <c:pt idx="5">
                  <c:v>34.930116018699998</c:v>
                </c:pt>
                <c:pt idx="6">
                  <c:v>24.225972308399999</c:v>
                </c:pt>
                <c:pt idx="7">
                  <c:v>2.5488584774</c:v>
                </c:pt>
                <c:pt idx="8">
                  <c:v>1.4265335236000001</c:v>
                </c:pt>
                <c:pt idx="9">
                  <c:v>24.0364691262</c:v>
                </c:pt>
                <c:pt idx="10">
                  <c:v>9.933955570200002</c:v>
                </c:pt>
                <c:pt idx="11">
                  <c:v>1.3604006796999999</c:v>
                </c:pt>
                <c:pt idx="12">
                  <c:v>2.1010599377999997</c:v>
                </c:pt>
                <c:pt idx="13">
                  <c:v>38.544015685700003</c:v>
                </c:pt>
                <c:pt idx="14">
                  <c:v>20.414545295099998</c:v>
                </c:pt>
                <c:pt idx="15">
                  <c:v>2.4640222310000004</c:v>
                </c:pt>
                <c:pt idx="16">
                  <c:v>0.92102605530000003</c:v>
                </c:pt>
                <c:pt idx="17">
                  <c:v>16.0204139017</c:v>
                </c:pt>
                <c:pt idx="18">
                  <c:v>7.9666412440999999</c:v>
                </c:pt>
                <c:pt idx="19">
                  <c:v>1.4907433658999998</c:v>
                </c:pt>
                <c:pt idx="20">
                  <c:v>1.8111467853000001</c:v>
                </c:pt>
                <c:pt idx="21">
                  <c:v>30.626637114100003</c:v>
                </c:pt>
                <c:pt idx="22">
                  <c:v>20.197998778800002</c:v>
                </c:pt>
                <c:pt idx="23">
                  <c:v>1.5424009791</c:v>
                </c:pt>
                <c:pt idx="24">
                  <c:v>1.2660683260000001</c:v>
                </c:pt>
                <c:pt idx="25">
                  <c:v>21.155768616900001</c:v>
                </c:pt>
                <c:pt idx="26">
                  <c:v>13.026794838000001</c:v>
                </c:pt>
                <c:pt idx="27">
                  <c:v>1.6078733082000001</c:v>
                </c:pt>
                <c:pt idx="28">
                  <c:v>1.4363799369000001</c:v>
                </c:pt>
                <c:pt idx="29">
                  <c:v>28.8712194529</c:v>
                </c:pt>
                <c:pt idx="30">
                  <c:v>19.690853598499999</c:v>
                </c:pt>
                <c:pt idx="31">
                  <c:v>6.3606240394000002</c:v>
                </c:pt>
              </c:numCache>
            </c:numRef>
          </c:val>
          <c:extLst>
            <c:ext xmlns:c16="http://schemas.microsoft.com/office/drawing/2014/chart" uri="{C3380CC4-5D6E-409C-BE32-E72D297353CC}">
              <c16:uniqueId val="{00000002-26B6-4077-82CE-6097D4FE6987}"/>
            </c:ext>
          </c:extLst>
        </c:ser>
        <c:ser>
          <c:idx val="3"/>
          <c:order val="3"/>
          <c:tx>
            <c:strRef>
              <c:f>'Sheet1 (3)'!$E$5:$E$6</c:f>
              <c:strCache>
                <c:ptCount val="1"/>
                <c:pt idx="0">
                  <c:v>2017</c:v>
                </c:pt>
              </c:strCache>
            </c:strRef>
          </c:tx>
          <c:spPr>
            <a:solidFill>
              <a:schemeClr val="accent4"/>
            </a:solidFill>
            <a:ln>
              <a:noFill/>
            </a:ln>
            <a:effectLst/>
          </c:spPr>
          <c:invertIfNegative val="0"/>
          <c:cat>
            <c:multiLvlStrRef>
              <c:f>'Sheet1 (3)'!$A$7:$A$47</c:f>
              <c:multiLvlStrCache>
                <c:ptCount val="32"/>
                <c:lvl>
                  <c:pt idx="0">
                    <c:v>&lt; 6 years</c:v>
                  </c:pt>
                  <c:pt idx="1">
                    <c:v> 6-12 years</c:v>
                  </c:pt>
                  <c:pt idx="2">
                    <c:v>13-18 years</c:v>
                  </c:pt>
                  <c:pt idx="3">
                    <c:v>19+ years</c:v>
                  </c:pt>
                  <c:pt idx="4">
                    <c:v>&lt; 6 years</c:v>
                  </c:pt>
                  <c:pt idx="5">
                    <c:v> 6-12 years</c:v>
                  </c:pt>
                  <c:pt idx="6">
                    <c:v>13-18 years</c:v>
                  </c:pt>
                  <c:pt idx="7">
                    <c:v>19+ years</c:v>
                  </c:pt>
                  <c:pt idx="8">
                    <c:v>&lt; 6 years</c:v>
                  </c:pt>
                  <c:pt idx="9">
                    <c:v> 6-12 years</c:v>
                  </c:pt>
                  <c:pt idx="10">
                    <c:v>13-18 years</c:v>
                  </c:pt>
                  <c:pt idx="11">
                    <c:v>19+ years</c:v>
                  </c:pt>
                  <c:pt idx="12">
                    <c:v>&lt; 6 years</c:v>
                  </c:pt>
                  <c:pt idx="13">
                    <c:v> 6-12 years</c:v>
                  </c:pt>
                  <c:pt idx="14">
                    <c:v>13-18 years</c:v>
                  </c:pt>
                  <c:pt idx="15">
                    <c:v>19+ years</c:v>
                  </c:pt>
                  <c:pt idx="16">
                    <c:v>&lt; 6 years</c:v>
                  </c:pt>
                  <c:pt idx="17">
                    <c:v> 6-12 years</c:v>
                  </c:pt>
                  <c:pt idx="18">
                    <c:v>13-18 years</c:v>
                  </c:pt>
                  <c:pt idx="19">
                    <c:v>19+ years</c:v>
                  </c:pt>
                  <c:pt idx="20">
                    <c:v>&lt; 6 years</c:v>
                  </c:pt>
                  <c:pt idx="21">
                    <c:v> 6-12 years</c:v>
                  </c:pt>
                  <c:pt idx="22">
                    <c:v>13-18 years</c:v>
                  </c:pt>
                  <c:pt idx="23">
                    <c:v>19+ years</c:v>
                  </c:pt>
                  <c:pt idx="24">
                    <c:v>&lt; 6 years</c:v>
                  </c:pt>
                  <c:pt idx="25">
                    <c:v> 6-12 years</c:v>
                  </c:pt>
                  <c:pt idx="26">
                    <c:v>13-18 years</c:v>
                  </c:pt>
                  <c:pt idx="27">
                    <c:v>19+ years</c:v>
                  </c:pt>
                  <c:pt idx="28">
                    <c:v>&lt; 6 years</c:v>
                  </c:pt>
                  <c:pt idx="29">
                    <c:v> 6-12 years</c:v>
                  </c:pt>
                  <c:pt idx="30">
                    <c:v>13-18 years</c:v>
                  </c:pt>
                  <c:pt idx="31">
                    <c:v>19+ years</c:v>
                  </c:pt>
                </c:lvl>
                <c:lvl>
                  <c:pt idx="0">
                    <c:v>ACT</c:v>
                  </c:pt>
                  <c:pt idx="4">
                    <c:v>NSW</c:v>
                  </c:pt>
                  <c:pt idx="8">
                    <c:v>NT</c:v>
                  </c:pt>
                  <c:pt idx="12">
                    <c:v>QLD</c:v>
                  </c:pt>
                  <c:pt idx="16">
                    <c:v>SA</c:v>
                  </c:pt>
                  <c:pt idx="20">
                    <c:v>TAS</c:v>
                  </c:pt>
                  <c:pt idx="24">
                    <c:v>VIC</c:v>
                  </c:pt>
                  <c:pt idx="28">
                    <c:v>WA</c:v>
                  </c:pt>
                </c:lvl>
              </c:multiLvlStrCache>
            </c:multiLvlStrRef>
          </c:cat>
          <c:val>
            <c:numRef>
              <c:f>'Sheet1 (3)'!$E$7:$E$47</c:f>
              <c:numCache>
                <c:formatCode>General</c:formatCode>
                <c:ptCount val="32"/>
                <c:pt idx="0">
                  <c:v>0.91130905139999996</c:v>
                </c:pt>
                <c:pt idx="1">
                  <c:v>34.433204654699999</c:v>
                </c:pt>
                <c:pt idx="2">
                  <c:v>23.153736420599998</c:v>
                </c:pt>
                <c:pt idx="3">
                  <c:v>3.4583412651999996</c:v>
                </c:pt>
                <c:pt idx="4">
                  <c:v>2.0963770430999999</c:v>
                </c:pt>
                <c:pt idx="5">
                  <c:v>36.783607989899998</c:v>
                </c:pt>
                <c:pt idx="6">
                  <c:v>25.834937291400003</c:v>
                </c:pt>
                <c:pt idx="7">
                  <c:v>2.8301695776999996</c:v>
                </c:pt>
                <c:pt idx="8">
                  <c:v>1.4789038714</c:v>
                </c:pt>
                <c:pt idx="9">
                  <c:v>30.375731945299997</c:v>
                </c:pt>
                <c:pt idx="10">
                  <c:v>11.0783671688</c:v>
                </c:pt>
                <c:pt idx="11">
                  <c:v>1.5362505575999998</c:v>
                </c:pt>
                <c:pt idx="12">
                  <c:v>2.3455661487000001</c:v>
                </c:pt>
                <c:pt idx="13">
                  <c:v>41.619217928400005</c:v>
                </c:pt>
                <c:pt idx="14">
                  <c:v>22.293511363300002</c:v>
                </c:pt>
                <c:pt idx="15">
                  <c:v>2.7675150068000001</c:v>
                </c:pt>
                <c:pt idx="16">
                  <c:v>1.1950636555</c:v>
                </c:pt>
                <c:pt idx="17">
                  <c:v>17.793915494500002</c:v>
                </c:pt>
                <c:pt idx="18">
                  <c:v>8.8665864885999994</c:v>
                </c:pt>
                <c:pt idx="19">
                  <c:v>1.6171348950000002</c:v>
                </c:pt>
                <c:pt idx="20">
                  <c:v>3.1711591421000001</c:v>
                </c:pt>
                <c:pt idx="21">
                  <c:v>34.564800740300001</c:v>
                </c:pt>
                <c:pt idx="22">
                  <c:v>22.1416961981</c:v>
                </c:pt>
                <c:pt idx="23">
                  <c:v>1.9403425213999999</c:v>
                </c:pt>
                <c:pt idx="24">
                  <c:v>1.3380799888000001</c:v>
                </c:pt>
                <c:pt idx="25">
                  <c:v>23.3216585614</c:v>
                </c:pt>
                <c:pt idx="26">
                  <c:v>14.677678006199999</c:v>
                </c:pt>
                <c:pt idx="27">
                  <c:v>1.8172810269000002</c:v>
                </c:pt>
                <c:pt idx="28">
                  <c:v>1.5305091109000002</c:v>
                </c:pt>
                <c:pt idx="29">
                  <c:v>32.000034183499999</c:v>
                </c:pt>
                <c:pt idx="30">
                  <c:v>21.635284676200001</c:v>
                </c:pt>
                <c:pt idx="31">
                  <c:v>6.7437404288000007</c:v>
                </c:pt>
              </c:numCache>
            </c:numRef>
          </c:val>
          <c:extLst>
            <c:ext xmlns:c16="http://schemas.microsoft.com/office/drawing/2014/chart" uri="{C3380CC4-5D6E-409C-BE32-E72D297353CC}">
              <c16:uniqueId val="{00000003-26B6-4077-82CE-6097D4FE6987}"/>
            </c:ext>
          </c:extLst>
        </c:ser>
        <c:ser>
          <c:idx val="4"/>
          <c:order val="4"/>
          <c:tx>
            <c:strRef>
              <c:f>'Sheet1 (3)'!$F$5:$F$6</c:f>
              <c:strCache>
                <c:ptCount val="1"/>
                <c:pt idx="0">
                  <c:v>2018</c:v>
                </c:pt>
              </c:strCache>
            </c:strRef>
          </c:tx>
          <c:spPr>
            <a:solidFill>
              <a:schemeClr val="accent5"/>
            </a:solidFill>
            <a:ln>
              <a:noFill/>
            </a:ln>
            <a:effectLst/>
          </c:spPr>
          <c:invertIfNegative val="0"/>
          <c:cat>
            <c:multiLvlStrRef>
              <c:f>'Sheet1 (3)'!$A$7:$A$47</c:f>
              <c:multiLvlStrCache>
                <c:ptCount val="32"/>
                <c:lvl>
                  <c:pt idx="0">
                    <c:v>&lt; 6 years</c:v>
                  </c:pt>
                  <c:pt idx="1">
                    <c:v> 6-12 years</c:v>
                  </c:pt>
                  <c:pt idx="2">
                    <c:v>13-18 years</c:v>
                  </c:pt>
                  <c:pt idx="3">
                    <c:v>19+ years</c:v>
                  </c:pt>
                  <c:pt idx="4">
                    <c:v>&lt; 6 years</c:v>
                  </c:pt>
                  <c:pt idx="5">
                    <c:v> 6-12 years</c:v>
                  </c:pt>
                  <c:pt idx="6">
                    <c:v>13-18 years</c:v>
                  </c:pt>
                  <c:pt idx="7">
                    <c:v>19+ years</c:v>
                  </c:pt>
                  <c:pt idx="8">
                    <c:v>&lt; 6 years</c:v>
                  </c:pt>
                  <c:pt idx="9">
                    <c:v> 6-12 years</c:v>
                  </c:pt>
                  <c:pt idx="10">
                    <c:v>13-18 years</c:v>
                  </c:pt>
                  <c:pt idx="11">
                    <c:v>19+ years</c:v>
                  </c:pt>
                  <c:pt idx="12">
                    <c:v>&lt; 6 years</c:v>
                  </c:pt>
                  <c:pt idx="13">
                    <c:v> 6-12 years</c:v>
                  </c:pt>
                  <c:pt idx="14">
                    <c:v>13-18 years</c:v>
                  </c:pt>
                  <c:pt idx="15">
                    <c:v>19+ years</c:v>
                  </c:pt>
                  <c:pt idx="16">
                    <c:v>&lt; 6 years</c:v>
                  </c:pt>
                  <c:pt idx="17">
                    <c:v> 6-12 years</c:v>
                  </c:pt>
                  <c:pt idx="18">
                    <c:v>13-18 years</c:v>
                  </c:pt>
                  <c:pt idx="19">
                    <c:v>19+ years</c:v>
                  </c:pt>
                  <c:pt idx="20">
                    <c:v>&lt; 6 years</c:v>
                  </c:pt>
                  <c:pt idx="21">
                    <c:v> 6-12 years</c:v>
                  </c:pt>
                  <c:pt idx="22">
                    <c:v>13-18 years</c:v>
                  </c:pt>
                  <c:pt idx="23">
                    <c:v>19+ years</c:v>
                  </c:pt>
                  <c:pt idx="24">
                    <c:v>&lt; 6 years</c:v>
                  </c:pt>
                  <c:pt idx="25">
                    <c:v> 6-12 years</c:v>
                  </c:pt>
                  <c:pt idx="26">
                    <c:v>13-18 years</c:v>
                  </c:pt>
                  <c:pt idx="27">
                    <c:v>19+ years</c:v>
                  </c:pt>
                  <c:pt idx="28">
                    <c:v>&lt; 6 years</c:v>
                  </c:pt>
                  <c:pt idx="29">
                    <c:v> 6-12 years</c:v>
                  </c:pt>
                  <c:pt idx="30">
                    <c:v>13-18 years</c:v>
                  </c:pt>
                  <c:pt idx="31">
                    <c:v>19+ years</c:v>
                  </c:pt>
                </c:lvl>
                <c:lvl>
                  <c:pt idx="0">
                    <c:v>ACT</c:v>
                  </c:pt>
                  <c:pt idx="4">
                    <c:v>NSW</c:v>
                  </c:pt>
                  <c:pt idx="8">
                    <c:v>NT</c:v>
                  </c:pt>
                  <c:pt idx="12">
                    <c:v>QLD</c:v>
                  </c:pt>
                  <c:pt idx="16">
                    <c:v>SA</c:v>
                  </c:pt>
                  <c:pt idx="20">
                    <c:v>TAS</c:v>
                  </c:pt>
                  <c:pt idx="24">
                    <c:v>VIC</c:v>
                  </c:pt>
                  <c:pt idx="28">
                    <c:v>WA</c:v>
                  </c:pt>
                </c:lvl>
              </c:multiLvlStrCache>
            </c:multiLvlStrRef>
          </c:cat>
          <c:val>
            <c:numRef>
              <c:f>'Sheet1 (3)'!$F$7:$F$47</c:f>
              <c:numCache>
                <c:formatCode>General</c:formatCode>
                <c:ptCount val="32"/>
                <c:pt idx="0">
                  <c:v>1.2956800849000001</c:v>
                </c:pt>
                <c:pt idx="1">
                  <c:v>39.830921801899997</c:v>
                </c:pt>
                <c:pt idx="2">
                  <c:v>28.073467326299998</c:v>
                </c:pt>
                <c:pt idx="3">
                  <c:v>4.0925913841000003</c:v>
                </c:pt>
                <c:pt idx="4">
                  <c:v>2.4063948947</c:v>
                </c:pt>
                <c:pt idx="5">
                  <c:v>40.351896281100004</c:v>
                </c:pt>
                <c:pt idx="6">
                  <c:v>27.943596237000001</c:v>
                </c:pt>
                <c:pt idx="7">
                  <c:v>3.2282157487000003</c:v>
                </c:pt>
                <c:pt idx="8">
                  <c:v>2.0263880758999999</c:v>
                </c:pt>
                <c:pt idx="9">
                  <c:v>36.333079908999999</c:v>
                </c:pt>
                <c:pt idx="10">
                  <c:v>13.427561837300001</c:v>
                </c:pt>
                <c:pt idx="11">
                  <c:v>1.8681288403999998</c:v>
                </c:pt>
                <c:pt idx="12">
                  <c:v>2.5307010563999994</c:v>
                </c:pt>
                <c:pt idx="13">
                  <c:v>46.359429396499998</c:v>
                </c:pt>
                <c:pt idx="14">
                  <c:v>25.007209766399999</c:v>
                </c:pt>
                <c:pt idx="15">
                  <c:v>3.1045673404</c:v>
                </c:pt>
                <c:pt idx="16">
                  <c:v>1.2435659872000002</c:v>
                </c:pt>
                <c:pt idx="17">
                  <c:v>20.9145232527</c:v>
                </c:pt>
                <c:pt idx="18">
                  <c:v>9.9748135957000006</c:v>
                </c:pt>
                <c:pt idx="19">
                  <c:v>1.8019527829999999</c:v>
                </c:pt>
                <c:pt idx="20">
                  <c:v>3.1671291236000001</c:v>
                </c:pt>
                <c:pt idx="21">
                  <c:v>39.770361767400004</c:v>
                </c:pt>
                <c:pt idx="22">
                  <c:v>24.450924265899999</c:v>
                </c:pt>
                <c:pt idx="23">
                  <c:v>2.0434520424000002</c:v>
                </c:pt>
                <c:pt idx="24">
                  <c:v>1.7023117965999999</c:v>
                </c:pt>
                <c:pt idx="25">
                  <c:v>26.615357046099998</c:v>
                </c:pt>
                <c:pt idx="26">
                  <c:v>16.543958027599999</c:v>
                </c:pt>
                <c:pt idx="27">
                  <c:v>2.1117974022999997</c:v>
                </c:pt>
                <c:pt idx="28">
                  <c:v>1.7613598082999999</c:v>
                </c:pt>
                <c:pt idx="29">
                  <c:v>36.4275443366</c:v>
                </c:pt>
                <c:pt idx="30">
                  <c:v>25.137106534299999</c:v>
                </c:pt>
                <c:pt idx="31">
                  <c:v>7.3013687267999998</c:v>
                </c:pt>
              </c:numCache>
            </c:numRef>
          </c:val>
          <c:extLst>
            <c:ext xmlns:c16="http://schemas.microsoft.com/office/drawing/2014/chart" uri="{C3380CC4-5D6E-409C-BE32-E72D297353CC}">
              <c16:uniqueId val="{00000004-26B6-4077-82CE-6097D4FE6987}"/>
            </c:ext>
          </c:extLst>
        </c:ser>
        <c:ser>
          <c:idx val="5"/>
          <c:order val="5"/>
          <c:tx>
            <c:strRef>
              <c:f>'Sheet1 (3)'!$G$5:$G$6</c:f>
              <c:strCache>
                <c:ptCount val="1"/>
                <c:pt idx="0">
                  <c:v>2019</c:v>
                </c:pt>
              </c:strCache>
            </c:strRef>
          </c:tx>
          <c:spPr>
            <a:solidFill>
              <a:schemeClr val="accent6"/>
            </a:solidFill>
            <a:ln>
              <a:noFill/>
            </a:ln>
            <a:effectLst/>
          </c:spPr>
          <c:invertIfNegative val="0"/>
          <c:cat>
            <c:multiLvlStrRef>
              <c:f>'Sheet1 (3)'!$A$7:$A$47</c:f>
              <c:multiLvlStrCache>
                <c:ptCount val="32"/>
                <c:lvl>
                  <c:pt idx="0">
                    <c:v>&lt; 6 years</c:v>
                  </c:pt>
                  <c:pt idx="1">
                    <c:v> 6-12 years</c:v>
                  </c:pt>
                  <c:pt idx="2">
                    <c:v>13-18 years</c:v>
                  </c:pt>
                  <c:pt idx="3">
                    <c:v>19+ years</c:v>
                  </c:pt>
                  <c:pt idx="4">
                    <c:v>&lt; 6 years</c:v>
                  </c:pt>
                  <c:pt idx="5">
                    <c:v> 6-12 years</c:v>
                  </c:pt>
                  <c:pt idx="6">
                    <c:v>13-18 years</c:v>
                  </c:pt>
                  <c:pt idx="7">
                    <c:v>19+ years</c:v>
                  </c:pt>
                  <c:pt idx="8">
                    <c:v>&lt; 6 years</c:v>
                  </c:pt>
                  <c:pt idx="9">
                    <c:v> 6-12 years</c:v>
                  </c:pt>
                  <c:pt idx="10">
                    <c:v>13-18 years</c:v>
                  </c:pt>
                  <c:pt idx="11">
                    <c:v>19+ years</c:v>
                  </c:pt>
                  <c:pt idx="12">
                    <c:v>&lt; 6 years</c:v>
                  </c:pt>
                  <c:pt idx="13">
                    <c:v> 6-12 years</c:v>
                  </c:pt>
                  <c:pt idx="14">
                    <c:v>13-18 years</c:v>
                  </c:pt>
                  <c:pt idx="15">
                    <c:v>19+ years</c:v>
                  </c:pt>
                  <c:pt idx="16">
                    <c:v>&lt; 6 years</c:v>
                  </c:pt>
                  <c:pt idx="17">
                    <c:v> 6-12 years</c:v>
                  </c:pt>
                  <c:pt idx="18">
                    <c:v>13-18 years</c:v>
                  </c:pt>
                  <c:pt idx="19">
                    <c:v>19+ years</c:v>
                  </c:pt>
                  <c:pt idx="20">
                    <c:v>&lt; 6 years</c:v>
                  </c:pt>
                  <c:pt idx="21">
                    <c:v> 6-12 years</c:v>
                  </c:pt>
                  <c:pt idx="22">
                    <c:v>13-18 years</c:v>
                  </c:pt>
                  <c:pt idx="23">
                    <c:v>19+ years</c:v>
                  </c:pt>
                  <c:pt idx="24">
                    <c:v>&lt; 6 years</c:v>
                  </c:pt>
                  <c:pt idx="25">
                    <c:v> 6-12 years</c:v>
                  </c:pt>
                  <c:pt idx="26">
                    <c:v>13-18 years</c:v>
                  </c:pt>
                  <c:pt idx="27">
                    <c:v>19+ years</c:v>
                  </c:pt>
                  <c:pt idx="28">
                    <c:v>&lt; 6 years</c:v>
                  </c:pt>
                  <c:pt idx="29">
                    <c:v> 6-12 years</c:v>
                  </c:pt>
                  <c:pt idx="30">
                    <c:v>13-18 years</c:v>
                  </c:pt>
                  <c:pt idx="31">
                    <c:v>19+ years</c:v>
                  </c:pt>
                </c:lvl>
                <c:lvl>
                  <c:pt idx="0">
                    <c:v>ACT</c:v>
                  </c:pt>
                  <c:pt idx="4">
                    <c:v>NSW</c:v>
                  </c:pt>
                  <c:pt idx="8">
                    <c:v>NT</c:v>
                  </c:pt>
                  <c:pt idx="12">
                    <c:v>QLD</c:v>
                  </c:pt>
                  <c:pt idx="16">
                    <c:v>SA</c:v>
                  </c:pt>
                  <c:pt idx="20">
                    <c:v>TAS</c:v>
                  </c:pt>
                  <c:pt idx="24">
                    <c:v>VIC</c:v>
                  </c:pt>
                  <c:pt idx="28">
                    <c:v>WA</c:v>
                  </c:pt>
                </c:lvl>
              </c:multiLvlStrCache>
            </c:multiLvlStrRef>
          </c:cat>
          <c:val>
            <c:numRef>
              <c:f>'Sheet1 (3)'!$G$7:$G$47</c:f>
              <c:numCache>
                <c:formatCode>General</c:formatCode>
                <c:ptCount val="32"/>
                <c:pt idx="0">
                  <c:v>1.4835474586999999</c:v>
                </c:pt>
                <c:pt idx="1">
                  <c:v>47.253209850699996</c:v>
                </c:pt>
                <c:pt idx="2">
                  <c:v>33.094397488399999</c:v>
                </c:pt>
                <c:pt idx="3">
                  <c:v>4.9244639899000013</c:v>
                </c:pt>
                <c:pt idx="4">
                  <c:v>2.9148587761</c:v>
                </c:pt>
                <c:pt idx="5">
                  <c:v>44.687496924000001</c:v>
                </c:pt>
                <c:pt idx="6">
                  <c:v>31.971787597199999</c:v>
                </c:pt>
                <c:pt idx="7">
                  <c:v>3.7256115328000003</c:v>
                </c:pt>
                <c:pt idx="8">
                  <c:v>2.8256438762</c:v>
                </c:pt>
                <c:pt idx="9">
                  <c:v>42.178130156400002</c:v>
                </c:pt>
                <c:pt idx="10">
                  <c:v>16.896086369900001</c:v>
                </c:pt>
                <c:pt idx="11">
                  <c:v>2.0752498853999999</c:v>
                </c:pt>
                <c:pt idx="12">
                  <c:v>2.9565381056</c:v>
                </c:pt>
                <c:pt idx="13">
                  <c:v>51.984720841300003</c:v>
                </c:pt>
                <c:pt idx="14">
                  <c:v>28.671363509100001</c:v>
                </c:pt>
                <c:pt idx="15">
                  <c:v>3.5034744001</c:v>
                </c:pt>
                <c:pt idx="16">
                  <c:v>1.7532489113999998</c:v>
                </c:pt>
                <c:pt idx="17">
                  <c:v>24.377579370799999</c:v>
                </c:pt>
                <c:pt idx="18">
                  <c:v>11.567399158200001</c:v>
                </c:pt>
                <c:pt idx="19">
                  <c:v>2.0060776451999995</c:v>
                </c:pt>
                <c:pt idx="20">
                  <c:v>3.7774144444000002</c:v>
                </c:pt>
                <c:pt idx="21">
                  <c:v>46.7224394399</c:v>
                </c:pt>
                <c:pt idx="22">
                  <c:v>28.515947118200003</c:v>
                </c:pt>
                <c:pt idx="23">
                  <c:v>2.3861813161000001</c:v>
                </c:pt>
                <c:pt idx="24">
                  <c:v>1.9882545702000001</c:v>
                </c:pt>
                <c:pt idx="25">
                  <c:v>30.636092401199999</c:v>
                </c:pt>
                <c:pt idx="26">
                  <c:v>19.3853470442</c:v>
                </c:pt>
                <c:pt idx="27">
                  <c:v>2.5299167164999998</c:v>
                </c:pt>
                <c:pt idx="28">
                  <c:v>2.0785108023999999</c:v>
                </c:pt>
                <c:pt idx="29">
                  <c:v>41.631562127299993</c:v>
                </c:pt>
                <c:pt idx="30">
                  <c:v>29.323243614999999</c:v>
                </c:pt>
                <c:pt idx="31">
                  <c:v>8.0693332154000004</c:v>
                </c:pt>
              </c:numCache>
            </c:numRef>
          </c:val>
          <c:extLst>
            <c:ext xmlns:c16="http://schemas.microsoft.com/office/drawing/2014/chart" uri="{C3380CC4-5D6E-409C-BE32-E72D297353CC}">
              <c16:uniqueId val="{00000005-26B6-4077-82CE-6097D4FE6987}"/>
            </c:ext>
          </c:extLst>
        </c:ser>
        <c:ser>
          <c:idx val="6"/>
          <c:order val="6"/>
          <c:tx>
            <c:strRef>
              <c:f>'Sheet1 (3)'!$H$5:$H$6</c:f>
              <c:strCache>
                <c:ptCount val="1"/>
                <c:pt idx="0">
                  <c:v>2020</c:v>
                </c:pt>
              </c:strCache>
            </c:strRef>
          </c:tx>
          <c:spPr>
            <a:solidFill>
              <a:schemeClr val="accent1">
                <a:lumMod val="60000"/>
              </a:schemeClr>
            </a:solidFill>
            <a:ln>
              <a:noFill/>
            </a:ln>
            <a:effectLst/>
          </c:spPr>
          <c:invertIfNegative val="0"/>
          <c:cat>
            <c:multiLvlStrRef>
              <c:f>'Sheet1 (3)'!$A$7:$A$47</c:f>
              <c:multiLvlStrCache>
                <c:ptCount val="32"/>
                <c:lvl>
                  <c:pt idx="0">
                    <c:v>&lt; 6 years</c:v>
                  </c:pt>
                  <c:pt idx="1">
                    <c:v> 6-12 years</c:v>
                  </c:pt>
                  <c:pt idx="2">
                    <c:v>13-18 years</c:v>
                  </c:pt>
                  <c:pt idx="3">
                    <c:v>19+ years</c:v>
                  </c:pt>
                  <c:pt idx="4">
                    <c:v>&lt; 6 years</c:v>
                  </c:pt>
                  <c:pt idx="5">
                    <c:v> 6-12 years</c:v>
                  </c:pt>
                  <c:pt idx="6">
                    <c:v>13-18 years</c:v>
                  </c:pt>
                  <c:pt idx="7">
                    <c:v>19+ years</c:v>
                  </c:pt>
                  <c:pt idx="8">
                    <c:v>&lt; 6 years</c:v>
                  </c:pt>
                  <c:pt idx="9">
                    <c:v> 6-12 years</c:v>
                  </c:pt>
                  <c:pt idx="10">
                    <c:v>13-18 years</c:v>
                  </c:pt>
                  <c:pt idx="11">
                    <c:v>19+ years</c:v>
                  </c:pt>
                  <c:pt idx="12">
                    <c:v>&lt; 6 years</c:v>
                  </c:pt>
                  <c:pt idx="13">
                    <c:v> 6-12 years</c:v>
                  </c:pt>
                  <c:pt idx="14">
                    <c:v>13-18 years</c:v>
                  </c:pt>
                  <c:pt idx="15">
                    <c:v>19+ years</c:v>
                  </c:pt>
                  <c:pt idx="16">
                    <c:v>&lt; 6 years</c:v>
                  </c:pt>
                  <c:pt idx="17">
                    <c:v> 6-12 years</c:v>
                  </c:pt>
                  <c:pt idx="18">
                    <c:v>13-18 years</c:v>
                  </c:pt>
                  <c:pt idx="19">
                    <c:v>19+ years</c:v>
                  </c:pt>
                  <c:pt idx="20">
                    <c:v>&lt; 6 years</c:v>
                  </c:pt>
                  <c:pt idx="21">
                    <c:v> 6-12 years</c:v>
                  </c:pt>
                  <c:pt idx="22">
                    <c:v>13-18 years</c:v>
                  </c:pt>
                  <c:pt idx="23">
                    <c:v>19+ years</c:v>
                  </c:pt>
                  <c:pt idx="24">
                    <c:v>&lt; 6 years</c:v>
                  </c:pt>
                  <c:pt idx="25">
                    <c:v> 6-12 years</c:v>
                  </c:pt>
                  <c:pt idx="26">
                    <c:v>13-18 years</c:v>
                  </c:pt>
                  <c:pt idx="27">
                    <c:v>19+ years</c:v>
                  </c:pt>
                  <c:pt idx="28">
                    <c:v>&lt; 6 years</c:v>
                  </c:pt>
                  <c:pt idx="29">
                    <c:v> 6-12 years</c:v>
                  </c:pt>
                  <c:pt idx="30">
                    <c:v>13-18 years</c:v>
                  </c:pt>
                  <c:pt idx="31">
                    <c:v>19+ years</c:v>
                  </c:pt>
                </c:lvl>
                <c:lvl>
                  <c:pt idx="0">
                    <c:v>ACT</c:v>
                  </c:pt>
                  <c:pt idx="4">
                    <c:v>NSW</c:v>
                  </c:pt>
                  <c:pt idx="8">
                    <c:v>NT</c:v>
                  </c:pt>
                  <c:pt idx="12">
                    <c:v>QLD</c:v>
                  </c:pt>
                  <c:pt idx="16">
                    <c:v>SA</c:v>
                  </c:pt>
                  <c:pt idx="20">
                    <c:v>TAS</c:v>
                  </c:pt>
                  <c:pt idx="24">
                    <c:v>VIC</c:v>
                  </c:pt>
                  <c:pt idx="28">
                    <c:v>WA</c:v>
                  </c:pt>
                </c:lvl>
              </c:multiLvlStrCache>
            </c:multiLvlStrRef>
          </c:cat>
          <c:val>
            <c:numRef>
              <c:f>'Sheet1 (3)'!$H$7:$H$47</c:f>
              <c:numCache>
                <c:formatCode>General</c:formatCode>
                <c:ptCount val="32"/>
                <c:pt idx="0">
                  <c:v>1.5970661304</c:v>
                </c:pt>
                <c:pt idx="1">
                  <c:v>53.562729160700002</c:v>
                </c:pt>
                <c:pt idx="2">
                  <c:v>41.0213184419</c:v>
                </c:pt>
                <c:pt idx="3">
                  <c:v>6.4678546110999999</c:v>
                </c:pt>
                <c:pt idx="4">
                  <c:v>3.2767880775999996</c:v>
                </c:pt>
                <c:pt idx="5">
                  <c:v>50.142279801500003</c:v>
                </c:pt>
                <c:pt idx="6">
                  <c:v>37.092752233100001</c:v>
                </c:pt>
                <c:pt idx="7">
                  <c:v>4.4526624397000001</c:v>
                </c:pt>
                <c:pt idx="8">
                  <c:v>2.9158632365999995</c:v>
                </c:pt>
                <c:pt idx="9">
                  <c:v>52.984953891099998</c:v>
                </c:pt>
                <c:pt idx="10">
                  <c:v>19.937828276899999</c:v>
                </c:pt>
                <c:pt idx="11">
                  <c:v>2.2975459785000005</c:v>
                </c:pt>
                <c:pt idx="12">
                  <c:v>3.4593902234000007</c:v>
                </c:pt>
                <c:pt idx="13">
                  <c:v>57.8145130666</c:v>
                </c:pt>
                <c:pt idx="14">
                  <c:v>34.206172217799995</c:v>
                </c:pt>
                <c:pt idx="15">
                  <c:v>4.1687489599999994</c:v>
                </c:pt>
                <c:pt idx="16">
                  <c:v>2.4402106463999997</c:v>
                </c:pt>
                <c:pt idx="17">
                  <c:v>29.3290101296</c:v>
                </c:pt>
                <c:pt idx="18">
                  <c:v>14.736047523</c:v>
                </c:pt>
                <c:pt idx="19">
                  <c:v>2.4826572694000002</c:v>
                </c:pt>
                <c:pt idx="20">
                  <c:v>4.7877883234</c:v>
                </c:pt>
                <c:pt idx="21">
                  <c:v>56.027388242299992</c:v>
                </c:pt>
                <c:pt idx="22">
                  <c:v>34.391813482899998</c:v>
                </c:pt>
                <c:pt idx="23">
                  <c:v>3.1200360369999998</c:v>
                </c:pt>
                <c:pt idx="24">
                  <c:v>2.1829034672000001</c:v>
                </c:pt>
                <c:pt idx="25">
                  <c:v>34.635482937799999</c:v>
                </c:pt>
                <c:pt idx="26">
                  <c:v>23.400981073700002</c:v>
                </c:pt>
                <c:pt idx="27">
                  <c:v>3.2118417599999995</c:v>
                </c:pt>
                <c:pt idx="28">
                  <c:v>2.4609106821999998</c:v>
                </c:pt>
                <c:pt idx="29">
                  <c:v>47.123343945599999</c:v>
                </c:pt>
                <c:pt idx="30">
                  <c:v>35.335038255400001</c:v>
                </c:pt>
                <c:pt idx="31">
                  <c:v>9.3462840242999992</c:v>
                </c:pt>
              </c:numCache>
            </c:numRef>
          </c:val>
          <c:extLst>
            <c:ext xmlns:c16="http://schemas.microsoft.com/office/drawing/2014/chart" uri="{C3380CC4-5D6E-409C-BE32-E72D297353CC}">
              <c16:uniqueId val="{00000006-26B6-4077-82CE-6097D4FE6987}"/>
            </c:ext>
          </c:extLst>
        </c:ser>
        <c:dLbls>
          <c:showLegendKey val="0"/>
          <c:showVal val="0"/>
          <c:showCatName val="0"/>
          <c:showSerName val="0"/>
          <c:showPercent val="0"/>
          <c:showBubbleSize val="0"/>
        </c:dLbls>
        <c:gapWidth val="219"/>
        <c:overlap val="-27"/>
        <c:axId val="640844264"/>
        <c:axId val="640844592"/>
      </c:barChart>
      <c:catAx>
        <c:axId val="6408442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Patient State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0844592"/>
        <c:crosses val="autoZero"/>
        <c:auto val="1"/>
        <c:lblAlgn val="ctr"/>
        <c:lblOffset val="100"/>
        <c:noMultiLvlLbl val="0"/>
      </c:catAx>
      <c:valAx>
        <c:axId val="640844592"/>
        <c:scaling>
          <c:orientation val="minMax"/>
          <c:max val="6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Patients per 1,000 population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084426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3C227-50D4-4D8F-AEFC-6D38EB580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38</Pages>
  <Words>9992</Words>
  <Characters>56960</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Medicines Australia</Company>
  <LinksUpToDate>false</LinksUpToDate>
  <CharactersWithSpaces>66819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GOULD, Judy</dc:creator>
  <cp:keywords/>
  <cp:lastModifiedBy>GOULD, Judy</cp:lastModifiedBy>
  <cp:revision>10</cp:revision>
  <cp:lastPrinted>2018-05-02T04:02:00Z</cp:lastPrinted>
  <dcterms:created xsi:type="dcterms:W3CDTF">2021-09-07T03:28:00Z</dcterms:created>
  <dcterms:modified xsi:type="dcterms:W3CDTF">2021-10-26T05:02:00Z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