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3C130" w14:textId="4ADB5BAD" w:rsidR="00832324" w:rsidRDefault="009F5E8B" w:rsidP="00F73113">
      <w:pPr>
        <w:pStyle w:val="Title"/>
      </w:pPr>
      <w:r>
        <w:t>Evolocumab for hetero</w:t>
      </w:r>
      <w:r w:rsidRPr="009F5E8B">
        <w:t>zygous familial hypercholesterolaemia: predicted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C7C66CD" w:rsidR="009053D3" w:rsidRPr="00F73113" w:rsidRDefault="00FF691E" w:rsidP="00F73113">
      <w:pPr>
        <w:pStyle w:val="Meetingdate"/>
      </w:pPr>
      <w:r>
        <w:t>June 2021</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7D50CCD3" w:rsidR="005C6661" w:rsidRDefault="00FF691E" w:rsidP="00AA7770">
      <w:r>
        <w:t>To compare the predicted and actual utilisation of evolocumab for heterozygous fa</w:t>
      </w:r>
      <w:r w:rsidR="000B0664">
        <w:t>milial hypercholesterolaemia (H</w:t>
      </w:r>
      <w:r>
        <w:t xml:space="preserve">eFH) in the first 24 months of PBS listing. Evolocumab was PBS listed for this </w:t>
      </w:r>
      <w:r w:rsidRPr="00753D04">
        <w:t xml:space="preserve">indication on 1 </w:t>
      </w:r>
      <w:r w:rsidR="00753D04">
        <w:t>November 2018</w:t>
      </w:r>
      <w:r w:rsidRPr="00753D04">
        <w:t>.</w:t>
      </w:r>
      <w:r w:rsidR="00404F03" w:rsidRPr="00753D04">
        <w:t xml:space="preserve">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12F89A47" w:rsidR="002D144A" w:rsidRPr="002D144A" w:rsidRDefault="00753D04" w:rsidP="002D144A">
      <w:r>
        <w:t>Evolocumab was first listed on the PBS on 1 December 2016.</w:t>
      </w:r>
    </w:p>
    <w:p w14:paraId="526743BB" w14:textId="77777777" w:rsidR="005C6661" w:rsidRDefault="005C6661" w:rsidP="00CF5E22">
      <w:pPr>
        <w:pStyle w:val="Heading3"/>
      </w:pPr>
      <w:r>
        <w:t>Data Source / methodology</w:t>
      </w:r>
    </w:p>
    <w:p w14:paraId="5E9E2FBA" w14:textId="5CA36144" w:rsidR="005C6661" w:rsidRDefault="002B7BC5" w:rsidP="005C6661">
      <w:pPr>
        <w:pStyle w:val="NoSpacing"/>
      </w:pPr>
      <w:r w:rsidRPr="002B7BC5">
        <w:t>The analyses used data from the PBS supplied prescriptions and authority approvals databases</w:t>
      </w:r>
      <w:r w:rsidR="002C78A6">
        <w:t>, extracted from 1 December 2016 to 31 March 2021.</w:t>
      </w:r>
    </w:p>
    <w:p w14:paraId="7599E7C1" w14:textId="77777777" w:rsidR="005C6661" w:rsidRDefault="005C6661" w:rsidP="00CF5E22">
      <w:pPr>
        <w:pStyle w:val="Heading3"/>
      </w:pPr>
      <w:r>
        <w:t>Key Findings</w:t>
      </w:r>
    </w:p>
    <w:p w14:paraId="55BEBB5B" w14:textId="474E5AF7" w:rsidR="006E35B4" w:rsidRPr="004D1DE6" w:rsidRDefault="006E35B4" w:rsidP="006E35B4">
      <w:pPr>
        <w:pStyle w:val="NoSpacing"/>
        <w:numPr>
          <w:ilvl w:val="0"/>
          <w:numId w:val="1"/>
        </w:numPr>
      </w:pPr>
      <w:r>
        <w:t xml:space="preserve">The actual number of patients treated with evolocumab </w:t>
      </w:r>
      <w:r w:rsidRPr="004D1DE6">
        <w:t xml:space="preserve">for </w:t>
      </w:r>
      <w:r w:rsidR="00656EB7" w:rsidRPr="004D1DE6">
        <w:t>familial hypercholesterolaemia</w:t>
      </w:r>
      <w:r w:rsidRPr="004D1DE6">
        <w:t xml:space="preserve"> in the first two years of listing was lower than expected.</w:t>
      </w:r>
    </w:p>
    <w:p w14:paraId="11266635" w14:textId="339B3916" w:rsidR="006E35B4" w:rsidRPr="004D1DE6" w:rsidRDefault="006E35B4" w:rsidP="006E35B4">
      <w:pPr>
        <w:pStyle w:val="NoSpacing"/>
        <w:numPr>
          <w:ilvl w:val="0"/>
          <w:numId w:val="1"/>
        </w:numPr>
      </w:pPr>
      <w:r w:rsidRPr="004D1DE6">
        <w:rPr>
          <w:rFonts w:hint="eastAsia"/>
        </w:rPr>
        <w:t xml:space="preserve">In </w:t>
      </w:r>
      <w:r w:rsidRPr="004D1DE6">
        <w:t>2020</w:t>
      </w:r>
      <w:r w:rsidRPr="004D1DE6">
        <w:rPr>
          <w:rFonts w:hint="eastAsia"/>
        </w:rPr>
        <w:t xml:space="preserve">, </w:t>
      </w:r>
      <w:r w:rsidR="004D1DE6" w:rsidRPr="004D1DE6">
        <w:t>2,693</w:t>
      </w:r>
      <w:r w:rsidRPr="004D1DE6">
        <w:rPr>
          <w:rFonts w:hint="eastAsia"/>
        </w:rPr>
        <w:t xml:space="preserve"> patients were supplied at least one prescription for </w:t>
      </w:r>
      <w:r w:rsidR="00B37332" w:rsidRPr="004D1DE6">
        <w:t>familial hypercholesterolaemia</w:t>
      </w:r>
      <w:r w:rsidR="00B37332" w:rsidRPr="004D1DE6">
        <w:rPr>
          <w:rFonts w:hint="eastAsia"/>
        </w:rPr>
        <w:t xml:space="preserve"> </w:t>
      </w:r>
      <w:r w:rsidRPr="004D1DE6">
        <w:rPr>
          <w:rFonts w:hint="eastAsia"/>
        </w:rPr>
        <w:t xml:space="preserve">and, of these, </w:t>
      </w:r>
      <w:r w:rsidR="004D1DE6" w:rsidRPr="004D1DE6">
        <w:t>923</w:t>
      </w:r>
      <w:r w:rsidRPr="004D1DE6">
        <w:rPr>
          <w:rFonts w:hint="eastAsia"/>
        </w:rPr>
        <w:t xml:space="preserve"> patients were supplied their first PBS-subsidised evolocumab prescription</w:t>
      </w:r>
      <w:r w:rsidR="00A0471D">
        <w:t xml:space="preserve"> for this indication</w:t>
      </w:r>
      <w:r w:rsidRPr="004D1DE6">
        <w:rPr>
          <w:rFonts w:hint="eastAsia"/>
        </w:rPr>
        <w:t>.</w:t>
      </w:r>
    </w:p>
    <w:p w14:paraId="092BB20F" w14:textId="74C0FD1A" w:rsidR="006E35B4" w:rsidRPr="004D1DE6" w:rsidRDefault="006E35B4" w:rsidP="006E35B4">
      <w:pPr>
        <w:pStyle w:val="NoSpacing"/>
        <w:numPr>
          <w:ilvl w:val="0"/>
          <w:numId w:val="1"/>
        </w:numPr>
      </w:pPr>
      <w:r w:rsidRPr="004D1DE6">
        <w:t xml:space="preserve">The total number of prescriptions supplied for evolocumab for </w:t>
      </w:r>
      <w:r w:rsidR="004D1DE6" w:rsidRPr="004D1DE6">
        <w:t xml:space="preserve">familial hypercholesterolaemia </w:t>
      </w:r>
      <w:r w:rsidRPr="004D1DE6">
        <w:t xml:space="preserve">was </w:t>
      </w:r>
      <w:r w:rsidR="004D1DE6" w:rsidRPr="004D1DE6">
        <w:t>lower</w:t>
      </w:r>
      <w:r w:rsidRPr="004D1DE6">
        <w:t xml:space="preserve"> than predicted. </w:t>
      </w:r>
    </w:p>
    <w:p w14:paraId="2E6523FA" w14:textId="6386ACBC" w:rsidR="006E35B4" w:rsidRPr="004D1DE6" w:rsidRDefault="004D1DE6" w:rsidP="006E35B4">
      <w:pPr>
        <w:pStyle w:val="NoSpacing"/>
        <w:numPr>
          <w:ilvl w:val="0"/>
          <w:numId w:val="1"/>
        </w:numPr>
      </w:pPr>
      <w:r w:rsidRPr="004D1DE6">
        <w:t>Evolocumab is often supplied as a dose of 280 mg or 420 mg as quantities of 2 or 3</w:t>
      </w:r>
      <w:r w:rsidR="00A0471D">
        <w:t>,</w:t>
      </w:r>
      <w:r w:rsidRPr="004D1DE6">
        <w:t xml:space="preserve"> 140</w:t>
      </w:r>
      <w:r w:rsidR="00A0471D">
        <w:t xml:space="preserve"> mg/mL</w:t>
      </w:r>
      <w:r w:rsidRPr="004D1DE6">
        <w:t xml:space="preserve"> pen devices. </w:t>
      </w:r>
      <w:r w:rsidR="006E35B4" w:rsidRPr="004D1DE6">
        <w:t xml:space="preserve">In </w:t>
      </w:r>
      <w:r w:rsidRPr="004D1DE6">
        <w:t>2020</w:t>
      </w:r>
      <w:r w:rsidR="006E35B4" w:rsidRPr="004D1DE6">
        <w:t xml:space="preserve">, the majority of evolocumab prescriptions supplied for </w:t>
      </w:r>
      <w:r w:rsidRPr="004D1DE6">
        <w:t xml:space="preserve">familial hypercholesterolaemia </w:t>
      </w:r>
      <w:r w:rsidR="006E35B4" w:rsidRPr="004D1DE6">
        <w:t>were for the 140 mg/mL pen</w:t>
      </w:r>
      <w:r w:rsidRPr="004D1DE6">
        <w:t xml:space="preserve"> device (17,181 prescriptions; 88</w:t>
      </w:r>
      <w:r w:rsidR="006E35B4" w:rsidRPr="004D1DE6">
        <w:t>%)</w:t>
      </w:r>
      <w:r w:rsidRPr="004D1DE6">
        <w:t xml:space="preserve"> with a total quantity of 43,675 services; 95%.</w:t>
      </w:r>
    </w:p>
    <w:p w14:paraId="56E0BCDF" w14:textId="77777777" w:rsidR="006E35B4" w:rsidRDefault="006E35B4">
      <w:pPr>
        <w:spacing w:line="276" w:lineRule="auto"/>
      </w:pPr>
    </w:p>
    <w:p w14:paraId="38B57ECC" w14:textId="7450B29A"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15B957F2" w14:textId="4406E285" w:rsidR="00990DCF" w:rsidRDefault="00FF691E" w:rsidP="00FB5E9A">
      <w:pPr>
        <w:pStyle w:val="NoSpacing"/>
      </w:pPr>
      <w:r>
        <w:t>To compare the predicted and actual utilisation of evolocumab for heterozygous fa</w:t>
      </w:r>
      <w:r w:rsidR="00775C36">
        <w:t>milial hypercholesterolaemia (H</w:t>
      </w:r>
      <w:r>
        <w:t xml:space="preserve">eFH) in the first 24 months of PBS listing. Evolocumab was PBS listed for this indication on </w:t>
      </w:r>
      <w:r w:rsidR="00FB5E9A">
        <w:t>1 November 2018</w:t>
      </w:r>
      <w:r>
        <w:t>.</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608E345D" w14:textId="6882B3FA" w:rsidR="00EE2BBB" w:rsidRPr="00C256F6" w:rsidRDefault="00FF691E" w:rsidP="00EE2BBB">
      <w:pPr>
        <w:rPr>
          <w:vertAlign w:val="superscript"/>
        </w:rPr>
      </w:pPr>
      <w:r>
        <w:t xml:space="preserve">Familial hypercholesterolaemia (FH) is a dominantly inherited disorder present from birth that markedly elevates plasma low‐density lipoprotein (LDL) cholesterol and causes premature coronary heart disease. Detailed information on FH is available online from the Familial </w:t>
      </w:r>
      <w:r w:rsidR="009A3B10">
        <w:t>h</w:t>
      </w:r>
      <w:r>
        <w:t>ypercholesterolaemia Australasia Network.</w:t>
      </w:r>
      <w:r w:rsidRPr="004311BE">
        <w:rPr>
          <w:vertAlign w:val="superscript"/>
        </w:rPr>
        <w:t>1</w:t>
      </w:r>
    </w:p>
    <w:p w14:paraId="0183A567" w14:textId="413DF87B" w:rsidR="007247B9" w:rsidRDefault="007247B9" w:rsidP="00CF5E22">
      <w:pPr>
        <w:pStyle w:val="Heading2"/>
      </w:pPr>
      <w:r>
        <w:t>Pharmacology</w:t>
      </w:r>
    </w:p>
    <w:p w14:paraId="06821C4B" w14:textId="3567FE5B" w:rsidR="00AE4BAC" w:rsidRPr="007247B9" w:rsidRDefault="00FF691E" w:rsidP="00AE4BAC">
      <w:r>
        <w:t>Evolocumab is a human monoclonal antibody that binds to proprotein convertase subtilisin/kexin type 9 (PCSK9) and inhibits circulating PCSK9 from binding to the LDL receptor on the liver cell surface, thus preventing PCSK9‐mediated LDL receptor degradation. Increasing liver LDL receptor levels results in associated reductions in serum LDL cholesterol.</w:t>
      </w:r>
      <w:r w:rsidRPr="004311BE">
        <w:rPr>
          <w:vertAlign w:val="superscript"/>
        </w:rPr>
        <w:t>2</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0D65D1D" w14:textId="3689C665" w:rsidR="00655F19" w:rsidRDefault="00655F19" w:rsidP="00A35800">
      <w:r>
        <w:t xml:space="preserve">Evolocumab is indicated as an adjunct to diet and exercise in: </w:t>
      </w:r>
    </w:p>
    <w:p w14:paraId="62CC34E8" w14:textId="77777777" w:rsidR="00655F19" w:rsidRPr="00655F19" w:rsidRDefault="00655F19" w:rsidP="00A35800">
      <w:pPr>
        <w:rPr>
          <w:b/>
        </w:rPr>
      </w:pPr>
      <w:r w:rsidRPr="00655F19">
        <w:rPr>
          <w:b/>
        </w:rPr>
        <w:t xml:space="preserve">Prevention of Cardiovascular Events </w:t>
      </w:r>
    </w:p>
    <w:p w14:paraId="7C84AAA2" w14:textId="1554620F" w:rsidR="00655F19" w:rsidRDefault="00655F19" w:rsidP="00A35800">
      <w:r>
        <w:t xml:space="preserve">Evolocumab is indicated to reduce the risk of cardiovascular events (myocardial infarction, stroke and coronary revascularisation) in adults with established cardiovascular disease in combination with an optimally dosed statin and/or other lipid-lowering therapies. </w:t>
      </w:r>
    </w:p>
    <w:p w14:paraId="456039E7" w14:textId="77777777" w:rsidR="00655F19" w:rsidRPr="00655F19" w:rsidRDefault="00655F19" w:rsidP="00A35800">
      <w:pPr>
        <w:rPr>
          <w:b/>
        </w:rPr>
      </w:pPr>
      <w:r w:rsidRPr="00655F19">
        <w:rPr>
          <w:b/>
        </w:rPr>
        <w:t xml:space="preserve">Primary Hypercholesterolaemia </w:t>
      </w:r>
    </w:p>
    <w:p w14:paraId="30CDAAC7" w14:textId="1E54B7C9" w:rsidR="00655F19" w:rsidRDefault="00655F19" w:rsidP="00A35800">
      <w:r>
        <w:t xml:space="preserve">Evolocumab is indicated in adults with primary hypercholesterolaemia (including heterozygous familial hypercholesterolaemia and non-familial hypercholesterolaemia) to reduce low-density lipoprotein cholesterol (LDL-C): </w:t>
      </w:r>
    </w:p>
    <w:p w14:paraId="70B3F9D2" w14:textId="77777777" w:rsidR="00655F19" w:rsidRDefault="00655F19" w:rsidP="00655F19">
      <w:pPr>
        <w:pStyle w:val="ListParagraph"/>
        <w:numPr>
          <w:ilvl w:val="0"/>
          <w:numId w:val="3"/>
        </w:numPr>
      </w:pPr>
      <w:r>
        <w:t xml:space="preserve">in combination with a statin or statin with other lipid lowering therapies, or </w:t>
      </w:r>
    </w:p>
    <w:p w14:paraId="13B686CC" w14:textId="77777777" w:rsidR="00655F19" w:rsidRDefault="00655F19" w:rsidP="00655F19">
      <w:pPr>
        <w:pStyle w:val="ListParagraph"/>
        <w:numPr>
          <w:ilvl w:val="0"/>
          <w:numId w:val="3"/>
        </w:numPr>
      </w:pPr>
      <w:r>
        <w:t xml:space="preserve">alone or in combination with other lipid-lowering therapies in patients who are statin-intolerant. </w:t>
      </w:r>
    </w:p>
    <w:p w14:paraId="34BF7287" w14:textId="77777777" w:rsidR="00655F19" w:rsidRPr="00655F19" w:rsidRDefault="00655F19" w:rsidP="00A35800">
      <w:pPr>
        <w:rPr>
          <w:b/>
        </w:rPr>
      </w:pPr>
      <w:r w:rsidRPr="00655F19">
        <w:rPr>
          <w:b/>
        </w:rPr>
        <w:t xml:space="preserve">Homozygous Familial Hypercholesterolaemia </w:t>
      </w:r>
    </w:p>
    <w:p w14:paraId="1E393897" w14:textId="6258E284" w:rsidR="001420B3" w:rsidRDefault="00655F19" w:rsidP="00A35800">
      <w:r>
        <w:t>Evolocumab is indicated in adults and adolescents aged 12 years and over with homozygous familial hypercholesterolaemia in combination with other lipid lowering therapies.</w:t>
      </w:r>
    </w:p>
    <w:p w14:paraId="15E919C1" w14:textId="1B3BA560" w:rsidR="006B709B" w:rsidRDefault="006B709B" w:rsidP="00CF5E22">
      <w:pPr>
        <w:pStyle w:val="Heading2"/>
      </w:pPr>
      <w:r>
        <w:lastRenderedPageBreak/>
        <w:t>Dosage and administration</w:t>
      </w:r>
    </w:p>
    <w:p w14:paraId="7774B4D3" w14:textId="1726260B" w:rsidR="00655F19" w:rsidRDefault="00655F19" w:rsidP="00655F19">
      <w:pPr>
        <w:pStyle w:val="Notes"/>
        <w:rPr>
          <w:rFonts w:cstheme="minorBidi"/>
          <w:sz w:val="24"/>
          <w:szCs w:val="24"/>
        </w:rPr>
      </w:pPr>
      <w:r>
        <w:rPr>
          <w:rFonts w:cstheme="minorBidi"/>
          <w:sz w:val="24"/>
          <w:szCs w:val="24"/>
        </w:rPr>
        <w:t>Evolocumab is administered by subcutaneous administration.</w:t>
      </w:r>
    </w:p>
    <w:p w14:paraId="2D8E4140" w14:textId="3E204B0E" w:rsidR="00F34DF6" w:rsidRPr="00655F19" w:rsidRDefault="00F34DF6" w:rsidP="004311BE">
      <w:pPr>
        <w:pStyle w:val="Tabletitle"/>
      </w:pPr>
      <w:r>
        <w:t xml:space="preserve">Table </w:t>
      </w:r>
      <w:r w:rsidR="00F4362D">
        <w:t>1</w:t>
      </w:r>
      <w:r>
        <w:t>: Dosage and administration of evolocumab</w:t>
      </w:r>
    </w:p>
    <w:tbl>
      <w:tblPr>
        <w:tblStyle w:val="TableGrid"/>
        <w:tblW w:w="0" w:type="auto"/>
        <w:tblLook w:val="04A0" w:firstRow="1" w:lastRow="0" w:firstColumn="1" w:lastColumn="0" w:noHBand="0" w:noVBand="1"/>
        <w:tblCaption w:val="Dosage and administration of evolocumab"/>
        <w:tblDescription w:val="Primary Hypercholesterolaemia and Prevention of Cardiovascular Events 140 mg every 2 weeks One single-use pre-filled pen &#10; 420 mg once monthly One single-use automated mini-doser (AMD) with 3.5 mL pre-filled cartridge or Three single-use pre-filled pens administered consecutively within 30 minutes&#10;&#10;Homozygous Familial Hypercholesterolaemia Initial dose is 420 mg once monthly. The dose can be increased to 420 mg every 2 weeks if a clinical meaningful response is not achieved in 12 weeks. Patients on apheresis may initiate treatment with 420 mg every 2 weeks to correspond with apheresis schedule. One single-use automated mini-doser (AMD) with 3.5 mL pre-filled cartridge or Three single-use pre-filled pens administered consecutively within 30 minutes&#10;"/>
      </w:tblPr>
      <w:tblGrid>
        <w:gridCol w:w="2109"/>
        <w:gridCol w:w="3281"/>
        <w:gridCol w:w="3557"/>
      </w:tblGrid>
      <w:tr w:rsidR="00FE2CE2" w:rsidRPr="00AD52AE" w14:paraId="4AE7FF6D" w14:textId="77777777" w:rsidTr="00AD52AE">
        <w:tc>
          <w:tcPr>
            <w:tcW w:w="2109" w:type="dxa"/>
            <w:shd w:val="clear" w:color="auto" w:fill="BFBFBF" w:themeFill="background1" w:themeFillShade="BF"/>
          </w:tcPr>
          <w:p w14:paraId="03BB52CD" w14:textId="67BF26D4" w:rsidR="00FE2CE2" w:rsidRPr="00AD52AE" w:rsidRDefault="00AD52AE" w:rsidP="00F17D4B">
            <w:pPr>
              <w:rPr>
                <w:b/>
                <w:sz w:val="20"/>
                <w:szCs w:val="20"/>
              </w:rPr>
            </w:pPr>
            <w:r w:rsidRPr="00AD52AE">
              <w:rPr>
                <w:b/>
                <w:sz w:val="20"/>
                <w:szCs w:val="20"/>
              </w:rPr>
              <w:t>Indication</w:t>
            </w:r>
          </w:p>
        </w:tc>
        <w:tc>
          <w:tcPr>
            <w:tcW w:w="3386" w:type="dxa"/>
            <w:shd w:val="clear" w:color="auto" w:fill="BFBFBF" w:themeFill="background1" w:themeFillShade="BF"/>
          </w:tcPr>
          <w:p w14:paraId="4464270A" w14:textId="36CE745C" w:rsidR="00FE2CE2" w:rsidRPr="00AD52AE" w:rsidRDefault="00AD52AE" w:rsidP="00F17D4B">
            <w:pPr>
              <w:rPr>
                <w:b/>
                <w:sz w:val="20"/>
                <w:szCs w:val="20"/>
              </w:rPr>
            </w:pPr>
            <w:r w:rsidRPr="00AD52AE">
              <w:rPr>
                <w:b/>
                <w:sz w:val="20"/>
                <w:szCs w:val="20"/>
              </w:rPr>
              <w:t>Recommended Dosage and Frequency</w:t>
            </w:r>
          </w:p>
        </w:tc>
        <w:tc>
          <w:tcPr>
            <w:tcW w:w="3678" w:type="dxa"/>
            <w:shd w:val="clear" w:color="auto" w:fill="BFBFBF" w:themeFill="background1" w:themeFillShade="BF"/>
          </w:tcPr>
          <w:p w14:paraId="513A76AF" w14:textId="1B2BEF59" w:rsidR="00FE2CE2" w:rsidRPr="00AD52AE" w:rsidRDefault="00AD52AE" w:rsidP="00F17D4B">
            <w:pPr>
              <w:rPr>
                <w:b/>
                <w:sz w:val="20"/>
                <w:szCs w:val="20"/>
              </w:rPr>
            </w:pPr>
            <w:r w:rsidRPr="00AD52AE">
              <w:rPr>
                <w:b/>
                <w:sz w:val="20"/>
                <w:szCs w:val="20"/>
              </w:rPr>
              <w:t>Method of Administration</w:t>
            </w:r>
          </w:p>
        </w:tc>
      </w:tr>
      <w:tr w:rsidR="00AD52AE" w:rsidRPr="00AD52AE" w14:paraId="438F5E3D" w14:textId="77777777" w:rsidTr="00AD52AE">
        <w:tc>
          <w:tcPr>
            <w:tcW w:w="2109" w:type="dxa"/>
            <w:vMerge w:val="restart"/>
          </w:tcPr>
          <w:p w14:paraId="413EC8FF" w14:textId="41B9A5AE" w:rsidR="00AD52AE" w:rsidRPr="00AD52AE" w:rsidRDefault="00AD52AE" w:rsidP="00F17D4B">
            <w:pPr>
              <w:rPr>
                <w:sz w:val="20"/>
                <w:szCs w:val="20"/>
              </w:rPr>
            </w:pPr>
            <w:r w:rsidRPr="00AD52AE">
              <w:rPr>
                <w:sz w:val="20"/>
                <w:szCs w:val="20"/>
              </w:rPr>
              <w:t>Primary Hypercholesterolaemia and Prevention of Cardiovascular Events</w:t>
            </w:r>
          </w:p>
        </w:tc>
        <w:tc>
          <w:tcPr>
            <w:tcW w:w="3386" w:type="dxa"/>
          </w:tcPr>
          <w:p w14:paraId="20B1B4A8" w14:textId="5391E568" w:rsidR="00AD52AE" w:rsidRPr="00AD52AE" w:rsidRDefault="00AD52AE" w:rsidP="00F17D4B">
            <w:pPr>
              <w:rPr>
                <w:sz w:val="20"/>
                <w:szCs w:val="20"/>
              </w:rPr>
            </w:pPr>
            <w:r w:rsidRPr="00AD52AE">
              <w:rPr>
                <w:sz w:val="20"/>
                <w:szCs w:val="20"/>
              </w:rPr>
              <w:t>140 mg every 2 weeks</w:t>
            </w:r>
          </w:p>
        </w:tc>
        <w:tc>
          <w:tcPr>
            <w:tcW w:w="3678" w:type="dxa"/>
          </w:tcPr>
          <w:p w14:paraId="5C6C5896" w14:textId="6F9A01A9" w:rsidR="00AD52AE" w:rsidRPr="00AD52AE" w:rsidRDefault="00AD52AE" w:rsidP="00AD52AE">
            <w:pPr>
              <w:rPr>
                <w:sz w:val="20"/>
                <w:szCs w:val="20"/>
              </w:rPr>
            </w:pPr>
            <w:r w:rsidRPr="00AD52AE">
              <w:rPr>
                <w:sz w:val="20"/>
                <w:szCs w:val="20"/>
              </w:rPr>
              <w:t xml:space="preserve">One single-use pre-filled pen </w:t>
            </w:r>
          </w:p>
        </w:tc>
      </w:tr>
      <w:tr w:rsidR="00AD52AE" w:rsidRPr="00AD52AE" w14:paraId="4D50E448" w14:textId="77777777" w:rsidTr="00AD52AE">
        <w:tc>
          <w:tcPr>
            <w:tcW w:w="2109" w:type="dxa"/>
            <w:vMerge/>
          </w:tcPr>
          <w:p w14:paraId="6E1F2BA4" w14:textId="77777777" w:rsidR="00AD52AE" w:rsidRPr="00AD52AE" w:rsidRDefault="00AD52AE" w:rsidP="00F17D4B">
            <w:pPr>
              <w:rPr>
                <w:sz w:val="20"/>
                <w:szCs w:val="20"/>
              </w:rPr>
            </w:pPr>
          </w:p>
        </w:tc>
        <w:tc>
          <w:tcPr>
            <w:tcW w:w="3386" w:type="dxa"/>
          </w:tcPr>
          <w:p w14:paraId="3CDA187B" w14:textId="7E905C26" w:rsidR="00AD52AE" w:rsidRPr="00AD52AE" w:rsidRDefault="00AD52AE" w:rsidP="00F17D4B">
            <w:pPr>
              <w:rPr>
                <w:sz w:val="20"/>
                <w:szCs w:val="20"/>
              </w:rPr>
            </w:pPr>
            <w:r w:rsidRPr="00AD52AE">
              <w:rPr>
                <w:sz w:val="20"/>
                <w:szCs w:val="20"/>
              </w:rPr>
              <w:t>420 mg once monthly</w:t>
            </w:r>
          </w:p>
        </w:tc>
        <w:tc>
          <w:tcPr>
            <w:tcW w:w="3678" w:type="dxa"/>
          </w:tcPr>
          <w:p w14:paraId="15EA01B9" w14:textId="2F38862A" w:rsidR="00AD52AE" w:rsidRPr="00AD52AE" w:rsidRDefault="00AD52AE" w:rsidP="00AD52AE">
            <w:pPr>
              <w:rPr>
                <w:sz w:val="20"/>
                <w:szCs w:val="20"/>
              </w:rPr>
            </w:pPr>
            <w:r w:rsidRPr="00AD52AE">
              <w:rPr>
                <w:sz w:val="20"/>
                <w:szCs w:val="20"/>
              </w:rPr>
              <w:t xml:space="preserve">One single-use automated mini-doser (AMD) with 3.5 mL pre-filled cartridge or Three single-use pre-filled </w:t>
            </w:r>
            <w:r>
              <w:rPr>
                <w:sz w:val="20"/>
                <w:szCs w:val="20"/>
              </w:rPr>
              <w:t xml:space="preserve">pens </w:t>
            </w:r>
            <w:r w:rsidRPr="00AD52AE">
              <w:rPr>
                <w:sz w:val="20"/>
                <w:szCs w:val="20"/>
              </w:rPr>
              <w:t>administered consecutively within 30 minutes</w:t>
            </w:r>
          </w:p>
        </w:tc>
      </w:tr>
      <w:tr w:rsidR="00FE2CE2" w:rsidRPr="00AD52AE" w14:paraId="66D907A3" w14:textId="77777777" w:rsidTr="00AD52AE">
        <w:tc>
          <w:tcPr>
            <w:tcW w:w="2109" w:type="dxa"/>
          </w:tcPr>
          <w:p w14:paraId="329F3F06" w14:textId="77777777" w:rsidR="00FE2CE2" w:rsidRDefault="00AD52AE" w:rsidP="00F17D4B">
            <w:pPr>
              <w:rPr>
                <w:sz w:val="20"/>
                <w:szCs w:val="20"/>
              </w:rPr>
            </w:pPr>
            <w:r w:rsidRPr="00AD52AE">
              <w:rPr>
                <w:sz w:val="20"/>
                <w:szCs w:val="20"/>
              </w:rPr>
              <w:t>Homozygous Familial Hypercholesterolaemia</w:t>
            </w:r>
          </w:p>
          <w:p w14:paraId="33528256" w14:textId="30EA9692" w:rsidR="006A655D" w:rsidRPr="00AD52AE" w:rsidRDefault="006A655D" w:rsidP="00F17D4B">
            <w:pPr>
              <w:rPr>
                <w:sz w:val="20"/>
                <w:szCs w:val="20"/>
              </w:rPr>
            </w:pPr>
          </w:p>
        </w:tc>
        <w:tc>
          <w:tcPr>
            <w:tcW w:w="3386" w:type="dxa"/>
          </w:tcPr>
          <w:p w14:paraId="7F5EF175" w14:textId="3412E8AD" w:rsidR="00FE2CE2" w:rsidRPr="00AD52AE" w:rsidRDefault="00AD52AE" w:rsidP="00F17D4B">
            <w:pPr>
              <w:rPr>
                <w:sz w:val="20"/>
                <w:szCs w:val="20"/>
              </w:rPr>
            </w:pPr>
            <w:r w:rsidRPr="00AD52AE">
              <w:rPr>
                <w:sz w:val="20"/>
                <w:szCs w:val="20"/>
              </w:rPr>
              <w:t>Initial dose is 420 mg once monthly. The dose can be increased to 420 mg every 2 weeks if a clinical meaningful response is not achieved in 12 weeks. Patients on apheresis may initiate treatment with 420 mg every 2 weeks to correspond with apheresis schedule.</w:t>
            </w:r>
          </w:p>
        </w:tc>
        <w:tc>
          <w:tcPr>
            <w:tcW w:w="3678" w:type="dxa"/>
          </w:tcPr>
          <w:p w14:paraId="78621BFF" w14:textId="56370319" w:rsidR="00FE2CE2" w:rsidRPr="00AD52AE" w:rsidRDefault="00AD52AE" w:rsidP="00AD52AE">
            <w:pPr>
              <w:rPr>
                <w:sz w:val="20"/>
                <w:szCs w:val="20"/>
              </w:rPr>
            </w:pPr>
            <w:r w:rsidRPr="00AD52AE">
              <w:rPr>
                <w:sz w:val="20"/>
                <w:szCs w:val="20"/>
              </w:rPr>
              <w:t>One single-use automated mini-doser (AMD) with 3.5 mL pre-filled cartridge or Th</w:t>
            </w:r>
            <w:r>
              <w:rPr>
                <w:sz w:val="20"/>
                <w:szCs w:val="20"/>
              </w:rPr>
              <w:t xml:space="preserve">ree single-use pre-filled pens </w:t>
            </w:r>
            <w:r w:rsidRPr="00AD52AE">
              <w:rPr>
                <w:sz w:val="20"/>
                <w:szCs w:val="20"/>
              </w:rPr>
              <w:t>administered consecutively within 30 minutes</w:t>
            </w:r>
          </w:p>
        </w:tc>
      </w:tr>
    </w:tbl>
    <w:p w14:paraId="4D576C54" w14:textId="77777777" w:rsidR="00523425" w:rsidRDefault="00523425" w:rsidP="00F17D4B"/>
    <w:p w14:paraId="6682A05C" w14:textId="7E0628C8"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0336A4BA" w14:textId="470441CF" w:rsidR="00DF0B13" w:rsidDel="00EE2BBB" w:rsidRDefault="00DF0B13" w:rsidP="00655F19">
      <w:pPr>
        <w:pStyle w:val="Heading2"/>
      </w:pPr>
      <w:r w:rsidRPr="007247B9" w:rsidDel="00EE2BBB">
        <w:t>PBS listing details</w:t>
      </w:r>
      <w:r w:rsidR="00D151EB" w:rsidDel="00EE2BBB">
        <w:t xml:space="preserve"> (as at </w:t>
      </w:r>
      <w:r w:rsidR="00655F19">
        <w:t>March 2021)</w:t>
      </w:r>
    </w:p>
    <w:p w14:paraId="1D47784A" w14:textId="33014353" w:rsidR="001420B3" w:rsidRPr="001420B3" w:rsidDel="00EE2BBB" w:rsidRDefault="00F4362D" w:rsidP="00CF5E22">
      <w:pPr>
        <w:pStyle w:val="Tabletitle"/>
      </w:pPr>
      <w:r>
        <w:t>Table 2</w:t>
      </w:r>
      <w:r w:rsidR="001420B3" w:rsidRPr="001420B3" w:rsidDel="00EE2BBB">
        <w:t xml:space="preserve">: </w:t>
      </w:r>
      <w:r w:rsidR="009663B6" w:rsidDel="00EE2BBB">
        <w:t>PB</w:t>
      </w:r>
      <w:r w:rsidR="00655F19">
        <w:t>S listing of evolocumab</w:t>
      </w:r>
      <w:r w:rsidR="00AD52AE" w:rsidRPr="00AD52AE">
        <w:t xml:space="preserve"> </w:t>
      </w:r>
      <w:r w:rsidR="00AD52AE">
        <w:t>for f</w:t>
      </w:r>
      <w:r w:rsidR="00AD52AE" w:rsidRPr="00AD52AE">
        <w:t>amilial heterozygous hypercholesterolaemia</w:t>
      </w:r>
      <w:r w:rsidR="00AD52AE">
        <w:t xml:space="preserve"> </w:t>
      </w:r>
    </w:p>
    <w:tbl>
      <w:tblPr>
        <w:tblStyle w:val="TableGrid"/>
        <w:tblW w:w="9064" w:type="dxa"/>
        <w:tblLayout w:type="fixed"/>
        <w:tblLook w:val="04A0" w:firstRow="1" w:lastRow="0" w:firstColumn="1" w:lastColumn="0" w:noHBand="0" w:noVBand="1"/>
        <w:tblCaption w:val="PBS listing of evolocumab for familial heterozygous hypercholesterolaemia "/>
        <w:tblDescription w:val="PBS listing of evolocumab for familial heterozygous hypercholesterolaemia "/>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AD52AE" w:rsidRPr="00A35800" w:rsidDel="00EE2BBB" w14:paraId="2AF9D84B" w14:textId="0D323411" w:rsidTr="00690CFA">
        <w:trPr>
          <w:trHeight w:val="552"/>
          <w:tblHeader/>
        </w:trPr>
        <w:tc>
          <w:tcPr>
            <w:tcW w:w="969" w:type="dxa"/>
            <w:shd w:val="clear" w:color="auto" w:fill="auto"/>
            <w:vAlign w:val="bottom"/>
          </w:tcPr>
          <w:p w14:paraId="0A3E3442" w14:textId="7CECE717" w:rsidR="00AD52AE" w:rsidRPr="00A35800" w:rsidDel="00EE2BBB" w:rsidRDefault="00AD52AE" w:rsidP="00AD52AE">
            <w:pPr>
              <w:pStyle w:val="Tablewriting"/>
            </w:pPr>
            <w:r>
              <w:rPr>
                <w:rFonts w:ascii="Calibri" w:hAnsi="Calibri"/>
              </w:rPr>
              <w:t>11484K</w:t>
            </w:r>
          </w:p>
        </w:tc>
        <w:tc>
          <w:tcPr>
            <w:tcW w:w="2400" w:type="dxa"/>
            <w:shd w:val="clear" w:color="auto" w:fill="auto"/>
          </w:tcPr>
          <w:p w14:paraId="0F676F51" w14:textId="674C99DF" w:rsidR="00AD52AE" w:rsidRPr="00A35800" w:rsidDel="00EE2BBB" w:rsidRDefault="00AD52AE" w:rsidP="00AD52AE">
            <w:pPr>
              <w:pStyle w:val="Tablewriting"/>
            </w:pPr>
            <w:r w:rsidRPr="00AD52AE">
              <w:t>evolocumab 140 mg/mL injection, 1 mL pen device</w:t>
            </w:r>
          </w:p>
        </w:tc>
        <w:tc>
          <w:tcPr>
            <w:tcW w:w="1701" w:type="dxa"/>
            <w:shd w:val="clear" w:color="auto" w:fill="auto"/>
          </w:tcPr>
          <w:p w14:paraId="0E2637C4" w14:textId="491D3030" w:rsidR="00AD52AE" w:rsidRPr="00A35800" w:rsidDel="00EE2BBB" w:rsidRDefault="00AD52AE" w:rsidP="00AD52AE">
            <w:pPr>
              <w:pStyle w:val="Tablewriting"/>
            </w:pPr>
            <w:r>
              <w:t>2</w:t>
            </w:r>
          </w:p>
        </w:tc>
        <w:tc>
          <w:tcPr>
            <w:tcW w:w="850" w:type="dxa"/>
            <w:shd w:val="clear" w:color="auto" w:fill="auto"/>
          </w:tcPr>
          <w:p w14:paraId="6B361CAA" w14:textId="7FCE7BDF" w:rsidR="00AD52AE" w:rsidRPr="00A35800" w:rsidDel="00EE2BBB" w:rsidRDefault="00AD52AE" w:rsidP="00AD52AE">
            <w:pPr>
              <w:pStyle w:val="Tablewriting"/>
            </w:pPr>
            <w:r>
              <w:t>5</w:t>
            </w:r>
          </w:p>
        </w:tc>
        <w:tc>
          <w:tcPr>
            <w:tcW w:w="1040" w:type="dxa"/>
            <w:shd w:val="clear" w:color="auto" w:fill="auto"/>
          </w:tcPr>
          <w:p w14:paraId="15F68405" w14:textId="2F73236E" w:rsidR="00AD52AE" w:rsidRPr="00A35800" w:rsidDel="00EE2BBB" w:rsidRDefault="00AD52AE" w:rsidP="00AD52AE">
            <w:pPr>
              <w:pStyle w:val="Tablewriting"/>
            </w:pPr>
            <w:r w:rsidRPr="00AD52AE">
              <w:t>$497.82</w:t>
            </w:r>
          </w:p>
        </w:tc>
        <w:tc>
          <w:tcPr>
            <w:tcW w:w="2104" w:type="dxa"/>
            <w:vMerge w:val="restart"/>
            <w:shd w:val="clear" w:color="auto" w:fill="auto"/>
          </w:tcPr>
          <w:p w14:paraId="2D337AC6" w14:textId="5199D429" w:rsidR="00AD52AE" w:rsidRPr="00A35800" w:rsidDel="00EE2BBB" w:rsidRDefault="00AD52AE" w:rsidP="00AD52AE">
            <w:pPr>
              <w:pStyle w:val="Tablewriting"/>
            </w:pPr>
            <w:r>
              <w:t xml:space="preserve">Repatha, </w:t>
            </w:r>
            <w:r w:rsidRPr="00AD52AE">
              <w:t>Amgen Australia Pty Limited</w:t>
            </w:r>
          </w:p>
        </w:tc>
      </w:tr>
      <w:tr w:rsidR="00AD52AE" w:rsidRPr="00A35800" w:rsidDel="00EE2BBB" w14:paraId="354829E2" w14:textId="77777777" w:rsidTr="00690CFA">
        <w:trPr>
          <w:trHeight w:val="552"/>
          <w:tblHeader/>
        </w:trPr>
        <w:tc>
          <w:tcPr>
            <w:tcW w:w="969" w:type="dxa"/>
            <w:shd w:val="clear" w:color="auto" w:fill="auto"/>
            <w:vAlign w:val="bottom"/>
          </w:tcPr>
          <w:p w14:paraId="5E09A0E1" w14:textId="276A5E16" w:rsidR="00AD52AE" w:rsidRPr="00A35800" w:rsidDel="00EE2BBB" w:rsidRDefault="00AD52AE" w:rsidP="00AD52AE">
            <w:pPr>
              <w:pStyle w:val="Tablewriting"/>
            </w:pPr>
            <w:r>
              <w:rPr>
                <w:rFonts w:ascii="Calibri" w:hAnsi="Calibri"/>
              </w:rPr>
              <w:t>11485L</w:t>
            </w:r>
          </w:p>
        </w:tc>
        <w:tc>
          <w:tcPr>
            <w:tcW w:w="2400" w:type="dxa"/>
            <w:shd w:val="clear" w:color="auto" w:fill="auto"/>
          </w:tcPr>
          <w:p w14:paraId="326DD1B9" w14:textId="617D4A19" w:rsidR="00AD52AE" w:rsidRPr="00A35800" w:rsidDel="00EE2BBB" w:rsidRDefault="00AD52AE" w:rsidP="00AD52AE">
            <w:pPr>
              <w:pStyle w:val="Tablewriting"/>
            </w:pPr>
            <w:r w:rsidRPr="00AD52AE">
              <w:t>evolocumab 420 mg/3.5 mL injection, 3.5 mL cartridge</w:t>
            </w:r>
          </w:p>
        </w:tc>
        <w:tc>
          <w:tcPr>
            <w:tcW w:w="1701" w:type="dxa"/>
            <w:shd w:val="clear" w:color="auto" w:fill="auto"/>
          </w:tcPr>
          <w:p w14:paraId="3A1374F5" w14:textId="001B173F" w:rsidR="00AD52AE" w:rsidRPr="00A35800" w:rsidDel="00EE2BBB" w:rsidRDefault="00AD52AE" w:rsidP="00AD52AE">
            <w:pPr>
              <w:pStyle w:val="Tablewriting"/>
            </w:pPr>
            <w:r>
              <w:t>1</w:t>
            </w:r>
          </w:p>
        </w:tc>
        <w:tc>
          <w:tcPr>
            <w:tcW w:w="850" w:type="dxa"/>
            <w:shd w:val="clear" w:color="auto" w:fill="auto"/>
          </w:tcPr>
          <w:p w14:paraId="177AB12D" w14:textId="2A578968" w:rsidR="00AD52AE" w:rsidRPr="00A35800" w:rsidDel="00EE2BBB" w:rsidRDefault="00AD52AE" w:rsidP="00AD52AE">
            <w:pPr>
              <w:pStyle w:val="Tablewriting"/>
            </w:pPr>
            <w:r>
              <w:t>5</w:t>
            </w:r>
          </w:p>
        </w:tc>
        <w:tc>
          <w:tcPr>
            <w:tcW w:w="1040" w:type="dxa"/>
            <w:shd w:val="clear" w:color="auto" w:fill="auto"/>
          </w:tcPr>
          <w:p w14:paraId="58EBBA7A" w14:textId="7B3F1320" w:rsidR="00AD52AE" w:rsidRPr="00A35800" w:rsidDel="00EE2BBB" w:rsidRDefault="00AD52AE" w:rsidP="00AD52AE">
            <w:pPr>
              <w:pStyle w:val="Tablewriting"/>
            </w:pPr>
            <w:r w:rsidRPr="00AD52AE">
              <w:t>$539.12</w:t>
            </w:r>
          </w:p>
        </w:tc>
        <w:tc>
          <w:tcPr>
            <w:tcW w:w="2104" w:type="dxa"/>
            <w:vMerge/>
            <w:shd w:val="clear" w:color="auto" w:fill="auto"/>
          </w:tcPr>
          <w:p w14:paraId="665DBDD3" w14:textId="77777777" w:rsidR="00AD52AE" w:rsidRPr="00A35800" w:rsidDel="00EE2BBB" w:rsidRDefault="00AD52AE" w:rsidP="00AD52AE">
            <w:pPr>
              <w:pStyle w:val="Tablewriting"/>
            </w:pPr>
          </w:p>
        </w:tc>
      </w:tr>
      <w:tr w:rsidR="00AD52AE" w:rsidRPr="00A35800" w:rsidDel="00EE2BBB" w14:paraId="6BFE2333" w14:textId="77777777" w:rsidTr="00690CFA">
        <w:trPr>
          <w:trHeight w:val="552"/>
          <w:tblHeader/>
        </w:trPr>
        <w:tc>
          <w:tcPr>
            <w:tcW w:w="969" w:type="dxa"/>
            <w:shd w:val="clear" w:color="auto" w:fill="auto"/>
            <w:vAlign w:val="bottom"/>
          </w:tcPr>
          <w:p w14:paraId="7758AADD" w14:textId="36A827DE" w:rsidR="00AD52AE" w:rsidRPr="00A35800" w:rsidDel="00EE2BBB" w:rsidRDefault="00AD52AE" w:rsidP="00AD52AE">
            <w:pPr>
              <w:pStyle w:val="Tablewriting"/>
            </w:pPr>
            <w:r>
              <w:rPr>
                <w:rFonts w:ascii="Calibri" w:hAnsi="Calibri"/>
              </w:rPr>
              <w:t>11985T</w:t>
            </w:r>
          </w:p>
        </w:tc>
        <w:tc>
          <w:tcPr>
            <w:tcW w:w="2400" w:type="dxa"/>
            <w:shd w:val="clear" w:color="auto" w:fill="auto"/>
          </w:tcPr>
          <w:p w14:paraId="1F9FE7E8" w14:textId="4DD76106" w:rsidR="00AD52AE" w:rsidRPr="00A35800" w:rsidDel="00EE2BBB" w:rsidRDefault="00AD52AE" w:rsidP="00AD52AE">
            <w:pPr>
              <w:pStyle w:val="Tablewriting"/>
            </w:pPr>
            <w:r w:rsidRPr="00AD52AE">
              <w:t>evolocumab 140 mg/mL injection, 1 mL pen device</w:t>
            </w:r>
          </w:p>
        </w:tc>
        <w:tc>
          <w:tcPr>
            <w:tcW w:w="1701" w:type="dxa"/>
            <w:shd w:val="clear" w:color="auto" w:fill="auto"/>
          </w:tcPr>
          <w:p w14:paraId="5490806D" w14:textId="2CB01C20" w:rsidR="00AD52AE" w:rsidRPr="00A35800" w:rsidDel="00EE2BBB" w:rsidRDefault="00AD52AE" w:rsidP="00AD52AE">
            <w:pPr>
              <w:pStyle w:val="Tablewriting"/>
            </w:pPr>
            <w:r>
              <w:t>2</w:t>
            </w:r>
          </w:p>
        </w:tc>
        <w:tc>
          <w:tcPr>
            <w:tcW w:w="850" w:type="dxa"/>
            <w:shd w:val="clear" w:color="auto" w:fill="auto"/>
          </w:tcPr>
          <w:p w14:paraId="469BCAEF" w14:textId="5A9411DD" w:rsidR="00AD52AE" w:rsidRPr="00A35800" w:rsidDel="00EE2BBB" w:rsidRDefault="00AD52AE" w:rsidP="00AD52AE">
            <w:pPr>
              <w:pStyle w:val="Tablewriting"/>
            </w:pPr>
            <w:r>
              <w:t>5</w:t>
            </w:r>
          </w:p>
        </w:tc>
        <w:tc>
          <w:tcPr>
            <w:tcW w:w="1040" w:type="dxa"/>
            <w:shd w:val="clear" w:color="auto" w:fill="auto"/>
          </w:tcPr>
          <w:p w14:paraId="61C51DE5" w14:textId="4796A1BE" w:rsidR="00AD52AE" w:rsidRPr="00A35800" w:rsidDel="00EE2BBB" w:rsidRDefault="00AD52AE" w:rsidP="00AD52AE">
            <w:pPr>
              <w:pStyle w:val="Tablewriting"/>
            </w:pPr>
            <w:r w:rsidRPr="00AD52AE">
              <w:t>$497.82</w:t>
            </w:r>
          </w:p>
        </w:tc>
        <w:tc>
          <w:tcPr>
            <w:tcW w:w="2104" w:type="dxa"/>
            <w:vMerge/>
            <w:shd w:val="clear" w:color="auto" w:fill="auto"/>
          </w:tcPr>
          <w:p w14:paraId="6218C9AF" w14:textId="77777777" w:rsidR="00AD52AE" w:rsidRPr="00A35800" w:rsidDel="00EE2BBB" w:rsidRDefault="00AD52AE" w:rsidP="00AD52AE">
            <w:pPr>
              <w:pStyle w:val="Tablewriting"/>
            </w:pPr>
          </w:p>
        </w:tc>
      </w:tr>
      <w:tr w:rsidR="00AD52AE" w:rsidRPr="00A35800" w:rsidDel="00EE2BBB" w14:paraId="5A26F6DA" w14:textId="5F9D4936" w:rsidTr="00690CFA">
        <w:trPr>
          <w:trHeight w:val="546"/>
          <w:tblHeader/>
        </w:trPr>
        <w:tc>
          <w:tcPr>
            <w:tcW w:w="969" w:type="dxa"/>
            <w:shd w:val="clear" w:color="auto" w:fill="auto"/>
            <w:vAlign w:val="bottom"/>
          </w:tcPr>
          <w:p w14:paraId="76F26606" w14:textId="6C0E3A20" w:rsidR="00AD52AE" w:rsidRPr="00A35800" w:rsidDel="00EE2BBB" w:rsidRDefault="00AD52AE" w:rsidP="00AD52AE">
            <w:pPr>
              <w:pStyle w:val="Tablewriting"/>
            </w:pPr>
            <w:r>
              <w:rPr>
                <w:rFonts w:ascii="Calibri" w:hAnsi="Calibri"/>
              </w:rPr>
              <w:t>11986W</w:t>
            </w:r>
          </w:p>
        </w:tc>
        <w:tc>
          <w:tcPr>
            <w:tcW w:w="2400" w:type="dxa"/>
            <w:shd w:val="clear" w:color="auto" w:fill="auto"/>
          </w:tcPr>
          <w:p w14:paraId="4C40F7E7" w14:textId="3CBDC259" w:rsidR="00AD52AE" w:rsidRPr="00A35800" w:rsidDel="00EE2BBB" w:rsidRDefault="00AD52AE" w:rsidP="00AD52AE">
            <w:pPr>
              <w:pStyle w:val="Tablewriting"/>
            </w:pPr>
            <w:r w:rsidRPr="00AD52AE">
              <w:t>evolocumab 420 mg/3.5 mL injection, 3.5 mL cartridge</w:t>
            </w:r>
          </w:p>
        </w:tc>
        <w:tc>
          <w:tcPr>
            <w:tcW w:w="1701" w:type="dxa"/>
            <w:shd w:val="clear" w:color="auto" w:fill="auto"/>
          </w:tcPr>
          <w:p w14:paraId="73733F58" w14:textId="5DB183ED" w:rsidR="00AD52AE" w:rsidRPr="00A35800" w:rsidDel="00EE2BBB" w:rsidRDefault="00AD52AE" w:rsidP="00AD52AE">
            <w:pPr>
              <w:pStyle w:val="Tablewriting"/>
            </w:pPr>
            <w:r>
              <w:t>1</w:t>
            </w:r>
          </w:p>
        </w:tc>
        <w:tc>
          <w:tcPr>
            <w:tcW w:w="850" w:type="dxa"/>
            <w:shd w:val="clear" w:color="auto" w:fill="auto"/>
          </w:tcPr>
          <w:p w14:paraId="2751F86C" w14:textId="7BE94C92" w:rsidR="00AD52AE" w:rsidRPr="00A35800" w:rsidDel="00EE2BBB" w:rsidRDefault="00AD52AE" w:rsidP="00AD52AE">
            <w:pPr>
              <w:pStyle w:val="Tablewriting"/>
            </w:pPr>
            <w:r>
              <w:t>5</w:t>
            </w:r>
          </w:p>
        </w:tc>
        <w:tc>
          <w:tcPr>
            <w:tcW w:w="1040" w:type="dxa"/>
            <w:shd w:val="clear" w:color="auto" w:fill="auto"/>
          </w:tcPr>
          <w:p w14:paraId="0EB41EFB" w14:textId="362C4BCB" w:rsidR="00AD52AE" w:rsidRPr="00A35800" w:rsidDel="00EE2BBB" w:rsidRDefault="00AD52AE" w:rsidP="00AD52AE">
            <w:pPr>
              <w:pStyle w:val="Tablewriting"/>
            </w:pPr>
            <w:r w:rsidRPr="00AD52AE">
              <w:t>$539.12</w:t>
            </w:r>
          </w:p>
        </w:tc>
        <w:tc>
          <w:tcPr>
            <w:tcW w:w="2104" w:type="dxa"/>
            <w:vMerge/>
            <w:shd w:val="clear" w:color="auto" w:fill="auto"/>
          </w:tcPr>
          <w:p w14:paraId="2F152B32" w14:textId="53903DBC" w:rsidR="00AD52AE" w:rsidRPr="00A35800" w:rsidDel="00EE2BBB" w:rsidRDefault="00AD52AE" w:rsidP="00AD52AE">
            <w:pPr>
              <w:pStyle w:val="Tablewriting"/>
            </w:pPr>
          </w:p>
        </w:tc>
      </w:tr>
    </w:tbl>
    <w:p w14:paraId="1183F151" w14:textId="774493C3" w:rsidR="007247B9" w:rsidRPr="00A35800" w:rsidDel="00EE2BBB"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p>
    <w:p w14:paraId="16605A9D" w14:textId="77777777" w:rsidR="00460030" w:rsidRDefault="00460030">
      <w:pPr>
        <w:spacing w:line="276" w:lineRule="auto"/>
        <w:rPr>
          <w:b/>
          <w:i/>
          <w:szCs w:val="28"/>
        </w:rPr>
      </w:pPr>
      <w:r>
        <w:br w:type="page"/>
      </w:r>
    </w:p>
    <w:p w14:paraId="1AFA1485" w14:textId="5EA5B6BD" w:rsidR="004C3186" w:rsidDel="00EE2BBB" w:rsidRDefault="004C3186" w:rsidP="00CF5E22">
      <w:pPr>
        <w:pStyle w:val="Heading3"/>
      </w:pPr>
      <w:r w:rsidDel="00EE2BBB">
        <w:lastRenderedPageBreak/>
        <w:t>Restriction</w:t>
      </w:r>
    </w:p>
    <w:p w14:paraId="0D90C856" w14:textId="77777777" w:rsidR="00FB5E9A" w:rsidRPr="00FB5E9A" w:rsidRDefault="00FB5E9A" w:rsidP="00FB5E9A">
      <w:pPr>
        <w:rPr>
          <w:b/>
        </w:rPr>
      </w:pPr>
      <w:r w:rsidRPr="00FB5E9A">
        <w:rPr>
          <w:b/>
        </w:rPr>
        <w:t>Treatment Phase: Initial treatment</w:t>
      </w:r>
    </w:p>
    <w:p w14:paraId="01970FD2" w14:textId="77777777" w:rsidR="00FB5E9A" w:rsidRPr="00FB5E9A" w:rsidRDefault="00FB5E9A" w:rsidP="00FB5E9A">
      <w:pPr>
        <w:rPr>
          <w:b/>
        </w:rPr>
      </w:pPr>
      <w:r w:rsidRPr="00FB5E9A">
        <w:rPr>
          <w:b/>
        </w:rPr>
        <w:t>Clinical criteria:</w:t>
      </w:r>
    </w:p>
    <w:p w14:paraId="01875CE3" w14:textId="77777777" w:rsidR="00FB5E9A" w:rsidRDefault="00FB5E9A" w:rsidP="00FB5E9A">
      <w:pPr>
        <w:pStyle w:val="ListParagraph"/>
        <w:numPr>
          <w:ilvl w:val="0"/>
          <w:numId w:val="4"/>
        </w:numPr>
      </w:pPr>
      <w:r>
        <w:t>The treatment must be in conjunction with dietary therapy and exercise,</w:t>
      </w:r>
    </w:p>
    <w:p w14:paraId="2EC7AA56" w14:textId="77777777" w:rsidR="00FB5E9A" w:rsidRPr="00FB5E9A" w:rsidRDefault="00FB5E9A" w:rsidP="00FB5E9A">
      <w:pPr>
        <w:rPr>
          <w:b/>
        </w:rPr>
      </w:pPr>
      <w:r w:rsidRPr="00FB5E9A">
        <w:rPr>
          <w:b/>
        </w:rPr>
        <w:t>AND</w:t>
      </w:r>
    </w:p>
    <w:p w14:paraId="3BD2BBED" w14:textId="77777777" w:rsidR="00FB5E9A" w:rsidRDefault="00FB5E9A" w:rsidP="00FB5E9A">
      <w:pPr>
        <w:pStyle w:val="ListParagraph"/>
        <w:numPr>
          <w:ilvl w:val="0"/>
          <w:numId w:val="4"/>
        </w:numPr>
      </w:pPr>
      <w:r>
        <w:t>The condition must have been confirmed by genetic testing; OR</w:t>
      </w:r>
    </w:p>
    <w:p w14:paraId="3A9BAA4B" w14:textId="77777777" w:rsidR="00FB5E9A" w:rsidRDefault="00FB5E9A" w:rsidP="00FB5E9A">
      <w:pPr>
        <w:pStyle w:val="ListParagraph"/>
        <w:numPr>
          <w:ilvl w:val="0"/>
          <w:numId w:val="4"/>
        </w:numPr>
      </w:pPr>
      <w:r>
        <w:t>The condition must have been confirmed by a Dutch Lipid Clinic Network Score of at least 6,</w:t>
      </w:r>
    </w:p>
    <w:p w14:paraId="4A1513C5" w14:textId="77777777" w:rsidR="00FB5E9A" w:rsidRPr="00FB5E9A" w:rsidRDefault="00FB5E9A" w:rsidP="00FB5E9A">
      <w:pPr>
        <w:rPr>
          <w:b/>
        </w:rPr>
      </w:pPr>
      <w:r w:rsidRPr="00FB5E9A">
        <w:rPr>
          <w:b/>
        </w:rPr>
        <w:t>AND</w:t>
      </w:r>
    </w:p>
    <w:p w14:paraId="2CFC8096" w14:textId="77777777" w:rsidR="00FB5E9A" w:rsidRDefault="00FB5E9A" w:rsidP="00FB5E9A">
      <w:pPr>
        <w:pStyle w:val="ListParagraph"/>
        <w:numPr>
          <w:ilvl w:val="0"/>
          <w:numId w:val="4"/>
        </w:numPr>
      </w:pPr>
      <w:r>
        <w:t>Patient must have an LDL cholesterol level in excess of 2.6 millimoles per litre in the presence of symptomatic atherosclerotic cardiovascular disease; OR</w:t>
      </w:r>
    </w:p>
    <w:p w14:paraId="71B77797" w14:textId="77777777" w:rsidR="00FB5E9A" w:rsidRDefault="00FB5E9A" w:rsidP="00FB5E9A">
      <w:pPr>
        <w:pStyle w:val="ListParagraph"/>
        <w:numPr>
          <w:ilvl w:val="0"/>
          <w:numId w:val="4"/>
        </w:numPr>
      </w:pPr>
      <w:r>
        <w:t>Patient must have an LDL cholesterol level in excess of 5 millimoles per litre,</w:t>
      </w:r>
    </w:p>
    <w:p w14:paraId="46D6714C" w14:textId="77777777" w:rsidR="00FB5E9A" w:rsidRPr="00FB5E9A" w:rsidRDefault="00FB5E9A" w:rsidP="00FB5E9A">
      <w:pPr>
        <w:rPr>
          <w:b/>
        </w:rPr>
      </w:pPr>
      <w:r w:rsidRPr="00FB5E9A">
        <w:rPr>
          <w:b/>
        </w:rPr>
        <w:t>AND</w:t>
      </w:r>
    </w:p>
    <w:p w14:paraId="4C6C7C70" w14:textId="77777777" w:rsidR="00FB5E9A" w:rsidRDefault="00FB5E9A" w:rsidP="00FB5E9A">
      <w:pPr>
        <w:pStyle w:val="ListParagraph"/>
        <w:numPr>
          <w:ilvl w:val="0"/>
          <w:numId w:val="4"/>
        </w:numPr>
      </w:pPr>
      <w: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p w14:paraId="78CC95A6" w14:textId="77777777" w:rsidR="00FB5E9A" w:rsidRDefault="00FB5E9A" w:rsidP="00FB5E9A">
      <w:pPr>
        <w:pStyle w:val="ListParagraph"/>
        <w:numPr>
          <w:ilvl w:val="0"/>
          <w:numId w:val="4"/>
        </w:numPr>
      </w:pPr>
      <w:r>
        <w:t>Patient must have developed clinically important product-related adverse events necessitating withdrawal of statin treatment to trials of each of atorvastatin and rosuvastatin; OR</w:t>
      </w:r>
    </w:p>
    <w:p w14:paraId="2593A0AA" w14:textId="77777777" w:rsidR="00FB5E9A" w:rsidRDefault="00FB5E9A" w:rsidP="00FB5E9A">
      <w:pPr>
        <w:pStyle w:val="ListParagraph"/>
        <w:numPr>
          <w:ilvl w:val="0"/>
          <w:numId w:val="4"/>
        </w:numPr>
      </w:pPr>
      <w:r>
        <w:t>Patient must be contraindicated to treatment with a HMG CoA reductase inhibitor (statin) as defined in the TGA-approved Product Information,</w:t>
      </w:r>
    </w:p>
    <w:p w14:paraId="032BCBA2" w14:textId="77777777" w:rsidR="00FB5E9A" w:rsidRPr="00FB5E9A" w:rsidRDefault="00FB5E9A" w:rsidP="00FB5E9A">
      <w:pPr>
        <w:rPr>
          <w:b/>
        </w:rPr>
      </w:pPr>
      <w:r w:rsidRPr="00FB5E9A">
        <w:rPr>
          <w:b/>
        </w:rPr>
        <w:t>AND</w:t>
      </w:r>
    </w:p>
    <w:p w14:paraId="3C167AFE" w14:textId="77777777" w:rsidR="00FB5E9A" w:rsidRDefault="00FB5E9A" w:rsidP="00FB5E9A">
      <w:pPr>
        <w:pStyle w:val="ListParagraph"/>
        <w:numPr>
          <w:ilvl w:val="0"/>
          <w:numId w:val="4"/>
        </w:numPr>
      </w:pPr>
      <w:r>
        <w:t>Patient must have been treated with ezetimibe for at least 12 consecutive weeks in conjunction with a statin (if tolerated), dietary therapy and exercise.</w:t>
      </w:r>
    </w:p>
    <w:p w14:paraId="55A545FC" w14:textId="77777777" w:rsidR="00FB5E9A" w:rsidRPr="00460030" w:rsidRDefault="00FB5E9A" w:rsidP="00FB5E9A">
      <w:pPr>
        <w:rPr>
          <w:b/>
        </w:rPr>
      </w:pPr>
      <w:r w:rsidRPr="00460030">
        <w:rPr>
          <w:b/>
        </w:rPr>
        <w:t>Treatment criteria:</w:t>
      </w:r>
    </w:p>
    <w:p w14:paraId="3E0AD76E" w14:textId="77777777" w:rsidR="00FB5E9A" w:rsidRDefault="00FB5E9A" w:rsidP="00FB5E9A">
      <w:r>
        <w:t>Must be treated by a specialist physician.</w:t>
      </w:r>
    </w:p>
    <w:p w14:paraId="22433632" w14:textId="09654777" w:rsidR="006775F1" w:rsidRPr="006775F1" w:rsidDel="00EE2BBB" w:rsidRDefault="00FB5E9A" w:rsidP="00FB5E9A">
      <w:r w:rsidRPr="00FB5E9A">
        <w:t>For definitions of symptomatic atherosclerotic cardiovascular disease, clinically important</w:t>
      </w:r>
      <w:r>
        <w:t xml:space="preserve"> product-related adverse events and for</w:t>
      </w:r>
      <w:r w:rsidR="006775F1" w:rsidRPr="006775F1" w:rsidDel="00EE2BBB">
        <w:t xml:space="preserve">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CF5E22">
      <w:pPr>
        <w:pStyle w:val="Heading3"/>
      </w:pPr>
      <w:r w:rsidRPr="00675BB1" w:rsidDel="00EE2BBB">
        <w:t>Date of listing on PBS</w:t>
      </w:r>
    </w:p>
    <w:p w14:paraId="77A689EC" w14:textId="75614664" w:rsidR="00FB5E9A" w:rsidRDefault="00FB5E9A" w:rsidP="00C02CED">
      <w:pPr>
        <w:rPr>
          <w:highlight w:val="yellow"/>
        </w:rPr>
      </w:pPr>
      <w:r w:rsidRPr="00FB5E9A">
        <w:t xml:space="preserve">Evolocumab was first PBS listed </w:t>
      </w:r>
      <w:r>
        <w:t>1 December 2016.</w:t>
      </w:r>
    </w:p>
    <w:p w14:paraId="5CD5CDB5" w14:textId="77777777" w:rsidR="00460030" w:rsidRDefault="00460030">
      <w:pPr>
        <w:spacing w:line="276" w:lineRule="auto"/>
        <w:rPr>
          <w:b/>
          <w:i/>
          <w:szCs w:val="28"/>
        </w:rPr>
      </w:pPr>
      <w:r>
        <w:br w:type="page"/>
      </w:r>
    </w:p>
    <w:p w14:paraId="39EF75ED" w14:textId="27A41567" w:rsidR="00675BB1" w:rsidRDefault="00675BB1" w:rsidP="00CF5E22">
      <w:pPr>
        <w:pStyle w:val="Heading3"/>
      </w:pPr>
      <w:r w:rsidRPr="00675BB1" w:rsidDel="00EE2BBB">
        <w:lastRenderedPageBreak/>
        <w:t>Changes to listing</w:t>
      </w:r>
    </w:p>
    <w:p w14:paraId="6F4B8C6F" w14:textId="2889A713" w:rsidR="004311BE" w:rsidRPr="004311BE" w:rsidDel="00EE2BBB" w:rsidRDefault="00F4362D" w:rsidP="004311BE">
      <w:pPr>
        <w:pStyle w:val="Tabletitle"/>
        <w:keepNext/>
      </w:pPr>
      <w:r>
        <w:t>Table 3</w:t>
      </w:r>
      <w:r w:rsidR="004311BE">
        <w:t>: Changes to the PBS listing of evolocumab</w:t>
      </w:r>
    </w:p>
    <w:tbl>
      <w:tblPr>
        <w:tblStyle w:val="TableGrid"/>
        <w:tblW w:w="0" w:type="auto"/>
        <w:tblLook w:val="04A0" w:firstRow="1" w:lastRow="0" w:firstColumn="1" w:lastColumn="0" w:noHBand="0" w:noVBand="1"/>
        <w:tblCaption w:val="Changes to the PBS listing of evolocumab"/>
        <w:tblDescription w:val="Listed for the treatment of homozygous familial hypercholesterolaemia as Authority Required listings 1 December 2016&#10;Evolocumab 420 mg/3.5 mL injection, 3.5 mL cartridge was PBS listed  1 November 2017&#10;Listing for grandfathered familial homozygous patients deleted 1 February 2018&#10;Listed for the treatment of heterozygous familial hypercholesterolaemia as Authority Required listings under new PBS item codes  1 November 2018&#10;Listed for the treatment of non-familial hypercholesterolaemia under the same PBS item codes as heterozygous familial hypercholesterolaemia 1 May 2020&#10;Listings for continuing treatment changed from Authority Required to Authority Required (Streamlined) 1 May 2020&#10;"/>
      </w:tblPr>
      <w:tblGrid>
        <w:gridCol w:w="4492"/>
        <w:gridCol w:w="4455"/>
      </w:tblGrid>
      <w:tr w:rsidR="00FB5E9A" w:rsidRPr="00FB5E9A" w14:paraId="7D7AC95F" w14:textId="77777777" w:rsidTr="00753D04">
        <w:trPr>
          <w:tblHeader/>
        </w:trPr>
        <w:tc>
          <w:tcPr>
            <w:tcW w:w="4586" w:type="dxa"/>
            <w:shd w:val="clear" w:color="auto" w:fill="BFBFBF" w:themeFill="background1" w:themeFillShade="BF"/>
          </w:tcPr>
          <w:p w14:paraId="33AE4914" w14:textId="32FE9CDD" w:rsidR="00FB5E9A" w:rsidRPr="00FB5E9A" w:rsidRDefault="00FB5E9A" w:rsidP="00A35800">
            <w:pPr>
              <w:rPr>
                <w:b/>
                <w:sz w:val="20"/>
                <w:szCs w:val="20"/>
              </w:rPr>
            </w:pPr>
            <w:r w:rsidRPr="00FB5E9A">
              <w:rPr>
                <w:b/>
                <w:sz w:val="20"/>
                <w:szCs w:val="20"/>
              </w:rPr>
              <w:t>Change</w:t>
            </w:r>
          </w:p>
        </w:tc>
        <w:tc>
          <w:tcPr>
            <w:tcW w:w="4587" w:type="dxa"/>
            <w:shd w:val="clear" w:color="auto" w:fill="BFBFBF" w:themeFill="background1" w:themeFillShade="BF"/>
          </w:tcPr>
          <w:p w14:paraId="40364827" w14:textId="7DDAB14A" w:rsidR="00FB5E9A" w:rsidRPr="00FB5E9A" w:rsidRDefault="00FB5E9A" w:rsidP="00A35800">
            <w:pPr>
              <w:rPr>
                <w:b/>
                <w:sz w:val="20"/>
                <w:szCs w:val="20"/>
              </w:rPr>
            </w:pPr>
            <w:r w:rsidRPr="00FB5E9A">
              <w:rPr>
                <w:b/>
                <w:sz w:val="20"/>
                <w:szCs w:val="20"/>
              </w:rPr>
              <w:t>Date</w:t>
            </w:r>
          </w:p>
        </w:tc>
      </w:tr>
      <w:tr w:rsidR="00FB5E9A" w:rsidRPr="00FB5E9A" w14:paraId="2F5D80A0" w14:textId="77777777" w:rsidTr="00FB5E9A">
        <w:tc>
          <w:tcPr>
            <w:tcW w:w="4586" w:type="dxa"/>
          </w:tcPr>
          <w:p w14:paraId="6A8C2D1B" w14:textId="5A3D732E" w:rsidR="00FB5E9A" w:rsidRPr="00FB5E9A" w:rsidRDefault="00FB5E9A" w:rsidP="00A35800">
            <w:pPr>
              <w:rPr>
                <w:sz w:val="20"/>
                <w:szCs w:val="20"/>
              </w:rPr>
            </w:pPr>
            <w:r w:rsidRPr="00FB5E9A">
              <w:rPr>
                <w:sz w:val="20"/>
                <w:szCs w:val="20"/>
              </w:rPr>
              <w:t>Listed for the treatment of homozygous familial hypercholesterolaemia</w:t>
            </w:r>
            <w:r w:rsidR="00775C36">
              <w:rPr>
                <w:sz w:val="20"/>
                <w:szCs w:val="20"/>
              </w:rPr>
              <w:t xml:space="preserve"> as Authority Required listings</w:t>
            </w:r>
          </w:p>
        </w:tc>
        <w:tc>
          <w:tcPr>
            <w:tcW w:w="4587" w:type="dxa"/>
          </w:tcPr>
          <w:p w14:paraId="1EAB5EB8" w14:textId="6D898E37" w:rsidR="00FB5E9A" w:rsidRPr="00FB5E9A" w:rsidRDefault="00FB5E9A" w:rsidP="00A35800">
            <w:pPr>
              <w:rPr>
                <w:sz w:val="20"/>
                <w:szCs w:val="20"/>
              </w:rPr>
            </w:pPr>
            <w:r w:rsidRPr="00FB5E9A">
              <w:rPr>
                <w:sz w:val="20"/>
                <w:szCs w:val="20"/>
              </w:rPr>
              <w:t>1 December 2016</w:t>
            </w:r>
          </w:p>
        </w:tc>
      </w:tr>
      <w:tr w:rsidR="00775C36" w:rsidRPr="00FB5E9A" w14:paraId="44AD96A0" w14:textId="77777777" w:rsidTr="00FB5E9A">
        <w:tc>
          <w:tcPr>
            <w:tcW w:w="4586" w:type="dxa"/>
          </w:tcPr>
          <w:p w14:paraId="3D20D871" w14:textId="0B2A3BFC" w:rsidR="00775C36" w:rsidRPr="00FB5E9A" w:rsidRDefault="00775C36" w:rsidP="00775C36">
            <w:pPr>
              <w:rPr>
                <w:sz w:val="20"/>
                <w:szCs w:val="20"/>
              </w:rPr>
            </w:pPr>
            <w:r w:rsidRPr="00775C36">
              <w:rPr>
                <w:sz w:val="20"/>
                <w:szCs w:val="20"/>
              </w:rPr>
              <w:t xml:space="preserve">Evolocumab 420 mg/3.5 mL injection, 3.5 mL cartridge was PBS listed </w:t>
            </w:r>
          </w:p>
        </w:tc>
        <w:tc>
          <w:tcPr>
            <w:tcW w:w="4587" w:type="dxa"/>
          </w:tcPr>
          <w:p w14:paraId="301C31C1" w14:textId="7A765CF1" w:rsidR="00775C36" w:rsidRPr="00FB5E9A" w:rsidRDefault="00775C36" w:rsidP="00A35800">
            <w:pPr>
              <w:rPr>
                <w:sz w:val="20"/>
                <w:szCs w:val="20"/>
              </w:rPr>
            </w:pPr>
            <w:r>
              <w:rPr>
                <w:sz w:val="20"/>
                <w:szCs w:val="20"/>
              </w:rPr>
              <w:t>1 November 2017</w:t>
            </w:r>
          </w:p>
        </w:tc>
      </w:tr>
      <w:tr w:rsidR="008021F8" w:rsidRPr="00FB5E9A" w14:paraId="32EB60D8" w14:textId="77777777" w:rsidTr="00FB5E9A">
        <w:tc>
          <w:tcPr>
            <w:tcW w:w="4586" w:type="dxa"/>
          </w:tcPr>
          <w:p w14:paraId="72468D94" w14:textId="2BAC4E59" w:rsidR="008021F8" w:rsidRPr="00775C36" w:rsidRDefault="00753D04" w:rsidP="00775C36">
            <w:pPr>
              <w:rPr>
                <w:sz w:val="20"/>
                <w:szCs w:val="20"/>
              </w:rPr>
            </w:pPr>
            <w:r>
              <w:rPr>
                <w:sz w:val="20"/>
                <w:szCs w:val="20"/>
              </w:rPr>
              <w:t>Listing for g</w:t>
            </w:r>
            <w:r w:rsidR="008021F8">
              <w:rPr>
                <w:sz w:val="20"/>
                <w:szCs w:val="20"/>
              </w:rPr>
              <w:t>randfathered familial homozygous patients deleted</w:t>
            </w:r>
          </w:p>
        </w:tc>
        <w:tc>
          <w:tcPr>
            <w:tcW w:w="4587" w:type="dxa"/>
          </w:tcPr>
          <w:p w14:paraId="17B26C24" w14:textId="32DC57D6" w:rsidR="008021F8" w:rsidRDefault="008021F8" w:rsidP="00A35800">
            <w:pPr>
              <w:rPr>
                <w:sz w:val="20"/>
                <w:szCs w:val="20"/>
              </w:rPr>
            </w:pPr>
            <w:r>
              <w:rPr>
                <w:sz w:val="20"/>
                <w:szCs w:val="20"/>
              </w:rPr>
              <w:t>1 February 2018</w:t>
            </w:r>
          </w:p>
        </w:tc>
      </w:tr>
      <w:tr w:rsidR="00FB5E9A" w:rsidRPr="00FB5E9A" w14:paraId="5CFF5026" w14:textId="77777777" w:rsidTr="00FB5E9A">
        <w:tc>
          <w:tcPr>
            <w:tcW w:w="4586" w:type="dxa"/>
          </w:tcPr>
          <w:p w14:paraId="311C546A" w14:textId="0FBB520F" w:rsidR="00FB5E9A" w:rsidRPr="00FB5E9A" w:rsidRDefault="00FB5E9A" w:rsidP="00FB5E9A">
            <w:pPr>
              <w:rPr>
                <w:sz w:val="20"/>
                <w:szCs w:val="20"/>
              </w:rPr>
            </w:pPr>
            <w:r w:rsidRPr="00FB5E9A">
              <w:rPr>
                <w:sz w:val="20"/>
                <w:szCs w:val="20"/>
              </w:rPr>
              <w:t>Listed for the treatment of heterozygous familial hypercholesterolaemia</w:t>
            </w:r>
            <w:r w:rsidR="00775C36">
              <w:rPr>
                <w:sz w:val="20"/>
                <w:szCs w:val="20"/>
              </w:rPr>
              <w:t xml:space="preserve"> as Authority Required listings under new PBS item codes </w:t>
            </w:r>
          </w:p>
        </w:tc>
        <w:tc>
          <w:tcPr>
            <w:tcW w:w="4587" w:type="dxa"/>
          </w:tcPr>
          <w:p w14:paraId="26DF3BA1" w14:textId="16E426DC" w:rsidR="00FB5E9A" w:rsidRPr="00FB5E9A" w:rsidRDefault="00FB5E9A" w:rsidP="00A35800">
            <w:pPr>
              <w:rPr>
                <w:sz w:val="20"/>
                <w:szCs w:val="20"/>
              </w:rPr>
            </w:pPr>
            <w:r w:rsidRPr="00FB5E9A">
              <w:rPr>
                <w:sz w:val="20"/>
                <w:szCs w:val="20"/>
              </w:rPr>
              <w:t>1 November 2018</w:t>
            </w:r>
          </w:p>
        </w:tc>
      </w:tr>
      <w:tr w:rsidR="00FB5E9A" w:rsidRPr="00FB5E9A" w14:paraId="1D86A61D" w14:textId="77777777" w:rsidTr="00FB5E9A">
        <w:tc>
          <w:tcPr>
            <w:tcW w:w="4586" w:type="dxa"/>
          </w:tcPr>
          <w:p w14:paraId="49B2B8A4" w14:textId="314AEE79" w:rsidR="00FB5E9A" w:rsidRPr="00FB5E9A" w:rsidRDefault="00FB5E9A" w:rsidP="00A35800">
            <w:pPr>
              <w:rPr>
                <w:sz w:val="20"/>
                <w:szCs w:val="20"/>
              </w:rPr>
            </w:pPr>
            <w:r w:rsidRPr="00FB5E9A">
              <w:rPr>
                <w:sz w:val="20"/>
                <w:szCs w:val="20"/>
              </w:rPr>
              <w:t>Listed for the treatment of non-familial hypercholesterolaemia</w:t>
            </w:r>
            <w:r w:rsidR="00547B95">
              <w:rPr>
                <w:sz w:val="20"/>
                <w:szCs w:val="20"/>
              </w:rPr>
              <w:t xml:space="preserve"> under the same PBS item codes as </w:t>
            </w:r>
            <w:r w:rsidR="00547B95" w:rsidRPr="00FB5E9A">
              <w:rPr>
                <w:sz w:val="20"/>
                <w:szCs w:val="20"/>
              </w:rPr>
              <w:t>heterozygous familial hypercholesterolaemia</w:t>
            </w:r>
          </w:p>
        </w:tc>
        <w:tc>
          <w:tcPr>
            <w:tcW w:w="4587" w:type="dxa"/>
          </w:tcPr>
          <w:p w14:paraId="68624890" w14:textId="3195693A" w:rsidR="00FB5E9A" w:rsidRPr="00FB5E9A" w:rsidRDefault="00FB5E9A" w:rsidP="00A35800">
            <w:pPr>
              <w:rPr>
                <w:sz w:val="20"/>
                <w:szCs w:val="20"/>
              </w:rPr>
            </w:pPr>
            <w:r w:rsidRPr="00FB5E9A">
              <w:rPr>
                <w:sz w:val="20"/>
                <w:szCs w:val="20"/>
              </w:rPr>
              <w:t>1 May 2020</w:t>
            </w:r>
          </w:p>
        </w:tc>
      </w:tr>
      <w:tr w:rsidR="00547B95" w:rsidRPr="00FB5E9A" w14:paraId="7E33E157" w14:textId="77777777" w:rsidTr="00FB5E9A">
        <w:tc>
          <w:tcPr>
            <w:tcW w:w="4586" w:type="dxa"/>
          </w:tcPr>
          <w:p w14:paraId="64F30D64" w14:textId="060F4BF4" w:rsidR="00547B95" w:rsidRPr="00FB5E9A" w:rsidRDefault="00547B95" w:rsidP="00A35800">
            <w:pPr>
              <w:rPr>
                <w:sz w:val="20"/>
                <w:szCs w:val="20"/>
              </w:rPr>
            </w:pPr>
            <w:r>
              <w:rPr>
                <w:sz w:val="20"/>
                <w:szCs w:val="20"/>
              </w:rPr>
              <w:t>Listings for continuing treatment changed from Authority Required to Authority Required (Streamlined)</w:t>
            </w:r>
          </w:p>
        </w:tc>
        <w:tc>
          <w:tcPr>
            <w:tcW w:w="4587" w:type="dxa"/>
          </w:tcPr>
          <w:p w14:paraId="5B559B4E" w14:textId="6A63F9E5" w:rsidR="00547B95" w:rsidRPr="00FB5E9A" w:rsidRDefault="00547B95" w:rsidP="00A35800">
            <w:pPr>
              <w:rPr>
                <w:sz w:val="20"/>
                <w:szCs w:val="20"/>
              </w:rPr>
            </w:pPr>
            <w:r w:rsidRPr="00FB5E9A">
              <w:rPr>
                <w:sz w:val="20"/>
                <w:szCs w:val="20"/>
              </w:rPr>
              <w:t>1 May 2020</w:t>
            </w:r>
          </w:p>
        </w:tc>
      </w:tr>
    </w:tbl>
    <w:p w14:paraId="64C94A85" w14:textId="0279637B" w:rsidR="00BF544D" w:rsidRPr="002F61CA" w:rsidDel="00EE2BBB" w:rsidRDefault="00BF544D" w:rsidP="00BF544D">
      <w:r w:rsidRPr="002F61CA" w:rsidDel="00EE2BBB">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44F195F7" w14:textId="3EFCF9B6" w:rsidR="006A44F5" w:rsidRDefault="00B55540" w:rsidP="00A35800">
      <w:r>
        <w:t xml:space="preserve">The PBAC has considered </w:t>
      </w:r>
      <w:r w:rsidR="00895499">
        <w:t>nine</w:t>
      </w:r>
      <w:r>
        <w:t xml:space="preserve"> submissions for evolocumab since 2015. Out of these submissions, </w:t>
      </w:r>
      <w:r w:rsidR="00610DF0">
        <w:t>five</w:t>
      </w:r>
      <w:r>
        <w:t xml:space="preserve"> submissions were for HeFH. Evolocumab submissions for HeFH are outlined in this section. A more detailed summary of all the evolocumab submis</w:t>
      </w:r>
      <w:r w:rsidR="00690CFA">
        <w:t>sions can be found in Appendix A</w:t>
      </w:r>
      <w:r>
        <w:t>.</w:t>
      </w:r>
    </w:p>
    <w:p w14:paraId="2145A878" w14:textId="77777777" w:rsidR="00B55540" w:rsidRPr="00B55540" w:rsidRDefault="00B55540" w:rsidP="00A35800">
      <w:pPr>
        <w:rPr>
          <w:b/>
          <w:i/>
        </w:rPr>
      </w:pPr>
      <w:r w:rsidRPr="00B55540">
        <w:rPr>
          <w:b/>
          <w:i/>
        </w:rPr>
        <w:t xml:space="preserve">March 2015 PBAC Meeting </w:t>
      </w:r>
    </w:p>
    <w:p w14:paraId="3E2488B0" w14:textId="3B5AB104" w:rsidR="00B55540" w:rsidRDefault="00B55540" w:rsidP="00A35800">
      <w:r>
        <w:t xml:space="preserve">The submission sought to open a dialogue regarding the potential future listing of evolocumab on the PBS for the treatment of hypercholesterolaemia. </w:t>
      </w:r>
    </w:p>
    <w:p w14:paraId="52679D51" w14:textId="77777777" w:rsidR="00B55540" w:rsidRDefault="00B55540" w:rsidP="00A35800">
      <w:r>
        <w:t xml:space="preserve">The submission was considered by DUSC. DUSC considered the main issues were: </w:t>
      </w:r>
    </w:p>
    <w:p w14:paraId="25A79B99" w14:textId="77777777" w:rsidR="00B55540" w:rsidRDefault="00B55540" w:rsidP="00B55540">
      <w:pPr>
        <w:pStyle w:val="ListParagraph"/>
        <w:numPr>
          <w:ilvl w:val="0"/>
          <w:numId w:val="4"/>
        </w:numPr>
      </w:pPr>
      <w:r>
        <w:t xml:space="preserve">The market share approach, based on ezetimibe utilisation, underestimated the population eligible for evolocumab. </w:t>
      </w:r>
    </w:p>
    <w:p w14:paraId="0E3D4678" w14:textId="77777777" w:rsidR="00B55540" w:rsidRDefault="00B55540" w:rsidP="00B55540">
      <w:pPr>
        <w:pStyle w:val="ListParagraph"/>
        <w:numPr>
          <w:ilvl w:val="0"/>
          <w:numId w:val="4"/>
        </w:numPr>
      </w:pPr>
      <w:r>
        <w:t xml:space="preserve">Changing clinical practice, including increased assessment of cardiovascular risk or more widespread treatment to target cholesterol levels, could result in many more patients being treated with evolocumab. Given the high prevalence of dyslipidaemia and the proposed price of evolocumab, small changes in practice could have a large budget impact. </w:t>
      </w:r>
    </w:p>
    <w:p w14:paraId="5320C48C" w14:textId="77777777" w:rsidR="00B55540" w:rsidRDefault="00B55540" w:rsidP="00B55540">
      <w:pPr>
        <w:pStyle w:val="ListParagraph"/>
        <w:numPr>
          <w:ilvl w:val="0"/>
          <w:numId w:val="4"/>
        </w:numPr>
      </w:pPr>
      <w:r>
        <w:t xml:space="preserve">Significant potential for use beyond the restriction by patients who are not achieving target cholesterol levels, but who would not qualify for evolocumab treatment under the proposed restriction. </w:t>
      </w:r>
    </w:p>
    <w:p w14:paraId="15CF7AF1" w14:textId="73AD1C3A" w:rsidR="00B55540" w:rsidRDefault="00B55540" w:rsidP="00A35800">
      <w:r>
        <w:lastRenderedPageBreak/>
        <w:t>The PBAC rejected the request to list evolocumab for the treatment of hypercholesterolaemia on the basis of unestablished clinical place in therapy and the uncertainty surrounding its use in clinical practice.</w:t>
      </w:r>
    </w:p>
    <w:p w14:paraId="70539E18" w14:textId="76C72A5C" w:rsidR="00D94863" w:rsidRDefault="00D94863" w:rsidP="00D94863">
      <w:r>
        <w:t xml:space="preserve">For further details refer to </w:t>
      </w:r>
      <w:r w:rsidRPr="00F65F0D">
        <w:t xml:space="preserve">the </w:t>
      </w:r>
      <w:hyperlink r:id="rId13" w:history="1">
        <w:r w:rsidRPr="00690CFA">
          <w:rPr>
            <w:rStyle w:val="Hyperlink"/>
          </w:rPr>
          <w:t>Public Summary Document</w:t>
        </w:r>
      </w:hyperlink>
      <w:r>
        <w:t xml:space="preserve"> </w:t>
      </w:r>
      <w:r w:rsidRPr="00F65F0D">
        <w:t xml:space="preserve">from the </w:t>
      </w:r>
      <w:r w:rsidR="00690CFA">
        <w:t>March 2015</w:t>
      </w:r>
      <w:r>
        <w:t xml:space="preserve"> PBAC meeting.</w:t>
      </w:r>
    </w:p>
    <w:p w14:paraId="4800CBB1" w14:textId="2E40A3F9" w:rsidR="00B55540" w:rsidRDefault="00B55540" w:rsidP="00D94863"/>
    <w:p w14:paraId="1C11120B" w14:textId="77777777" w:rsidR="00B55540" w:rsidRPr="00B55540" w:rsidRDefault="00B55540" w:rsidP="00D94863">
      <w:pPr>
        <w:rPr>
          <w:b/>
          <w:i/>
        </w:rPr>
      </w:pPr>
      <w:r w:rsidRPr="00B55540">
        <w:rPr>
          <w:b/>
          <w:i/>
        </w:rPr>
        <w:t xml:space="preserve">March 2016 PBAC Meeting </w:t>
      </w:r>
    </w:p>
    <w:p w14:paraId="2FABAE52" w14:textId="77777777" w:rsidR="00B55540" w:rsidRDefault="00B55540" w:rsidP="00D94863">
      <w:r>
        <w:t xml:space="preserve">The resubmission requested a Section 85 Authority Required PBS listing for evolocumab for the treatment of familial hypercholesterolaemia. This resubmission was not considered by DUSC. </w:t>
      </w:r>
    </w:p>
    <w:p w14:paraId="6A3EB00D" w14:textId="751E8A47" w:rsidR="00B55540" w:rsidRDefault="00B55540" w:rsidP="00D94863">
      <w:r>
        <w:t xml:space="preserve">The PBAC recommended the Section 85 Authority Required listing of evolocumab for homozygous familial hypercholesterolaemia (but not the broader heterozygous familial hypercholesterolaemia population). In making this recommendation, the PBAC considered that the homozygous FH population represent a small, definable, patient group, in whom there is a high level of clinical need. </w:t>
      </w:r>
    </w:p>
    <w:p w14:paraId="434D656C" w14:textId="77777777" w:rsidR="00B55540" w:rsidRDefault="00B55540" w:rsidP="00B55540">
      <w:r>
        <w:t>The PBAC considered that the submission’s estimates of usage in the homozygous FH population were more reliable than the estimates for the heterozygous FH population, as there are likely to be less undiagnosed homozygous patients. The PBAC recommended a risk‐sharing arrangement (RSA) that should include a cap based on the number of patients treated.</w:t>
      </w:r>
      <w:r w:rsidRPr="00B55540">
        <w:t xml:space="preserve"> </w:t>
      </w:r>
    </w:p>
    <w:p w14:paraId="00DF4EA5" w14:textId="7A979720" w:rsidR="00B55540" w:rsidRDefault="00B55540" w:rsidP="00D94863">
      <w:r>
        <w:t xml:space="preserve">For further details refer to </w:t>
      </w:r>
      <w:r w:rsidRPr="00F65F0D">
        <w:t xml:space="preserve">the </w:t>
      </w:r>
      <w:hyperlink r:id="rId14" w:history="1">
        <w:r w:rsidRPr="00610DF0">
          <w:rPr>
            <w:rStyle w:val="Hyperlink"/>
          </w:rPr>
          <w:t>Public Summary Document</w:t>
        </w:r>
      </w:hyperlink>
      <w:r>
        <w:t xml:space="preserve"> </w:t>
      </w:r>
      <w:r w:rsidRPr="00F65F0D">
        <w:t xml:space="preserve">from the </w:t>
      </w:r>
      <w:r w:rsidR="00610DF0">
        <w:t>March 2016</w:t>
      </w:r>
      <w:r w:rsidR="00FD2B37">
        <w:t xml:space="preserve"> PBAC meeting.</w:t>
      </w:r>
    </w:p>
    <w:p w14:paraId="248DA747" w14:textId="77777777" w:rsidR="00FD2B37" w:rsidRDefault="00FD2B37" w:rsidP="00D94863"/>
    <w:p w14:paraId="43FB0BB3" w14:textId="0077A1CE" w:rsidR="00D057A0" w:rsidRPr="00690CFA" w:rsidRDefault="00690CFA" w:rsidP="00D94863">
      <w:pPr>
        <w:rPr>
          <w:b/>
          <w:i/>
        </w:rPr>
      </w:pPr>
      <w:r w:rsidRPr="00690CFA">
        <w:rPr>
          <w:b/>
          <w:i/>
        </w:rPr>
        <w:t>November 2017</w:t>
      </w:r>
      <w:r w:rsidR="00D057A0" w:rsidRPr="00690CFA">
        <w:rPr>
          <w:b/>
          <w:i/>
        </w:rPr>
        <w:t xml:space="preserve"> PBAC Meeting</w:t>
      </w:r>
    </w:p>
    <w:p w14:paraId="4D4609BE" w14:textId="39F3C7A0" w:rsidR="00B55540" w:rsidRDefault="00690CFA" w:rsidP="00690CFA">
      <w:r>
        <w:t>The resubmission requested an extension of the current Section 85 (Authority Required) listing for evolocumab to include the treatment of heterozygous familial hypercholesterolaemia (patients with atherosclerotic disease or very high LDL-c levels).</w:t>
      </w:r>
      <w:r w:rsidRPr="00690CFA">
        <w:t xml:space="preserve"> </w:t>
      </w:r>
      <w:r>
        <w:t>This resubmission was considered by DUSC. The resubmission used epidemiological (FH with ASCVD, FH with very high LDL-c) and market share (non-FH with ASCVD) approaches to estimate the utilisation/financial implications associated with the PBS listing of evolocumab.</w:t>
      </w:r>
    </w:p>
    <w:p w14:paraId="72FDF97D" w14:textId="646F67BA" w:rsidR="00690CFA" w:rsidRDefault="00690CFA" w:rsidP="00690CFA">
      <w:r>
        <w:t>The PBAC deferred making a recommendation to extend the PBS listing of evolocumab for patients with familial hypercholesterolaemia in order to address the residual uncertainty with the economic model following revisions provided in the pre-PBAC response. The PBAC did not recommend the listing of evolocumab for patients with non-familial hypercholesterolaemia with atherosclerotic disease on the basis of a high incremental cost effectiveness ratio and high and uncertain patient population numbers.</w:t>
      </w:r>
    </w:p>
    <w:p w14:paraId="1BAB5F96" w14:textId="205203B5" w:rsidR="00B55540" w:rsidRDefault="00B55540" w:rsidP="00B55540">
      <w:r>
        <w:lastRenderedPageBreak/>
        <w:t xml:space="preserve">For further details refer to </w:t>
      </w:r>
      <w:r w:rsidRPr="00F65F0D">
        <w:t xml:space="preserve">the </w:t>
      </w:r>
      <w:hyperlink r:id="rId15" w:history="1">
        <w:r w:rsidRPr="00690CFA">
          <w:rPr>
            <w:rStyle w:val="Hyperlink"/>
          </w:rPr>
          <w:t>Public Summary Document</w:t>
        </w:r>
      </w:hyperlink>
      <w:r w:rsidRPr="00F65F0D">
        <w:t xml:space="preserve"> from the </w:t>
      </w:r>
      <w:r w:rsidR="00690CFA">
        <w:t>November 2017</w:t>
      </w:r>
      <w:r>
        <w:t xml:space="preserve"> PBAC meeting.</w:t>
      </w:r>
    </w:p>
    <w:p w14:paraId="0C953931" w14:textId="48288E85" w:rsidR="00B55540" w:rsidRDefault="00B55540" w:rsidP="00D94863"/>
    <w:p w14:paraId="56F05E14" w14:textId="14FE09EF" w:rsidR="00690CFA" w:rsidRPr="00690CFA" w:rsidRDefault="00690CFA" w:rsidP="00D94863">
      <w:pPr>
        <w:rPr>
          <w:b/>
          <w:i/>
        </w:rPr>
      </w:pPr>
      <w:r w:rsidRPr="00690CFA">
        <w:rPr>
          <w:b/>
          <w:i/>
        </w:rPr>
        <w:t>March 2018 PBAC Meeting</w:t>
      </w:r>
    </w:p>
    <w:p w14:paraId="09B8152C" w14:textId="73F6BE1C" w:rsidR="00690CFA" w:rsidRDefault="00690CFA" w:rsidP="00690CFA">
      <w:r>
        <w:t xml:space="preserve">The minor resubmission sought an Authority Required listing for treatment of patients with Familial Hypercholesterolaemia (FH) and either symptomatic atherosclerotic cardiovascular disease (ASCVD) or FH with very high LDL-c. </w:t>
      </w:r>
    </w:p>
    <w:p w14:paraId="5717786B" w14:textId="67185C18" w:rsidR="00B55540" w:rsidRDefault="00690CFA" w:rsidP="00690CFA">
      <w:r w:rsidRPr="00690CFA">
        <w:t>The PBAC recommended extending the PBS listing for evolocumab for patients with Familial Hypercholesterolaemia to include patients with heterozygous FH, under certain conditions. The PBAC accepted that both the heterozygous and homozygous FH populations are high risk, and that the use of evolocumab could be extended to include the heterozygous population as it would be an effective and safe therapy following failed treatment with statins and ezetimibe. The PBAC considered that the revised economic model, reduced price and other arrangements proposed in the resubmission addressed the outstanding issues raised by the PBAC from the November 2017 submission.</w:t>
      </w:r>
    </w:p>
    <w:p w14:paraId="63836876" w14:textId="358C0B1B" w:rsidR="00690CFA" w:rsidRDefault="00690CFA" w:rsidP="00690CFA">
      <w:r>
        <w:t xml:space="preserve">For further details refer to </w:t>
      </w:r>
      <w:r w:rsidRPr="00F65F0D">
        <w:t xml:space="preserve">the </w:t>
      </w:r>
      <w:hyperlink r:id="rId16" w:history="1">
        <w:r w:rsidRPr="00D057A0">
          <w:rPr>
            <w:rStyle w:val="Hyperlink"/>
          </w:rPr>
          <w:t>Public Summary Document</w:t>
        </w:r>
      </w:hyperlink>
      <w:r>
        <w:t xml:space="preserve"> </w:t>
      </w:r>
      <w:r w:rsidRPr="00F65F0D">
        <w:t xml:space="preserve">from the </w:t>
      </w:r>
      <w:r>
        <w:t>March 2018 PBAC meeting.</w:t>
      </w:r>
    </w:p>
    <w:p w14:paraId="2C91F44A" w14:textId="46DC9098" w:rsidR="00690CFA" w:rsidRDefault="00690CFA" w:rsidP="00690CFA"/>
    <w:p w14:paraId="16A3F09C" w14:textId="3977891A" w:rsidR="00690CFA" w:rsidRPr="00690CFA" w:rsidRDefault="00690CFA" w:rsidP="00690CFA">
      <w:pPr>
        <w:rPr>
          <w:b/>
          <w:i/>
        </w:rPr>
      </w:pPr>
      <w:r w:rsidRPr="00690CFA">
        <w:rPr>
          <w:b/>
          <w:i/>
        </w:rPr>
        <w:t>November 2019 PBAC Meeting</w:t>
      </w:r>
    </w:p>
    <w:p w14:paraId="7F5E92B6" w14:textId="27CB0F6D" w:rsidR="00690CFA" w:rsidRPr="00690CFA" w:rsidRDefault="00690CFA" w:rsidP="00690CFA">
      <w:r w:rsidRPr="00690CFA">
        <w:t>The minor resubmission sought an Authority Required listing for evolocumab for the treatment of non-familial hypercholesterolaemia (non-FH) in patients with atherosclerotic cardiovascular disease (ASCVD) and additional high-risk factors. The minor resubmission also sought an extension of the current Authority Required listing of evolocumab for the treatment of familial hypercholesterolaemia (FH) to include patients with symptomatic ASCVD or homozygous FH who have an LDL level between 2.6 and 3.3 mmol/L despite optimised treatment with statins and ezetimibe.</w:t>
      </w:r>
    </w:p>
    <w:p w14:paraId="0EAFC8DB" w14:textId="1D89C69C" w:rsidR="00690CFA" w:rsidRPr="00690CFA" w:rsidRDefault="00690CFA" w:rsidP="00690CFA">
      <w:pPr>
        <w:rPr>
          <w:rFonts w:eastAsia="Times New Roman" w:cstheme="minorHAnsi"/>
        </w:rPr>
      </w:pPr>
      <w:r w:rsidRPr="00690CFA">
        <w:t>The PBAC recommended the Authority Required listing of evolocumab, but on the basis</w:t>
      </w:r>
      <w:r w:rsidRPr="00690CFA">
        <w:rPr>
          <w:rFonts w:eastAsia="Times New Roman" w:cstheme="minorHAnsi"/>
        </w:rPr>
        <w:t xml:space="preserve"> that it be available only in the circumstances where use is restricted to the treatment of:</w:t>
      </w:r>
    </w:p>
    <w:p w14:paraId="08B942B1" w14:textId="77777777" w:rsidR="00690CFA" w:rsidRPr="00690CFA" w:rsidRDefault="00690CFA" w:rsidP="00690CFA">
      <w:pPr>
        <w:pStyle w:val="ListParagraph"/>
        <w:numPr>
          <w:ilvl w:val="0"/>
          <w:numId w:val="7"/>
        </w:numPr>
        <w:spacing w:before="60" w:after="60"/>
        <w:rPr>
          <w:rFonts w:eastAsia="Times New Roman" w:cstheme="minorHAnsi"/>
        </w:rPr>
      </w:pPr>
      <w:r w:rsidRPr="00690CFA">
        <w:rPr>
          <w:rFonts w:eastAsia="Times New Roman" w:cstheme="minorHAnsi"/>
        </w:rPr>
        <w:t>non-familial hypercholesterolaemia (non-FH) in patients with atherosclerotic cardiovascular disease (ASCVD), who have an LDL level greater than 2.6 mmol/L and additional high-risk factors; and</w:t>
      </w:r>
    </w:p>
    <w:p w14:paraId="47CA3327" w14:textId="46403E91" w:rsidR="00690CFA" w:rsidRPr="00690CFA" w:rsidRDefault="00690CFA" w:rsidP="00690CFA">
      <w:pPr>
        <w:pStyle w:val="ListParagraph"/>
        <w:numPr>
          <w:ilvl w:val="0"/>
          <w:numId w:val="7"/>
        </w:numPr>
      </w:pPr>
      <w:r w:rsidRPr="00690CFA">
        <w:rPr>
          <w:rFonts w:eastAsia="Times New Roman" w:cstheme="minorHAnsi"/>
        </w:rPr>
        <w:t>familial hypercholesterolaemia in patients with symptomatic ASCVD or homozygous FH (ho-FH), who have an LDL level between 2.6 and 3.3 mmol/L.</w:t>
      </w:r>
      <w:r w:rsidRPr="00690CFA">
        <w:rPr>
          <w:rFonts w:eastAsia="Times New Roman" w:cstheme="minorHAnsi"/>
        </w:rPr>
        <w:cr/>
      </w:r>
    </w:p>
    <w:p w14:paraId="0F62ACA9" w14:textId="4E7A41F4" w:rsidR="00B55540" w:rsidRDefault="00B55540" w:rsidP="00B55540">
      <w:r>
        <w:t xml:space="preserve">For further details refer to </w:t>
      </w:r>
      <w:r w:rsidRPr="00F65F0D">
        <w:t xml:space="preserve">the </w:t>
      </w:r>
      <w:hyperlink r:id="rId17" w:history="1">
        <w:r w:rsidRPr="00D057A0">
          <w:rPr>
            <w:rStyle w:val="Hyperlink"/>
          </w:rPr>
          <w:t>Public Summary Document</w:t>
        </w:r>
      </w:hyperlink>
      <w:r>
        <w:t xml:space="preserve"> </w:t>
      </w:r>
      <w:r w:rsidRPr="00F65F0D">
        <w:t xml:space="preserve">from the </w:t>
      </w:r>
      <w:r w:rsidR="00D057A0">
        <w:t>November 2019</w:t>
      </w:r>
      <w:r>
        <w:t xml:space="preserve"> PBAC meeting.</w:t>
      </w:r>
    </w:p>
    <w:p w14:paraId="2D1E2E3E" w14:textId="0316064A" w:rsidR="00B55540" w:rsidRDefault="00B55540" w:rsidP="00D94863"/>
    <w:p w14:paraId="7EFBF38F" w14:textId="1EC76EAE" w:rsidR="00690CFA" w:rsidRPr="00690CFA" w:rsidRDefault="00690CFA" w:rsidP="00D94863">
      <w:pPr>
        <w:rPr>
          <w:b/>
          <w:i/>
        </w:rPr>
      </w:pPr>
      <w:r w:rsidRPr="00690CFA">
        <w:rPr>
          <w:b/>
          <w:i/>
        </w:rPr>
        <w:lastRenderedPageBreak/>
        <w:t>November 2020 PBAC Meeting</w:t>
      </w:r>
    </w:p>
    <w:p w14:paraId="58EDCA35" w14:textId="09080BA0" w:rsidR="00690CFA" w:rsidRDefault="00690CFA" w:rsidP="00690CFA">
      <w:pPr>
        <w:rPr>
          <w:rFonts w:eastAsia="Times New Roman" w:cstheme="minorHAnsi"/>
        </w:rPr>
      </w:pPr>
      <w:r w:rsidRPr="00690CFA">
        <w:rPr>
          <w:rFonts w:eastAsia="Times New Roman" w:cstheme="minorHAnsi"/>
        </w:rPr>
        <w:t>The minor submission requested an amendment to the Authority Required listings of</w:t>
      </w:r>
      <w:r>
        <w:rPr>
          <w:rFonts w:eastAsia="Times New Roman" w:cstheme="minorHAnsi"/>
        </w:rPr>
        <w:t xml:space="preserve"> </w:t>
      </w:r>
      <w:r w:rsidRPr="00690CFA">
        <w:rPr>
          <w:rFonts w:eastAsia="Times New Roman" w:cstheme="minorHAnsi"/>
        </w:rPr>
        <w:t>evolocumab for all indications to allow general practitioners (GPs) to initiate</w:t>
      </w:r>
      <w:r>
        <w:rPr>
          <w:rFonts w:eastAsia="Times New Roman" w:cstheme="minorHAnsi"/>
        </w:rPr>
        <w:t xml:space="preserve"> </w:t>
      </w:r>
      <w:r w:rsidRPr="00690CFA">
        <w:rPr>
          <w:rFonts w:eastAsia="Times New Roman" w:cstheme="minorHAnsi"/>
        </w:rPr>
        <w:t>treatment, but only after having consulted a specialist.</w:t>
      </w:r>
    </w:p>
    <w:p w14:paraId="3B3D5626" w14:textId="77497A82" w:rsidR="00B55540" w:rsidRPr="00690CFA" w:rsidRDefault="00690CFA" w:rsidP="00D94863">
      <w:r w:rsidRPr="00690CFA">
        <w:rPr>
          <w:rFonts w:eastAsia="Times New Roman" w:cstheme="minorHAnsi"/>
        </w:rPr>
        <w:t>The PBAC did not recommend an amendment to the Authority Required listings of evolocumab for all indications to allow GPs to initiate treatment after having consulted a specialist. The PBAC advised that “Must be treated by a specialist physician” for initiation of treatment should remain for all indications, consistent with its previous advice.</w:t>
      </w:r>
    </w:p>
    <w:p w14:paraId="4C83110B" w14:textId="48EBD948" w:rsidR="00B55540" w:rsidRDefault="00B55540" w:rsidP="00B55540">
      <w:r>
        <w:t xml:space="preserve">For further details refer to </w:t>
      </w:r>
      <w:r w:rsidRPr="00F65F0D">
        <w:t xml:space="preserve">the </w:t>
      </w:r>
      <w:hyperlink r:id="rId18" w:history="1">
        <w:r w:rsidRPr="00D057A0">
          <w:rPr>
            <w:rStyle w:val="Hyperlink"/>
          </w:rPr>
          <w:t>Public Summary Document</w:t>
        </w:r>
      </w:hyperlink>
      <w:r>
        <w:t xml:space="preserve"> </w:t>
      </w:r>
      <w:r w:rsidRPr="00F65F0D">
        <w:t xml:space="preserve">from the </w:t>
      </w:r>
      <w:r w:rsidR="00D057A0">
        <w:t>November 2020</w:t>
      </w:r>
      <w:r>
        <w:t xml:space="preserve"> PBAC meeting.</w:t>
      </w:r>
    </w:p>
    <w:p w14:paraId="0D7C5C4D" w14:textId="6997A690" w:rsidR="00D057A0" w:rsidRDefault="00D057A0" w:rsidP="00D94863"/>
    <w:p w14:paraId="09DC5B70" w14:textId="77777777" w:rsidR="00D057A0" w:rsidRPr="003E2437" w:rsidRDefault="00D057A0" w:rsidP="00D057A0">
      <w:pPr>
        <w:pStyle w:val="Heading3"/>
      </w:pPr>
      <w:r w:rsidRPr="003E2437">
        <w:t>Medical Services Advisory Committee (MSAC)</w:t>
      </w:r>
      <w:r>
        <w:t xml:space="preserve"> consideration</w:t>
      </w:r>
    </w:p>
    <w:p w14:paraId="65AC9F3E" w14:textId="77777777" w:rsidR="00D057A0" w:rsidRPr="00935061" w:rsidRDefault="00D057A0" w:rsidP="00382A5F">
      <w:r w:rsidRPr="00935061">
        <w:t xml:space="preserve">In March 2019, the MSAC considered </w:t>
      </w:r>
      <w:r>
        <w:t>a</w:t>
      </w:r>
      <w:r w:rsidRPr="00935061">
        <w:t>n application</w:t>
      </w:r>
      <w:r>
        <w:t xml:space="preserve"> received from the </w:t>
      </w:r>
      <w:r w:rsidRPr="00935061">
        <w:t>Royal College of Pathologists of Australasia (RCPA) for diagnostic genetic testing for heritable mutations predisposing to familial hypercholesterolaemia</w:t>
      </w:r>
      <w:r>
        <w:t xml:space="preserve"> </w:t>
      </w:r>
      <w:r w:rsidRPr="00935061">
        <w:t>in clinically affected individuals, and for predictive genetic testing (or “cascade testing”) of the family members of those affected individuals who ar</w:t>
      </w:r>
      <w:r>
        <w:t>e shown to have such a mutation.</w:t>
      </w:r>
    </w:p>
    <w:p w14:paraId="2A65F946" w14:textId="77777777" w:rsidR="00D057A0" w:rsidRDefault="00D057A0" w:rsidP="00382A5F">
      <w:r>
        <w:t xml:space="preserve">After considering the strength of the available evidence in relation to comparative safety, clinical effectiveness and cost-effectiveness, MSAC supported </w:t>
      </w:r>
      <w:r w:rsidRPr="00A83FDF">
        <w:t xml:space="preserve">Medicare Benefits Schedule (MBS) </w:t>
      </w:r>
      <w:r>
        <w:t xml:space="preserve">listing of genetic testing for heritable mutations associated with FH in affected individuals meeting defined eligibility criteria, and targeted cascade testing in first and second-degree relatives of those affected individuals with a confirmed genetic diagnosis. </w:t>
      </w:r>
    </w:p>
    <w:p w14:paraId="2518AD8D" w14:textId="77777777" w:rsidR="00D057A0" w:rsidRDefault="00D057A0" w:rsidP="00382A5F">
      <w:r>
        <w:t xml:space="preserve">MSAC queried whether the PBS criteria would lead to leakage for an MBS listing, but noted that the Dutch Lipid Clinic Network Score for identifying affected individuals in the proposed MBS item descriptor (at least 6) is similar to the Score used in the alternative option for confirming FH in the PBS restriction for evolocumab (at least 6 for HeFH, and at least 7 for HoFH). In addition, the PBS listing for HoFH patients did not appear to have resulted in large increases in genetic testing, although the listing for HeFH patients was too recent for any data to yet be available. MSAC noted that the pool of HeFH patients is much larger than for HoFH patients. </w:t>
      </w:r>
    </w:p>
    <w:p w14:paraId="3EC6B9C3" w14:textId="77777777" w:rsidR="00D057A0" w:rsidRDefault="00D057A0" w:rsidP="00382A5F">
      <w:r>
        <w:t xml:space="preserve">MSAC queried the criteria for testing in the proposed MBS item descriptor, noting that it differed in some respects from the PBS listing for evolocumab. However, MSAC accepted that these criteria do not have to match. Therefore, MSAC accepted the following criteria for testing of affected individuals who do not have a previously identified FH mutation, but have one or more of the following: </w:t>
      </w:r>
    </w:p>
    <w:p w14:paraId="68D148E0" w14:textId="4A0E0E9F" w:rsidR="00D057A0" w:rsidRDefault="00D057A0" w:rsidP="00D057A0">
      <w:pPr>
        <w:pStyle w:val="ListParagraph"/>
        <w:numPr>
          <w:ilvl w:val="0"/>
          <w:numId w:val="6"/>
        </w:numPr>
      </w:pPr>
      <w:r>
        <w:t xml:space="preserve">a Dutch Lipid Clinic Network Score </w:t>
      </w:r>
      <w:r w:rsidR="005C4408">
        <w:t xml:space="preserve">(DLCNS) </w:t>
      </w:r>
      <w:r>
        <w:t xml:space="preserve">of at least 6 </w:t>
      </w:r>
    </w:p>
    <w:p w14:paraId="3FE5ADD0" w14:textId="77777777" w:rsidR="00D057A0" w:rsidRDefault="00D057A0" w:rsidP="00D057A0">
      <w:pPr>
        <w:pStyle w:val="ListParagraph"/>
        <w:numPr>
          <w:ilvl w:val="0"/>
          <w:numId w:val="6"/>
        </w:numPr>
      </w:pPr>
      <w:r>
        <w:t xml:space="preserve">a low-density lipoprotein (LDL) cholesterol level of at least 6.5 mmol/L in the absence of secondary causes </w:t>
      </w:r>
    </w:p>
    <w:p w14:paraId="6949E8BD" w14:textId="77777777" w:rsidR="00D057A0" w:rsidRDefault="00D057A0" w:rsidP="00D057A0">
      <w:pPr>
        <w:pStyle w:val="ListParagraph"/>
        <w:numPr>
          <w:ilvl w:val="0"/>
          <w:numId w:val="6"/>
        </w:numPr>
      </w:pPr>
      <w:r>
        <w:lastRenderedPageBreak/>
        <w:t>an LDL cholesterol level between 5.0 and 6.5 mmol/L with signs of premature/accelerated atherogenesis.</w:t>
      </w:r>
    </w:p>
    <w:p w14:paraId="5372953E" w14:textId="77777777" w:rsidR="00D057A0" w:rsidRPr="00935061" w:rsidRDefault="00D057A0" w:rsidP="00D057A0">
      <w:pPr>
        <w:jc w:val="both"/>
      </w:pPr>
      <w:r w:rsidRPr="00935061">
        <w:t xml:space="preserve">For further details refer to the </w:t>
      </w:r>
      <w:r>
        <w:t xml:space="preserve">MSAC </w:t>
      </w:r>
      <w:r w:rsidRPr="004449A7">
        <w:t>Public Summary Document</w:t>
      </w:r>
      <w:r w:rsidRPr="00935061">
        <w:t>.</w:t>
      </w:r>
    </w:p>
    <w:p w14:paraId="0F0B49E4" w14:textId="77777777" w:rsidR="00D057A0" w:rsidRPr="00F65F0D" w:rsidRDefault="00D057A0" w:rsidP="00D94863"/>
    <w:p w14:paraId="0DEBD50F" w14:textId="69B931E7" w:rsidR="00094DCF" w:rsidRDefault="00ED633B" w:rsidP="00CF5E22">
      <w:pPr>
        <w:pStyle w:val="Heading2"/>
      </w:pPr>
      <w:r>
        <w:t xml:space="preserve">Previous reviews by </w:t>
      </w:r>
      <w:r w:rsidR="00177B86">
        <w:t xml:space="preserve">the </w:t>
      </w:r>
      <w:r>
        <w:t>DUSC</w:t>
      </w:r>
    </w:p>
    <w:p w14:paraId="406D1289" w14:textId="5E4C9641" w:rsidR="00ED633B" w:rsidRDefault="00B55540" w:rsidP="00667E20">
      <w:r>
        <w:t xml:space="preserve">Evolocumab for </w:t>
      </w:r>
      <w:r w:rsidR="002B7BC5">
        <w:t xml:space="preserve">familial </w:t>
      </w:r>
      <w:r>
        <w:t>homozygous hypercholesterolaemia was considered by DUSC at its October 2019 meeting</w:t>
      </w:r>
      <w:r w:rsidR="002B7BC5">
        <w:t>.</w:t>
      </w:r>
      <w:r w:rsidR="00667E20">
        <w:t xml:space="preserve"> The number of patients treated with evolocumab in the first two years of listing was higher than expected. DUSC noted to qualify for treatment under HoFH item codes, the condition must have been confirmed by genetic testing or by a DLCNS of at least 7</w:t>
      </w:r>
      <w:r w:rsidR="000E4E80">
        <w:t xml:space="preserve">. </w:t>
      </w:r>
      <w:r w:rsidR="00667E20">
        <w:t>DUSC considered that as the DLCNS was used by the majority of prescribers to confirm the condition, the actual number of treated patients most likely included both HoFH and HeFH patients.</w:t>
      </w:r>
    </w:p>
    <w:p w14:paraId="5C143877" w14:textId="6C5F1BF8" w:rsidR="00E371EA" w:rsidRPr="00ED633B" w:rsidRDefault="009D1ED5" w:rsidP="00A35800">
      <w:r>
        <w:t xml:space="preserve">For details of the DUSC consideration of </w:t>
      </w:r>
      <w:r w:rsidR="00B55540">
        <w:t xml:space="preserve">evolocumab refer to the </w:t>
      </w:r>
      <w:hyperlink r:id="rId19" w:history="1">
        <w:r w:rsidRPr="00B55540">
          <w:rPr>
            <w:rStyle w:val="Hyperlink"/>
          </w:rPr>
          <w:t>Public Release Document</w:t>
        </w:r>
      </w:hyperlink>
      <w:r w:rsidR="00B55540">
        <w:t xml:space="preserve"> from the October 2019 </w:t>
      </w:r>
      <w:r>
        <w:t>DUSC meeting.</w:t>
      </w:r>
    </w:p>
    <w:p w14:paraId="0312FFEC" w14:textId="5C6A9662" w:rsidR="00E677DD" w:rsidRPr="005E22C2" w:rsidRDefault="00E677DD" w:rsidP="00CF5E22">
      <w:pPr>
        <w:pStyle w:val="Heading1"/>
      </w:pPr>
      <w:r w:rsidRPr="005E22C2">
        <w:t>Method</w:t>
      </w:r>
      <w:r w:rsidR="001B5D37" w:rsidRPr="005E22C2">
        <w:t>s</w:t>
      </w:r>
    </w:p>
    <w:p w14:paraId="377E453D" w14:textId="5647366C" w:rsidR="002805FB" w:rsidRDefault="002805FB" w:rsidP="002C78A6">
      <w:pPr>
        <w:jc w:val="both"/>
        <w:rPr>
          <w:rFonts w:eastAsia="Times New Roman" w:cstheme="minorHAnsi"/>
        </w:rPr>
      </w:pPr>
      <w:r w:rsidRPr="002805FB">
        <w:rPr>
          <w:rFonts w:eastAsia="Times New Roman" w:cstheme="minorHAnsi"/>
        </w:rPr>
        <w:t xml:space="preserve">PBS </w:t>
      </w:r>
      <w:r>
        <w:rPr>
          <w:rFonts w:eastAsia="Times New Roman" w:cstheme="minorHAnsi"/>
        </w:rPr>
        <w:t>prescription</w:t>
      </w:r>
      <w:r w:rsidRPr="002805FB">
        <w:rPr>
          <w:rFonts w:eastAsia="Times New Roman" w:cstheme="minorHAnsi"/>
        </w:rPr>
        <w:t xml:space="preserve"> data for </w:t>
      </w:r>
      <w:r>
        <w:rPr>
          <w:rFonts w:eastAsia="Times New Roman" w:cstheme="minorHAnsi"/>
        </w:rPr>
        <w:t>evolocumab</w:t>
      </w:r>
      <w:r w:rsidRPr="002805FB">
        <w:rPr>
          <w:rFonts w:eastAsia="Times New Roman" w:cstheme="minorHAnsi"/>
        </w:rPr>
        <w:t xml:space="preserve"> was extracted from the PBS data maintained by the Department of Health, processed by Services Australia. </w:t>
      </w:r>
      <w:r w:rsidR="002C78A6">
        <w:rPr>
          <w:rFonts w:eastAsia="Times New Roman" w:cstheme="minorHAnsi"/>
        </w:rPr>
        <w:t>Data were extracted</w:t>
      </w:r>
      <w:r w:rsidRPr="006F5305">
        <w:rPr>
          <w:rFonts w:eastAsia="Times New Roman" w:cstheme="minorHAnsi"/>
        </w:rPr>
        <w:t xml:space="preserve"> for dates of supply up to and incl</w:t>
      </w:r>
      <w:r>
        <w:rPr>
          <w:rFonts w:eastAsia="Times New Roman" w:cstheme="minorHAnsi"/>
        </w:rPr>
        <w:t xml:space="preserve">uding 31 March 2021. These prescription data were used to </w:t>
      </w:r>
      <w:r w:rsidR="002C78A6" w:rsidRPr="002C78A6">
        <w:rPr>
          <w:rFonts w:eastAsia="Times New Roman" w:cstheme="minorHAnsi"/>
        </w:rPr>
        <w:t>analyse overall use, the age and sex of patients, the</w:t>
      </w:r>
      <w:r w:rsidR="002C78A6">
        <w:rPr>
          <w:rFonts w:eastAsia="Times New Roman" w:cstheme="minorHAnsi"/>
        </w:rPr>
        <w:t xml:space="preserve"> </w:t>
      </w:r>
      <w:r w:rsidR="002C78A6" w:rsidRPr="002C78A6">
        <w:rPr>
          <w:rFonts w:eastAsia="Times New Roman" w:cstheme="minorHAnsi"/>
        </w:rPr>
        <w:t xml:space="preserve">supplied dose and time to resupply of </w:t>
      </w:r>
      <w:r w:rsidR="002C78A6" w:rsidRPr="000C65A4">
        <w:rPr>
          <w:rFonts w:eastAsia="Times New Roman" w:cstheme="minorHAnsi"/>
        </w:rPr>
        <w:t>evolocumab</w:t>
      </w:r>
      <w:r w:rsidR="002C78A6" w:rsidRPr="002C78A6">
        <w:rPr>
          <w:rFonts w:eastAsia="Times New Roman" w:cstheme="minorHAnsi"/>
        </w:rPr>
        <w:t>.</w:t>
      </w:r>
    </w:p>
    <w:p w14:paraId="0232FA06" w14:textId="538A2531" w:rsidR="002805FB" w:rsidRPr="000C65A4" w:rsidRDefault="002C78A6" w:rsidP="002805FB">
      <w:pPr>
        <w:jc w:val="both"/>
        <w:rPr>
          <w:rFonts w:eastAsia="Times New Roman" w:cstheme="minorHAnsi"/>
        </w:rPr>
      </w:pPr>
      <w:r>
        <w:rPr>
          <w:rFonts w:eastAsia="Times New Roman" w:cstheme="minorHAnsi"/>
        </w:rPr>
        <w:t xml:space="preserve">Authorities data </w:t>
      </w:r>
      <w:r w:rsidR="00D01B6E">
        <w:rPr>
          <w:rFonts w:eastAsia="Times New Roman" w:cstheme="minorHAnsi"/>
        </w:rPr>
        <w:t>were</w:t>
      </w:r>
      <w:r>
        <w:rPr>
          <w:rFonts w:eastAsia="Times New Roman" w:cstheme="minorHAnsi"/>
        </w:rPr>
        <w:t xml:space="preserve"> extracted from the Authorities database, and matched to the prescription data to determine the type of </w:t>
      </w:r>
      <w:r w:rsidRPr="009F5E8B">
        <w:t>hypercholesterolaemia</w:t>
      </w:r>
      <w:r>
        <w:t xml:space="preserve"> the prescription was </w:t>
      </w:r>
      <w:r w:rsidR="00D01B6E">
        <w:t xml:space="preserve">intended </w:t>
      </w:r>
      <w:r>
        <w:t>to treat</w:t>
      </w:r>
      <w:r>
        <w:rPr>
          <w:rFonts w:eastAsia="Times New Roman" w:cstheme="minorHAnsi"/>
        </w:rPr>
        <w:t xml:space="preserve">. Where a streamlined code </w:t>
      </w:r>
      <w:r w:rsidR="001E6391">
        <w:rPr>
          <w:rFonts w:eastAsia="Times New Roman" w:cstheme="minorHAnsi"/>
        </w:rPr>
        <w:t xml:space="preserve">for </w:t>
      </w:r>
      <w:r w:rsidR="001E6391" w:rsidRPr="009F5E8B">
        <w:t>hypercholesterolaemia</w:t>
      </w:r>
      <w:r w:rsidR="001E6391">
        <w:t xml:space="preserve"> </w:t>
      </w:r>
      <w:r>
        <w:rPr>
          <w:rFonts w:eastAsia="Times New Roman" w:cstheme="minorHAnsi"/>
        </w:rPr>
        <w:t xml:space="preserve">was recorded, this was used in preference to the Authority code. </w:t>
      </w:r>
    </w:p>
    <w:p w14:paraId="6C9D6D8D" w14:textId="72F7F67F" w:rsidR="002805FB" w:rsidRDefault="002C78A6" w:rsidP="00524D13">
      <w:r>
        <w:t>Consistency of</w:t>
      </w:r>
      <w:r w:rsidR="007C55B2">
        <w:t xml:space="preserve"> utilisation by</w:t>
      </w:r>
      <w:r>
        <w:t xml:space="preserve"> indication was investigated, including i</w:t>
      </w:r>
      <w:r w:rsidRPr="002C78A6">
        <w:t>ndication by item code and restriction code for 2020</w:t>
      </w:r>
      <w:r>
        <w:t>, and the sequence of indication for each patient.</w:t>
      </w:r>
      <w:r w:rsidR="00427520">
        <w:t xml:space="preserve"> Sequence of indication ignored prescriptions with an unknown indication, and assigned the patient ‘Unknown’ if none of the prescriptions supplied to that patient included an indication.</w:t>
      </w:r>
      <w:r>
        <w:t xml:space="preserve"> In some analyses a patient’s main indication was used. Main indication was determined by the indication recorded on a majority of the patient’s prescriptions. If two indications were recorded the same number of times, the patient’s main indication was determined by the indication recorded on their initial prescription.</w:t>
      </w:r>
    </w:p>
    <w:p w14:paraId="7F7319B2" w14:textId="104E14C6" w:rsidR="004D1DE6" w:rsidRDefault="004D1DE6" w:rsidP="00524D13">
      <w:r>
        <w:t>Numb</w:t>
      </w:r>
      <w:r w:rsidR="00332067">
        <w:t xml:space="preserve">er of treatments was analysed for patients who had their first initiation to evolocumab in 2019, the number of </w:t>
      </w:r>
      <w:r w:rsidR="001E6391">
        <w:t>prescriptions</w:t>
      </w:r>
      <w:r w:rsidR="00332067">
        <w:t xml:space="preserve"> each patient was supplied in the following year was counted.</w:t>
      </w:r>
    </w:p>
    <w:p w14:paraId="6ED650E6" w14:textId="30124AC3" w:rsidR="002C78A6" w:rsidRDefault="00D01B6E" w:rsidP="00524D13">
      <w:r>
        <w:lastRenderedPageBreak/>
        <w:t xml:space="preserve">Treatment duration was analysed using </w:t>
      </w:r>
      <w:r w:rsidR="007C55B2">
        <w:t>the</w:t>
      </w:r>
      <w:r>
        <w:t xml:space="preserve"> Kaplan</w:t>
      </w:r>
      <w:r w:rsidR="007C55B2">
        <w:t>-</w:t>
      </w:r>
      <w:r>
        <w:t>Meier method. A patient was censored if they were supplied a prescription within three times the median time to resupply prior to 31 March 2021 (</w:t>
      </w:r>
      <w:r w:rsidR="007C55B2">
        <w:t xml:space="preserve">i.e. </w:t>
      </w:r>
      <w:r>
        <w:t>3</w:t>
      </w:r>
      <w:r>
        <w:rPr>
          <w:rFonts w:cstheme="minorHAnsi"/>
        </w:rPr>
        <w:t>×</w:t>
      </w:r>
      <w:r>
        <w:t>33 days).</w:t>
      </w:r>
    </w:p>
    <w:p w14:paraId="0BE9D51F" w14:textId="4FE42375" w:rsidR="00AC5054" w:rsidRPr="000226B3" w:rsidRDefault="00E7594B" w:rsidP="00A35800">
      <w:pPr>
        <w:rPr>
          <w:rFonts w:eastAsia="Calibri" w:cs="Times New Roman"/>
        </w:rPr>
      </w:pPr>
      <w:r>
        <w:t xml:space="preserve">As this analysis uses date of supply </w:t>
      </w:r>
      <w:r w:rsidR="005E085C">
        <w:t xml:space="preserve">prescription </w:t>
      </w:r>
      <w:r>
        <w:t>data, there may be small differences compared with publicly available Medicare date of processing data.</w:t>
      </w:r>
      <w:r w:rsidR="00576B18">
        <w:rPr>
          <w:rStyle w:val="FootnoteReference"/>
        </w:rPr>
        <w:footnoteReference w:id="1"/>
      </w:r>
      <w:r w:rsidR="00DD29A3">
        <w:t xml:space="preserve">  </w:t>
      </w:r>
    </w:p>
    <w:p w14:paraId="4F91A98A" w14:textId="00180E30" w:rsidR="00C714D0" w:rsidRPr="005E22C2" w:rsidRDefault="00C714D0" w:rsidP="009F5E8B">
      <w:pPr>
        <w:pStyle w:val="Heading1"/>
      </w:pPr>
      <w:r w:rsidRPr="005E22C2">
        <w:t>Results</w:t>
      </w:r>
    </w:p>
    <w:p w14:paraId="2221FF19" w14:textId="336CE8B2" w:rsidR="00736041" w:rsidRPr="005E22C2" w:rsidRDefault="001B5D37" w:rsidP="009F5E8B">
      <w:pPr>
        <w:pStyle w:val="Heading2"/>
        <w:keepNext/>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5B8A9D7E" w14:textId="24E5C969" w:rsidR="007664F3" w:rsidRDefault="002A2714" w:rsidP="009F5E8B">
      <w:pPr>
        <w:pStyle w:val="Heading3"/>
        <w:keepNext/>
      </w:pPr>
      <w:r>
        <w:t xml:space="preserve">Consistency of </w:t>
      </w:r>
      <w:r w:rsidR="007C55B2">
        <w:t xml:space="preserve">utilisation by </w:t>
      </w:r>
      <w:r>
        <w:t>i</w:t>
      </w:r>
      <w:r w:rsidR="0093017B">
        <w:t xml:space="preserve">ndication </w:t>
      </w:r>
    </w:p>
    <w:p w14:paraId="37BF3A58" w14:textId="0C053749" w:rsidR="007664F3" w:rsidRPr="00612829" w:rsidRDefault="004311BE" w:rsidP="00CF5E22">
      <w:pPr>
        <w:pStyle w:val="Heading3"/>
        <w:rPr>
          <w:i w:val="0"/>
        </w:rPr>
      </w:pPr>
      <w:r>
        <w:rPr>
          <w:noProof/>
        </w:rPr>
        <w:drawing>
          <wp:inline distT="0" distB="0" distL="0" distR="0" wp14:anchorId="18178271" wp14:editId="7C00312C">
            <wp:extent cx="5687695" cy="3820563"/>
            <wp:effectExtent l="0" t="0" r="8255" b="8890"/>
            <wp:docPr id="12" name="Chart 12" descr="Prescriptions by indication determined by item co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12829">
        <w:rPr>
          <w:i w:val="0"/>
        </w:rPr>
        <w:t xml:space="preserve"> </w:t>
      </w:r>
      <w:r w:rsidR="00F4362D">
        <w:rPr>
          <w:i w:val="0"/>
        </w:rPr>
        <w:t>Figure 1</w:t>
      </w:r>
      <w:r w:rsidR="0093017B" w:rsidRPr="00612829">
        <w:rPr>
          <w:i w:val="0"/>
        </w:rPr>
        <w:t>: Prescriptions by indication determined by item code</w:t>
      </w:r>
    </w:p>
    <w:p w14:paraId="259FF132" w14:textId="7AE7505C" w:rsidR="00A16E60" w:rsidRDefault="00A16E60" w:rsidP="00A16E60"/>
    <w:p w14:paraId="20833BEA" w14:textId="77777777" w:rsidR="001E6391" w:rsidRDefault="001E6391" w:rsidP="001E6391">
      <w:r>
        <w:t>The graph of prescriptions by item code shows that there was an increase in the number of supplied prescriptions when the non-familial listing was added to the heterozygous listing, as the slope of the heterozygous/non-familial line is steeper than the heterozygous.</w:t>
      </w:r>
    </w:p>
    <w:p w14:paraId="6D203DDF" w14:textId="79DF2186" w:rsidR="00612829" w:rsidRDefault="004311BE" w:rsidP="00A16E60">
      <w:r>
        <w:rPr>
          <w:noProof/>
        </w:rPr>
        <w:lastRenderedPageBreak/>
        <w:drawing>
          <wp:inline distT="0" distB="0" distL="0" distR="0" wp14:anchorId="0016090B" wp14:editId="157C9CCA">
            <wp:extent cx="5459239" cy="3168712"/>
            <wp:effectExtent l="0" t="0" r="8255" b="12700"/>
            <wp:docPr id="11" name="Chart 11" descr="Prescriptions by indication determined by streamlined co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9A1EFE" w14:textId="42FE07E2" w:rsidR="00612829" w:rsidRDefault="00F4362D" w:rsidP="00612829">
      <w:pPr>
        <w:pStyle w:val="Figuretitle"/>
      </w:pPr>
      <w:r>
        <w:t>Figure 2</w:t>
      </w:r>
      <w:r w:rsidR="00612829" w:rsidRPr="002C727E">
        <w:t xml:space="preserve">: Prescriptions by indication determined by </w:t>
      </w:r>
      <w:r w:rsidR="00612829">
        <w:t>streamlined code</w:t>
      </w:r>
    </w:p>
    <w:p w14:paraId="72010D69" w14:textId="10F7791F" w:rsidR="00612829" w:rsidRPr="00612829" w:rsidRDefault="00612829" w:rsidP="00612829">
      <w:pPr>
        <w:pStyle w:val="Notes"/>
      </w:pPr>
      <w:r>
        <w:t xml:space="preserve">Note: Only includes item codes with Streamlined Authority listings, since </w:t>
      </w:r>
      <w:r w:rsidR="002A2714">
        <w:t>Streamlined items were listed</w:t>
      </w:r>
      <w:r w:rsidR="002C78A6">
        <w:t xml:space="preserve"> on 1 </w:t>
      </w:r>
      <w:r>
        <w:t>May 2020.</w:t>
      </w:r>
    </w:p>
    <w:p w14:paraId="09707BF6" w14:textId="415BBCC1" w:rsidR="001E6391" w:rsidRDefault="001E6391" w:rsidP="001E6391">
      <w:r>
        <w:t>Streamlined listings were added to the PBS on 1 May 2020, when the listings for continuing treatment changed from Authority Required to Authority Required (Streamlined). The non-familial listings were added to the PBS at the same time. Figure 2 shows a large number of these prescriptions do not have a recorded streamlined code, however some of these may have been approved through as Authority Required prescriptions, for example to approve an increased quantity.</w:t>
      </w:r>
    </w:p>
    <w:p w14:paraId="77651E9D" w14:textId="6C878C11" w:rsidR="00326A8D" w:rsidRDefault="00326A8D" w:rsidP="001E6391"/>
    <w:p w14:paraId="27154A69" w14:textId="1DCB4180" w:rsidR="00326A8D" w:rsidRDefault="00326A8D" w:rsidP="001E6391"/>
    <w:p w14:paraId="33389FFD" w14:textId="527B0A5B" w:rsidR="00612829" w:rsidRDefault="0079038C" w:rsidP="00A16E60">
      <w:r>
        <w:rPr>
          <w:noProof/>
        </w:rPr>
        <w:lastRenderedPageBreak/>
        <w:drawing>
          <wp:inline distT="0" distB="0" distL="0" distR="0" wp14:anchorId="55493899" wp14:editId="40085724">
            <wp:extent cx="5687695" cy="3143885"/>
            <wp:effectExtent l="0" t="0" r="8255" b="18415"/>
            <wp:docPr id="2" name="Chart 2" descr="Prescriptions by indication determined by authority or streamlined co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A7711A" w14:textId="4592AE00" w:rsidR="00612829" w:rsidRPr="002C727E" w:rsidRDefault="00F4362D" w:rsidP="00612829">
      <w:pPr>
        <w:pStyle w:val="Figuretitle"/>
      </w:pPr>
      <w:r>
        <w:t>Figure 3</w:t>
      </w:r>
      <w:r w:rsidR="00612829" w:rsidRPr="002C727E">
        <w:t xml:space="preserve">: Prescriptions by indication determined by </w:t>
      </w:r>
      <w:r w:rsidR="00612829">
        <w:t>authority or streamlined</w:t>
      </w:r>
      <w:r w:rsidR="00612829" w:rsidRPr="002C727E">
        <w:t xml:space="preserve"> code</w:t>
      </w:r>
    </w:p>
    <w:p w14:paraId="3B1212E5" w14:textId="77777777" w:rsidR="0079038C" w:rsidRDefault="0079038C" w:rsidP="001E6391"/>
    <w:p w14:paraId="07A51E36" w14:textId="1057F965" w:rsidR="001E6391" w:rsidRDefault="001E6391" w:rsidP="001E6391">
      <w:r>
        <w:t xml:space="preserve">Figure 3 shows that when Authority codes and streamlined codes are used to determine indication, the number of </w:t>
      </w:r>
      <w:r w:rsidR="0079038C">
        <w:t xml:space="preserve">prescriptions with an </w:t>
      </w:r>
      <w:r>
        <w:t xml:space="preserve">unknown indications is much smaller. </w:t>
      </w:r>
    </w:p>
    <w:p w14:paraId="3351F518" w14:textId="3B72E84B" w:rsidR="00A16E60" w:rsidRDefault="00A16E60" w:rsidP="002A2714">
      <w:pPr>
        <w:keepNext/>
      </w:pPr>
      <w:r>
        <w:rPr>
          <w:rFonts w:ascii="Arial" w:hAnsi="Arial" w:cs="Arial"/>
          <w:noProof/>
          <w:color w:val="000000"/>
          <w:sz w:val="20"/>
          <w:szCs w:val="20"/>
        </w:rPr>
        <w:lastRenderedPageBreak/>
        <w:drawing>
          <wp:inline distT="0" distB="0" distL="0" distR="0" wp14:anchorId="0C91F7E9" wp14:editId="153B664D">
            <wp:extent cx="5687695" cy="4262099"/>
            <wp:effectExtent l="0" t="0" r="8255" b="5715"/>
            <wp:docPr id="1" name="Picture 1" descr="Proportion of prescriptions by indication based on item code and restriction code fo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portion of prescriptions by indication based on item code and restriction code for 20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7695" cy="4262099"/>
                    </a:xfrm>
                    <a:prstGeom prst="rect">
                      <a:avLst/>
                    </a:prstGeom>
                    <a:noFill/>
                    <a:ln>
                      <a:noFill/>
                    </a:ln>
                  </pic:spPr>
                </pic:pic>
              </a:graphicData>
            </a:graphic>
          </wp:inline>
        </w:drawing>
      </w:r>
    </w:p>
    <w:p w14:paraId="070F4F38" w14:textId="5139996E" w:rsidR="00A16E60" w:rsidRDefault="00F4362D" w:rsidP="00612829">
      <w:pPr>
        <w:pStyle w:val="Figuretitle"/>
      </w:pPr>
      <w:r>
        <w:t>Figure 4</w:t>
      </w:r>
      <w:r w:rsidR="00A16E60">
        <w:t xml:space="preserve">: </w:t>
      </w:r>
      <w:r w:rsidR="001E045D">
        <w:t>Proportion of prescriptions by i</w:t>
      </w:r>
      <w:r w:rsidR="00A16E60" w:rsidRPr="00A16E60">
        <w:t xml:space="preserve">ndication </w:t>
      </w:r>
      <w:r w:rsidR="001E045D">
        <w:t>based on</w:t>
      </w:r>
      <w:r w:rsidR="00A16E60" w:rsidRPr="00A16E60">
        <w:t xml:space="preserve"> item code and restriction code</w:t>
      </w:r>
      <w:r w:rsidR="00612829">
        <w:t xml:space="preserve"> for 2020</w:t>
      </w:r>
    </w:p>
    <w:p w14:paraId="61ACB533" w14:textId="5CF69315" w:rsidR="00612829" w:rsidRDefault="00612829" w:rsidP="006D76AF"/>
    <w:p w14:paraId="1941D07C" w14:textId="17C82192" w:rsidR="001E6391" w:rsidRDefault="001E6391" w:rsidP="001E6391">
      <w:r>
        <w:t xml:space="preserve">Figure 4 above shows the indication of the item code in the outer circle, and the indication of the restriction code in the inner circle. The number of unknowns or mismatched codes, i.e. </w:t>
      </w:r>
      <w:r w:rsidR="00326A8D">
        <w:t xml:space="preserve">a </w:t>
      </w:r>
      <w:r>
        <w:t>restriction code</w:t>
      </w:r>
      <w:r w:rsidR="00326A8D">
        <w:t xml:space="preserve"> for homozygous </w:t>
      </w:r>
      <w:r w:rsidR="00326A8D" w:rsidRPr="009F5E8B">
        <w:t>hypercholesterolaemia</w:t>
      </w:r>
      <w:r>
        <w:t xml:space="preserve"> </w:t>
      </w:r>
      <w:r w:rsidR="00326A8D">
        <w:t xml:space="preserve">against an </w:t>
      </w:r>
      <w:r>
        <w:t>item code</w:t>
      </w:r>
      <w:r w:rsidR="00326A8D" w:rsidRPr="00326A8D">
        <w:t xml:space="preserve"> </w:t>
      </w:r>
      <w:r w:rsidR="00326A8D">
        <w:t xml:space="preserve">for heterozygous </w:t>
      </w:r>
      <w:r w:rsidR="00326A8D" w:rsidRPr="009F5E8B">
        <w:t>hypercholesterolaemia</w:t>
      </w:r>
      <w:r>
        <w:t>, are represented by the incomplete inner circles, however the numbers of these were too small to be shown.</w:t>
      </w:r>
    </w:p>
    <w:p w14:paraId="3E7FBDE4" w14:textId="325858C4" w:rsidR="00612829" w:rsidRDefault="00F4362D" w:rsidP="00D01B6E">
      <w:pPr>
        <w:pStyle w:val="Figuretitle"/>
        <w:keepNext/>
      </w:pPr>
      <w:r>
        <w:lastRenderedPageBreak/>
        <w:t>Table 4</w:t>
      </w:r>
      <w:r w:rsidR="00612829">
        <w:t xml:space="preserve">: Indication sequence </w:t>
      </w:r>
      <w:r w:rsidR="00612829" w:rsidRPr="002C727E">
        <w:t xml:space="preserve">by </w:t>
      </w:r>
      <w:r w:rsidR="00612829">
        <w:t>authority or streamlined</w:t>
      </w:r>
      <w:r w:rsidR="00612829" w:rsidRPr="002C727E">
        <w:t xml:space="preserve"> code</w:t>
      </w:r>
    </w:p>
    <w:tbl>
      <w:tblPr>
        <w:tblW w:w="8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1760"/>
        <w:gridCol w:w="960"/>
      </w:tblGrid>
      <w:tr w:rsidR="00612829" w:rsidRPr="00506B86" w14:paraId="70201E5D" w14:textId="77777777" w:rsidTr="002A2714">
        <w:trPr>
          <w:trHeight w:val="300"/>
          <w:tblHeader/>
        </w:trPr>
        <w:tc>
          <w:tcPr>
            <w:tcW w:w="5420" w:type="dxa"/>
            <w:shd w:val="clear" w:color="auto" w:fill="BFBFBF" w:themeFill="background1" w:themeFillShade="BF"/>
            <w:noWrap/>
            <w:vAlign w:val="bottom"/>
            <w:hideMark/>
          </w:tcPr>
          <w:p w14:paraId="77121930" w14:textId="77777777" w:rsidR="00612829" w:rsidRPr="00506B86" w:rsidRDefault="00612829" w:rsidP="00D01B6E">
            <w:pPr>
              <w:keepNext/>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Indication sequence</w:t>
            </w:r>
          </w:p>
        </w:tc>
        <w:tc>
          <w:tcPr>
            <w:tcW w:w="1760" w:type="dxa"/>
            <w:shd w:val="clear" w:color="auto" w:fill="BFBFBF" w:themeFill="background1" w:themeFillShade="BF"/>
            <w:noWrap/>
            <w:vAlign w:val="bottom"/>
            <w:hideMark/>
          </w:tcPr>
          <w:p w14:paraId="0C5D45F8" w14:textId="77777777" w:rsidR="00612829" w:rsidRPr="00506B86" w:rsidRDefault="00612829" w:rsidP="00D01B6E">
            <w:pPr>
              <w:keepNext/>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Count patients</w:t>
            </w:r>
          </w:p>
        </w:tc>
        <w:tc>
          <w:tcPr>
            <w:tcW w:w="960" w:type="dxa"/>
            <w:shd w:val="clear" w:color="auto" w:fill="BFBFBF" w:themeFill="background1" w:themeFillShade="BF"/>
            <w:noWrap/>
            <w:vAlign w:val="bottom"/>
            <w:hideMark/>
          </w:tcPr>
          <w:p w14:paraId="7151F490" w14:textId="77777777" w:rsidR="00612829" w:rsidRPr="00506B86" w:rsidRDefault="00612829" w:rsidP="00D01B6E">
            <w:pPr>
              <w:keepNext/>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Percent of total</w:t>
            </w:r>
          </w:p>
        </w:tc>
      </w:tr>
      <w:tr w:rsidR="00427520" w:rsidRPr="00506B86" w14:paraId="3F78FCFB" w14:textId="77777777" w:rsidTr="00427520">
        <w:trPr>
          <w:trHeight w:val="300"/>
        </w:trPr>
        <w:tc>
          <w:tcPr>
            <w:tcW w:w="5420" w:type="dxa"/>
            <w:shd w:val="clear" w:color="auto" w:fill="auto"/>
            <w:noWrap/>
            <w:vAlign w:val="bottom"/>
          </w:tcPr>
          <w:p w14:paraId="1B39BEEA" w14:textId="2ECB5440"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w:t>
            </w:r>
          </w:p>
        </w:tc>
        <w:tc>
          <w:tcPr>
            <w:tcW w:w="1760" w:type="dxa"/>
            <w:shd w:val="clear" w:color="auto" w:fill="auto"/>
            <w:noWrap/>
            <w:vAlign w:val="bottom"/>
          </w:tcPr>
          <w:p w14:paraId="115DC47E" w14:textId="297D3E2D"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1,462</w:t>
            </w:r>
          </w:p>
        </w:tc>
        <w:tc>
          <w:tcPr>
            <w:tcW w:w="960" w:type="dxa"/>
            <w:shd w:val="clear" w:color="auto" w:fill="auto"/>
            <w:noWrap/>
            <w:vAlign w:val="bottom"/>
          </w:tcPr>
          <w:p w14:paraId="5547D310" w14:textId="1995EB3F"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33%</w:t>
            </w:r>
          </w:p>
        </w:tc>
      </w:tr>
      <w:tr w:rsidR="00427520" w:rsidRPr="00506B86" w14:paraId="1E708200" w14:textId="77777777" w:rsidTr="00427520">
        <w:trPr>
          <w:trHeight w:val="300"/>
        </w:trPr>
        <w:tc>
          <w:tcPr>
            <w:tcW w:w="5420" w:type="dxa"/>
            <w:shd w:val="clear" w:color="auto" w:fill="auto"/>
            <w:noWrap/>
            <w:vAlign w:val="bottom"/>
          </w:tcPr>
          <w:p w14:paraId="1F8DFFCE" w14:textId="56E30ABF"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Non-familial</w:t>
            </w:r>
          </w:p>
        </w:tc>
        <w:tc>
          <w:tcPr>
            <w:tcW w:w="1760" w:type="dxa"/>
            <w:shd w:val="clear" w:color="auto" w:fill="auto"/>
            <w:noWrap/>
            <w:vAlign w:val="bottom"/>
          </w:tcPr>
          <w:p w14:paraId="259B346A" w14:textId="58BDE44B"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1,227</w:t>
            </w:r>
          </w:p>
        </w:tc>
        <w:tc>
          <w:tcPr>
            <w:tcW w:w="960" w:type="dxa"/>
            <w:shd w:val="clear" w:color="auto" w:fill="auto"/>
            <w:noWrap/>
            <w:vAlign w:val="bottom"/>
          </w:tcPr>
          <w:p w14:paraId="4E369149" w14:textId="67B19242"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27%</w:t>
            </w:r>
          </w:p>
        </w:tc>
      </w:tr>
      <w:tr w:rsidR="00427520" w:rsidRPr="00506B86" w14:paraId="20E33B35" w14:textId="77777777" w:rsidTr="00427520">
        <w:trPr>
          <w:trHeight w:val="300"/>
        </w:trPr>
        <w:tc>
          <w:tcPr>
            <w:tcW w:w="5420" w:type="dxa"/>
            <w:shd w:val="clear" w:color="auto" w:fill="auto"/>
            <w:noWrap/>
            <w:vAlign w:val="bottom"/>
          </w:tcPr>
          <w:p w14:paraId="5D3803BA" w14:textId="46CEAAC6"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w:t>
            </w:r>
          </w:p>
        </w:tc>
        <w:tc>
          <w:tcPr>
            <w:tcW w:w="1760" w:type="dxa"/>
            <w:shd w:val="clear" w:color="auto" w:fill="auto"/>
            <w:noWrap/>
            <w:vAlign w:val="bottom"/>
          </w:tcPr>
          <w:p w14:paraId="48F3EC95" w14:textId="4C7632D9"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841</w:t>
            </w:r>
          </w:p>
        </w:tc>
        <w:tc>
          <w:tcPr>
            <w:tcW w:w="960" w:type="dxa"/>
            <w:shd w:val="clear" w:color="auto" w:fill="auto"/>
            <w:noWrap/>
            <w:vAlign w:val="bottom"/>
          </w:tcPr>
          <w:p w14:paraId="50C7ED30" w14:textId="517ADE0A"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19%</w:t>
            </w:r>
          </w:p>
        </w:tc>
      </w:tr>
      <w:tr w:rsidR="00427520" w:rsidRPr="00506B86" w14:paraId="1DFEEC94" w14:textId="77777777" w:rsidTr="00427520">
        <w:trPr>
          <w:trHeight w:val="300"/>
        </w:trPr>
        <w:tc>
          <w:tcPr>
            <w:tcW w:w="5420" w:type="dxa"/>
            <w:shd w:val="clear" w:color="auto" w:fill="auto"/>
            <w:noWrap/>
            <w:vAlign w:val="bottom"/>
          </w:tcPr>
          <w:p w14:paraId="486321E4" w14:textId="64C97585"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Homozygous&gt;Heterozygous</w:t>
            </w:r>
          </w:p>
        </w:tc>
        <w:tc>
          <w:tcPr>
            <w:tcW w:w="1760" w:type="dxa"/>
            <w:shd w:val="clear" w:color="auto" w:fill="auto"/>
            <w:noWrap/>
            <w:vAlign w:val="bottom"/>
          </w:tcPr>
          <w:p w14:paraId="1E18062A" w14:textId="7F0DB49C"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146</w:t>
            </w:r>
          </w:p>
        </w:tc>
        <w:tc>
          <w:tcPr>
            <w:tcW w:w="960" w:type="dxa"/>
            <w:shd w:val="clear" w:color="auto" w:fill="auto"/>
            <w:noWrap/>
            <w:vAlign w:val="bottom"/>
          </w:tcPr>
          <w:p w14:paraId="1AB14709" w14:textId="08D2DC8F"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3%</w:t>
            </w:r>
          </w:p>
        </w:tc>
      </w:tr>
      <w:tr w:rsidR="00427520" w:rsidRPr="00506B86" w14:paraId="183A2B5D" w14:textId="77777777" w:rsidTr="00427520">
        <w:trPr>
          <w:trHeight w:val="300"/>
        </w:trPr>
        <w:tc>
          <w:tcPr>
            <w:tcW w:w="5420" w:type="dxa"/>
            <w:shd w:val="clear" w:color="auto" w:fill="auto"/>
            <w:noWrap/>
            <w:vAlign w:val="bottom"/>
          </w:tcPr>
          <w:p w14:paraId="57C6A81B" w14:textId="438F555A"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Heterozygous&gt;Non-familial</w:t>
            </w:r>
          </w:p>
        </w:tc>
        <w:tc>
          <w:tcPr>
            <w:tcW w:w="1760" w:type="dxa"/>
            <w:shd w:val="clear" w:color="auto" w:fill="auto"/>
            <w:noWrap/>
            <w:vAlign w:val="bottom"/>
          </w:tcPr>
          <w:p w14:paraId="7B2BF271" w14:textId="21DE95AE"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135</w:t>
            </w:r>
          </w:p>
        </w:tc>
        <w:tc>
          <w:tcPr>
            <w:tcW w:w="960" w:type="dxa"/>
            <w:shd w:val="clear" w:color="auto" w:fill="auto"/>
            <w:noWrap/>
            <w:vAlign w:val="bottom"/>
          </w:tcPr>
          <w:p w14:paraId="6000C2B3" w14:textId="53D4B509"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3%</w:t>
            </w:r>
          </w:p>
        </w:tc>
      </w:tr>
      <w:tr w:rsidR="00427520" w:rsidRPr="00506B86" w14:paraId="75E3D614" w14:textId="77777777" w:rsidTr="00427520">
        <w:trPr>
          <w:trHeight w:val="300"/>
        </w:trPr>
        <w:tc>
          <w:tcPr>
            <w:tcW w:w="5420" w:type="dxa"/>
            <w:shd w:val="clear" w:color="auto" w:fill="auto"/>
            <w:noWrap/>
            <w:vAlign w:val="bottom"/>
          </w:tcPr>
          <w:p w14:paraId="0A9E5C90" w14:textId="721B2015"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Heterozygous&gt;Homozygous</w:t>
            </w:r>
          </w:p>
        </w:tc>
        <w:tc>
          <w:tcPr>
            <w:tcW w:w="1760" w:type="dxa"/>
            <w:shd w:val="clear" w:color="auto" w:fill="auto"/>
            <w:noWrap/>
            <w:vAlign w:val="bottom"/>
          </w:tcPr>
          <w:p w14:paraId="7851C89D" w14:textId="50D3AC63"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116</w:t>
            </w:r>
          </w:p>
        </w:tc>
        <w:tc>
          <w:tcPr>
            <w:tcW w:w="960" w:type="dxa"/>
            <w:shd w:val="clear" w:color="auto" w:fill="auto"/>
            <w:noWrap/>
            <w:vAlign w:val="bottom"/>
          </w:tcPr>
          <w:p w14:paraId="748A3A19" w14:textId="22259B35"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3%</w:t>
            </w:r>
          </w:p>
        </w:tc>
      </w:tr>
      <w:tr w:rsidR="00427520" w:rsidRPr="00506B86" w14:paraId="47EF1C01" w14:textId="77777777" w:rsidTr="00427520">
        <w:trPr>
          <w:trHeight w:val="300"/>
        </w:trPr>
        <w:tc>
          <w:tcPr>
            <w:tcW w:w="5420" w:type="dxa"/>
            <w:shd w:val="clear" w:color="auto" w:fill="auto"/>
            <w:noWrap/>
            <w:vAlign w:val="bottom"/>
          </w:tcPr>
          <w:p w14:paraId="4098A6FD" w14:textId="3AAB3675"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Non-familial&gt;Heterozygous</w:t>
            </w:r>
          </w:p>
        </w:tc>
        <w:tc>
          <w:tcPr>
            <w:tcW w:w="1760" w:type="dxa"/>
            <w:shd w:val="clear" w:color="auto" w:fill="auto"/>
            <w:noWrap/>
            <w:vAlign w:val="bottom"/>
          </w:tcPr>
          <w:p w14:paraId="3B4B1D24" w14:textId="3A3FD307"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89</w:t>
            </w:r>
          </w:p>
        </w:tc>
        <w:tc>
          <w:tcPr>
            <w:tcW w:w="960" w:type="dxa"/>
            <w:shd w:val="clear" w:color="auto" w:fill="auto"/>
            <w:noWrap/>
            <w:vAlign w:val="bottom"/>
          </w:tcPr>
          <w:p w14:paraId="4BA9B0C4" w14:textId="4652643B"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2%</w:t>
            </w:r>
          </w:p>
        </w:tc>
      </w:tr>
      <w:tr w:rsidR="00427520" w:rsidRPr="00506B86" w14:paraId="41A5DB79" w14:textId="77777777" w:rsidTr="00427520">
        <w:trPr>
          <w:trHeight w:val="300"/>
        </w:trPr>
        <w:tc>
          <w:tcPr>
            <w:tcW w:w="5420" w:type="dxa"/>
            <w:shd w:val="clear" w:color="auto" w:fill="auto"/>
            <w:noWrap/>
            <w:vAlign w:val="bottom"/>
          </w:tcPr>
          <w:p w14:paraId="3B12332C" w14:textId="52416EE7"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Homozygous&gt;Non-familial</w:t>
            </w:r>
          </w:p>
        </w:tc>
        <w:tc>
          <w:tcPr>
            <w:tcW w:w="1760" w:type="dxa"/>
            <w:shd w:val="clear" w:color="auto" w:fill="auto"/>
            <w:noWrap/>
            <w:vAlign w:val="bottom"/>
          </w:tcPr>
          <w:p w14:paraId="4441EC89" w14:textId="7AEFB0EF"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83</w:t>
            </w:r>
          </w:p>
        </w:tc>
        <w:tc>
          <w:tcPr>
            <w:tcW w:w="960" w:type="dxa"/>
            <w:shd w:val="clear" w:color="auto" w:fill="auto"/>
            <w:noWrap/>
            <w:vAlign w:val="bottom"/>
          </w:tcPr>
          <w:p w14:paraId="301C1D89" w14:textId="02A1015F"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2%</w:t>
            </w:r>
          </w:p>
        </w:tc>
      </w:tr>
      <w:tr w:rsidR="00427520" w:rsidRPr="00506B86" w14:paraId="00C3ABAD" w14:textId="77777777" w:rsidTr="00427520">
        <w:trPr>
          <w:trHeight w:val="300"/>
        </w:trPr>
        <w:tc>
          <w:tcPr>
            <w:tcW w:w="5420" w:type="dxa"/>
            <w:shd w:val="clear" w:color="auto" w:fill="auto"/>
            <w:noWrap/>
            <w:vAlign w:val="bottom"/>
          </w:tcPr>
          <w:p w14:paraId="12E18E78" w14:textId="1EC20CED"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Non-familial&gt;Homozygous</w:t>
            </w:r>
          </w:p>
        </w:tc>
        <w:tc>
          <w:tcPr>
            <w:tcW w:w="1760" w:type="dxa"/>
            <w:shd w:val="clear" w:color="auto" w:fill="auto"/>
            <w:noWrap/>
            <w:vAlign w:val="bottom"/>
          </w:tcPr>
          <w:p w14:paraId="72235F71" w14:textId="02D42B63"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67</w:t>
            </w:r>
          </w:p>
        </w:tc>
        <w:tc>
          <w:tcPr>
            <w:tcW w:w="960" w:type="dxa"/>
            <w:shd w:val="clear" w:color="auto" w:fill="auto"/>
            <w:noWrap/>
            <w:vAlign w:val="bottom"/>
          </w:tcPr>
          <w:p w14:paraId="521167B0" w14:textId="7AA415EA"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w:t>
            </w:r>
          </w:p>
        </w:tc>
      </w:tr>
      <w:tr w:rsidR="00427520" w:rsidRPr="00506B86" w14:paraId="7F44D810" w14:textId="77777777" w:rsidTr="00427520">
        <w:trPr>
          <w:trHeight w:val="300"/>
        </w:trPr>
        <w:tc>
          <w:tcPr>
            <w:tcW w:w="5420" w:type="dxa"/>
            <w:shd w:val="clear" w:color="auto" w:fill="auto"/>
            <w:noWrap/>
            <w:vAlign w:val="bottom"/>
          </w:tcPr>
          <w:p w14:paraId="6D9DAC10" w14:textId="34C8D193"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Homozygous&gt;Heterozygous&gt;Homozygous</w:t>
            </w:r>
          </w:p>
        </w:tc>
        <w:tc>
          <w:tcPr>
            <w:tcW w:w="1760" w:type="dxa"/>
            <w:shd w:val="clear" w:color="auto" w:fill="auto"/>
            <w:noWrap/>
            <w:vAlign w:val="bottom"/>
          </w:tcPr>
          <w:p w14:paraId="54DEE610" w14:textId="4391BB31"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60</w:t>
            </w:r>
          </w:p>
        </w:tc>
        <w:tc>
          <w:tcPr>
            <w:tcW w:w="960" w:type="dxa"/>
            <w:shd w:val="clear" w:color="auto" w:fill="auto"/>
            <w:noWrap/>
            <w:vAlign w:val="bottom"/>
          </w:tcPr>
          <w:p w14:paraId="062CC9C2" w14:textId="1A786289"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w:t>
            </w:r>
          </w:p>
        </w:tc>
      </w:tr>
      <w:tr w:rsidR="00427520" w:rsidRPr="00506B86" w14:paraId="63DFCF5D" w14:textId="77777777" w:rsidTr="00427520">
        <w:trPr>
          <w:trHeight w:val="300"/>
        </w:trPr>
        <w:tc>
          <w:tcPr>
            <w:tcW w:w="5420" w:type="dxa"/>
            <w:shd w:val="clear" w:color="auto" w:fill="auto"/>
            <w:noWrap/>
            <w:vAlign w:val="bottom"/>
          </w:tcPr>
          <w:p w14:paraId="0F21CDAF" w14:textId="2FFF9310"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Unknown</w:t>
            </w:r>
          </w:p>
        </w:tc>
        <w:tc>
          <w:tcPr>
            <w:tcW w:w="1760" w:type="dxa"/>
            <w:shd w:val="clear" w:color="auto" w:fill="auto"/>
            <w:noWrap/>
            <w:vAlign w:val="bottom"/>
          </w:tcPr>
          <w:p w14:paraId="1EDC6D65" w14:textId="3D8919DE"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47</w:t>
            </w:r>
          </w:p>
        </w:tc>
        <w:tc>
          <w:tcPr>
            <w:tcW w:w="960" w:type="dxa"/>
            <w:shd w:val="clear" w:color="auto" w:fill="auto"/>
            <w:noWrap/>
            <w:vAlign w:val="bottom"/>
          </w:tcPr>
          <w:p w14:paraId="095D85B9" w14:textId="03A4861E"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w:t>
            </w:r>
          </w:p>
        </w:tc>
      </w:tr>
      <w:tr w:rsidR="00427520" w:rsidRPr="00506B86" w14:paraId="40F61EA7" w14:textId="77777777" w:rsidTr="00427520">
        <w:trPr>
          <w:trHeight w:val="300"/>
        </w:trPr>
        <w:tc>
          <w:tcPr>
            <w:tcW w:w="5420" w:type="dxa"/>
            <w:shd w:val="clear" w:color="auto" w:fill="auto"/>
            <w:noWrap/>
            <w:vAlign w:val="bottom"/>
          </w:tcPr>
          <w:p w14:paraId="1C2315BA" w14:textId="4D1ABAF1"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Heterozygous&gt;Non-familial&gt;Heterozygous</w:t>
            </w:r>
          </w:p>
        </w:tc>
        <w:tc>
          <w:tcPr>
            <w:tcW w:w="1760" w:type="dxa"/>
            <w:shd w:val="clear" w:color="auto" w:fill="auto"/>
            <w:noWrap/>
            <w:vAlign w:val="bottom"/>
          </w:tcPr>
          <w:p w14:paraId="09054C7A" w14:textId="4A3FA59F"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24</w:t>
            </w:r>
          </w:p>
        </w:tc>
        <w:tc>
          <w:tcPr>
            <w:tcW w:w="960" w:type="dxa"/>
            <w:shd w:val="clear" w:color="auto" w:fill="auto"/>
            <w:noWrap/>
            <w:vAlign w:val="bottom"/>
          </w:tcPr>
          <w:p w14:paraId="2B5397DF" w14:textId="4F8EED5B"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0.54%</w:t>
            </w:r>
          </w:p>
        </w:tc>
      </w:tr>
      <w:tr w:rsidR="00427520" w:rsidRPr="00506B86" w14:paraId="1E478FC6" w14:textId="77777777" w:rsidTr="00427520">
        <w:trPr>
          <w:trHeight w:val="300"/>
        </w:trPr>
        <w:tc>
          <w:tcPr>
            <w:tcW w:w="5420" w:type="dxa"/>
            <w:shd w:val="clear" w:color="auto" w:fill="auto"/>
            <w:noWrap/>
            <w:vAlign w:val="bottom"/>
          </w:tcPr>
          <w:p w14:paraId="3D02C1F0" w14:textId="308CF40E"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Homozygous&gt;Non-familial&gt;Homozygous</w:t>
            </w:r>
          </w:p>
        </w:tc>
        <w:tc>
          <w:tcPr>
            <w:tcW w:w="1760" w:type="dxa"/>
            <w:shd w:val="clear" w:color="auto" w:fill="auto"/>
            <w:noWrap/>
            <w:vAlign w:val="bottom"/>
          </w:tcPr>
          <w:p w14:paraId="2DD6E2CA" w14:textId="633A09AE"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22</w:t>
            </w:r>
          </w:p>
        </w:tc>
        <w:tc>
          <w:tcPr>
            <w:tcW w:w="960" w:type="dxa"/>
            <w:shd w:val="clear" w:color="auto" w:fill="auto"/>
            <w:noWrap/>
            <w:vAlign w:val="bottom"/>
          </w:tcPr>
          <w:p w14:paraId="27C7279E" w14:textId="3B17C60C"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0.49%</w:t>
            </w:r>
          </w:p>
        </w:tc>
      </w:tr>
      <w:tr w:rsidR="00427520" w:rsidRPr="00506B86" w14:paraId="66B05FC2" w14:textId="77777777" w:rsidTr="00427520">
        <w:trPr>
          <w:trHeight w:val="300"/>
        </w:trPr>
        <w:tc>
          <w:tcPr>
            <w:tcW w:w="5420" w:type="dxa"/>
            <w:shd w:val="clear" w:color="auto" w:fill="auto"/>
            <w:noWrap/>
            <w:vAlign w:val="bottom"/>
          </w:tcPr>
          <w:p w14:paraId="3A635B53" w14:textId="45DB1D1E"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Heterozygous&gt;Homozygous&gt;Heterozygous</w:t>
            </w:r>
          </w:p>
        </w:tc>
        <w:tc>
          <w:tcPr>
            <w:tcW w:w="1760" w:type="dxa"/>
            <w:shd w:val="clear" w:color="auto" w:fill="auto"/>
            <w:noWrap/>
            <w:vAlign w:val="bottom"/>
          </w:tcPr>
          <w:p w14:paraId="10B34211" w14:textId="43ED61D9"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20</w:t>
            </w:r>
          </w:p>
        </w:tc>
        <w:tc>
          <w:tcPr>
            <w:tcW w:w="960" w:type="dxa"/>
            <w:shd w:val="clear" w:color="auto" w:fill="auto"/>
            <w:noWrap/>
            <w:vAlign w:val="bottom"/>
          </w:tcPr>
          <w:p w14:paraId="47FA4185" w14:textId="2DFB227C"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0.45%</w:t>
            </w:r>
          </w:p>
        </w:tc>
      </w:tr>
      <w:tr w:rsidR="00427520" w:rsidRPr="00506B86" w14:paraId="0ACD69CA" w14:textId="77777777" w:rsidTr="00427520">
        <w:trPr>
          <w:trHeight w:val="300"/>
        </w:trPr>
        <w:tc>
          <w:tcPr>
            <w:tcW w:w="5420" w:type="dxa"/>
            <w:shd w:val="clear" w:color="auto" w:fill="auto"/>
            <w:noWrap/>
            <w:vAlign w:val="bottom"/>
          </w:tcPr>
          <w:p w14:paraId="17568A84" w14:textId="7ED9ADC8"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Heterozygous&gt;Non-familial&gt;Heterozygous&gt;Non-familial</w:t>
            </w:r>
          </w:p>
        </w:tc>
        <w:tc>
          <w:tcPr>
            <w:tcW w:w="1760" w:type="dxa"/>
            <w:shd w:val="clear" w:color="auto" w:fill="auto"/>
            <w:noWrap/>
            <w:vAlign w:val="bottom"/>
          </w:tcPr>
          <w:p w14:paraId="6E0CB926" w14:textId="3B279780"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16</w:t>
            </w:r>
          </w:p>
        </w:tc>
        <w:tc>
          <w:tcPr>
            <w:tcW w:w="960" w:type="dxa"/>
            <w:shd w:val="clear" w:color="auto" w:fill="auto"/>
            <w:noWrap/>
            <w:vAlign w:val="bottom"/>
          </w:tcPr>
          <w:p w14:paraId="7927E6C7" w14:textId="0B01E35A"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0.36%</w:t>
            </w:r>
          </w:p>
        </w:tc>
      </w:tr>
      <w:tr w:rsidR="00427520" w:rsidRPr="00506B86" w14:paraId="0467D158" w14:textId="77777777" w:rsidTr="00427520">
        <w:trPr>
          <w:trHeight w:val="300"/>
        </w:trPr>
        <w:tc>
          <w:tcPr>
            <w:tcW w:w="5420" w:type="dxa"/>
            <w:shd w:val="clear" w:color="auto" w:fill="auto"/>
            <w:noWrap/>
            <w:vAlign w:val="bottom"/>
          </w:tcPr>
          <w:p w14:paraId="056029DA" w14:textId="3DC60947"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Homozygous&gt;Heterozygous&gt;Homozygous&gt;Heterozygous</w:t>
            </w:r>
          </w:p>
        </w:tc>
        <w:tc>
          <w:tcPr>
            <w:tcW w:w="1760" w:type="dxa"/>
            <w:shd w:val="clear" w:color="auto" w:fill="auto"/>
            <w:noWrap/>
            <w:vAlign w:val="bottom"/>
          </w:tcPr>
          <w:p w14:paraId="55323DE7" w14:textId="58B1714D"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12</w:t>
            </w:r>
          </w:p>
        </w:tc>
        <w:tc>
          <w:tcPr>
            <w:tcW w:w="960" w:type="dxa"/>
            <w:shd w:val="clear" w:color="auto" w:fill="auto"/>
            <w:noWrap/>
            <w:vAlign w:val="bottom"/>
          </w:tcPr>
          <w:p w14:paraId="037D991E" w14:textId="07A90882"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0.27%</w:t>
            </w:r>
          </w:p>
        </w:tc>
      </w:tr>
      <w:tr w:rsidR="00427520" w:rsidRPr="00506B86" w14:paraId="07D59827" w14:textId="77777777" w:rsidTr="00427520">
        <w:trPr>
          <w:trHeight w:val="300"/>
        </w:trPr>
        <w:tc>
          <w:tcPr>
            <w:tcW w:w="5420" w:type="dxa"/>
            <w:shd w:val="clear" w:color="auto" w:fill="auto"/>
            <w:noWrap/>
            <w:vAlign w:val="bottom"/>
          </w:tcPr>
          <w:p w14:paraId="1DD6CE59" w14:textId="060EE941"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Non-familial&gt;Heterozygous&gt;Non-familial</w:t>
            </w:r>
          </w:p>
        </w:tc>
        <w:tc>
          <w:tcPr>
            <w:tcW w:w="1760" w:type="dxa"/>
            <w:shd w:val="clear" w:color="auto" w:fill="auto"/>
            <w:noWrap/>
            <w:vAlign w:val="bottom"/>
          </w:tcPr>
          <w:p w14:paraId="54B6FAB5" w14:textId="5F335EFF"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12</w:t>
            </w:r>
          </w:p>
        </w:tc>
        <w:tc>
          <w:tcPr>
            <w:tcW w:w="960" w:type="dxa"/>
            <w:shd w:val="clear" w:color="auto" w:fill="auto"/>
            <w:noWrap/>
            <w:vAlign w:val="bottom"/>
          </w:tcPr>
          <w:p w14:paraId="0ABCCB72" w14:textId="5F1174A1"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0.27%</w:t>
            </w:r>
          </w:p>
        </w:tc>
      </w:tr>
      <w:tr w:rsidR="00427520" w:rsidRPr="00506B86" w14:paraId="5C2B8AFC" w14:textId="77777777" w:rsidTr="00427520">
        <w:trPr>
          <w:trHeight w:val="300"/>
        </w:trPr>
        <w:tc>
          <w:tcPr>
            <w:tcW w:w="5420" w:type="dxa"/>
            <w:shd w:val="clear" w:color="auto" w:fill="auto"/>
            <w:noWrap/>
            <w:vAlign w:val="bottom"/>
          </w:tcPr>
          <w:p w14:paraId="283ACB70" w14:textId="091BC142"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Homozygous&gt;Non-familial&gt;Heterozygous</w:t>
            </w:r>
          </w:p>
        </w:tc>
        <w:tc>
          <w:tcPr>
            <w:tcW w:w="1760" w:type="dxa"/>
            <w:shd w:val="clear" w:color="auto" w:fill="auto"/>
            <w:noWrap/>
            <w:vAlign w:val="bottom"/>
          </w:tcPr>
          <w:p w14:paraId="729B5529" w14:textId="716EC784"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11</w:t>
            </w:r>
          </w:p>
        </w:tc>
        <w:tc>
          <w:tcPr>
            <w:tcW w:w="960" w:type="dxa"/>
            <w:shd w:val="clear" w:color="auto" w:fill="auto"/>
            <w:noWrap/>
            <w:vAlign w:val="bottom"/>
          </w:tcPr>
          <w:p w14:paraId="4C1EFF0E" w14:textId="226BDB7E"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0.25%</w:t>
            </w:r>
          </w:p>
        </w:tc>
      </w:tr>
      <w:tr w:rsidR="00427520" w:rsidRPr="00506B86" w14:paraId="0DA13C77" w14:textId="77777777" w:rsidTr="00427520">
        <w:trPr>
          <w:trHeight w:val="300"/>
        </w:trPr>
        <w:tc>
          <w:tcPr>
            <w:tcW w:w="5420" w:type="dxa"/>
            <w:shd w:val="clear" w:color="auto" w:fill="auto"/>
            <w:noWrap/>
            <w:vAlign w:val="bottom"/>
          </w:tcPr>
          <w:p w14:paraId="0D7FC9A8" w14:textId="33788C80"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Heterozygous&gt;Non-familial&gt;Homozygous</w:t>
            </w:r>
          </w:p>
        </w:tc>
        <w:tc>
          <w:tcPr>
            <w:tcW w:w="1760" w:type="dxa"/>
            <w:shd w:val="clear" w:color="auto" w:fill="auto"/>
            <w:noWrap/>
            <w:vAlign w:val="bottom"/>
          </w:tcPr>
          <w:p w14:paraId="7A67D8EA" w14:textId="102BBA9B"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9</w:t>
            </w:r>
          </w:p>
        </w:tc>
        <w:tc>
          <w:tcPr>
            <w:tcW w:w="960" w:type="dxa"/>
            <w:shd w:val="clear" w:color="auto" w:fill="auto"/>
            <w:noWrap/>
            <w:vAlign w:val="bottom"/>
          </w:tcPr>
          <w:p w14:paraId="7CF9939F" w14:textId="0CE7B560"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0.20%</w:t>
            </w:r>
          </w:p>
        </w:tc>
      </w:tr>
      <w:tr w:rsidR="00427520" w:rsidRPr="00506B86" w14:paraId="29F1B6AD" w14:textId="77777777" w:rsidTr="00427520">
        <w:trPr>
          <w:trHeight w:val="300"/>
        </w:trPr>
        <w:tc>
          <w:tcPr>
            <w:tcW w:w="5420" w:type="dxa"/>
            <w:shd w:val="clear" w:color="auto" w:fill="auto"/>
            <w:noWrap/>
            <w:vAlign w:val="bottom"/>
          </w:tcPr>
          <w:p w14:paraId="7D9964E3" w14:textId="38FC8FC3"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Non-familial&gt;Homozygous&gt;Non-familial</w:t>
            </w:r>
          </w:p>
        </w:tc>
        <w:tc>
          <w:tcPr>
            <w:tcW w:w="1760" w:type="dxa"/>
            <w:shd w:val="clear" w:color="auto" w:fill="auto"/>
            <w:noWrap/>
            <w:vAlign w:val="bottom"/>
          </w:tcPr>
          <w:p w14:paraId="00C0597F" w14:textId="1B5CC882"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9</w:t>
            </w:r>
          </w:p>
        </w:tc>
        <w:tc>
          <w:tcPr>
            <w:tcW w:w="960" w:type="dxa"/>
            <w:shd w:val="clear" w:color="auto" w:fill="auto"/>
            <w:noWrap/>
            <w:vAlign w:val="bottom"/>
          </w:tcPr>
          <w:p w14:paraId="6E360885" w14:textId="72CE2ACC"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0.20%</w:t>
            </w:r>
          </w:p>
        </w:tc>
      </w:tr>
      <w:tr w:rsidR="00427520" w:rsidRPr="00506B86" w14:paraId="3216A7AF" w14:textId="77777777" w:rsidTr="00427520">
        <w:trPr>
          <w:trHeight w:val="300"/>
        </w:trPr>
        <w:tc>
          <w:tcPr>
            <w:tcW w:w="5420" w:type="dxa"/>
            <w:shd w:val="clear" w:color="auto" w:fill="auto"/>
            <w:noWrap/>
            <w:vAlign w:val="bottom"/>
          </w:tcPr>
          <w:p w14:paraId="38F9E07E" w14:textId="1F9F5CA4"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Homozygous&gt;Heterozygous&gt;Non-familial</w:t>
            </w:r>
          </w:p>
        </w:tc>
        <w:tc>
          <w:tcPr>
            <w:tcW w:w="1760" w:type="dxa"/>
            <w:shd w:val="clear" w:color="auto" w:fill="auto"/>
            <w:noWrap/>
            <w:vAlign w:val="bottom"/>
          </w:tcPr>
          <w:p w14:paraId="65260CDA" w14:textId="211A7BA5"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8</w:t>
            </w:r>
          </w:p>
        </w:tc>
        <w:tc>
          <w:tcPr>
            <w:tcW w:w="960" w:type="dxa"/>
            <w:shd w:val="clear" w:color="auto" w:fill="auto"/>
            <w:noWrap/>
            <w:vAlign w:val="bottom"/>
          </w:tcPr>
          <w:p w14:paraId="7FC7E12E" w14:textId="590C3D8C"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0.18%</w:t>
            </w:r>
          </w:p>
        </w:tc>
      </w:tr>
      <w:tr w:rsidR="00427520" w:rsidRPr="00506B86" w14:paraId="40946C26" w14:textId="77777777" w:rsidTr="00427520">
        <w:trPr>
          <w:trHeight w:val="300"/>
        </w:trPr>
        <w:tc>
          <w:tcPr>
            <w:tcW w:w="5420" w:type="dxa"/>
            <w:shd w:val="clear" w:color="auto" w:fill="auto"/>
            <w:noWrap/>
            <w:vAlign w:val="bottom"/>
          </w:tcPr>
          <w:p w14:paraId="2A2BB5B9" w14:textId="722FB1F7"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Homozygous&gt;Non-familial&gt;Homozygous&gt;Non-familial</w:t>
            </w:r>
          </w:p>
        </w:tc>
        <w:tc>
          <w:tcPr>
            <w:tcW w:w="1760" w:type="dxa"/>
            <w:shd w:val="clear" w:color="auto" w:fill="auto"/>
            <w:noWrap/>
            <w:vAlign w:val="bottom"/>
          </w:tcPr>
          <w:p w14:paraId="69E7492E" w14:textId="523DB167"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8</w:t>
            </w:r>
          </w:p>
        </w:tc>
        <w:tc>
          <w:tcPr>
            <w:tcW w:w="960" w:type="dxa"/>
            <w:shd w:val="clear" w:color="auto" w:fill="auto"/>
            <w:noWrap/>
            <w:vAlign w:val="bottom"/>
          </w:tcPr>
          <w:p w14:paraId="68EF54C8" w14:textId="581EA7CE"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0.18%</w:t>
            </w:r>
          </w:p>
        </w:tc>
      </w:tr>
      <w:tr w:rsidR="00427520" w:rsidRPr="00506B86" w14:paraId="7B2F2705" w14:textId="77777777" w:rsidTr="00427520">
        <w:trPr>
          <w:trHeight w:val="300"/>
        </w:trPr>
        <w:tc>
          <w:tcPr>
            <w:tcW w:w="5420" w:type="dxa"/>
            <w:shd w:val="clear" w:color="auto" w:fill="auto"/>
            <w:noWrap/>
            <w:vAlign w:val="bottom"/>
          </w:tcPr>
          <w:p w14:paraId="1905D270" w14:textId="64FEEFA0"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Heterozygous&gt;Homozygous&gt;Non-familial</w:t>
            </w:r>
          </w:p>
        </w:tc>
        <w:tc>
          <w:tcPr>
            <w:tcW w:w="1760" w:type="dxa"/>
            <w:shd w:val="clear" w:color="auto" w:fill="auto"/>
            <w:noWrap/>
            <w:vAlign w:val="bottom"/>
          </w:tcPr>
          <w:p w14:paraId="0F66C3FE" w14:textId="45752164"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w:t>
            </w:r>
          </w:p>
        </w:tc>
        <w:tc>
          <w:tcPr>
            <w:tcW w:w="960" w:type="dxa"/>
            <w:shd w:val="clear" w:color="auto" w:fill="auto"/>
            <w:noWrap/>
            <w:vAlign w:val="bottom"/>
          </w:tcPr>
          <w:p w14:paraId="7479AEAD" w14:textId="35C3DBC1"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0.13%</w:t>
            </w:r>
          </w:p>
        </w:tc>
      </w:tr>
      <w:tr w:rsidR="00427520" w:rsidRPr="00506B86" w14:paraId="169D27C3" w14:textId="77777777" w:rsidTr="00427520">
        <w:trPr>
          <w:trHeight w:val="300"/>
        </w:trPr>
        <w:tc>
          <w:tcPr>
            <w:tcW w:w="5420" w:type="dxa"/>
            <w:shd w:val="clear" w:color="auto" w:fill="auto"/>
            <w:noWrap/>
            <w:vAlign w:val="bottom"/>
          </w:tcPr>
          <w:p w14:paraId="5AF8D48A" w14:textId="5E23A811" w:rsidR="00427520" w:rsidRPr="00506B86" w:rsidRDefault="00427520" w:rsidP="00427520">
            <w:pPr>
              <w:keepNext/>
              <w:spacing w:after="0"/>
              <w:rPr>
                <w:rFonts w:ascii="Calibri" w:eastAsia="Times New Roman" w:hAnsi="Calibri" w:cs="Calibri"/>
                <w:color w:val="000000"/>
                <w:sz w:val="20"/>
                <w:szCs w:val="20"/>
              </w:rPr>
            </w:pPr>
            <w:r w:rsidRPr="00506B86">
              <w:rPr>
                <w:rFonts w:ascii="Calibri" w:hAnsi="Calibri" w:cs="Calibri"/>
                <w:color w:val="000000"/>
                <w:sz w:val="20"/>
                <w:szCs w:val="20"/>
              </w:rPr>
              <w:t>Non-familial&gt;Homozygous&gt;Non-familial&gt;Homozygous</w:t>
            </w:r>
          </w:p>
        </w:tc>
        <w:tc>
          <w:tcPr>
            <w:tcW w:w="1760" w:type="dxa"/>
            <w:shd w:val="clear" w:color="auto" w:fill="auto"/>
            <w:noWrap/>
            <w:vAlign w:val="bottom"/>
          </w:tcPr>
          <w:p w14:paraId="16FE975D" w14:textId="4DF5BF71"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w:t>
            </w:r>
          </w:p>
        </w:tc>
        <w:tc>
          <w:tcPr>
            <w:tcW w:w="960" w:type="dxa"/>
            <w:shd w:val="clear" w:color="auto" w:fill="auto"/>
            <w:noWrap/>
            <w:vAlign w:val="bottom"/>
          </w:tcPr>
          <w:p w14:paraId="40018D79" w14:textId="090D9451" w:rsidR="00427520" w:rsidRPr="00506B86" w:rsidRDefault="00427520" w:rsidP="00427520">
            <w:pPr>
              <w:keepNext/>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0.13%</w:t>
            </w:r>
          </w:p>
        </w:tc>
      </w:tr>
    </w:tbl>
    <w:p w14:paraId="1A4A4A75" w14:textId="4947E396" w:rsidR="00427520" w:rsidRDefault="00427520" w:rsidP="00F3128A">
      <w:pPr>
        <w:pStyle w:val="Notes"/>
      </w:pPr>
      <w:r>
        <w:t>Note: Prescriptions with an unknown indication have been ignored</w:t>
      </w:r>
    </w:p>
    <w:p w14:paraId="2C19DF65" w14:textId="77777777" w:rsidR="00427520" w:rsidRDefault="00427520" w:rsidP="002A2714"/>
    <w:p w14:paraId="0FA1415B" w14:textId="2DDFA796" w:rsidR="002A2714" w:rsidRDefault="00F4362D" w:rsidP="002A2714">
      <w:r>
        <w:t>Table 4</w:t>
      </w:r>
      <w:r w:rsidR="006D76AF">
        <w:t xml:space="preserve"> above summarises the number of patients with each indication sequence, where the number of patients is higher than 5. T</w:t>
      </w:r>
      <w:r w:rsidR="002805FB">
        <w:t>he t</w:t>
      </w:r>
      <w:r w:rsidR="002A2714">
        <w:t xml:space="preserve">otal number of patients </w:t>
      </w:r>
      <w:r w:rsidR="002805FB">
        <w:t xml:space="preserve">treated with evolocumab since listing on the PBS is </w:t>
      </w:r>
      <w:r w:rsidR="002A2714">
        <w:t>4</w:t>
      </w:r>
      <w:r w:rsidR="002805FB">
        <w:t>,</w:t>
      </w:r>
      <w:r w:rsidR="002A2714">
        <w:t>483</w:t>
      </w:r>
      <w:r w:rsidR="002805FB">
        <w:t>. The p</w:t>
      </w:r>
      <w:r w:rsidR="002A2714">
        <w:t>roportion of patients in</w:t>
      </w:r>
      <w:r w:rsidR="002805FB">
        <w:t xml:space="preserve"> the</w:t>
      </w:r>
      <w:r w:rsidR="002A2714">
        <w:t xml:space="preserve"> top three</w:t>
      </w:r>
      <w:r w:rsidR="009F5E8B">
        <w:t xml:space="preserve"> </w:t>
      </w:r>
      <w:r w:rsidR="002805FB">
        <w:t xml:space="preserve">indication sequences, i.e. </w:t>
      </w:r>
      <w:r w:rsidR="009F5E8B">
        <w:t xml:space="preserve">Homozygous, Non-familial, </w:t>
      </w:r>
      <w:r w:rsidR="002805FB">
        <w:t>or Heterozygous</w:t>
      </w:r>
      <w:r w:rsidR="009F5E8B">
        <w:t xml:space="preserve"> with no switching of indication</w:t>
      </w:r>
      <w:r w:rsidR="002805FB">
        <w:t xml:space="preserve"> was</w:t>
      </w:r>
      <w:r w:rsidR="002A2714">
        <w:t xml:space="preserve"> </w:t>
      </w:r>
      <w:r w:rsidR="00427520">
        <w:t>79</w:t>
      </w:r>
      <w:r w:rsidR="002A2714">
        <w:t>%</w:t>
      </w:r>
      <w:r w:rsidR="006D76AF">
        <w:t xml:space="preserve"> of the total number of treated patients</w:t>
      </w:r>
      <w:r w:rsidR="002805FB">
        <w:t>.</w:t>
      </w:r>
    </w:p>
    <w:p w14:paraId="75092F97" w14:textId="77777777" w:rsidR="00612829" w:rsidRPr="00460030" w:rsidRDefault="00612829" w:rsidP="00460030"/>
    <w:p w14:paraId="09F8A9BC" w14:textId="443EC959" w:rsidR="006A44F5" w:rsidRPr="005E22C2" w:rsidRDefault="00736041" w:rsidP="00D01B6E">
      <w:pPr>
        <w:pStyle w:val="Heading3"/>
        <w:keepNext/>
      </w:pPr>
      <w:r w:rsidRPr="005E22C2">
        <w:lastRenderedPageBreak/>
        <w:t>Overall utilisation</w:t>
      </w:r>
    </w:p>
    <w:p w14:paraId="0F54C717" w14:textId="71DC7BAD" w:rsidR="002A2714" w:rsidRDefault="002A2714" w:rsidP="00A35800">
      <w:pPr>
        <w:rPr>
          <w:highlight w:val="yellow"/>
        </w:rPr>
      </w:pPr>
      <w:r>
        <w:rPr>
          <w:noProof/>
        </w:rPr>
        <w:drawing>
          <wp:inline distT="0" distB="0" distL="0" distR="0" wp14:anchorId="32818D24" wp14:editId="01C62799">
            <wp:extent cx="5687695" cy="3942715"/>
            <wp:effectExtent l="0" t="0" r="8255" b="635"/>
            <wp:docPr id="6" name="Chart 6" descr="Initiating and treated patients by ind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DCF0B4" w14:textId="28F1C11B" w:rsidR="002A2714" w:rsidRPr="003B7969" w:rsidRDefault="003B7969" w:rsidP="003B7969">
      <w:pPr>
        <w:pStyle w:val="Figuretitle"/>
      </w:pPr>
      <w:r w:rsidRPr="003B7969">
        <w:t xml:space="preserve">Figure </w:t>
      </w:r>
      <w:r w:rsidR="00F4362D">
        <w:t>5</w:t>
      </w:r>
      <w:r w:rsidRPr="003B7969">
        <w:t>: Initiating and treated patients by indication</w:t>
      </w:r>
    </w:p>
    <w:p w14:paraId="33DDF89E" w14:textId="4264881C" w:rsidR="003B7969" w:rsidRDefault="003B7969" w:rsidP="003B7969">
      <w:pPr>
        <w:pStyle w:val="Notes"/>
        <w:rPr>
          <w:highlight w:val="yellow"/>
        </w:rPr>
      </w:pPr>
      <w:r>
        <w:t>Note: I</w:t>
      </w:r>
      <w:r w:rsidRPr="002C727E">
        <w:t xml:space="preserve">ndication determined by </w:t>
      </w:r>
      <w:r>
        <w:t>authority or streamlined</w:t>
      </w:r>
      <w:r w:rsidRPr="002C727E">
        <w:t xml:space="preserve"> code</w:t>
      </w:r>
    </w:p>
    <w:p w14:paraId="453B1A0E" w14:textId="68E34529" w:rsidR="002A2714" w:rsidRDefault="009F5E8B" w:rsidP="00A35800">
      <w:r>
        <w:t xml:space="preserve">There appears to be clear increase in the number of treated patients when evolocumab was listed for non-familial </w:t>
      </w:r>
      <w:r w:rsidRPr="009F5E8B">
        <w:t>hypercholesterolaemia</w:t>
      </w:r>
      <w:r w:rsidR="003B7969" w:rsidRPr="003B7969">
        <w:t xml:space="preserve">, however as noted in </w:t>
      </w:r>
      <w:r>
        <w:t>the previous review, the</w:t>
      </w:r>
      <w:r w:rsidR="003B7969" w:rsidRPr="003B7969">
        <w:t xml:space="preserve"> listing of familial heterozygous does not appear to have </w:t>
      </w:r>
      <w:r w:rsidR="002805FB">
        <w:t>increased the</w:t>
      </w:r>
      <w:r w:rsidR="007A4CF2">
        <w:t xml:space="preserve"> overall</w:t>
      </w:r>
      <w:r w:rsidR="002805FB">
        <w:t xml:space="preserve"> number of treated</w:t>
      </w:r>
      <w:r w:rsidR="003B7969" w:rsidRPr="003B7969">
        <w:t xml:space="preserve"> patients</w:t>
      </w:r>
      <w:r w:rsidR="007A4CF2">
        <w:t xml:space="preserve"> above existing levels.</w:t>
      </w:r>
      <w:r w:rsidR="003B7969" w:rsidRPr="003B7969">
        <w:t xml:space="preserve"> </w:t>
      </w:r>
    </w:p>
    <w:p w14:paraId="5729C540" w14:textId="2830624A" w:rsidR="00A0779E" w:rsidRDefault="00B8228C" w:rsidP="00A35800">
      <w:r>
        <w:rPr>
          <w:noProof/>
        </w:rPr>
        <w:lastRenderedPageBreak/>
        <w:drawing>
          <wp:inline distT="0" distB="0" distL="0" distR="0" wp14:anchorId="6337663B" wp14:editId="2E802010">
            <wp:extent cx="5687695" cy="4057015"/>
            <wp:effectExtent l="0" t="0" r="8255" b="635"/>
            <wp:docPr id="3" name="Chart 3" descr="Age and gender of patients at initiation, all indic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DAA800D" w14:textId="49D296FD" w:rsidR="00A0779E" w:rsidRDefault="00F4362D" w:rsidP="00A0779E">
      <w:pPr>
        <w:pStyle w:val="Figuretitle"/>
      </w:pPr>
      <w:r>
        <w:t>Figure 6</w:t>
      </w:r>
      <w:r w:rsidR="00A0779E">
        <w:t>: Age and gender of patients at initiation</w:t>
      </w:r>
      <w:r w:rsidR="008024AE">
        <w:t>, all indications</w:t>
      </w:r>
    </w:p>
    <w:p w14:paraId="576FC5DF" w14:textId="50A2FBBA" w:rsidR="00A0779E" w:rsidRPr="003B7969" w:rsidRDefault="00A0779E" w:rsidP="00A0779E">
      <w:pPr>
        <w:pStyle w:val="Notes"/>
      </w:pPr>
      <w:r>
        <w:t>Note: patient numbers &lt; 5 are shown as 5.</w:t>
      </w:r>
    </w:p>
    <w:p w14:paraId="33FB35A0" w14:textId="4FE3D81F" w:rsidR="009F5E8B" w:rsidRDefault="00F4362D" w:rsidP="00D20AF0">
      <w:pPr>
        <w:pStyle w:val="Tabletitle"/>
      </w:pPr>
      <w:r>
        <w:t>Table 5</w:t>
      </w:r>
      <w:r w:rsidR="00D20AF0">
        <w:t xml:space="preserve">: Mean and median age at initiation by </w:t>
      </w:r>
      <w:r w:rsidR="001E6391">
        <w:t xml:space="preserve">main </w:t>
      </w:r>
      <w:r w:rsidR="00D20AF0">
        <w:t>indication</w:t>
      </w: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236"/>
        <w:gridCol w:w="1039"/>
        <w:gridCol w:w="1039"/>
        <w:gridCol w:w="1040"/>
      </w:tblGrid>
      <w:tr w:rsidR="00D20AF0" w:rsidRPr="00506B86" w14:paraId="7133868D" w14:textId="77777777" w:rsidTr="00D20AF0">
        <w:trPr>
          <w:trHeight w:val="300"/>
        </w:trPr>
        <w:tc>
          <w:tcPr>
            <w:tcW w:w="2020" w:type="dxa"/>
            <w:shd w:val="clear" w:color="auto" w:fill="BFBFBF" w:themeFill="background1" w:themeFillShade="BF"/>
            <w:noWrap/>
            <w:vAlign w:val="bottom"/>
            <w:hideMark/>
          </w:tcPr>
          <w:p w14:paraId="71918689" w14:textId="77777777" w:rsidR="00D20AF0" w:rsidRPr="00506B86" w:rsidRDefault="00D20AF0" w:rsidP="00D20AF0">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Main indication</w:t>
            </w:r>
          </w:p>
        </w:tc>
        <w:tc>
          <w:tcPr>
            <w:tcW w:w="1236" w:type="dxa"/>
            <w:shd w:val="clear" w:color="auto" w:fill="BFBFBF" w:themeFill="background1" w:themeFillShade="BF"/>
            <w:noWrap/>
            <w:vAlign w:val="bottom"/>
            <w:hideMark/>
          </w:tcPr>
          <w:p w14:paraId="76E31E4B" w14:textId="77777777" w:rsidR="00D20AF0" w:rsidRPr="00506B86" w:rsidRDefault="00D20AF0" w:rsidP="00D20AF0">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Patient sex</w:t>
            </w:r>
          </w:p>
        </w:tc>
        <w:tc>
          <w:tcPr>
            <w:tcW w:w="1039" w:type="dxa"/>
            <w:shd w:val="clear" w:color="auto" w:fill="BFBFBF" w:themeFill="background1" w:themeFillShade="BF"/>
            <w:noWrap/>
            <w:vAlign w:val="bottom"/>
            <w:hideMark/>
          </w:tcPr>
          <w:p w14:paraId="020E0C13" w14:textId="77777777" w:rsidR="00D20AF0" w:rsidRPr="00506B86" w:rsidRDefault="00D20AF0" w:rsidP="00D20AF0">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N</w:t>
            </w:r>
          </w:p>
        </w:tc>
        <w:tc>
          <w:tcPr>
            <w:tcW w:w="1039" w:type="dxa"/>
            <w:shd w:val="clear" w:color="auto" w:fill="BFBFBF" w:themeFill="background1" w:themeFillShade="BF"/>
            <w:noWrap/>
            <w:vAlign w:val="bottom"/>
            <w:hideMark/>
          </w:tcPr>
          <w:p w14:paraId="6FF1ECDF" w14:textId="77777777" w:rsidR="00D20AF0" w:rsidRPr="00506B86" w:rsidRDefault="00D20AF0" w:rsidP="00D20AF0">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Mean</w:t>
            </w:r>
          </w:p>
        </w:tc>
        <w:tc>
          <w:tcPr>
            <w:tcW w:w="1040" w:type="dxa"/>
            <w:shd w:val="clear" w:color="auto" w:fill="BFBFBF" w:themeFill="background1" w:themeFillShade="BF"/>
            <w:noWrap/>
            <w:vAlign w:val="bottom"/>
            <w:hideMark/>
          </w:tcPr>
          <w:p w14:paraId="2F191B27" w14:textId="77777777" w:rsidR="00D20AF0" w:rsidRPr="00506B86" w:rsidRDefault="00D20AF0" w:rsidP="00D20AF0">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Median</w:t>
            </w:r>
          </w:p>
        </w:tc>
      </w:tr>
      <w:tr w:rsidR="00B8228C" w:rsidRPr="00506B86" w14:paraId="44B5CCDF" w14:textId="77777777" w:rsidTr="00B060CC">
        <w:trPr>
          <w:trHeight w:val="300"/>
        </w:trPr>
        <w:tc>
          <w:tcPr>
            <w:tcW w:w="2020" w:type="dxa"/>
            <w:vMerge w:val="restart"/>
            <w:shd w:val="clear" w:color="auto" w:fill="auto"/>
            <w:noWrap/>
            <w:vAlign w:val="center"/>
            <w:hideMark/>
          </w:tcPr>
          <w:p w14:paraId="60BDB1D4" w14:textId="4E0A0BEC"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Heterozygous</w:t>
            </w:r>
          </w:p>
        </w:tc>
        <w:tc>
          <w:tcPr>
            <w:tcW w:w="1236" w:type="dxa"/>
            <w:shd w:val="clear" w:color="auto" w:fill="auto"/>
            <w:noWrap/>
            <w:vAlign w:val="bottom"/>
            <w:hideMark/>
          </w:tcPr>
          <w:p w14:paraId="685BED5A"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F</w:t>
            </w:r>
          </w:p>
        </w:tc>
        <w:tc>
          <w:tcPr>
            <w:tcW w:w="1039" w:type="dxa"/>
            <w:shd w:val="clear" w:color="auto" w:fill="auto"/>
            <w:noWrap/>
            <w:vAlign w:val="bottom"/>
            <w:hideMark/>
          </w:tcPr>
          <w:p w14:paraId="29AD7FA5" w14:textId="4B3B77E6"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568</w:t>
            </w:r>
          </w:p>
        </w:tc>
        <w:tc>
          <w:tcPr>
            <w:tcW w:w="1039" w:type="dxa"/>
            <w:shd w:val="clear" w:color="auto" w:fill="auto"/>
            <w:noWrap/>
            <w:vAlign w:val="bottom"/>
            <w:hideMark/>
          </w:tcPr>
          <w:p w14:paraId="0006B0A4" w14:textId="4222F8C5"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62.4</w:t>
            </w:r>
          </w:p>
        </w:tc>
        <w:tc>
          <w:tcPr>
            <w:tcW w:w="1040" w:type="dxa"/>
            <w:shd w:val="clear" w:color="auto" w:fill="auto"/>
            <w:noWrap/>
            <w:vAlign w:val="bottom"/>
            <w:hideMark/>
          </w:tcPr>
          <w:p w14:paraId="1BB332EF" w14:textId="09FC8466"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64</w:t>
            </w:r>
          </w:p>
        </w:tc>
      </w:tr>
      <w:tr w:rsidR="00B8228C" w:rsidRPr="00506B86" w14:paraId="0AF66DC2" w14:textId="77777777" w:rsidTr="00B060CC">
        <w:trPr>
          <w:trHeight w:val="300"/>
        </w:trPr>
        <w:tc>
          <w:tcPr>
            <w:tcW w:w="2020" w:type="dxa"/>
            <w:vMerge/>
            <w:shd w:val="clear" w:color="auto" w:fill="auto"/>
            <w:noWrap/>
            <w:vAlign w:val="center"/>
            <w:hideMark/>
          </w:tcPr>
          <w:p w14:paraId="0D816A85" w14:textId="76177FE4" w:rsidR="00B8228C" w:rsidRPr="00506B86" w:rsidRDefault="00B8228C" w:rsidP="00B8228C">
            <w:pPr>
              <w:spacing w:after="0"/>
              <w:rPr>
                <w:rFonts w:ascii="Calibri" w:eastAsia="Times New Roman" w:hAnsi="Calibri" w:cs="Calibri"/>
                <w:color w:val="000000"/>
                <w:sz w:val="20"/>
                <w:szCs w:val="20"/>
              </w:rPr>
            </w:pPr>
          </w:p>
        </w:tc>
        <w:tc>
          <w:tcPr>
            <w:tcW w:w="1236" w:type="dxa"/>
            <w:shd w:val="clear" w:color="auto" w:fill="auto"/>
            <w:noWrap/>
            <w:vAlign w:val="bottom"/>
            <w:hideMark/>
          </w:tcPr>
          <w:p w14:paraId="38E02C2F"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M</w:t>
            </w:r>
          </w:p>
        </w:tc>
        <w:tc>
          <w:tcPr>
            <w:tcW w:w="1039" w:type="dxa"/>
            <w:shd w:val="clear" w:color="auto" w:fill="auto"/>
            <w:noWrap/>
            <w:vAlign w:val="bottom"/>
            <w:hideMark/>
          </w:tcPr>
          <w:p w14:paraId="0B0BE5F0" w14:textId="5A1E1D9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605</w:t>
            </w:r>
          </w:p>
        </w:tc>
        <w:tc>
          <w:tcPr>
            <w:tcW w:w="1039" w:type="dxa"/>
            <w:shd w:val="clear" w:color="auto" w:fill="auto"/>
            <w:noWrap/>
            <w:vAlign w:val="bottom"/>
            <w:hideMark/>
          </w:tcPr>
          <w:p w14:paraId="6280DA03" w14:textId="5B42F4B0"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58.5</w:t>
            </w:r>
          </w:p>
        </w:tc>
        <w:tc>
          <w:tcPr>
            <w:tcW w:w="1040" w:type="dxa"/>
            <w:shd w:val="clear" w:color="auto" w:fill="auto"/>
            <w:noWrap/>
            <w:vAlign w:val="bottom"/>
            <w:hideMark/>
          </w:tcPr>
          <w:p w14:paraId="04389D47" w14:textId="6F2DEF1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59</w:t>
            </w:r>
          </w:p>
        </w:tc>
      </w:tr>
      <w:tr w:rsidR="00B8228C" w:rsidRPr="00506B86" w14:paraId="768D7AA8" w14:textId="77777777" w:rsidTr="00B060CC">
        <w:trPr>
          <w:trHeight w:val="300"/>
        </w:trPr>
        <w:tc>
          <w:tcPr>
            <w:tcW w:w="2020" w:type="dxa"/>
            <w:vMerge/>
            <w:shd w:val="clear" w:color="auto" w:fill="auto"/>
            <w:noWrap/>
            <w:vAlign w:val="center"/>
            <w:hideMark/>
          </w:tcPr>
          <w:p w14:paraId="2ADD7176" w14:textId="35D50A49" w:rsidR="00B8228C" w:rsidRPr="00506B86" w:rsidRDefault="00B8228C" w:rsidP="00B8228C">
            <w:pPr>
              <w:spacing w:after="0"/>
              <w:rPr>
                <w:rFonts w:ascii="Calibri" w:eastAsia="Times New Roman" w:hAnsi="Calibri" w:cs="Calibri"/>
                <w:color w:val="000000"/>
                <w:sz w:val="20"/>
                <w:szCs w:val="20"/>
              </w:rPr>
            </w:pPr>
          </w:p>
        </w:tc>
        <w:tc>
          <w:tcPr>
            <w:tcW w:w="1236" w:type="dxa"/>
            <w:shd w:val="clear" w:color="auto" w:fill="auto"/>
            <w:noWrap/>
            <w:vAlign w:val="bottom"/>
            <w:hideMark/>
          </w:tcPr>
          <w:p w14:paraId="0C56885F"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All</w:t>
            </w:r>
          </w:p>
        </w:tc>
        <w:tc>
          <w:tcPr>
            <w:tcW w:w="1039" w:type="dxa"/>
            <w:shd w:val="clear" w:color="auto" w:fill="auto"/>
            <w:noWrap/>
            <w:vAlign w:val="bottom"/>
            <w:hideMark/>
          </w:tcPr>
          <w:p w14:paraId="6EBA6971" w14:textId="3561E874"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1,173</w:t>
            </w:r>
          </w:p>
        </w:tc>
        <w:tc>
          <w:tcPr>
            <w:tcW w:w="1039" w:type="dxa"/>
            <w:shd w:val="clear" w:color="auto" w:fill="auto"/>
            <w:noWrap/>
            <w:vAlign w:val="bottom"/>
            <w:hideMark/>
          </w:tcPr>
          <w:p w14:paraId="006C1874" w14:textId="036CC9A0"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60.4</w:t>
            </w:r>
          </w:p>
        </w:tc>
        <w:tc>
          <w:tcPr>
            <w:tcW w:w="1040" w:type="dxa"/>
            <w:shd w:val="clear" w:color="auto" w:fill="auto"/>
            <w:noWrap/>
            <w:vAlign w:val="bottom"/>
            <w:hideMark/>
          </w:tcPr>
          <w:p w14:paraId="4DF2CC1E" w14:textId="639CD0F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61</w:t>
            </w:r>
          </w:p>
        </w:tc>
      </w:tr>
      <w:tr w:rsidR="00B8228C" w:rsidRPr="00506B86" w14:paraId="3E74F654" w14:textId="77777777" w:rsidTr="00B060CC">
        <w:trPr>
          <w:trHeight w:val="300"/>
        </w:trPr>
        <w:tc>
          <w:tcPr>
            <w:tcW w:w="2020" w:type="dxa"/>
            <w:vMerge w:val="restart"/>
            <w:shd w:val="clear" w:color="auto" w:fill="auto"/>
            <w:noWrap/>
            <w:vAlign w:val="center"/>
            <w:hideMark/>
          </w:tcPr>
          <w:p w14:paraId="2CA76995" w14:textId="66CF80C2"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Homozygous</w:t>
            </w:r>
          </w:p>
        </w:tc>
        <w:tc>
          <w:tcPr>
            <w:tcW w:w="1236" w:type="dxa"/>
            <w:shd w:val="clear" w:color="auto" w:fill="auto"/>
            <w:noWrap/>
            <w:vAlign w:val="bottom"/>
            <w:hideMark/>
          </w:tcPr>
          <w:p w14:paraId="2D8A37FF"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F</w:t>
            </w:r>
          </w:p>
        </w:tc>
        <w:tc>
          <w:tcPr>
            <w:tcW w:w="1039" w:type="dxa"/>
            <w:shd w:val="clear" w:color="auto" w:fill="auto"/>
            <w:noWrap/>
            <w:vAlign w:val="bottom"/>
            <w:hideMark/>
          </w:tcPr>
          <w:p w14:paraId="2A92F453" w14:textId="11CB288A"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861</w:t>
            </w:r>
          </w:p>
        </w:tc>
        <w:tc>
          <w:tcPr>
            <w:tcW w:w="1039" w:type="dxa"/>
            <w:shd w:val="clear" w:color="auto" w:fill="auto"/>
            <w:noWrap/>
            <w:vAlign w:val="bottom"/>
            <w:hideMark/>
          </w:tcPr>
          <w:p w14:paraId="62B3E0F4" w14:textId="3661A69B"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60.0</w:t>
            </w:r>
          </w:p>
        </w:tc>
        <w:tc>
          <w:tcPr>
            <w:tcW w:w="1040" w:type="dxa"/>
            <w:shd w:val="clear" w:color="auto" w:fill="auto"/>
            <w:noWrap/>
            <w:vAlign w:val="bottom"/>
            <w:hideMark/>
          </w:tcPr>
          <w:p w14:paraId="29C9D173" w14:textId="7470B3B8"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62</w:t>
            </w:r>
          </w:p>
        </w:tc>
      </w:tr>
      <w:tr w:rsidR="00B8228C" w:rsidRPr="00506B86" w14:paraId="422E7037" w14:textId="77777777" w:rsidTr="00B060CC">
        <w:trPr>
          <w:trHeight w:val="300"/>
        </w:trPr>
        <w:tc>
          <w:tcPr>
            <w:tcW w:w="2020" w:type="dxa"/>
            <w:vMerge/>
            <w:shd w:val="clear" w:color="auto" w:fill="auto"/>
            <w:noWrap/>
            <w:vAlign w:val="center"/>
            <w:hideMark/>
          </w:tcPr>
          <w:p w14:paraId="281ACE48" w14:textId="000B87E2" w:rsidR="00B8228C" w:rsidRPr="00506B86" w:rsidRDefault="00B8228C" w:rsidP="00B8228C">
            <w:pPr>
              <w:spacing w:after="0"/>
              <w:rPr>
                <w:rFonts w:ascii="Calibri" w:eastAsia="Times New Roman" w:hAnsi="Calibri" w:cs="Calibri"/>
                <w:color w:val="000000"/>
                <w:sz w:val="20"/>
                <w:szCs w:val="20"/>
              </w:rPr>
            </w:pPr>
          </w:p>
        </w:tc>
        <w:tc>
          <w:tcPr>
            <w:tcW w:w="1236" w:type="dxa"/>
            <w:shd w:val="clear" w:color="auto" w:fill="auto"/>
            <w:noWrap/>
            <w:vAlign w:val="bottom"/>
            <w:hideMark/>
          </w:tcPr>
          <w:p w14:paraId="27686ADD"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M</w:t>
            </w:r>
          </w:p>
        </w:tc>
        <w:tc>
          <w:tcPr>
            <w:tcW w:w="1039" w:type="dxa"/>
            <w:shd w:val="clear" w:color="auto" w:fill="auto"/>
            <w:noWrap/>
            <w:vAlign w:val="bottom"/>
            <w:hideMark/>
          </w:tcPr>
          <w:p w14:paraId="6BD8576E" w14:textId="292DF38B"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975</w:t>
            </w:r>
          </w:p>
        </w:tc>
        <w:tc>
          <w:tcPr>
            <w:tcW w:w="1039" w:type="dxa"/>
            <w:shd w:val="clear" w:color="auto" w:fill="auto"/>
            <w:noWrap/>
            <w:vAlign w:val="bottom"/>
            <w:hideMark/>
          </w:tcPr>
          <w:p w14:paraId="659F0B2C" w14:textId="025D302C"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56.5</w:t>
            </w:r>
          </w:p>
        </w:tc>
        <w:tc>
          <w:tcPr>
            <w:tcW w:w="1040" w:type="dxa"/>
            <w:shd w:val="clear" w:color="auto" w:fill="auto"/>
            <w:noWrap/>
            <w:vAlign w:val="bottom"/>
            <w:hideMark/>
          </w:tcPr>
          <w:p w14:paraId="217C8CB3" w14:textId="44AF9D1F"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57</w:t>
            </w:r>
          </w:p>
        </w:tc>
      </w:tr>
      <w:tr w:rsidR="00B8228C" w:rsidRPr="00506B86" w14:paraId="474392DA" w14:textId="77777777" w:rsidTr="00B060CC">
        <w:trPr>
          <w:trHeight w:val="300"/>
        </w:trPr>
        <w:tc>
          <w:tcPr>
            <w:tcW w:w="2020" w:type="dxa"/>
            <w:vMerge/>
            <w:shd w:val="clear" w:color="auto" w:fill="auto"/>
            <w:noWrap/>
            <w:vAlign w:val="center"/>
            <w:hideMark/>
          </w:tcPr>
          <w:p w14:paraId="0A93C8DF" w14:textId="77A2D462" w:rsidR="00B8228C" w:rsidRPr="00506B86" w:rsidRDefault="00B8228C" w:rsidP="00B8228C">
            <w:pPr>
              <w:spacing w:after="0"/>
              <w:rPr>
                <w:rFonts w:ascii="Calibri" w:eastAsia="Times New Roman" w:hAnsi="Calibri" w:cs="Calibri"/>
                <w:color w:val="000000"/>
                <w:sz w:val="20"/>
                <w:szCs w:val="20"/>
              </w:rPr>
            </w:pPr>
          </w:p>
        </w:tc>
        <w:tc>
          <w:tcPr>
            <w:tcW w:w="1236" w:type="dxa"/>
            <w:shd w:val="clear" w:color="auto" w:fill="auto"/>
            <w:noWrap/>
            <w:vAlign w:val="bottom"/>
            <w:hideMark/>
          </w:tcPr>
          <w:p w14:paraId="628DD326"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All</w:t>
            </w:r>
          </w:p>
        </w:tc>
        <w:tc>
          <w:tcPr>
            <w:tcW w:w="1039" w:type="dxa"/>
            <w:shd w:val="clear" w:color="auto" w:fill="auto"/>
            <w:noWrap/>
            <w:vAlign w:val="bottom"/>
            <w:hideMark/>
          </w:tcPr>
          <w:p w14:paraId="75EA4539" w14:textId="47A60631"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1,836</w:t>
            </w:r>
          </w:p>
        </w:tc>
        <w:tc>
          <w:tcPr>
            <w:tcW w:w="1039" w:type="dxa"/>
            <w:shd w:val="clear" w:color="auto" w:fill="auto"/>
            <w:noWrap/>
            <w:vAlign w:val="bottom"/>
            <w:hideMark/>
          </w:tcPr>
          <w:p w14:paraId="376E958B" w14:textId="7E83E651"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58.2</w:t>
            </w:r>
          </w:p>
        </w:tc>
        <w:tc>
          <w:tcPr>
            <w:tcW w:w="1040" w:type="dxa"/>
            <w:shd w:val="clear" w:color="auto" w:fill="auto"/>
            <w:noWrap/>
            <w:vAlign w:val="bottom"/>
            <w:hideMark/>
          </w:tcPr>
          <w:p w14:paraId="286BB676" w14:textId="7E1E4782"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59</w:t>
            </w:r>
          </w:p>
        </w:tc>
      </w:tr>
      <w:tr w:rsidR="00B8228C" w:rsidRPr="00506B86" w14:paraId="76B5E0E1" w14:textId="77777777" w:rsidTr="00B060CC">
        <w:trPr>
          <w:trHeight w:val="300"/>
        </w:trPr>
        <w:tc>
          <w:tcPr>
            <w:tcW w:w="2020" w:type="dxa"/>
            <w:vMerge w:val="restart"/>
            <w:shd w:val="clear" w:color="auto" w:fill="auto"/>
            <w:noWrap/>
            <w:vAlign w:val="center"/>
            <w:hideMark/>
          </w:tcPr>
          <w:p w14:paraId="066581B3" w14:textId="071CC0D5"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Non-familial</w:t>
            </w:r>
          </w:p>
        </w:tc>
        <w:tc>
          <w:tcPr>
            <w:tcW w:w="1236" w:type="dxa"/>
            <w:shd w:val="clear" w:color="auto" w:fill="auto"/>
            <w:noWrap/>
            <w:vAlign w:val="bottom"/>
            <w:hideMark/>
          </w:tcPr>
          <w:p w14:paraId="7F2D74F5"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F</w:t>
            </w:r>
          </w:p>
        </w:tc>
        <w:tc>
          <w:tcPr>
            <w:tcW w:w="1039" w:type="dxa"/>
            <w:shd w:val="clear" w:color="auto" w:fill="auto"/>
            <w:noWrap/>
            <w:vAlign w:val="bottom"/>
            <w:hideMark/>
          </w:tcPr>
          <w:p w14:paraId="0DECDF68" w14:textId="219ED8CF"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491</w:t>
            </w:r>
          </w:p>
        </w:tc>
        <w:tc>
          <w:tcPr>
            <w:tcW w:w="1039" w:type="dxa"/>
            <w:shd w:val="clear" w:color="auto" w:fill="auto"/>
            <w:noWrap/>
            <w:vAlign w:val="bottom"/>
            <w:hideMark/>
          </w:tcPr>
          <w:p w14:paraId="53434AC2" w14:textId="4F989431"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68.1</w:t>
            </w:r>
          </w:p>
        </w:tc>
        <w:tc>
          <w:tcPr>
            <w:tcW w:w="1040" w:type="dxa"/>
            <w:shd w:val="clear" w:color="auto" w:fill="auto"/>
            <w:noWrap/>
            <w:vAlign w:val="bottom"/>
            <w:hideMark/>
          </w:tcPr>
          <w:p w14:paraId="5797D43C" w14:textId="03EDA26E"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69</w:t>
            </w:r>
          </w:p>
        </w:tc>
      </w:tr>
      <w:tr w:rsidR="00B8228C" w:rsidRPr="00506B86" w14:paraId="30D7EE46" w14:textId="77777777" w:rsidTr="00B060CC">
        <w:trPr>
          <w:trHeight w:val="300"/>
        </w:trPr>
        <w:tc>
          <w:tcPr>
            <w:tcW w:w="2020" w:type="dxa"/>
            <w:vMerge/>
            <w:shd w:val="clear" w:color="auto" w:fill="auto"/>
            <w:noWrap/>
            <w:vAlign w:val="center"/>
            <w:hideMark/>
          </w:tcPr>
          <w:p w14:paraId="3A8104D6" w14:textId="447F6F3B" w:rsidR="00B8228C" w:rsidRPr="00506B86" w:rsidRDefault="00B8228C" w:rsidP="00B8228C">
            <w:pPr>
              <w:spacing w:after="0"/>
              <w:rPr>
                <w:rFonts w:ascii="Calibri" w:eastAsia="Times New Roman" w:hAnsi="Calibri" w:cs="Calibri"/>
                <w:color w:val="000000"/>
                <w:sz w:val="20"/>
                <w:szCs w:val="20"/>
              </w:rPr>
            </w:pPr>
          </w:p>
        </w:tc>
        <w:tc>
          <w:tcPr>
            <w:tcW w:w="1236" w:type="dxa"/>
            <w:shd w:val="clear" w:color="auto" w:fill="auto"/>
            <w:noWrap/>
            <w:vAlign w:val="bottom"/>
            <w:hideMark/>
          </w:tcPr>
          <w:p w14:paraId="02A34B34"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M</w:t>
            </w:r>
          </w:p>
        </w:tc>
        <w:tc>
          <w:tcPr>
            <w:tcW w:w="1039" w:type="dxa"/>
            <w:shd w:val="clear" w:color="auto" w:fill="auto"/>
            <w:noWrap/>
            <w:vAlign w:val="bottom"/>
            <w:hideMark/>
          </w:tcPr>
          <w:p w14:paraId="4D88CBFA" w14:textId="2F35EFF9"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936</w:t>
            </w:r>
          </w:p>
        </w:tc>
        <w:tc>
          <w:tcPr>
            <w:tcW w:w="1039" w:type="dxa"/>
            <w:shd w:val="clear" w:color="auto" w:fill="auto"/>
            <w:noWrap/>
            <w:vAlign w:val="bottom"/>
            <w:hideMark/>
          </w:tcPr>
          <w:p w14:paraId="1406179B" w14:textId="1DC732EB"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65.4</w:t>
            </w:r>
          </w:p>
        </w:tc>
        <w:tc>
          <w:tcPr>
            <w:tcW w:w="1040" w:type="dxa"/>
            <w:shd w:val="clear" w:color="auto" w:fill="auto"/>
            <w:noWrap/>
            <w:vAlign w:val="bottom"/>
            <w:hideMark/>
          </w:tcPr>
          <w:p w14:paraId="48C4615C" w14:textId="5BB50B8F"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66</w:t>
            </w:r>
          </w:p>
        </w:tc>
      </w:tr>
      <w:tr w:rsidR="00B8228C" w:rsidRPr="00506B86" w14:paraId="2615BBAD" w14:textId="77777777" w:rsidTr="00B060CC">
        <w:trPr>
          <w:trHeight w:val="300"/>
        </w:trPr>
        <w:tc>
          <w:tcPr>
            <w:tcW w:w="2020" w:type="dxa"/>
            <w:vMerge/>
            <w:shd w:val="clear" w:color="auto" w:fill="auto"/>
            <w:noWrap/>
            <w:vAlign w:val="center"/>
            <w:hideMark/>
          </w:tcPr>
          <w:p w14:paraId="66DCC3D3" w14:textId="7BC9DF8A" w:rsidR="00B8228C" w:rsidRPr="00506B86" w:rsidRDefault="00B8228C" w:rsidP="00B8228C">
            <w:pPr>
              <w:spacing w:after="0"/>
              <w:rPr>
                <w:rFonts w:ascii="Calibri" w:eastAsia="Times New Roman" w:hAnsi="Calibri" w:cs="Calibri"/>
                <w:color w:val="000000"/>
                <w:sz w:val="20"/>
                <w:szCs w:val="20"/>
              </w:rPr>
            </w:pPr>
          </w:p>
        </w:tc>
        <w:tc>
          <w:tcPr>
            <w:tcW w:w="1236" w:type="dxa"/>
            <w:shd w:val="clear" w:color="auto" w:fill="auto"/>
            <w:noWrap/>
            <w:vAlign w:val="bottom"/>
            <w:hideMark/>
          </w:tcPr>
          <w:p w14:paraId="3E517209"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All</w:t>
            </w:r>
          </w:p>
        </w:tc>
        <w:tc>
          <w:tcPr>
            <w:tcW w:w="1039" w:type="dxa"/>
            <w:shd w:val="clear" w:color="auto" w:fill="auto"/>
            <w:noWrap/>
            <w:vAlign w:val="bottom"/>
            <w:hideMark/>
          </w:tcPr>
          <w:p w14:paraId="55908AD3" w14:textId="1314533B"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1,427</w:t>
            </w:r>
          </w:p>
        </w:tc>
        <w:tc>
          <w:tcPr>
            <w:tcW w:w="1039" w:type="dxa"/>
            <w:shd w:val="clear" w:color="auto" w:fill="auto"/>
            <w:noWrap/>
            <w:vAlign w:val="bottom"/>
            <w:hideMark/>
          </w:tcPr>
          <w:p w14:paraId="252AAC67" w14:textId="590ECD3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66.4</w:t>
            </w:r>
          </w:p>
        </w:tc>
        <w:tc>
          <w:tcPr>
            <w:tcW w:w="1040" w:type="dxa"/>
            <w:shd w:val="clear" w:color="auto" w:fill="auto"/>
            <w:noWrap/>
            <w:vAlign w:val="bottom"/>
            <w:hideMark/>
          </w:tcPr>
          <w:p w14:paraId="7124A689" w14:textId="6034BA1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67</w:t>
            </w:r>
          </w:p>
        </w:tc>
      </w:tr>
      <w:tr w:rsidR="00B8228C" w:rsidRPr="00506B86" w14:paraId="76B8C76B" w14:textId="77777777" w:rsidTr="00B060CC">
        <w:trPr>
          <w:trHeight w:val="300"/>
        </w:trPr>
        <w:tc>
          <w:tcPr>
            <w:tcW w:w="2020" w:type="dxa"/>
            <w:vMerge w:val="restart"/>
            <w:shd w:val="clear" w:color="auto" w:fill="auto"/>
            <w:noWrap/>
            <w:vAlign w:val="center"/>
            <w:hideMark/>
          </w:tcPr>
          <w:p w14:paraId="2ACD9086" w14:textId="01491B68"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Unknown</w:t>
            </w:r>
          </w:p>
        </w:tc>
        <w:tc>
          <w:tcPr>
            <w:tcW w:w="1236" w:type="dxa"/>
            <w:shd w:val="clear" w:color="auto" w:fill="auto"/>
            <w:noWrap/>
            <w:vAlign w:val="bottom"/>
            <w:hideMark/>
          </w:tcPr>
          <w:p w14:paraId="2B2E32C2"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F</w:t>
            </w:r>
          </w:p>
        </w:tc>
        <w:tc>
          <w:tcPr>
            <w:tcW w:w="1039" w:type="dxa"/>
            <w:shd w:val="clear" w:color="auto" w:fill="auto"/>
            <w:noWrap/>
            <w:vAlign w:val="bottom"/>
          </w:tcPr>
          <w:p w14:paraId="265DFA4B" w14:textId="188CCF80"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15</w:t>
            </w:r>
          </w:p>
        </w:tc>
        <w:tc>
          <w:tcPr>
            <w:tcW w:w="1039" w:type="dxa"/>
            <w:shd w:val="clear" w:color="auto" w:fill="auto"/>
            <w:noWrap/>
            <w:vAlign w:val="bottom"/>
            <w:hideMark/>
          </w:tcPr>
          <w:p w14:paraId="7E57E376" w14:textId="61B8FC83"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59.3</w:t>
            </w:r>
          </w:p>
        </w:tc>
        <w:tc>
          <w:tcPr>
            <w:tcW w:w="1040" w:type="dxa"/>
            <w:shd w:val="clear" w:color="auto" w:fill="auto"/>
            <w:noWrap/>
            <w:vAlign w:val="bottom"/>
            <w:hideMark/>
          </w:tcPr>
          <w:p w14:paraId="0CBE2C5E" w14:textId="193F0F95"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61</w:t>
            </w:r>
          </w:p>
        </w:tc>
      </w:tr>
      <w:tr w:rsidR="00B8228C" w:rsidRPr="00506B86" w14:paraId="27C40751" w14:textId="77777777" w:rsidTr="00B060CC">
        <w:trPr>
          <w:trHeight w:val="300"/>
        </w:trPr>
        <w:tc>
          <w:tcPr>
            <w:tcW w:w="2020" w:type="dxa"/>
            <w:vMerge/>
            <w:shd w:val="clear" w:color="auto" w:fill="auto"/>
            <w:noWrap/>
            <w:vAlign w:val="bottom"/>
            <w:hideMark/>
          </w:tcPr>
          <w:p w14:paraId="29C759B2" w14:textId="4C3EF5D8" w:rsidR="00B8228C" w:rsidRPr="00506B86" w:rsidRDefault="00B8228C" w:rsidP="00B8228C">
            <w:pPr>
              <w:spacing w:after="0"/>
              <w:rPr>
                <w:rFonts w:ascii="Calibri" w:eastAsia="Times New Roman" w:hAnsi="Calibri" w:cs="Calibri"/>
                <w:color w:val="000000"/>
                <w:sz w:val="20"/>
                <w:szCs w:val="20"/>
              </w:rPr>
            </w:pPr>
          </w:p>
        </w:tc>
        <w:tc>
          <w:tcPr>
            <w:tcW w:w="1236" w:type="dxa"/>
            <w:shd w:val="clear" w:color="auto" w:fill="auto"/>
            <w:noWrap/>
            <w:vAlign w:val="bottom"/>
            <w:hideMark/>
          </w:tcPr>
          <w:p w14:paraId="5FC8C506"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M</w:t>
            </w:r>
          </w:p>
        </w:tc>
        <w:tc>
          <w:tcPr>
            <w:tcW w:w="1039" w:type="dxa"/>
            <w:shd w:val="clear" w:color="auto" w:fill="auto"/>
            <w:noWrap/>
            <w:vAlign w:val="bottom"/>
          </w:tcPr>
          <w:p w14:paraId="343B5C55" w14:textId="3E2F3EF1"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32</w:t>
            </w:r>
          </w:p>
        </w:tc>
        <w:tc>
          <w:tcPr>
            <w:tcW w:w="1039" w:type="dxa"/>
            <w:shd w:val="clear" w:color="auto" w:fill="auto"/>
            <w:noWrap/>
            <w:vAlign w:val="bottom"/>
            <w:hideMark/>
          </w:tcPr>
          <w:p w14:paraId="64520AF5" w14:textId="379DE94B"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64.8</w:t>
            </w:r>
          </w:p>
        </w:tc>
        <w:tc>
          <w:tcPr>
            <w:tcW w:w="1040" w:type="dxa"/>
            <w:shd w:val="clear" w:color="auto" w:fill="auto"/>
            <w:noWrap/>
            <w:vAlign w:val="bottom"/>
            <w:hideMark/>
          </w:tcPr>
          <w:p w14:paraId="3A7B504A" w14:textId="1AF1040D"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69</w:t>
            </w:r>
          </w:p>
        </w:tc>
      </w:tr>
      <w:tr w:rsidR="00B8228C" w:rsidRPr="00506B86" w14:paraId="69CC77E7" w14:textId="77777777" w:rsidTr="00B060CC">
        <w:trPr>
          <w:trHeight w:val="300"/>
        </w:trPr>
        <w:tc>
          <w:tcPr>
            <w:tcW w:w="2020" w:type="dxa"/>
            <w:vMerge/>
            <w:shd w:val="clear" w:color="auto" w:fill="auto"/>
            <w:noWrap/>
            <w:vAlign w:val="bottom"/>
            <w:hideMark/>
          </w:tcPr>
          <w:p w14:paraId="26597F80" w14:textId="056D73B4" w:rsidR="00B8228C" w:rsidRPr="00506B86" w:rsidRDefault="00B8228C" w:rsidP="00B8228C">
            <w:pPr>
              <w:spacing w:after="0"/>
              <w:rPr>
                <w:rFonts w:ascii="Calibri" w:eastAsia="Times New Roman" w:hAnsi="Calibri" w:cs="Calibri"/>
                <w:color w:val="000000"/>
                <w:sz w:val="20"/>
                <w:szCs w:val="20"/>
              </w:rPr>
            </w:pPr>
          </w:p>
        </w:tc>
        <w:tc>
          <w:tcPr>
            <w:tcW w:w="1236" w:type="dxa"/>
            <w:shd w:val="clear" w:color="auto" w:fill="auto"/>
            <w:noWrap/>
            <w:vAlign w:val="bottom"/>
            <w:hideMark/>
          </w:tcPr>
          <w:p w14:paraId="527D1981" w14:textId="77777777" w:rsidR="00B8228C" w:rsidRPr="00506B86" w:rsidRDefault="00B8228C" w:rsidP="00B8228C">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All</w:t>
            </w:r>
          </w:p>
        </w:tc>
        <w:tc>
          <w:tcPr>
            <w:tcW w:w="1039" w:type="dxa"/>
            <w:shd w:val="clear" w:color="auto" w:fill="auto"/>
            <w:noWrap/>
            <w:vAlign w:val="bottom"/>
          </w:tcPr>
          <w:p w14:paraId="2448590F" w14:textId="2EAB2EAB"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47</w:t>
            </w:r>
          </w:p>
        </w:tc>
        <w:tc>
          <w:tcPr>
            <w:tcW w:w="1039" w:type="dxa"/>
            <w:shd w:val="clear" w:color="auto" w:fill="auto"/>
            <w:noWrap/>
            <w:vAlign w:val="bottom"/>
            <w:hideMark/>
          </w:tcPr>
          <w:p w14:paraId="068D5D35" w14:textId="01CFEC76"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63.0</w:t>
            </w:r>
          </w:p>
        </w:tc>
        <w:tc>
          <w:tcPr>
            <w:tcW w:w="1040" w:type="dxa"/>
            <w:shd w:val="clear" w:color="auto" w:fill="auto"/>
            <w:noWrap/>
            <w:vAlign w:val="bottom"/>
            <w:hideMark/>
          </w:tcPr>
          <w:p w14:paraId="783D7C0A" w14:textId="7A7958A3"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65</w:t>
            </w:r>
          </w:p>
        </w:tc>
      </w:tr>
    </w:tbl>
    <w:p w14:paraId="213490FF" w14:textId="6F0DA45A" w:rsidR="00367C83" w:rsidRDefault="00367C83" w:rsidP="00A35800">
      <w:pPr>
        <w:rPr>
          <w:b/>
        </w:rPr>
      </w:pPr>
    </w:p>
    <w:p w14:paraId="7966FEC3" w14:textId="3EDC3755" w:rsidR="001E6391" w:rsidRDefault="00326A8D" w:rsidP="001E6391">
      <w:r>
        <w:t xml:space="preserve">In all groups a majority of patients are male, however this majority is largest in non-familial </w:t>
      </w:r>
      <w:r w:rsidRPr="009F5E8B">
        <w:t>hypercholesterolaemia</w:t>
      </w:r>
      <w:r>
        <w:t xml:space="preserve">. </w:t>
      </w:r>
      <w:r w:rsidR="001E6391">
        <w:t xml:space="preserve">The mean and median age by main indication suggests that </w:t>
      </w:r>
      <w:r w:rsidR="00B8228C">
        <w:t>patients with familial h</w:t>
      </w:r>
      <w:r w:rsidR="00B8228C" w:rsidRPr="001E6391">
        <w:t>omozygous hypercholesterolaemia</w:t>
      </w:r>
      <w:r w:rsidR="00B8228C">
        <w:t xml:space="preserve"> may be </w:t>
      </w:r>
      <w:r w:rsidR="001E6391">
        <w:t>the youngest patients to initiate to evolocumab.</w:t>
      </w:r>
    </w:p>
    <w:p w14:paraId="6977F074" w14:textId="10F22698" w:rsidR="00B63FD7" w:rsidRDefault="00F4362D" w:rsidP="001E6391">
      <w:pPr>
        <w:pStyle w:val="Tabletitle"/>
        <w:keepNext/>
      </w:pPr>
      <w:r>
        <w:lastRenderedPageBreak/>
        <w:t>Table 6:</w:t>
      </w:r>
      <w:r w:rsidR="009F5E8B">
        <w:t xml:space="preserve"> </w:t>
      </w:r>
      <w:r w:rsidR="003B7969" w:rsidRPr="009F5E8B">
        <w:t>Number of treatments</w:t>
      </w:r>
      <w:r w:rsidR="009F5E8B">
        <w:t xml:space="preserve"> by </w:t>
      </w:r>
      <w:r w:rsidR="002805FB">
        <w:t xml:space="preserve">main </w:t>
      </w:r>
      <w:r w:rsidR="009F5E8B">
        <w:t>indication</w:t>
      </w:r>
    </w:p>
    <w:tbl>
      <w:tblPr>
        <w:tblW w:w="6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960"/>
        <w:gridCol w:w="960"/>
        <w:gridCol w:w="960"/>
        <w:gridCol w:w="960"/>
        <w:gridCol w:w="960"/>
      </w:tblGrid>
      <w:tr w:rsidR="003579F8" w:rsidRPr="00506B86" w14:paraId="64EE40BD" w14:textId="77777777" w:rsidTr="00B8228C">
        <w:trPr>
          <w:trHeight w:val="300"/>
        </w:trPr>
        <w:tc>
          <w:tcPr>
            <w:tcW w:w="1335" w:type="dxa"/>
            <w:shd w:val="clear" w:color="auto" w:fill="BFBFBF" w:themeFill="background1" w:themeFillShade="BF"/>
            <w:noWrap/>
            <w:vAlign w:val="bottom"/>
            <w:hideMark/>
          </w:tcPr>
          <w:p w14:paraId="33867622" w14:textId="77777777" w:rsidR="003579F8" w:rsidRPr="00506B86" w:rsidRDefault="003579F8" w:rsidP="003579F8">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Main indication</w:t>
            </w:r>
          </w:p>
        </w:tc>
        <w:tc>
          <w:tcPr>
            <w:tcW w:w="960" w:type="dxa"/>
            <w:shd w:val="clear" w:color="auto" w:fill="BFBFBF" w:themeFill="background1" w:themeFillShade="BF"/>
            <w:noWrap/>
            <w:vAlign w:val="bottom"/>
            <w:hideMark/>
          </w:tcPr>
          <w:p w14:paraId="486EB644" w14:textId="77777777" w:rsidR="003579F8" w:rsidRPr="00506B86" w:rsidRDefault="003579F8" w:rsidP="003579F8">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N</w:t>
            </w:r>
          </w:p>
        </w:tc>
        <w:tc>
          <w:tcPr>
            <w:tcW w:w="960" w:type="dxa"/>
            <w:shd w:val="clear" w:color="auto" w:fill="BFBFBF" w:themeFill="background1" w:themeFillShade="BF"/>
            <w:noWrap/>
            <w:vAlign w:val="bottom"/>
            <w:hideMark/>
          </w:tcPr>
          <w:p w14:paraId="5A532638" w14:textId="77777777" w:rsidR="003579F8" w:rsidRPr="00506B86" w:rsidRDefault="003579F8" w:rsidP="003579F8">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Mean</w:t>
            </w:r>
          </w:p>
        </w:tc>
        <w:tc>
          <w:tcPr>
            <w:tcW w:w="960" w:type="dxa"/>
            <w:shd w:val="clear" w:color="auto" w:fill="BFBFBF" w:themeFill="background1" w:themeFillShade="BF"/>
            <w:noWrap/>
            <w:vAlign w:val="bottom"/>
            <w:hideMark/>
          </w:tcPr>
          <w:p w14:paraId="42EE122D" w14:textId="77777777" w:rsidR="003579F8" w:rsidRPr="00506B86" w:rsidRDefault="003579F8" w:rsidP="003579F8">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Median</w:t>
            </w:r>
          </w:p>
        </w:tc>
        <w:tc>
          <w:tcPr>
            <w:tcW w:w="960" w:type="dxa"/>
            <w:shd w:val="clear" w:color="auto" w:fill="BFBFBF" w:themeFill="background1" w:themeFillShade="BF"/>
            <w:noWrap/>
            <w:vAlign w:val="bottom"/>
            <w:hideMark/>
          </w:tcPr>
          <w:p w14:paraId="423C2E66" w14:textId="77777777" w:rsidR="003579F8" w:rsidRPr="00506B86" w:rsidRDefault="003579F8" w:rsidP="003579F8">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Min</w:t>
            </w:r>
          </w:p>
        </w:tc>
        <w:tc>
          <w:tcPr>
            <w:tcW w:w="960" w:type="dxa"/>
            <w:shd w:val="clear" w:color="auto" w:fill="BFBFBF" w:themeFill="background1" w:themeFillShade="BF"/>
            <w:noWrap/>
            <w:vAlign w:val="bottom"/>
            <w:hideMark/>
          </w:tcPr>
          <w:p w14:paraId="19CCE808" w14:textId="77777777" w:rsidR="003579F8" w:rsidRPr="00506B86" w:rsidRDefault="003579F8" w:rsidP="003579F8">
            <w:pPr>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Max</w:t>
            </w:r>
          </w:p>
        </w:tc>
      </w:tr>
      <w:tr w:rsidR="00B8228C" w:rsidRPr="00506B86" w14:paraId="5E1707CE" w14:textId="77777777" w:rsidTr="00B8228C">
        <w:trPr>
          <w:trHeight w:val="300"/>
        </w:trPr>
        <w:tc>
          <w:tcPr>
            <w:tcW w:w="1335" w:type="dxa"/>
            <w:shd w:val="clear" w:color="auto" w:fill="auto"/>
            <w:noWrap/>
            <w:vAlign w:val="bottom"/>
            <w:hideMark/>
          </w:tcPr>
          <w:p w14:paraId="23367797" w14:textId="3DFC54AF" w:rsidR="00B8228C" w:rsidRPr="00506B86" w:rsidRDefault="00B8228C" w:rsidP="00B8228C">
            <w:pPr>
              <w:spacing w:after="0"/>
              <w:rPr>
                <w:rFonts w:ascii="Calibri" w:eastAsia="Times New Roman" w:hAnsi="Calibri" w:cs="Calibri"/>
                <w:color w:val="000000"/>
                <w:sz w:val="20"/>
                <w:szCs w:val="20"/>
              </w:rPr>
            </w:pPr>
            <w:r w:rsidRPr="00506B86">
              <w:rPr>
                <w:rFonts w:ascii="Calibri" w:hAnsi="Calibri" w:cs="Calibri"/>
                <w:color w:val="000000"/>
                <w:sz w:val="20"/>
                <w:szCs w:val="20"/>
              </w:rPr>
              <w:t>Heterozygous</w:t>
            </w:r>
          </w:p>
        </w:tc>
        <w:tc>
          <w:tcPr>
            <w:tcW w:w="960" w:type="dxa"/>
            <w:shd w:val="clear" w:color="auto" w:fill="auto"/>
            <w:noWrap/>
            <w:vAlign w:val="bottom"/>
            <w:hideMark/>
          </w:tcPr>
          <w:p w14:paraId="7B96A907" w14:textId="631513C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410</w:t>
            </w:r>
          </w:p>
        </w:tc>
        <w:tc>
          <w:tcPr>
            <w:tcW w:w="960" w:type="dxa"/>
            <w:shd w:val="clear" w:color="auto" w:fill="auto"/>
            <w:noWrap/>
            <w:vAlign w:val="bottom"/>
            <w:hideMark/>
          </w:tcPr>
          <w:p w14:paraId="5DDF7531" w14:textId="58E95749"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11.1</w:t>
            </w:r>
          </w:p>
        </w:tc>
        <w:tc>
          <w:tcPr>
            <w:tcW w:w="960" w:type="dxa"/>
            <w:shd w:val="clear" w:color="auto" w:fill="auto"/>
            <w:noWrap/>
            <w:vAlign w:val="bottom"/>
            <w:hideMark/>
          </w:tcPr>
          <w:p w14:paraId="609FB82F" w14:textId="7BAF039D"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13</w:t>
            </w:r>
          </w:p>
        </w:tc>
        <w:tc>
          <w:tcPr>
            <w:tcW w:w="960" w:type="dxa"/>
            <w:shd w:val="clear" w:color="auto" w:fill="auto"/>
            <w:noWrap/>
            <w:vAlign w:val="bottom"/>
            <w:hideMark/>
          </w:tcPr>
          <w:p w14:paraId="6A69C5AD" w14:textId="6E5F2603"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w:t>
            </w:r>
          </w:p>
        </w:tc>
        <w:tc>
          <w:tcPr>
            <w:tcW w:w="960" w:type="dxa"/>
            <w:shd w:val="clear" w:color="auto" w:fill="auto"/>
            <w:noWrap/>
            <w:vAlign w:val="bottom"/>
            <w:hideMark/>
          </w:tcPr>
          <w:p w14:paraId="76D17F8C" w14:textId="2B93FCD3"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18</w:t>
            </w:r>
          </w:p>
        </w:tc>
      </w:tr>
      <w:tr w:rsidR="00B8228C" w:rsidRPr="00506B86" w14:paraId="2D1676DE" w14:textId="77777777" w:rsidTr="00B8228C">
        <w:trPr>
          <w:trHeight w:val="300"/>
        </w:trPr>
        <w:tc>
          <w:tcPr>
            <w:tcW w:w="1335" w:type="dxa"/>
            <w:shd w:val="clear" w:color="auto" w:fill="auto"/>
            <w:noWrap/>
            <w:vAlign w:val="bottom"/>
            <w:hideMark/>
          </w:tcPr>
          <w:p w14:paraId="3493640C" w14:textId="0F76D168" w:rsidR="00B8228C" w:rsidRPr="00506B86" w:rsidRDefault="00B8228C" w:rsidP="00B8228C">
            <w:pPr>
              <w:spacing w:after="0"/>
              <w:rPr>
                <w:rFonts w:ascii="Calibri" w:eastAsia="Times New Roman" w:hAnsi="Calibri" w:cs="Calibri"/>
                <w:color w:val="000000"/>
                <w:sz w:val="20"/>
                <w:szCs w:val="20"/>
              </w:rPr>
            </w:pPr>
            <w:r w:rsidRPr="00506B86">
              <w:rPr>
                <w:rFonts w:ascii="Calibri" w:hAnsi="Calibri" w:cs="Calibri"/>
                <w:color w:val="000000"/>
                <w:sz w:val="20"/>
                <w:szCs w:val="20"/>
              </w:rPr>
              <w:t>Homozygous</w:t>
            </w:r>
          </w:p>
        </w:tc>
        <w:tc>
          <w:tcPr>
            <w:tcW w:w="960" w:type="dxa"/>
            <w:shd w:val="clear" w:color="auto" w:fill="auto"/>
            <w:noWrap/>
            <w:vAlign w:val="bottom"/>
            <w:hideMark/>
          </w:tcPr>
          <w:p w14:paraId="1571DDA7" w14:textId="7448A272"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278</w:t>
            </w:r>
          </w:p>
        </w:tc>
        <w:tc>
          <w:tcPr>
            <w:tcW w:w="960" w:type="dxa"/>
            <w:shd w:val="clear" w:color="auto" w:fill="auto"/>
            <w:noWrap/>
            <w:vAlign w:val="bottom"/>
            <w:hideMark/>
          </w:tcPr>
          <w:p w14:paraId="4C511979" w14:textId="35198602"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8.8</w:t>
            </w:r>
          </w:p>
        </w:tc>
        <w:tc>
          <w:tcPr>
            <w:tcW w:w="960" w:type="dxa"/>
            <w:shd w:val="clear" w:color="auto" w:fill="auto"/>
            <w:noWrap/>
            <w:vAlign w:val="bottom"/>
            <w:hideMark/>
          </w:tcPr>
          <w:p w14:paraId="5E4B0D93" w14:textId="644C3E71"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9</w:t>
            </w:r>
          </w:p>
        </w:tc>
        <w:tc>
          <w:tcPr>
            <w:tcW w:w="960" w:type="dxa"/>
            <w:shd w:val="clear" w:color="auto" w:fill="auto"/>
            <w:noWrap/>
            <w:vAlign w:val="bottom"/>
            <w:hideMark/>
          </w:tcPr>
          <w:p w14:paraId="00549959" w14:textId="30558455"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w:t>
            </w:r>
          </w:p>
        </w:tc>
        <w:tc>
          <w:tcPr>
            <w:tcW w:w="960" w:type="dxa"/>
            <w:shd w:val="clear" w:color="auto" w:fill="auto"/>
            <w:noWrap/>
            <w:vAlign w:val="bottom"/>
            <w:hideMark/>
          </w:tcPr>
          <w:p w14:paraId="488B8FBF" w14:textId="4F3CBE71"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17</w:t>
            </w:r>
          </w:p>
        </w:tc>
      </w:tr>
      <w:tr w:rsidR="00B8228C" w:rsidRPr="00506B86" w14:paraId="516EFCF9" w14:textId="77777777" w:rsidTr="00B8228C">
        <w:trPr>
          <w:trHeight w:val="300"/>
        </w:trPr>
        <w:tc>
          <w:tcPr>
            <w:tcW w:w="1335" w:type="dxa"/>
            <w:shd w:val="clear" w:color="auto" w:fill="auto"/>
            <w:noWrap/>
            <w:vAlign w:val="bottom"/>
            <w:hideMark/>
          </w:tcPr>
          <w:p w14:paraId="51DAFAC3" w14:textId="30DBBBAF" w:rsidR="00B8228C" w:rsidRPr="00506B86" w:rsidRDefault="00B8228C" w:rsidP="00B8228C">
            <w:pPr>
              <w:spacing w:after="0"/>
              <w:rPr>
                <w:rFonts w:ascii="Calibri" w:eastAsia="Times New Roman" w:hAnsi="Calibri" w:cs="Calibri"/>
                <w:color w:val="000000"/>
                <w:sz w:val="20"/>
                <w:szCs w:val="20"/>
              </w:rPr>
            </w:pPr>
            <w:r w:rsidRPr="00506B86">
              <w:rPr>
                <w:rFonts w:ascii="Calibri" w:hAnsi="Calibri" w:cs="Calibri"/>
                <w:color w:val="000000"/>
                <w:sz w:val="20"/>
                <w:szCs w:val="20"/>
              </w:rPr>
              <w:t>Non-familial</w:t>
            </w:r>
          </w:p>
        </w:tc>
        <w:tc>
          <w:tcPr>
            <w:tcW w:w="960" w:type="dxa"/>
            <w:shd w:val="clear" w:color="auto" w:fill="auto"/>
            <w:noWrap/>
            <w:vAlign w:val="bottom"/>
            <w:hideMark/>
          </w:tcPr>
          <w:p w14:paraId="58D2FC0E" w14:textId="5D7F27A8"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10</w:t>
            </w:r>
          </w:p>
        </w:tc>
        <w:tc>
          <w:tcPr>
            <w:tcW w:w="960" w:type="dxa"/>
            <w:shd w:val="clear" w:color="auto" w:fill="auto"/>
            <w:noWrap/>
            <w:vAlign w:val="bottom"/>
            <w:hideMark/>
          </w:tcPr>
          <w:p w14:paraId="311C9089" w14:textId="7F633F98"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11.3</w:t>
            </w:r>
          </w:p>
        </w:tc>
        <w:tc>
          <w:tcPr>
            <w:tcW w:w="960" w:type="dxa"/>
            <w:shd w:val="clear" w:color="auto" w:fill="auto"/>
            <w:noWrap/>
            <w:vAlign w:val="bottom"/>
            <w:hideMark/>
          </w:tcPr>
          <w:p w14:paraId="2FE19D61" w14:textId="0FD6DCD9"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12</w:t>
            </w:r>
          </w:p>
        </w:tc>
        <w:tc>
          <w:tcPr>
            <w:tcW w:w="960" w:type="dxa"/>
            <w:shd w:val="clear" w:color="auto" w:fill="auto"/>
            <w:noWrap/>
            <w:vAlign w:val="bottom"/>
            <w:hideMark/>
          </w:tcPr>
          <w:p w14:paraId="7D5F6242" w14:textId="68B7B10B"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w:t>
            </w:r>
          </w:p>
        </w:tc>
        <w:tc>
          <w:tcPr>
            <w:tcW w:w="960" w:type="dxa"/>
            <w:shd w:val="clear" w:color="auto" w:fill="auto"/>
            <w:noWrap/>
            <w:vAlign w:val="bottom"/>
            <w:hideMark/>
          </w:tcPr>
          <w:p w14:paraId="4F497DE1" w14:textId="00F49D13"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13</w:t>
            </w:r>
          </w:p>
        </w:tc>
      </w:tr>
      <w:tr w:rsidR="00B8228C" w:rsidRPr="00506B86" w14:paraId="030AF051" w14:textId="77777777" w:rsidTr="00B8228C">
        <w:trPr>
          <w:trHeight w:val="300"/>
        </w:trPr>
        <w:tc>
          <w:tcPr>
            <w:tcW w:w="1335" w:type="dxa"/>
            <w:shd w:val="clear" w:color="auto" w:fill="auto"/>
            <w:noWrap/>
            <w:vAlign w:val="bottom"/>
          </w:tcPr>
          <w:p w14:paraId="27A42205" w14:textId="433A90CF" w:rsidR="00B8228C" w:rsidRPr="00506B86" w:rsidRDefault="00B8228C" w:rsidP="00B8228C">
            <w:pPr>
              <w:spacing w:after="0"/>
              <w:rPr>
                <w:rFonts w:ascii="Calibri" w:eastAsia="Times New Roman" w:hAnsi="Calibri" w:cs="Calibri"/>
                <w:color w:val="000000"/>
                <w:sz w:val="20"/>
                <w:szCs w:val="20"/>
              </w:rPr>
            </w:pPr>
            <w:r w:rsidRPr="00506B86">
              <w:rPr>
                <w:rFonts w:ascii="Calibri" w:hAnsi="Calibri" w:cs="Calibri"/>
                <w:color w:val="000000"/>
                <w:sz w:val="20"/>
                <w:szCs w:val="20"/>
              </w:rPr>
              <w:t>Unknown</w:t>
            </w:r>
          </w:p>
        </w:tc>
        <w:tc>
          <w:tcPr>
            <w:tcW w:w="960" w:type="dxa"/>
            <w:shd w:val="clear" w:color="auto" w:fill="auto"/>
            <w:noWrap/>
            <w:vAlign w:val="bottom"/>
          </w:tcPr>
          <w:p w14:paraId="5EB9F23B" w14:textId="38D223CD"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9</w:t>
            </w:r>
          </w:p>
        </w:tc>
        <w:tc>
          <w:tcPr>
            <w:tcW w:w="960" w:type="dxa"/>
            <w:shd w:val="clear" w:color="auto" w:fill="auto"/>
            <w:noWrap/>
            <w:vAlign w:val="bottom"/>
          </w:tcPr>
          <w:p w14:paraId="1E8EA82A" w14:textId="70B4432A"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4.7</w:t>
            </w:r>
          </w:p>
        </w:tc>
        <w:tc>
          <w:tcPr>
            <w:tcW w:w="960" w:type="dxa"/>
            <w:shd w:val="clear" w:color="auto" w:fill="auto"/>
            <w:noWrap/>
            <w:vAlign w:val="bottom"/>
          </w:tcPr>
          <w:p w14:paraId="61D607DB" w14:textId="4E819E5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6</w:t>
            </w:r>
          </w:p>
        </w:tc>
        <w:tc>
          <w:tcPr>
            <w:tcW w:w="960" w:type="dxa"/>
            <w:shd w:val="clear" w:color="auto" w:fill="auto"/>
            <w:noWrap/>
            <w:vAlign w:val="bottom"/>
          </w:tcPr>
          <w:p w14:paraId="6AF84A07" w14:textId="5DA441A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w:t>
            </w:r>
          </w:p>
        </w:tc>
        <w:tc>
          <w:tcPr>
            <w:tcW w:w="960" w:type="dxa"/>
            <w:shd w:val="clear" w:color="auto" w:fill="auto"/>
            <w:noWrap/>
            <w:vAlign w:val="bottom"/>
          </w:tcPr>
          <w:p w14:paraId="523CD6D8" w14:textId="0177798A"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10</w:t>
            </w:r>
          </w:p>
        </w:tc>
      </w:tr>
      <w:tr w:rsidR="00B8228C" w:rsidRPr="00506B86" w14:paraId="2AC67D62" w14:textId="77777777" w:rsidTr="00B8228C">
        <w:trPr>
          <w:trHeight w:val="300"/>
        </w:trPr>
        <w:tc>
          <w:tcPr>
            <w:tcW w:w="1335" w:type="dxa"/>
            <w:shd w:val="clear" w:color="auto" w:fill="auto"/>
            <w:noWrap/>
            <w:vAlign w:val="bottom"/>
            <w:hideMark/>
          </w:tcPr>
          <w:p w14:paraId="29EBCD4D" w14:textId="0DB925BE" w:rsidR="00B8228C" w:rsidRPr="00506B86" w:rsidRDefault="00B8228C" w:rsidP="00B8228C">
            <w:pPr>
              <w:spacing w:after="0"/>
              <w:rPr>
                <w:rFonts w:ascii="Calibri" w:eastAsia="Times New Roman" w:hAnsi="Calibri" w:cs="Calibri"/>
                <w:color w:val="000000"/>
                <w:sz w:val="20"/>
                <w:szCs w:val="20"/>
              </w:rPr>
            </w:pPr>
            <w:r w:rsidRPr="00506B86">
              <w:rPr>
                <w:rFonts w:ascii="Calibri" w:hAnsi="Calibri" w:cs="Calibri"/>
                <w:color w:val="000000"/>
                <w:sz w:val="20"/>
                <w:szCs w:val="20"/>
              </w:rPr>
              <w:t>Overall</w:t>
            </w:r>
          </w:p>
        </w:tc>
        <w:tc>
          <w:tcPr>
            <w:tcW w:w="960" w:type="dxa"/>
            <w:shd w:val="clear" w:color="auto" w:fill="auto"/>
            <w:noWrap/>
            <w:vAlign w:val="bottom"/>
            <w:hideMark/>
          </w:tcPr>
          <w:p w14:paraId="562FCB94" w14:textId="2A0C497D"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707</w:t>
            </w:r>
          </w:p>
        </w:tc>
        <w:tc>
          <w:tcPr>
            <w:tcW w:w="960" w:type="dxa"/>
            <w:shd w:val="clear" w:color="auto" w:fill="auto"/>
            <w:noWrap/>
            <w:vAlign w:val="bottom"/>
            <w:hideMark/>
          </w:tcPr>
          <w:p w14:paraId="02A1C6FC" w14:textId="305210C7"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10.1</w:t>
            </w:r>
          </w:p>
        </w:tc>
        <w:tc>
          <w:tcPr>
            <w:tcW w:w="960" w:type="dxa"/>
            <w:shd w:val="clear" w:color="auto" w:fill="auto"/>
            <w:noWrap/>
            <w:vAlign w:val="bottom"/>
            <w:hideMark/>
          </w:tcPr>
          <w:p w14:paraId="135B5956" w14:textId="462ACC95"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11</w:t>
            </w:r>
          </w:p>
        </w:tc>
        <w:tc>
          <w:tcPr>
            <w:tcW w:w="960" w:type="dxa"/>
            <w:shd w:val="clear" w:color="auto" w:fill="auto"/>
            <w:noWrap/>
            <w:vAlign w:val="bottom"/>
            <w:hideMark/>
          </w:tcPr>
          <w:p w14:paraId="327EFD08" w14:textId="14B51712"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w:t>
            </w:r>
          </w:p>
        </w:tc>
        <w:tc>
          <w:tcPr>
            <w:tcW w:w="960" w:type="dxa"/>
            <w:shd w:val="clear" w:color="auto" w:fill="auto"/>
            <w:noWrap/>
            <w:vAlign w:val="bottom"/>
            <w:hideMark/>
          </w:tcPr>
          <w:p w14:paraId="4CBDDCA5" w14:textId="5591CC85" w:rsidR="00B8228C" w:rsidRPr="00506B86" w:rsidRDefault="00B8228C" w:rsidP="00B8228C">
            <w:pPr>
              <w:spacing w:after="0"/>
              <w:jc w:val="right"/>
              <w:rPr>
                <w:rFonts w:ascii="Calibri" w:eastAsia="Times New Roman" w:hAnsi="Calibri" w:cs="Calibri"/>
                <w:color w:val="000000"/>
                <w:sz w:val="20"/>
                <w:szCs w:val="20"/>
              </w:rPr>
            </w:pPr>
            <w:r w:rsidRPr="00506B86">
              <w:rPr>
                <w:rFonts w:ascii="Calibri" w:hAnsi="Calibri" w:cs="Calibri"/>
                <w:color w:val="000000"/>
                <w:sz w:val="20"/>
                <w:szCs w:val="20"/>
              </w:rPr>
              <w:t>18</w:t>
            </w:r>
          </w:p>
        </w:tc>
      </w:tr>
    </w:tbl>
    <w:p w14:paraId="6F60475E" w14:textId="514D5699" w:rsidR="00D01B6E" w:rsidRDefault="003579F8" w:rsidP="001E6391">
      <w:pPr>
        <w:pStyle w:val="Notes"/>
      </w:pPr>
      <w:r>
        <w:t>Note: Cohort who initiated in 2019, followed for one year.</w:t>
      </w:r>
    </w:p>
    <w:p w14:paraId="1F0016F5" w14:textId="54BBD4C6" w:rsidR="001E6391" w:rsidRDefault="00394E19" w:rsidP="00F3128A">
      <w:r>
        <w:t xml:space="preserve">From Table </w:t>
      </w:r>
      <w:r w:rsidR="00F4362D">
        <w:t>6</w:t>
      </w:r>
      <w:r>
        <w:t>, it appears</w:t>
      </w:r>
      <w:r w:rsidR="001E6391">
        <w:t xml:space="preserve"> that for patients who initiated treatment with evolocumab in 2019, those patients with </w:t>
      </w:r>
      <w:r w:rsidR="00B8228C">
        <w:t xml:space="preserve">homozygous </w:t>
      </w:r>
      <w:r w:rsidR="001E6391" w:rsidRPr="001E6391">
        <w:t>hypercholesterolaemia</w:t>
      </w:r>
      <w:r w:rsidR="001E6391">
        <w:t xml:space="preserve"> received the </w:t>
      </w:r>
      <w:r w:rsidR="00B8228C">
        <w:t xml:space="preserve">lowest </w:t>
      </w:r>
      <w:r w:rsidR="001E6391">
        <w:t>number of treatments per year.</w:t>
      </w:r>
    </w:p>
    <w:p w14:paraId="37653B3C" w14:textId="5E8F8D1B" w:rsidR="006F5C26" w:rsidRPr="003B7969" w:rsidRDefault="006F5C26" w:rsidP="00D01B6E">
      <w:pPr>
        <w:pStyle w:val="Tabletitle"/>
        <w:keepNext/>
      </w:pPr>
      <w:r>
        <w:t>Table</w:t>
      </w:r>
      <w:r w:rsidR="00F4362D">
        <w:t xml:space="preserve"> 7</w:t>
      </w:r>
      <w:r>
        <w:t>: Number of prescriptions dispensed by quantity, form and year</w:t>
      </w:r>
    </w:p>
    <w:tbl>
      <w:tblPr>
        <w:tblW w:w="7508" w:type="dxa"/>
        <w:tblInd w:w="113" w:type="dxa"/>
        <w:tblLayout w:type="fixed"/>
        <w:tblLook w:val="04A0" w:firstRow="1" w:lastRow="0" w:firstColumn="1" w:lastColumn="0" w:noHBand="0" w:noVBand="1"/>
      </w:tblPr>
      <w:tblGrid>
        <w:gridCol w:w="956"/>
        <w:gridCol w:w="2294"/>
        <w:gridCol w:w="1136"/>
        <w:gridCol w:w="1136"/>
        <w:gridCol w:w="1135"/>
        <w:gridCol w:w="851"/>
      </w:tblGrid>
      <w:tr w:rsidR="006F5C26" w:rsidRPr="00506B86" w14:paraId="4AF3BF38" w14:textId="77777777" w:rsidTr="00EB45CD">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75412B4" w14:textId="77777777" w:rsidR="006F5C26" w:rsidRPr="00506B86" w:rsidRDefault="006F5C26" w:rsidP="00D01B6E">
            <w:pPr>
              <w:keepNext/>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 </w:t>
            </w:r>
          </w:p>
        </w:tc>
        <w:tc>
          <w:tcPr>
            <w:tcW w:w="229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F5E4C98" w14:textId="77777777" w:rsidR="006F5C26" w:rsidRPr="00506B86" w:rsidRDefault="006F5C26" w:rsidP="00D01B6E">
            <w:pPr>
              <w:keepNext/>
              <w:spacing w:after="0"/>
              <w:rPr>
                <w:rFonts w:ascii="Calibri" w:eastAsia="Times New Roman" w:hAnsi="Calibri" w:cs="Calibri"/>
                <w:b/>
                <w:bCs/>
                <w:color w:val="000000"/>
                <w:sz w:val="20"/>
                <w:szCs w:val="20"/>
              </w:rPr>
            </w:pPr>
            <w:r w:rsidRPr="00506B86">
              <w:rPr>
                <w:rFonts w:ascii="Calibri" w:eastAsia="Times New Roman" w:hAnsi="Calibri" w:cs="Calibri"/>
                <w:b/>
                <w:bCs/>
                <w:color w:val="000000"/>
                <w:sz w:val="20"/>
                <w:szCs w:val="20"/>
              </w:rPr>
              <w:t> </w:t>
            </w:r>
          </w:p>
        </w:tc>
        <w:tc>
          <w:tcPr>
            <w:tcW w:w="425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BFF4480" w14:textId="1F463428" w:rsidR="006F5C26" w:rsidRPr="00506B86" w:rsidRDefault="006F5C26" w:rsidP="00D01B6E">
            <w:pPr>
              <w:keepNext/>
              <w:spacing w:after="0"/>
              <w:jc w:val="center"/>
              <w:rPr>
                <w:rFonts w:ascii="Calibri" w:eastAsia="Times New Roman" w:hAnsi="Calibri" w:cs="Calibri"/>
                <w:b/>
                <w:bCs/>
                <w:color w:val="000000"/>
                <w:sz w:val="20"/>
                <w:szCs w:val="20"/>
              </w:rPr>
            </w:pPr>
            <w:r w:rsidRPr="00506B86">
              <w:rPr>
                <w:rFonts w:ascii="Calibri" w:eastAsia="Times New Roman" w:hAnsi="Calibri" w:cs="Calibri"/>
                <w:b/>
                <w:bCs/>
                <w:color w:val="000000"/>
                <w:sz w:val="20"/>
                <w:szCs w:val="20"/>
              </w:rPr>
              <w:t>Quantity</w:t>
            </w:r>
          </w:p>
        </w:tc>
      </w:tr>
      <w:tr w:rsidR="006F5C26" w:rsidRPr="00506B86" w14:paraId="5FC2CC8C" w14:textId="77777777" w:rsidTr="00EB45CD">
        <w:trPr>
          <w:trHeight w:val="300"/>
        </w:trPr>
        <w:tc>
          <w:tcPr>
            <w:tcW w:w="957"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727FEB6" w14:textId="18C47478" w:rsidR="006F5C26" w:rsidRPr="00506B86" w:rsidRDefault="006F5C26" w:rsidP="00D01B6E">
            <w:pPr>
              <w:keepNext/>
              <w:spacing w:after="0"/>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 </w:t>
            </w:r>
          </w:p>
        </w:tc>
        <w:tc>
          <w:tcPr>
            <w:tcW w:w="2294" w:type="dxa"/>
            <w:tcBorders>
              <w:top w:val="nil"/>
              <w:left w:val="nil"/>
              <w:bottom w:val="single" w:sz="4" w:space="0" w:color="auto"/>
              <w:right w:val="single" w:sz="4" w:space="0" w:color="auto"/>
            </w:tcBorders>
            <w:shd w:val="clear" w:color="auto" w:fill="BFBFBF" w:themeFill="background1" w:themeFillShade="BF"/>
            <w:noWrap/>
            <w:vAlign w:val="bottom"/>
          </w:tcPr>
          <w:p w14:paraId="44636056" w14:textId="43B4DB29" w:rsidR="006F5C26" w:rsidRPr="00506B86" w:rsidRDefault="006F5C26" w:rsidP="00D01B6E">
            <w:pPr>
              <w:keepNext/>
              <w:spacing w:after="0"/>
              <w:rPr>
                <w:rFonts w:ascii="Calibri" w:eastAsia="Times New Roman" w:hAnsi="Calibri" w:cs="Calibri"/>
                <w:b/>
                <w:bCs/>
                <w:color w:val="000000"/>
                <w:sz w:val="20"/>
                <w:szCs w:val="20"/>
              </w:rPr>
            </w:pPr>
            <w:r w:rsidRPr="00506B86">
              <w:rPr>
                <w:rFonts w:ascii="Calibri" w:eastAsia="Times New Roman" w:hAnsi="Calibri" w:cs="Calibri"/>
                <w:b/>
                <w:bCs/>
                <w:color w:val="000000"/>
                <w:sz w:val="20"/>
                <w:szCs w:val="20"/>
              </w:rPr>
              <w:t> </w:t>
            </w:r>
          </w:p>
        </w:tc>
        <w:tc>
          <w:tcPr>
            <w:tcW w:w="1136" w:type="dxa"/>
            <w:tcBorders>
              <w:top w:val="nil"/>
              <w:left w:val="nil"/>
              <w:bottom w:val="single" w:sz="4" w:space="0" w:color="auto"/>
              <w:right w:val="single" w:sz="4" w:space="0" w:color="auto"/>
            </w:tcBorders>
            <w:shd w:val="clear" w:color="auto" w:fill="BFBFBF" w:themeFill="background1" w:themeFillShade="BF"/>
            <w:noWrap/>
            <w:vAlign w:val="bottom"/>
          </w:tcPr>
          <w:p w14:paraId="3373A360" w14:textId="0C489D3F" w:rsidR="006F5C26" w:rsidRPr="00506B86" w:rsidRDefault="006F5C26" w:rsidP="00D01B6E">
            <w:pPr>
              <w:keepNext/>
              <w:spacing w:after="0"/>
              <w:jc w:val="right"/>
              <w:rPr>
                <w:rFonts w:ascii="Calibri" w:eastAsia="Times New Roman" w:hAnsi="Calibri" w:cs="Calibri"/>
                <w:b/>
                <w:bCs/>
                <w:color w:val="000000"/>
                <w:sz w:val="20"/>
                <w:szCs w:val="20"/>
              </w:rPr>
            </w:pPr>
            <w:r w:rsidRPr="00506B86">
              <w:rPr>
                <w:rFonts w:ascii="Calibri" w:eastAsia="Times New Roman" w:hAnsi="Calibri" w:cs="Calibri"/>
                <w:b/>
                <w:bCs/>
                <w:color w:val="000000"/>
                <w:sz w:val="20"/>
                <w:szCs w:val="20"/>
              </w:rPr>
              <w:t>1</w:t>
            </w:r>
          </w:p>
        </w:tc>
        <w:tc>
          <w:tcPr>
            <w:tcW w:w="1136" w:type="dxa"/>
            <w:tcBorders>
              <w:top w:val="nil"/>
              <w:left w:val="nil"/>
              <w:bottom w:val="single" w:sz="4" w:space="0" w:color="auto"/>
              <w:right w:val="single" w:sz="4" w:space="0" w:color="auto"/>
            </w:tcBorders>
            <w:shd w:val="clear" w:color="auto" w:fill="BFBFBF" w:themeFill="background1" w:themeFillShade="BF"/>
            <w:noWrap/>
            <w:vAlign w:val="bottom"/>
          </w:tcPr>
          <w:p w14:paraId="764F756F" w14:textId="58C53C32" w:rsidR="006F5C26" w:rsidRPr="00506B86" w:rsidRDefault="006F5C26" w:rsidP="00D01B6E">
            <w:pPr>
              <w:keepNext/>
              <w:spacing w:after="0"/>
              <w:jc w:val="right"/>
              <w:rPr>
                <w:rFonts w:ascii="Calibri" w:eastAsia="Times New Roman" w:hAnsi="Calibri" w:cs="Calibri"/>
                <w:b/>
                <w:bCs/>
                <w:color w:val="000000"/>
                <w:sz w:val="20"/>
                <w:szCs w:val="20"/>
              </w:rPr>
            </w:pPr>
            <w:r w:rsidRPr="00506B86">
              <w:rPr>
                <w:rFonts w:ascii="Calibri" w:eastAsia="Times New Roman" w:hAnsi="Calibri" w:cs="Calibri"/>
                <w:b/>
                <w:bCs/>
                <w:color w:val="000000"/>
                <w:sz w:val="20"/>
                <w:szCs w:val="20"/>
              </w:rPr>
              <w:t>2</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tcPr>
          <w:p w14:paraId="6159222D" w14:textId="21A340DA" w:rsidR="006F5C26" w:rsidRPr="00506B86" w:rsidRDefault="006F5C26" w:rsidP="00D01B6E">
            <w:pPr>
              <w:keepNext/>
              <w:spacing w:after="0"/>
              <w:jc w:val="right"/>
              <w:rPr>
                <w:rFonts w:ascii="Calibri" w:eastAsia="Times New Roman" w:hAnsi="Calibri" w:cs="Calibri"/>
                <w:b/>
                <w:bCs/>
                <w:color w:val="000000"/>
                <w:sz w:val="20"/>
                <w:szCs w:val="20"/>
              </w:rPr>
            </w:pPr>
            <w:r w:rsidRPr="00506B86">
              <w:rPr>
                <w:rFonts w:ascii="Calibri" w:eastAsia="Times New Roman" w:hAnsi="Calibri" w:cs="Calibri"/>
                <w:b/>
                <w:bCs/>
                <w:color w:val="000000"/>
                <w:sz w:val="20"/>
                <w:szCs w:val="20"/>
              </w:rPr>
              <w:t>3</w:t>
            </w:r>
          </w:p>
        </w:tc>
        <w:tc>
          <w:tcPr>
            <w:tcW w:w="851" w:type="dxa"/>
            <w:tcBorders>
              <w:top w:val="nil"/>
              <w:left w:val="nil"/>
              <w:bottom w:val="single" w:sz="4" w:space="0" w:color="auto"/>
              <w:right w:val="single" w:sz="4" w:space="0" w:color="auto"/>
            </w:tcBorders>
            <w:shd w:val="clear" w:color="auto" w:fill="BFBFBF" w:themeFill="background1" w:themeFillShade="BF"/>
            <w:noWrap/>
            <w:vAlign w:val="bottom"/>
          </w:tcPr>
          <w:p w14:paraId="2FDA2B7B" w14:textId="211555B0" w:rsidR="006F5C26" w:rsidRPr="00506B86" w:rsidRDefault="006F5C26" w:rsidP="00D01B6E">
            <w:pPr>
              <w:keepNext/>
              <w:spacing w:after="0"/>
              <w:jc w:val="right"/>
              <w:rPr>
                <w:rFonts w:ascii="Calibri" w:eastAsia="Times New Roman" w:hAnsi="Calibri" w:cs="Calibri"/>
                <w:b/>
                <w:bCs/>
                <w:color w:val="000000"/>
                <w:sz w:val="20"/>
                <w:szCs w:val="20"/>
              </w:rPr>
            </w:pPr>
            <w:r w:rsidRPr="00506B86">
              <w:rPr>
                <w:rFonts w:ascii="Calibri" w:eastAsia="Times New Roman" w:hAnsi="Calibri" w:cs="Calibri"/>
                <w:b/>
                <w:bCs/>
                <w:color w:val="000000"/>
                <w:sz w:val="20"/>
                <w:szCs w:val="20"/>
              </w:rPr>
              <w:t>6</w:t>
            </w:r>
          </w:p>
        </w:tc>
      </w:tr>
      <w:tr w:rsidR="006F5C26" w:rsidRPr="00506B86" w14:paraId="7BFE60AB" w14:textId="77777777" w:rsidTr="00EB45CD">
        <w:trPr>
          <w:trHeight w:val="30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3FBA455" w14:textId="77777777" w:rsidR="006F5C26" w:rsidRPr="00506B86" w:rsidRDefault="006F5C26" w:rsidP="00D01B6E">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2016</w:t>
            </w:r>
          </w:p>
        </w:tc>
        <w:tc>
          <w:tcPr>
            <w:tcW w:w="2294" w:type="dxa"/>
            <w:tcBorders>
              <w:top w:val="nil"/>
              <w:left w:val="nil"/>
              <w:bottom w:val="single" w:sz="4" w:space="0" w:color="auto"/>
              <w:right w:val="single" w:sz="4" w:space="0" w:color="auto"/>
            </w:tcBorders>
            <w:shd w:val="clear" w:color="auto" w:fill="auto"/>
            <w:noWrap/>
            <w:vAlign w:val="bottom"/>
            <w:hideMark/>
          </w:tcPr>
          <w:p w14:paraId="67DC1450" w14:textId="397BA12C" w:rsidR="006F5C26" w:rsidRPr="00506B86" w:rsidRDefault="006F5C26" w:rsidP="00D01B6E">
            <w:pPr>
              <w:keepNext/>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 xml:space="preserve">140 mg in 1 mL </w:t>
            </w:r>
          </w:p>
        </w:tc>
        <w:tc>
          <w:tcPr>
            <w:tcW w:w="1136" w:type="dxa"/>
            <w:tcBorders>
              <w:top w:val="nil"/>
              <w:left w:val="nil"/>
              <w:bottom w:val="single" w:sz="4" w:space="0" w:color="auto"/>
              <w:right w:val="single" w:sz="4" w:space="0" w:color="auto"/>
            </w:tcBorders>
            <w:shd w:val="clear" w:color="auto" w:fill="auto"/>
            <w:noWrap/>
            <w:vAlign w:val="bottom"/>
            <w:hideMark/>
          </w:tcPr>
          <w:p w14:paraId="01042D30" w14:textId="77777777" w:rsidR="006F5C26" w:rsidRPr="00506B86" w:rsidRDefault="006F5C26" w:rsidP="00D01B6E">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14:paraId="18464209" w14:textId="77777777" w:rsidR="006F5C26" w:rsidRPr="00506B86" w:rsidRDefault="006F5C26" w:rsidP="00D01B6E">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602491"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7</w:t>
            </w:r>
          </w:p>
        </w:tc>
        <w:tc>
          <w:tcPr>
            <w:tcW w:w="851" w:type="dxa"/>
            <w:tcBorders>
              <w:top w:val="nil"/>
              <w:left w:val="nil"/>
              <w:bottom w:val="single" w:sz="4" w:space="0" w:color="auto"/>
              <w:right w:val="single" w:sz="4" w:space="0" w:color="auto"/>
            </w:tcBorders>
            <w:shd w:val="clear" w:color="auto" w:fill="auto"/>
            <w:noWrap/>
            <w:vAlign w:val="bottom"/>
            <w:hideMark/>
          </w:tcPr>
          <w:p w14:paraId="629B5450" w14:textId="6AAFA619" w:rsidR="006F5C26" w:rsidRPr="00506B86" w:rsidRDefault="004B0406" w:rsidP="00D01B6E">
            <w:pPr>
              <w:keepNext/>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&lt;5</w:t>
            </w:r>
          </w:p>
        </w:tc>
      </w:tr>
      <w:tr w:rsidR="006F5C26" w:rsidRPr="00506B86" w14:paraId="686F92CF" w14:textId="77777777" w:rsidTr="00EB45CD">
        <w:trPr>
          <w:trHeight w:val="300"/>
        </w:trPr>
        <w:tc>
          <w:tcPr>
            <w:tcW w:w="95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8CF77A1" w14:textId="77777777" w:rsidR="006F5C26" w:rsidRPr="00506B86" w:rsidRDefault="006F5C26" w:rsidP="00D01B6E">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2017</w:t>
            </w:r>
          </w:p>
        </w:tc>
        <w:tc>
          <w:tcPr>
            <w:tcW w:w="2294" w:type="dxa"/>
            <w:tcBorders>
              <w:top w:val="nil"/>
              <w:left w:val="nil"/>
              <w:bottom w:val="single" w:sz="4" w:space="0" w:color="auto"/>
              <w:right w:val="single" w:sz="4" w:space="0" w:color="auto"/>
            </w:tcBorders>
            <w:shd w:val="clear" w:color="auto" w:fill="auto"/>
            <w:noWrap/>
            <w:vAlign w:val="bottom"/>
            <w:hideMark/>
          </w:tcPr>
          <w:p w14:paraId="7A2D50E6" w14:textId="00AEAE46" w:rsidR="006F5C26" w:rsidRPr="00506B86" w:rsidRDefault="006F5C26" w:rsidP="00D01B6E">
            <w:pPr>
              <w:keepNext/>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140 mg in 1 mL</w:t>
            </w:r>
          </w:p>
        </w:tc>
        <w:tc>
          <w:tcPr>
            <w:tcW w:w="1136" w:type="dxa"/>
            <w:tcBorders>
              <w:top w:val="nil"/>
              <w:left w:val="nil"/>
              <w:bottom w:val="single" w:sz="4" w:space="0" w:color="auto"/>
              <w:right w:val="single" w:sz="4" w:space="0" w:color="auto"/>
            </w:tcBorders>
            <w:shd w:val="clear" w:color="auto" w:fill="auto"/>
            <w:noWrap/>
            <w:vAlign w:val="bottom"/>
            <w:hideMark/>
          </w:tcPr>
          <w:p w14:paraId="37857999"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6</w:t>
            </w:r>
          </w:p>
        </w:tc>
        <w:tc>
          <w:tcPr>
            <w:tcW w:w="1136" w:type="dxa"/>
            <w:tcBorders>
              <w:top w:val="nil"/>
              <w:left w:val="nil"/>
              <w:bottom w:val="single" w:sz="4" w:space="0" w:color="auto"/>
              <w:right w:val="single" w:sz="4" w:space="0" w:color="auto"/>
            </w:tcBorders>
            <w:shd w:val="clear" w:color="auto" w:fill="auto"/>
            <w:noWrap/>
            <w:vAlign w:val="bottom"/>
            <w:hideMark/>
          </w:tcPr>
          <w:p w14:paraId="1696A7BE"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2CADF09A" w14:textId="3F40238F"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2,039</w:t>
            </w:r>
          </w:p>
        </w:tc>
        <w:tc>
          <w:tcPr>
            <w:tcW w:w="851" w:type="dxa"/>
            <w:tcBorders>
              <w:top w:val="nil"/>
              <w:left w:val="nil"/>
              <w:bottom w:val="single" w:sz="4" w:space="0" w:color="auto"/>
              <w:right w:val="single" w:sz="4" w:space="0" w:color="auto"/>
            </w:tcBorders>
            <w:shd w:val="clear" w:color="auto" w:fill="auto"/>
            <w:noWrap/>
            <w:vAlign w:val="bottom"/>
            <w:hideMark/>
          </w:tcPr>
          <w:p w14:paraId="754B6506"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75</w:t>
            </w:r>
          </w:p>
        </w:tc>
      </w:tr>
      <w:tr w:rsidR="006F5C26" w:rsidRPr="00506B86" w14:paraId="708D821F" w14:textId="77777777" w:rsidTr="00EB45CD">
        <w:trPr>
          <w:trHeight w:val="300"/>
        </w:trPr>
        <w:tc>
          <w:tcPr>
            <w:tcW w:w="957" w:type="dxa"/>
            <w:vMerge/>
            <w:tcBorders>
              <w:top w:val="nil"/>
              <w:left w:val="single" w:sz="4" w:space="0" w:color="auto"/>
              <w:bottom w:val="single" w:sz="4" w:space="0" w:color="auto"/>
              <w:right w:val="single" w:sz="4" w:space="0" w:color="auto"/>
            </w:tcBorders>
            <w:vAlign w:val="center"/>
            <w:hideMark/>
          </w:tcPr>
          <w:p w14:paraId="1B600451" w14:textId="77777777" w:rsidR="006F5C26" w:rsidRPr="00506B86" w:rsidRDefault="006F5C26" w:rsidP="00D01B6E">
            <w:pPr>
              <w:keepNext/>
              <w:spacing w:after="0"/>
              <w:rPr>
                <w:rFonts w:ascii="Calibri" w:eastAsia="Times New Roman" w:hAnsi="Calibri" w:cs="Calibri"/>
                <w:color w:val="000000"/>
                <w:sz w:val="20"/>
                <w:szCs w:val="20"/>
              </w:rPr>
            </w:pPr>
          </w:p>
        </w:tc>
        <w:tc>
          <w:tcPr>
            <w:tcW w:w="2294" w:type="dxa"/>
            <w:tcBorders>
              <w:top w:val="nil"/>
              <w:left w:val="nil"/>
              <w:bottom w:val="single" w:sz="4" w:space="0" w:color="auto"/>
              <w:right w:val="single" w:sz="4" w:space="0" w:color="auto"/>
            </w:tcBorders>
            <w:shd w:val="clear" w:color="auto" w:fill="auto"/>
            <w:noWrap/>
            <w:vAlign w:val="bottom"/>
            <w:hideMark/>
          </w:tcPr>
          <w:p w14:paraId="4D92473B" w14:textId="1C2A339A" w:rsidR="006F5C26" w:rsidRPr="00506B86" w:rsidRDefault="006F5C26" w:rsidP="00D01B6E">
            <w:pPr>
              <w:keepNext/>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 xml:space="preserve">420 mg in 3.5 mL </w:t>
            </w:r>
          </w:p>
        </w:tc>
        <w:tc>
          <w:tcPr>
            <w:tcW w:w="1136" w:type="dxa"/>
            <w:tcBorders>
              <w:top w:val="nil"/>
              <w:left w:val="nil"/>
              <w:bottom w:val="single" w:sz="4" w:space="0" w:color="auto"/>
              <w:right w:val="single" w:sz="4" w:space="0" w:color="auto"/>
            </w:tcBorders>
            <w:shd w:val="clear" w:color="auto" w:fill="auto"/>
            <w:noWrap/>
            <w:vAlign w:val="bottom"/>
            <w:hideMark/>
          </w:tcPr>
          <w:p w14:paraId="7FC377EC" w14:textId="7BE170A5" w:rsidR="006F5C26" w:rsidRPr="00506B86" w:rsidRDefault="004B0406" w:rsidP="00D01B6E">
            <w:pPr>
              <w:keepNext/>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&lt;5</w:t>
            </w:r>
          </w:p>
        </w:tc>
        <w:tc>
          <w:tcPr>
            <w:tcW w:w="1136" w:type="dxa"/>
            <w:tcBorders>
              <w:top w:val="nil"/>
              <w:left w:val="nil"/>
              <w:bottom w:val="single" w:sz="4" w:space="0" w:color="auto"/>
              <w:right w:val="single" w:sz="4" w:space="0" w:color="auto"/>
            </w:tcBorders>
            <w:shd w:val="clear" w:color="auto" w:fill="auto"/>
            <w:noWrap/>
            <w:vAlign w:val="bottom"/>
            <w:hideMark/>
          </w:tcPr>
          <w:p w14:paraId="08DCA29B" w14:textId="77777777" w:rsidR="006F5C26" w:rsidRPr="00506B86" w:rsidRDefault="006F5C26" w:rsidP="00D01B6E">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56D02E" w14:textId="77777777" w:rsidR="006F5C26" w:rsidRPr="00506B86" w:rsidRDefault="006F5C26" w:rsidP="00D01B6E">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0B02413D" w14:textId="77777777" w:rsidR="006F5C26" w:rsidRPr="00506B86" w:rsidRDefault="006F5C26" w:rsidP="00D01B6E">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w:t>
            </w:r>
          </w:p>
        </w:tc>
      </w:tr>
      <w:tr w:rsidR="006F5C26" w:rsidRPr="00506B86" w14:paraId="3071EFD7" w14:textId="77777777" w:rsidTr="00EB45CD">
        <w:trPr>
          <w:trHeight w:val="300"/>
        </w:trPr>
        <w:tc>
          <w:tcPr>
            <w:tcW w:w="95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C5CB9B" w14:textId="77777777" w:rsidR="006F5C26" w:rsidRPr="00506B86" w:rsidRDefault="006F5C26" w:rsidP="00D01B6E">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2018</w:t>
            </w:r>
          </w:p>
        </w:tc>
        <w:tc>
          <w:tcPr>
            <w:tcW w:w="2294" w:type="dxa"/>
            <w:tcBorders>
              <w:top w:val="nil"/>
              <w:left w:val="nil"/>
              <w:bottom w:val="single" w:sz="4" w:space="0" w:color="auto"/>
              <w:right w:val="single" w:sz="4" w:space="0" w:color="auto"/>
            </w:tcBorders>
            <w:shd w:val="clear" w:color="auto" w:fill="auto"/>
            <w:noWrap/>
            <w:vAlign w:val="bottom"/>
            <w:hideMark/>
          </w:tcPr>
          <w:p w14:paraId="6220EC52" w14:textId="7CFC262F" w:rsidR="006F5C26" w:rsidRPr="00506B86" w:rsidRDefault="006F5C26" w:rsidP="00D01B6E">
            <w:pPr>
              <w:keepNext/>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140 mg in 1 mL</w:t>
            </w:r>
          </w:p>
        </w:tc>
        <w:tc>
          <w:tcPr>
            <w:tcW w:w="1136" w:type="dxa"/>
            <w:tcBorders>
              <w:top w:val="nil"/>
              <w:left w:val="nil"/>
              <w:bottom w:val="single" w:sz="4" w:space="0" w:color="auto"/>
              <w:right w:val="single" w:sz="4" w:space="0" w:color="auto"/>
            </w:tcBorders>
            <w:shd w:val="clear" w:color="auto" w:fill="auto"/>
            <w:noWrap/>
            <w:vAlign w:val="bottom"/>
            <w:hideMark/>
          </w:tcPr>
          <w:p w14:paraId="2416FF1A"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32</w:t>
            </w:r>
          </w:p>
        </w:tc>
        <w:tc>
          <w:tcPr>
            <w:tcW w:w="1136" w:type="dxa"/>
            <w:tcBorders>
              <w:top w:val="nil"/>
              <w:left w:val="nil"/>
              <w:bottom w:val="single" w:sz="4" w:space="0" w:color="auto"/>
              <w:right w:val="single" w:sz="4" w:space="0" w:color="auto"/>
            </w:tcBorders>
            <w:shd w:val="clear" w:color="auto" w:fill="auto"/>
            <w:noWrap/>
            <w:vAlign w:val="bottom"/>
            <w:hideMark/>
          </w:tcPr>
          <w:p w14:paraId="21453ED8"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534</w:t>
            </w:r>
          </w:p>
        </w:tc>
        <w:tc>
          <w:tcPr>
            <w:tcW w:w="1134" w:type="dxa"/>
            <w:tcBorders>
              <w:top w:val="nil"/>
              <w:left w:val="nil"/>
              <w:bottom w:val="single" w:sz="4" w:space="0" w:color="auto"/>
              <w:right w:val="single" w:sz="4" w:space="0" w:color="auto"/>
            </w:tcBorders>
            <w:shd w:val="clear" w:color="auto" w:fill="auto"/>
            <w:noWrap/>
            <w:vAlign w:val="bottom"/>
            <w:hideMark/>
          </w:tcPr>
          <w:p w14:paraId="7888B95C" w14:textId="3C174771"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6,357</w:t>
            </w:r>
          </w:p>
        </w:tc>
        <w:tc>
          <w:tcPr>
            <w:tcW w:w="851" w:type="dxa"/>
            <w:tcBorders>
              <w:top w:val="nil"/>
              <w:left w:val="nil"/>
              <w:bottom w:val="single" w:sz="4" w:space="0" w:color="auto"/>
              <w:right w:val="single" w:sz="4" w:space="0" w:color="auto"/>
            </w:tcBorders>
            <w:shd w:val="clear" w:color="auto" w:fill="auto"/>
            <w:noWrap/>
            <w:vAlign w:val="bottom"/>
            <w:hideMark/>
          </w:tcPr>
          <w:p w14:paraId="3AF6FDC3"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123</w:t>
            </w:r>
          </w:p>
        </w:tc>
      </w:tr>
      <w:tr w:rsidR="006F5C26" w:rsidRPr="00506B86" w14:paraId="20D09F49" w14:textId="77777777" w:rsidTr="00EB45CD">
        <w:trPr>
          <w:trHeight w:val="300"/>
        </w:trPr>
        <w:tc>
          <w:tcPr>
            <w:tcW w:w="957" w:type="dxa"/>
            <w:vMerge/>
            <w:tcBorders>
              <w:top w:val="nil"/>
              <w:left w:val="single" w:sz="4" w:space="0" w:color="auto"/>
              <w:bottom w:val="single" w:sz="4" w:space="0" w:color="auto"/>
              <w:right w:val="single" w:sz="4" w:space="0" w:color="auto"/>
            </w:tcBorders>
            <w:vAlign w:val="center"/>
            <w:hideMark/>
          </w:tcPr>
          <w:p w14:paraId="1E0AE852" w14:textId="77777777" w:rsidR="006F5C26" w:rsidRPr="00506B86" w:rsidRDefault="006F5C26" w:rsidP="00D01B6E">
            <w:pPr>
              <w:keepNext/>
              <w:spacing w:after="0"/>
              <w:rPr>
                <w:rFonts w:ascii="Calibri" w:eastAsia="Times New Roman" w:hAnsi="Calibri" w:cs="Calibri"/>
                <w:color w:val="000000"/>
                <w:sz w:val="20"/>
                <w:szCs w:val="20"/>
              </w:rPr>
            </w:pPr>
          </w:p>
        </w:tc>
        <w:tc>
          <w:tcPr>
            <w:tcW w:w="2294" w:type="dxa"/>
            <w:tcBorders>
              <w:top w:val="nil"/>
              <w:left w:val="nil"/>
              <w:bottom w:val="single" w:sz="4" w:space="0" w:color="auto"/>
              <w:right w:val="single" w:sz="4" w:space="0" w:color="auto"/>
            </w:tcBorders>
            <w:shd w:val="clear" w:color="auto" w:fill="auto"/>
            <w:noWrap/>
            <w:vAlign w:val="bottom"/>
            <w:hideMark/>
          </w:tcPr>
          <w:p w14:paraId="237F43C5" w14:textId="0F28E932" w:rsidR="006F5C26" w:rsidRPr="00506B86" w:rsidRDefault="006F5C26" w:rsidP="00D01B6E">
            <w:pPr>
              <w:keepNext/>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 xml:space="preserve">420 mg in 3.5 mL </w:t>
            </w:r>
          </w:p>
        </w:tc>
        <w:tc>
          <w:tcPr>
            <w:tcW w:w="1136" w:type="dxa"/>
            <w:tcBorders>
              <w:top w:val="nil"/>
              <w:left w:val="nil"/>
              <w:bottom w:val="single" w:sz="4" w:space="0" w:color="auto"/>
              <w:right w:val="single" w:sz="4" w:space="0" w:color="auto"/>
            </w:tcBorders>
            <w:shd w:val="clear" w:color="auto" w:fill="auto"/>
            <w:noWrap/>
            <w:vAlign w:val="bottom"/>
            <w:hideMark/>
          </w:tcPr>
          <w:p w14:paraId="645795F6"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250</w:t>
            </w:r>
          </w:p>
        </w:tc>
        <w:tc>
          <w:tcPr>
            <w:tcW w:w="1136" w:type="dxa"/>
            <w:tcBorders>
              <w:top w:val="nil"/>
              <w:left w:val="nil"/>
              <w:bottom w:val="single" w:sz="4" w:space="0" w:color="auto"/>
              <w:right w:val="single" w:sz="4" w:space="0" w:color="auto"/>
            </w:tcBorders>
            <w:shd w:val="clear" w:color="auto" w:fill="auto"/>
            <w:noWrap/>
            <w:vAlign w:val="bottom"/>
            <w:hideMark/>
          </w:tcPr>
          <w:p w14:paraId="0F20DD74"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14:paraId="7ADC71DF"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5</w:t>
            </w:r>
          </w:p>
        </w:tc>
        <w:tc>
          <w:tcPr>
            <w:tcW w:w="851" w:type="dxa"/>
            <w:tcBorders>
              <w:top w:val="nil"/>
              <w:left w:val="nil"/>
              <w:bottom w:val="single" w:sz="4" w:space="0" w:color="auto"/>
              <w:right w:val="single" w:sz="4" w:space="0" w:color="auto"/>
            </w:tcBorders>
            <w:shd w:val="clear" w:color="auto" w:fill="auto"/>
            <w:noWrap/>
            <w:vAlign w:val="bottom"/>
            <w:hideMark/>
          </w:tcPr>
          <w:p w14:paraId="1A3FE8BF" w14:textId="3D5BBCF6" w:rsidR="006F5C26" w:rsidRPr="00506B86" w:rsidRDefault="004B0406" w:rsidP="00D01B6E">
            <w:pPr>
              <w:keepNext/>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&lt;5</w:t>
            </w:r>
          </w:p>
        </w:tc>
      </w:tr>
      <w:tr w:rsidR="006F5C26" w:rsidRPr="00506B86" w14:paraId="55D44AA2" w14:textId="77777777" w:rsidTr="00EB45CD">
        <w:trPr>
          <w:trHeight w:val="300"/>
        </w:trPr>
        <w:tc>
          <w:tcPr>
            <w:tcW w:w="95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7B7A53" w14:textId="77777777" w:rsidR="006F5C26" w:rsidRPr="00506B86" w:rsidRDefault="006F5C26" w:rsidP="00D01B6E">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2019</w:t>
            </w:r>
          </w:p>
        </w:tc>
        <w:tc>
          <w:tcPr>
            <w:tcW w:w="2294" w:type="dxa"/>
            <w:tcBorders>
              <w:top w:val="nil"/>
              <w:left w:val="nil"/>
              <w:bottom w:val="single" w:sz="4" w:space="0" w:color="auto"/>
              <w:right w:val="single" w:sz="4" w:space="0" w:color="auto"/>
            </w:tcBorders>
            <w:shd w:val="clear" w:color="auto" w:fill="auto"/>
            <w:noWrap/>
            <w:vAlign w:val="bottom"/>
            <w:hideMark/>
          </w:tcPr>
          <w:p w14:paraId="6210B4F1" w14:textId="0D8BE0CD" w:rsidR="006F5C26" w:rsidRPr="00506B86" w:rsidRDefault="006F5C26" w:rsidP="00D01B6E">
            <w:pPr>
              <w:keepNext/>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140 mg in 1 mL</w:t>
            </w:r>
          </w:p>
        </w:tc>
        <w:tc>
          <w:tcPr>
            <w:tcW w:w="1136" w:type="dxa"/>
            <w:tcBorders>
              <w:top w:val="nil"/>
              <w:left w:val="nil"/>
              <w:bottom w:val="single" w:sz="4" w:space="0" w:color="auto"/>
              <w:right w:val="single" w:sz="4" w:space="0" w:color="auto"/>
            </w:tcBorders>
            <w:shd w:val="clear" w:color="auto" w:fill="auto"/>
            <w:noWrap/>
            <w:vAlign w:val="bottom"/>
            <w:hideMark/>
          </w:tcPr>
          <w:p w14:paraId="35FA65E1"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39</w:t>
            </w:r>
          </w:p>
        </w:tc>
        <w:tc>
          <w:tcPr>
            <w:tcW w:w="1136" w:type="dxa"/>
            <w:tcBorders>
              <w:top w:val="nil"/>
              <w:left w:val="nil"/>
              <w:bottom w:val="single" w:sz="4" w:space="0" w:color="auto"/>
              <w:right w:val="single" w:sz="4" w:space="0" w:color="auto"/>
            </w:tcBorders>
            <w:shd w:val="clear" w:color="auto" w:fill="auto"/>
            <w:noWrap/>
            <w:vAlign w:val="bottom"/>
            <w:hideMark/>
          </w:tcPr>
          <w:p w14:paraId="62234AE5" w14:textId="6DCD01BF"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3,560</w:t>
            </w:r>
          </w:p>
        </w:tc>
        <w:tc>
          <w:tcPr>
            <w:tcW w:w="1134" w:type="dxa"/>
            <w:tcBorders>
              <w:top w:val="nil"/>
              <w:left w:val="nil"/>
              <w:bottom w:val="single" w:sz="4" w:space="0" w:color="auto"/>
              <w:right w:val="single" w:sz="4" w:space="0" w:color="auto"/>
            </w:tcBorders>
            <w:shd w:val="clear" w:color="auto" w:fill="auto"/>
            <w:noWrap/>
            <w:vAlign w:val="bottom"/>
            <w:hideMark/>
          </w:tcPr>
          <w:p w14:paraId="7EFD0B14" w14:textId="4ACC1A25"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7,998</w:t>
            </w:r>
          </w:p>
        </w:tc>
        <w:tc>
          <w:tcPr>
            <w:tcW w:w="851" w:type="dxa"/>
            <w:tcBorders>
              <w:top w:val="nil"/>
              <w:left w:val="nil"/>
              <w:bottom w:val="single" w:sz="4" w:space="0" w:color="auto"/>
              <w:right w:val="single" w:sz="4" w:space="0" w:color="auto"/>
            </w:tcBorders>
            <w:shd w:val="clear" w:color="auto" w:fill="auto"/>
            <w:noWrap/>
            <w:vAlign w:val="bottom"/>
            <w:hideMark/>
          </w:tcPr>
          <w:p w14:paraId="4B24977C"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134</w:t>
            </w:r>
          </w:p>
        </w:tc>
      </w:tr>
      <w:tr w:rsidR="006F5C26" w:rsidRPr="00506B86" w14:paraId="2B3C2D45" w14:textId="77777777" w:rsidTr="00EB45CD">
        <w:trPr>
          <w:trHeight w:val="300"/>
        </w:trPr>
        <w:tc>
          <w:tcPr>
            <w:tcW w:w="957" w:type="dxa"/>
            <w:vMerge/>
            <w:tcBorders>
              <w:top w:val="nil"/>
              <w:left w:val="single" w:sz="4" w:space="0" w:color="auto"/>
              <w:bottom w:val="single" w:sz="4" w:space="0" w:color="auto"/>
              <w:right w:val="single" w:sz="4" w:space="0" w:color="auto"/>
            </w:tcBorders>
            <w:vAlign w:val="center"/>
            <w:hideMark/>
          </w:tcPr>
          <w:p w14:paraId="4C4019D8" w14:textId="77777777" w:rsidR="006F5C26" w:rsidRPr="00506B86" w:rsidRDefault="006F5C26" w:rsidP="00D01B6E">
            <w:pPr>
              <w:keepNext/>
              <w:spacing w:after="0"/>
              <w:rPr>
                <w:rFonts w:ascii="Calibri" w:eastAsia="Times New Roman" w:hAnsi="Calibri" w:cs="Calibri"/>
                <w:color w:val="000000"/>
                <w:sz w:val="20"/>
                <w:szCs w:val="20"/>
              </w:rPr>
            </w:pPr>
          </w:p>
        </w:tc>
        <w:tc>
          <w:tcPr>
            <w:tcW w:w="2294" w:type="dxa"/>
            <w:tcBorders>
              <w:top w:val="nil"/>
              <w:left w:val="nil"/>
              <w:bottom w:val="single" w:sz="4" w:space="0" w:color="auto"/>
              <w:right w:val="single" w:sz="4" w:space="0" w:color="auto"/>
            </w:tcBorders>
            <w:shd w:val="clear" w:color="auto" w:fill="auto"/>
            <w:noWrap/>
            <w:vAlign w:val="bottom"/>
            <w:hideMark/>
          </w:tcPr>
          <w:p w14:paraId="522C4A03" w14:textId="71C7298F" w:rsidR="006F5C26" w:rsidRPr="00506B86" w:rsidRDefault="006F5C26" w:rsidP="00D01B6E">
            <w:pPr>
              <w:keepNext/>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 xml:space="preserve">420 mg in 3.5 mL </w:t>
            </w:r>
          </w:p>
        </w:tc>
        <w:tc>
          <w:tcPr>
            <w:tcW w:w="1136" w:type="dxa"/>
            <w:tcBorders>
              <w:top w:val="nil"/>
              <w:left w:val="nil"/>
              <w:bottom w:val="single" w:sz="4" w:space="0" w:color="auto"/>
              <w:right w:val="single" w:sz="4" w:space="0" w:color="auto"/>
            </w:tcBorders>
            <w:shd w:val="clear" w:color="auto" w:fill="auto"/>
            <w:noWrap/>
            <w:vAlign w:val="bottom"/>
            <w:hideMark/>
          </w:tcPr>
          <w:p w14:paraId="08202711"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841</w:t>
            </w:r>
          </w:p>
        </w:tc>
        <w:tc>
          <w:tcPr>
            <w:tcW w:w="1136" w:type="dxa"/>
            <w:tcBorders>
              <w:top w:val="nil"/>
              <w:left w:val="nil"/>
              <w:bottom w:val="single" w:sz="4" w:space="0" w:color="auto"/>
              <w:right w:val="single" w:sz="4" w:space="0" w:color="auto"/>
            </w:tcBorders>
            <w:shd w:val="clear" w:color="auto" w:fill="auto"/>
            <w:noWrap/>
            <w:vAlign w:val="bottom"/>
            <w:hideMark/>
          </w:tcPr>
          <w:p w14:paraId="54875FB6"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40</w:t>
            </w:r>
          </w:p>
        </w:tc>
        <w:tc>
          <w:tcPr>
            <w:tcW w:w="1134" w:type="dxa"/>
            <w:tcBorders>
              <w:top w:val="nil"/>
              <w:left w:val="nil"/>
              <w:bottom w:val="single" w:sz="4" w:space="0" w:color="auto"/>
              <w:right w:val="single" w:sz="4" w:space="0" w:color="auto"/>
            </w:tcBorders>
            <w:shd w:val="clear" w:color="auto" w:fill="auto"/>
            <w:noWrap/>
            <w:vAlign w:val="bottom"/>
            <w:hideMark/>
          </w:tcPr>
          <w:p w14:paraId="686FAD38"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6</w:t>
            </w:r>
          </w:p>
        </w:tc>
        <w:tc>
          <w:tcPr>
            <w:tcW w:w="851" w:type="dxa"/>
            <w:tcBorders>
              <w:top w:val="nil"/>
              <w:left w:val="nil"/>
              <w:bottom w:val="single" w:sz="4" w:space="0" w:color="auto"/>
              <w:right w:val="single" w:sz="4" w:space="0" w:color="auto"/>
            </w:tcBorders>
            <w:shd w:val="clear" w:color="auto" w:fill="auto"/>
            <w:noWrap/>
            <w:vAlign w:val="bottom"/>
            <w:hideMark/>
          </w:tcPr>
          <w:p w14:paraId="2770BE2B" w14:textId="2D3E60D8" w:rsidR="006F5C26" w:rsidRPr="00506B86" w:rsidRDefault="004B0406" w:rsidP="00D01B6E">
            <w:pPr>
              <w:keepNext/>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&lt;5</w:t>
            </w:r>
          </w:p>
        </w:tc>
      </w:tr>
      <w:tr w:rsidR="006F5C26" w:rsidRPr="00506B86" w14:paraId="2E5C3574" w14:textId="77777777" w:rsidTr="00EB45CD">
        <w:trPr>
          <w:trHeight w:val="300"/>
        </w:trPr>
        <w:tc>
          <w:tcPr>
            <w:tcW w:w="95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A18C01" w14:textId="77777777" w:rsidR="006F5C26" w:rsidRPr="00506B86" w:rsidRDefault="006F5C26" w:rsidP="00D01B6E">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2020</w:t>
            </w:r>
          </w:p>
        </w:tc>
        <w:tc>
          <w:tcPr>
            <w:tcW w:w="2294" w:type="dxa"/>
            <w:tcBorders>
              <w:top w:val="nil"/>
              <w:left w:val="nil"/>
              <w:bottom w:val="single" w:sz="4" w:space="0" w:color="auto"/>
              <w:right w:val="single" w:sz="4" w:space="0" w:color="auto"/>
            </w:tcBorders>
            <w:shd w:val="clear" w:color="auto" w:fill="auto"/>
            <w:noWrap/>
            <w:vAlign w:val="bottom"/>
            <w:hideMark/>
          </w:tcPr>
          <w:p w14:paraId="5684D755" w14:textId="09D76115" w:rsidR="006F5C26" w:rsidRPr="00506B86" w:rsidRDefault="006F5C26" w:rsidP="00D01B6E">
            <w:pPr>
              <w:keepNext/>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140 mg in 1 mL</w:t>
            </w:r>
          </w:p>
        </w:tc>
        <w:tc>
          <w:tcPr>
            <w:tcW w:w="1136" w:type="dxa"/>
            <w:tcBorders>
              <w:top w:val="nil"/>
              <w:left w:val="nil"/>
              <w:bottom w:val="single" w:sz="4" w:space="0" w:color="auto"/>
              <w:right w:val="single" w:sz="4" w:space="0" w:color="auto"/>
            </w:tcBorders>
            <w:shd w:val="clear" w:color="auto" w:fill="auto"/>
            <w:noWrap/>
            <w:vAlign w:val="bottom"/>
            <w:hideMark/>
          </w:tcPr>
          <w:p w14:paraId="4145B0F8"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77</w:t>
            </w:r>
          </w:p>
        </w:tc>
        <w:tc>
          <w:tcPr>
            <w:tcW w:w="1136" w:type="dxa"/>
            <w:tcBorders>
              <w:top w:val="nil"/>
              <w:left w:val="nil"/>
              <w:bottom w:val="single" w:sz="4" w:space="0" w:color="auto"/>
              <w:right w:val="single" w:sz="4" w:space="0" w:color="auto"/>
            </w:tcBorders>
            <w:shd w:val="clear" w:color="auto" w:fill="auto"/>
            <w:noWrap/>
            <w:vAlign w:val="bottom"/>
            <w:hideMark/>
          </w:tcPr>
          <w:p w14:paraId="29A2F2CF" w14:textId="4A2D3AD8"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12,136</w:t>
            </w:r>
          </w:p>
        </w:tc>
        <w:tc>
          <w:tcPr>
            <w:tcW w:w="1134" w:type="dxa"/>
            <w:tcBorders>
              <w:top w:val="nil"/>
              <w:left w:val="nil"/>
              <w:bottom w:val="single" w:sz="4" w:space="0" w:color="auto"/>
              <w:right w:val="single" w:sz="4" w:space="0" w:color="auto"/>
            </w:tcBorders>
            <w:shd w:val="clear" w:color="auto" w:fill="auto"/>
            <w:noWrap/>
            <w:vAlign w:val="bottom"/>
            <w:hideMark/>
          </w:tcPr>
          <w:p w14:paraId="6B49CB6F" w14:textId="3C93A078"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9,086</w:t>
            </w:r>
          </w:p>
        </w:tc>
        <w:tc>
          <w:tcPr>
            <w:tcW w:w="851" w:type="dxa"/>
            <w:tcBorders>
              <w:top w:val="nil"/>
              <w:left w:val="nil"/>
              <w:bottom w:val="single" w:sz="4" w:space="0" w:color="auto"/>
              <w:right w:val="single" w:sz="4" w:space="0" w:color="auto"/>
            </w:tcBorders>
            <w:shd w:val="clear" w:color="auto" w:fill="auto"/>
            <w:noWrap/>
            <w:vAlign w:val="bottom"/>
            <w:hideMark/>
          </w:tcPr>
          <w:p w14:paraId="287BBF07" w14:textId="77777777" w:rsidR="006F5C26" w:rsidRPr="00506B86" w:rsidRDefault="006F5C26" w:rsidP="00D01B6E">
            <w:pPr>
              <w:keepNext/>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114</w:t>
            </w:r>
          </w:p>
        </w:tc>
      </w:tr>
      <w:tr w:rsidR="00EB45CD" w:rsidRPr="00506B86" w14:paraId="7481403F" w14:textId="77777777" w:rsidTr="00EB45CD">
        <w:trPr>
          <w:trHeight w:val="300"/>
        </w:trPr>
        <w:tc>
          <w:tcPr>
            <w:tcW w:w="957" w:type="dxa"/>
            <w:vMerge/>
            <w:tcBorders>
              <w:top w:val="nil"/>
              <w:left w:val="single" w:sz="4" w:space="0" w:color="auto"/>
              <w:bottom w:val="single" w:sz="4" w:space="0" w:color="auto"/>
              <w:right w:val="single" w:sz="4" w:space="0" w:color="auto"/>
            </w:tcBorders>
            <w:vAlign w:val="center"/>
            <w:hideMark/>
          </w:tcPr>
          <w:p w14:paraId="227B68AD" w14:textId="77777777" w:rsidR="00EB45CD" w:rsidRPr="00506B86" w:rsidRDefault="00EB45CD" w:rsidP="006F5C26">
            <w:pPr>
              <w:spacing w:after="0"/>
              <w:rPr>
                <w:rFonts w:ascii="Calibri" w:eastAsia="Times New Roman" w:hAnsi="Calibri" w:cs="Calibri"/>
                <w:color w:val="000000"/>
                <w:sz w:val="20"/>
                <w:szCs w:val="20"/>
              </w:rPr>
            </w:pPr>
          </w:p>
        </w:tc>
        <w:tc>
          <w:tcPr>
            <w:tcW w:w="2294" w:type="dxa"/>
            <w:tcBorders>
              <w:top w:val="nil"/>
              <w:left w:val="nil"/>
              <w:bottom w:val="single" w:sz="4" w:space="0" w:color="auto"/>
              <w:right w:val="single" w:sz="4" w:space="0" w:color="auto"/>
            </w:tcBorders>
            <w:shd w:val="clear" w:color="auto" w:fill="auto"/>
            <w:noWrap/>
            <w:vAlign w:val="bottom"/>
            <w:hideMark/>
          </w:tcPr>
          <w:p w14:paraId="736B7DE6" w14:textId="65D7DA72" w:rsidR="00EB45CD" w:rsidRPr="00506B86" w:rsidRDefault="00EB45CD" w:rsidP="006F5C26">
            <w:pPr>
              <w:spacing w:after="0"/>
              <w:ind w:firstLineChars="100" w:firstLine="200"/>
              <w:rPr>
                <w:rFonts w:ascii="Calibri" w:eastAsia="Times New Roman" w:hAnsi="Calibri" w:cs="Calibri"/>
                <w:color w:val="000000"/>
                <w:sz w:val="20"/>
                <w:szCs w:val="20"/>
              </w:rPr>
            </w:pPr>
            <w:r w:rsidRPr="00506B86">
              <w:rPr>
                <w:rFonts w:ascii="Calibri" w:eastAsia="Times New Roman" w:hAnsi="Calibri" w:cs="Calibri"/>
                <w:color w:val="000000"/>
                <w:sz w:val="20"/>
                <w:szCs w:val="20"/>
              </w:rPr>
              <w:t xml:space="preserve">420 mg in 3.5 mL </w:t>
            </w:r>
          </w:p>
        </w:tc>
        <w:tc>
          <w:tcPr>
            <w:tcW w:w="1136" w:type="dxa"/>
            <w:tcBorders>
              <w:top w:val="nil"/>
              <w:left w:val="nil"/>
              <w:bottom w:val="single" w:sz="4" w:space="0" w:color="auto"/>
              <w:right w:val="single" w:sz="4" w:space="0" w:color="auto"/>
            </w:tcBorders>
            <w:shd w:val="clear" w:color="auto" w:fill="auto"/>
            <w:noWrap/>
            <w:vAlign w:val="bottom"/>
            <w:hideMark/>
          </w:tcPr>
          <w:p w14:paraId="7DC9E493" w14:textId="77777777" w:rsidR="00EB45CD" w:rsidRPr="00506B86" w:rsidRDefault="00EB45CD" w:rsidP="006F5C26">
            <w:pPr>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3082</w:t>
            </w:r>
          </w:p>
        </w:tc>
        <w:tc>
          <w:tcPr>
            <w:tcW w:w="1136" w:type="dxa"/>
            <w:tcBorders>
              <w:top w:val="nil"/>
              <w:left w:val="nil"/>
              <w:bottom w:val="single" w:sz="4" w:space="0" w:color="auto"/>
              <w:right w:val="single" w:sz="4" w:space="0" w:color="auto"/>
            </w:tcBorders>
            <w:shd w:val="clear" w:color="auto" w:fill="auto"/>
            <w:noWrap/>
            <w:vAlign w:val="bottom"/>
            <w:hideMark/>
          </w:tcPr>
          <w:p w14:paraId="4552DDB4" w14:textId="77777777" w:rsidR="00EB45CD" w:rsidRPr="00506B86" w:rsidRDefault="00EB45CD" w:rsidP="006F5C26">
            <w:pPr>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89</w:t>
            </w:r>
          </w:p>
        </w:tc>
        <w:tc>
          <w:tcPr>
            <w:tcW w:w="1135" w:type="dxa"/>
            <w:tcBorders>
              <w:top w:val="nil"/>
              <w:left w:val="nil"/>
              <w:bottom w:val="single" w:sz="4" w:space="0" w:color="auto"/>
              <w:right w:val="single" w:sz="4" w:space="0" w:color="auto"/>
            </w:tcBorders>
            <w:shd w:val="clear" w:color="auto" w:fill="auto"/>
            <w:noWrap/>
            <w:vAlign w:val="bottom"/>
            <w:hideMark/>
          </w:tcPr>
          <w:p w14:paraId="63B2FED0" w14:textId="77777777" w:rsidR="00EB45CD" w:rsidRPr="00506B86" w:rsidRDefault="00EB45CD" w:rsidP="006F5C26">
            <w:pPr>
              <w:spacing w:after="0"/>
              <w:jc w:val="right"/>
              <w:rPr>
                <w:rFonts w:ascii="Calibri" w:eastAsia="Times New Roman" w:hAnsi="Calibri" w:cs="Calibri"/>
                <w:color w:val="000000"/>
                <w:sz w:val="20"/>
                <w:szCs w:val="20"/>
              </w:rPr>
            </w:pPr>
            <w:r w:rsidRPr="00506B86">
              <w:rPr>
                <w:rFonts w:ascii="Calibri" w:eastAsia="Times New Roman" w:hAnsi="Calibri" w:cs="Calibri"/>
                <w:color w:val="000000"/>
                <w:sz w:val="20"/>
                <w:szCs w:val="20"/>
              </w:rPr>
              <w:t>7</w:t>
            </w:r>
          </w:p>
        </w:tc>
        <w:tc>
          <w:tcPr>
            <w:tcW w:w="850" w:type="dxa"/>
            <w:tcBorders>
              <w:top w:val="nil"/>
              <w:left w:val="nil"/>
              <w:bottom w:val="single" w:sz="4" w:space="0" w:color="auto"/>
              <w:right w:val="single" w:sz="4" w:space="0" w:color="auto"/>
            </w:tcBorders>
            <w:shd w:val="clear" w:color="auto" w:fill="auto"/>
            <w:vAlign w:val="bottom"/>
          </w:tcPr>
          <w:p w14:paraId="17101770" w14:textId="2BB1EBE2" w:rsidR="00EB45CD" w:rsidRPr="00506B86" w:rsidRDefault="00EB45CD" w:rsidP="006F5C26">
            <w:pPr>
              <w:spacing w:after="0"/>
              <w:jc w:val="right"/>
              <w:rPr>
                <w:rFonts w:ascii="Calibri" w:eastAsia="Times New Roman" w:hAnsi="Calibri" w:cs="Calibri"/>
                <w:color w:val="000000"/>
                <w:sz w:val="20"/>
                <w:szCs w:val="20"/>
              </w:rPr>
            </w:pPr>
          </w:p>
        </w:tc>
      </w:tr>
    </w:tbl>
    <w:p w14:paraId="754A18BD" w14:textId="05A01B85" w:rsidR="003B7969" w:rsidRPr="003B7969" w:rsidRDefault="006F5C26" w:rsidP="006F5C26">
      <w:pPr>
        <w:pStyle w:val="Notes"/>
      </w:pPr>
      <w:r>
        <w:t xml:space="preserve">Note: Quantities of 5 and &gt;6 are not shown due to small numbers. </w:t>
      </w:r>
      <w:r w:rsidR="004B0406">
        <w:t>Small cell counts for other quantities have been confidentialised.</w:t>
      </w:r>
    </w:p>
    <w:p w14:paraId="42011CAD" w14:textId="57F0AF84" w:rsidR="00B74E06" w:rsidRDefault="00B74E06" w:rsidP="0093180A"/>
    <w:p w14:paraId="478A3FF5" w14:textId="517D1763" w:rsidR="003C306B" w:rsidRDefault="003C306B" w:rsidP="0093180A">
      <w:r>
        <w:rPr>
          <w:noProof/>
        </w:rPr>
        <w:lastRenderedPageBreak/>
        <w:drawing>
          <wp:inline distT="0" distB="0" distL="0" distR="0" wp14:anchorId="306FE353" wp14:editId="23413F51">
            <wp:extent cx="5687695" cy="3731260"/>
            <wp:effectExtent l="0" t="0" r="8255" b="2540"/>
            <wp:docPr id="4" name="Chart 4" descr="Proportion of patients initiating evolocumab by prescriber type in 2020. Bar chart showing approximately 65% were written by cardiology specialist."/>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6F7088E" w14:textId="10F317D9" w:rsidR="003C306B" w:rsidRDefault="00F4362D" w:rsidP="00EB0EB2">
      <w:pPr>
        <w:pStyle w:val="Figuretitle"/>
      </w:pPr>
      <w:r>
        <w:t>Figure 7</w:t>
      </w:r>
      <w:r w:rsidR="003C306B">
        <w:t xml:space="preserve">: </w:t>
      </w:r>
      <w:r w:rsidR="003C306B" w:rsidRPr="003C306B">
        <w:t xml:space="preserve">Proportion of patients initiating evolocumab by prescriber type in </w:t>
      </w:r>
      <w:r w:rsidR="003C306B">
        <w:t>2020</w:t>
      </w:r>
      <w:r w:rsidR="003C306B" w:rsidRPr="003C306B">
        <w:t xml:space="preserve"> </w:t>
      </w:r>
      <w:r w:rsidR="003C306B" w:rsidRPr="003C306B">
        <w:cr/>
      </w:r>
    </w:p>
    <w:p w14:paraId="5358C5D3" w14:textId="359D2DAD" w:rsidR="003C306B" w:rsidRDefault="003C306B" w:rsidP="003C306B">
      <w:r>
        <w:rPr>
          <w:rFonts w:hint="eastAsia"/>
        </w:rPr>
        <w:t xml:space="preserve">Figure </w:t>
      </w:r>
      <w:r w:rsidR="00F4362D">
        <w:t>7</w:t>
      </w:r>
      <w:r>
        <w:rPr>
          <w:rFonts w:hint="eastAsia"/>
        </w:rPr>
        <w:t xml:space="preserve"> depicts the type of prescribers who initiated PBS</w:t>
      </w:r>
      <w:r w:rsidR="00EB0EB2">
        <w:rPr>
          <w:rFonts w:hint="eastAsia"/>
        </w:rPr>
        <w:t xml:space="preserve"> </w:t>
      </w:r>
      <w:r>
        <w:rPr>
          <w:rFonts w:hint="eastAsia"/>
        </w:rPr>
        <w:t xml:space="preserve">subsidised evolocumab for </w:t>
      </w:r>
      <w:r>
        <w:t>any indication in 2020. The largest proportion of patients initiating evolocumab had their first prescription written by a cardiologist; followed by endocrinologists and internal medicine specialists.</w:t>
      </w:r>
    </w:p>
    <w:p w14:paraId="2346FE83" w14:textId="77777777" w:rsidR="003C306B" w:rsidRDefault="003C306B" w:rsidP="003C306B"/>
    <w:p w14:paraId="35F05001" w14:textId="1AAC6B95" w:rsidR="009F5E8B" w:rsidRDefault="003579F8" w:rsidP="00394E19">
      <w:pPr>
        <w:keepNext/>
      </w:pPr>
      <w:r>
        <w:rPr>
          <w:noProof/>
        </w:rPr>
        <w:lastRenderedPageBreak/>
        <w:drawing>
          <wp:inline distT="0" distB="0" distL="0" distR="0" wp14:anchorId="63A7FAD5" wp14:editId="1493A3BC">
            <wp:extent cx="5269116" cy="3295462"/>
            <wp:effectExtent l="0" t="0" r="8255" b="635"/>
            <wp:docPr id="10" name="Chart 10" descr="Distribution of time to next supply by dose supplied, all indic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4421CE" w14:textId="0B33C945" w:rsidR="009F5E8B" w:rsidRDefault="00F4362D" w:rsidP="009F5E8B">
      <w:pPr>
        <w:pStyle w:val="Figuretitle"/>
      </w:pPr>
      <w:r>
        <w:t>Figure 8</w:t>
      </w:r>
      <w:r w:rsidR="009F5E8B">
        <w:t>: Distribution of time to next supply by dose supplied</w:t>
      </w:r>
      <w:r w:rsidR="004B0FB2">
        <w:t>, all indications</w:t>
      </w:r>
    </w:p>
    <w:p w14:paraId="49650F74" w14:textId="4A0615CD" w:rsidR="003579F8" w:rsidRPr="00FA1C8C" w:rsidRDefault="003579F8" w:rsidP="00FA1C8C"/>
    <w:p w14:paraId="667F47B1" w14:textId="13571536" w:rsidR="00394E19" w:rsidRDefault="00F4362D" w:rsidP="00F3128A">
      <w:r>
        <w:t>As noted in Table 1</w:t>
      </w:r>
      <w:r w:rsidR="00F34DF6">
        <w:t>, the</w:t>
      </w:r>
      <w:r w:rsidR="00394E19">
        <w:t xml:space="preserve"> recommended dosage of evolocumab </w:t>
      </w:r>
      <w:r w:rsidR="00F34DF6">
        <w:t>for primary h</w:t>
      </w:r>
      <w:r w:rsidR="00F34DF6" w:rsidRPr="00F34DF6">
        <w:t>ypercholesterolaemia</w:t>
      </w:r>
      <w:r w:rsidR="00F34DF6">
        <w:t xml:space="preserve"> is 140 mg every 2 weeks or 420 mg once monthly. For </w:t>
      </w:r>
      <w:r w:rsidR="00F34DF6" w:rsidRPr="00F34DF6">
        <w:t>homozygous familial hypercholesterolaemia</w:t>
      </w:r>
      <w:r w:rsidR="00FA1C8C">
        <w:t xml:space="preserve"> </w:t>
      </w:r>
      <w:r w:rsidR="00F34DF6">
        <w:t>the recommended i</w:t>
      </w:r>
      <w:r w:rsidR="00F34DF6" w:rsidRPr="00F34DF6">
        <w:t xml:space="preserve">nitial dose is 420 mg once monthly. </w:t>
      </w:r>
      <w:r w:rsidR="00F34DF6">
        <w:t>These doses may be supplied as one single use pen for a 140 mg dose, or for a 420 mg dose as a</w:t>
      </w:r>
      <w:r w:rsidR="00B76961">
        <w:t xml:space="preserve"> </w:t>
      </w:r>
      <w:r w:rsidR="00F34DF6" w:rsidRPr="00F34DF6">
        <w:t xml:space="preserve">single-use automated mini-doser with </w:t>
      </w:r>
      <w:r w:rsidR="00F34DF6">
        <w:t>3.5 mL pre-filled cartridge or t</w:t>
      </w:r>
      <w:r w:rsidR="00F34DF6" w:rsidRPr="00F34DF6">
        <w:t>hree single-use pre-filled pens administered consecutively within 30 minutes</w:t>
      </w:r>
      <w:r w:rsidR="00F34DF6">
        <w:t>.</w:t>
      </w:r>
    </w:p>
    <w:p w14:paraId="696F3952" w14:textId="09C6DD1B" w:rsidR="00F34DF6" w:rsidRDefault="00F4362D" w:rsidP="00F3128A">
      <w:r>
        <w:t>From Table 7</w:t>
      </w:r>
      <w:r w:rsidR="00F34DF6">
        <w:t xml:space="preserve"> it appears there is a high proportion of prescriptions being dispensed with two or three 140 mg pen devi</w:t>
      </w:r>
      <w:r>
        <w:t>ces (280 mg or 420 mg). Figure 8</w:t>
      </w:r>
      <w:r w:rsidR="00F34DF6">
        <w:t xml:space="preserve"> shows the most common refill time for a total dose of 280 mg and 420 mg is 28 days, and that after receiving 420 mg patients are also commonly resupplied evolocumab at 21</w:t>
      </w:r>
      <w:r w:rsidR="00752FC6">
        <w:t>, 35</w:t>
      </w:r>
      <w:r w:rsidR="00F34DF6">
        <w:t xml:space="preserve"> and 42 days. </w:t>
      </w:r>
    </w:p>
    <w:p w14:paraId="6FF578C0" w14:textId="77777777" w:rsidR="00394E19" w:rsidRPr="00FA1C8C" w:rsidRDefault="00394E19" w:rsidP="00FA1C8C"/>
    <w:p w14:paraId="0478CEA5" w14:textId="63A3560A" w:rsidR="009F5E8B" w:rsidRDefault="00F4362D" w:rsidP="000A7C00">
      <w:pPr>
        <w:pStyle w:val="Tabletitle"/>
        <w:keepNext/>
      </w:pPr>
      <w:r>
        <w:lastRenderedPageBreak/>
        <w:t>Table 8</w:t>
      </w:r>
      <w:r w:rsidR="009F5E8B">
        <w:t>: Time to next supply by dose supplied</w:t>
      </w:r>
    </w:p>
    <w:tbl>
      <w:tblPr>
        <w:tblW w:w="8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020"/>
        <w:gridCol w:w="1021"/>
        <w:gridCol w:w="1020"/>
        <w:gridCol w:w="1021"/>
        <w:gridCol w:w="1021"/>
        <w:gridCol w:w="1021"/>
      </w:tblGrid>
      <w:tr w:rsidR="00056C94" w:rsidRPr="009F5E8B" w14:paraId="46069490" w14:textId="77777777" w:rsidTr="00A028DF">
        <w:trPr>
          <w:trHeight w:val="300"/>
        </w:trPr>
        <w:tc>
          <w:tcPr>
            <w:tcW w:w="2155" w:type="dxa"/>
            <w:shd w:val="clear" w:color="auto" w:fill="BFBFBF" w:themeFill="background1" w:themeFillShade="BF"/>
            <w:noWrap/>
            <w:vAlign w:val="bottom"/>
            <w:hideMark/>
          </w:tcPr>
          <w:p w14:paraId="6E42C5FA" w14:textId="51DF143E" w:rsidR="00056C94" w:rsidRPr="009F5E8B" w:rsidRDefault="00056C94" w:rsidP="00056C94">
            <w:pPr>
              <w:keepNext/>
              <w:spacing w:after="0"/>
              <w:rPr>
                <w:rFonts w:ascii="Calibri" w:eastAsia="Times New Roman" w:hAnsi="Calibri" w:cs="Calibri"/>
                <w:b/>
                <w:color w:val="000000"/>
                <w:sz w:val="20"/>
                <w:szCs w:val="20"/>
              </w:rPr>
            </w:pPr>
            <w:r>
              <w:rPr>
                <w:rFonts w:ascii="Calibri" w:eastAsia="Times New Roman" w:hAnsi="Calibri" w:cs="Calibri"/>
                <w:b/>
                <w:color w:val="000000"/>
                <w:sz w:val="20"/>
                <w:szCs w:val="20"/>
              </w:rPr>
              <w:t>Dose supplied (mg)</w:t>
            </w:r>
          </w:p>
        </w:tc>
        <w:tc>
          <w:tcPr>
            <w:tcW w:w="1020" w:type="dxa"/>
            <w:shd w:val="clear" w:color="auto" w:fill="BFBFBF" w:themeFill="background1" w:themeFillShade="BF"/>
            <w:noWrap/>
            <w:vAlign w:val="center"/>
            <w:hideMark/>
          </w:tcPr>
          <w:p w14:paraId="12B1E961" w14:textId="77777777" w:rsidR="00056C94" w:rsidRPr="009F5E8B" w:rsidRDefault="00056C94" w:rsidP="00056C94">
            <w:pPr>
              <w:keepNext/>
              <w:spacing w:after="0"/>
              <w:jc w:val="center"/>
              <w:rPr>
                <w:rFonts w:ascii="Calibri" w:eastAsia="Times New Roman" w:hAnsi="Calibri" w:cs="Calibri"/>
                <w:b/>
                <w:color w:val="000000"/>
                <w:sz w:val="20"/>
                <w:szCs w:val="20"/>
              </w:rPr>
            </w:pPr>
            <w:r w:rsidRPr="009F5E8B">
              <w:rPr>
                <w:rFonts w:ascii="Calibri" w:eastAsia="Times New Roman" w:hAnsi="Calibri" w:cs="Calibri"/>
                <w:b/>
                <w:color w:val="000000"/>
                <w:sz w:val="20"/>
                <w:szCs w:val="20"/>
              </w:rPr>
              <w:t>N</w:t>
            </w:r>
          </w:p>
        </w:tc>
        <w:tc>
          <w:tcPr>
            <w:tcW w:w="1021" w:type="dxa"/>
            <w:shd w:val="clear" w:color="auto" w:fill="BFBFBF" w:themeFill="background1" w:themeFillShade="BF"/>
            <w:noWrap/>
            <w:vAlign w:val="center"/>
            <w:hideMark/>
          </w:tcPr>
          <w:p w14:paraId="4E52F4E5" w14:textId="77777777" w:rsidR="00056C94" w:rsidRPr="009F5E8B" w:rsidRDefault="00056C94" w:rsidP="00056C94">
            <w:pPr>
              <w:keepNext/>
              <w:spacing w:after="0"/>
              <w:jc w:val="center"/>
              <w:rPr>
                <w:rFonts w:ascii="Calibri" w:eastAsia="Times New Roman" w:hAnsi="Calibri" w:cs="Calibri"/>
                <w:b/>
                <w:color w:val="000000"/>
                <w:sz w:val="20"/>
                <w:szCs w:val="20"/>
              </w:rPr>
            </w:pPr>
            <w:r w:rsidRPr="009F5E8B">
              <w:rPr>
                <w:rFonts w:ascii="Calibri" w:eastAsia="Times New Roman" w:hAnsi="Calibri" w:cs="Calibri"/>
                <w:b/>
                <w:color w:val="000000"/>
                <w:sz w:val="20"/>
                <w:szCs w:val="20"/>
              </w:rPr>
              <w:t>Mean</w:t>
            </w:r>
          </w:p>
        </w:tc>
        <w:tc>
          <w:tcPr>
            <w:tcW w:w="1020" w:type="dxa"/>
            <w:shd w:val="clear" w:color="auto" w:fill="BFBFBF" w:themeFill="background1" w:themeFillShade="BF"/>
            <w:noWrap/>
            <w:vAlign w:val="center"/>
            <w:hideMark/>
          </w:tcPr>
          <w:p w14:paraId="5F89DA0B" w14:textId="77777777" w:rsidR="00056C94" w:rsidRPr="009F5E8B" w:rsidRDefault="00056C94" w:rsidP="00056C94">
            <w:pPr>
              <w:keepNext/>
              <w:spacing w:after="0"/>
              <w:jc w:val="center"/>
              <w:rPr>
                <w:rFonts w:ascii="Calibri" w:eastAsia="Times New Roman" w:hAnsi="Calibri" w:cs="Calibri"/>
                <w:b/>
                <w:color w:val="000000"/>
                <w:sz w:val="20"/>
                <w:szCs w:val="20"/>
              </w:rPr>
            </w:pPr>
            <w:r w:rsidRPr="009F5E8B">
              <w:rPr>
                <w:rFonts w:ascii="Calibri" w:eastAsia="Times New Roman" w:hAnsi="Calibri" w:cs="Calibri"/>
                <w:b/>
                <w:color w:val="000000"/>
                <w:sz w:val="20"/>
                <w:szCs w:val="20"/>
              </w:rPr>
              <w:t>Median</w:t>
            </w:r>
          </w:p>
        </w:tc>
        <w:tc>
          <w:tcPr>
            <w:tcW w:w="1021" w:type="dxa"/>
            <w:shd w:val="clear" w:color="auto" w:fill="BFBFBF" w:themeFill="background1" w:themeFillShade="BF"/>
            <w:vAlign w:val="center"/>
          </w:tcPr>
          <w:p w14:paraId="163B9E57" w14:textId="17BC5BF8" w:rsidR="00056C94" w:rsidRPr="009F5E8B" w:rsidRDefault="00056C94" w:rsidP="00056C94">
            <w:pPr>
              <w:keepNext/>
              <w:spacing w:after="0"/>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Mode</w:t>
            </w:r>
          </w:p>
        </w:tc>
        <w:tc>
          <w:tcPr>
            <w:tcW w:w="1021" w:type="dxa"/>
            <w:shd w:val="clear" w:color="auto" w:fill="BFBFBF" w:themeFill="background1" w:themeFillShade="BF"/>
            <w:noWrap/>
            <w:vAlign w:val="center"/>
            <w:hideMark/>
          </w:tcPr>
          <w:p w14:paraId="467EC491" w14:textId="499C8F8B" w:rsidR="00056C94" w:rsidRPr="009F5E8B" w:rsidRDefault="00056C94" w:rsidP="00056C94">
            <w:pPr>
              <w:keepNext/>
              <w:spacing w:after="0"/>
              <w:jc w:val="center"/>
              <w:rPr>
                <w:rFonts w:ascii="Calibri" w:eastAsia="Times New Roman" w:hAnsi="Calibri" w:cs="Calibri"/>
                <w:b/>
                <w:color w:val="000000"/>
                <w:sz w:val="20"/>
                <w:szCs w:val="20"/>
              </w:rPr>
            </w:pPr>
            <w:r w:rsidRPr="009F5E8B">
              <w:rPr>
                <w:rFonts w:ascii="Calibri" w:eastAsia="Times New Roman" w:hAnsi="Calibri" w:cs="Calibri"/>
                <w:b/>
                <w:color w:val="000000"/>
                <w:sz w:val="20"/>
                <w:szCs w:val="20"/>
              </w:rPr>
              <w:t>Min</w:t>
            </w:r>
          </w:p>
        </w:tc>
        <w:tc>
          <w:tcPr>
            <w:tcW w:w="1021" w:type="dxa"/>
            <w:shd w:val="clear" w:color="auto" w:fill="BFBFBF" w:themeFill="background1" w:themeFillShade="BF"/>
            <w:noWrap/>
            <w:vAlign w:val="center"/>
            <w:hideMark/>
          </w:tcPr>
          <w:p w14:paraId="0847D016" w14:textId="77777777" w:rsidR="00056C94" w:rsidRPr="009F5E8B" w:rsidRDefault="00056C94" w:rsidP="00056C94">
            <w:pPr>
              <w:keepNext/>
              <w:spacing w:after="0"/>
              <w:jc w:val="center"/>
              <w:rPr>
                <w:rFonts w:ascii="Calibri" w:eastAsia="Times New Roman" w:hAnsi="Calibri" w:cs="Calibri"/>
                <w:b/>
                <w:color w:val="000000"/>
                <w:sz w:val="20"/>
                <w:szCs w:val="20"/>
              </w:rPr>
            </w:pPr>
            <w:r w:rsidRPr="009F5E8B">
              <w:rPr>
                <w:rFonts w:ascii="Calibri" w:eastAsia="Times New Roman" w:hAnsi="Calibri" w:cs="Calibri"/>
                <w:b/>
                <w:color w:val="000000"/>
                <w:sz w:val="20"/>
                <w:szCs w:val="20"/>
              </w:rPr>
              <w:t>Max</w:t>
            </w:r>
          </w:p>
        </w:tc>
      </w:tr>
      <w:tr w:rsidR="00056C94" w:rsidRPr="009F5E8B" w14:paraId="3F9FC24D" w14:textId="77777777" w:rsidTr="00A028DF">
        <w:trPr>
          <w:trHeight w:val="300"/>
        </w:trPr>
        <w:tc>
          <w:tcPr>
            <w:tcW w:w="2155" w:type="dxa"/>
            <w:shd w:val="clear" w:color="auto" w:fill="auto"/>
            <w:noWrap/>
            <w:vAlign w:val="bottom"/>
            <w:hideMark/>
          </w:tcPr>
          <w:p w14:paraId="629D4925"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140</w:t>
            </w:r>
          </w:p>
        </w:tc>
        <w:tc>
          <w:tcPr>
            <w:tcW w:w="1020" w:type="dxa"/>
            <w:shd w:val="clear" w:color="auto" w:fill="auto"/>
            <w:noWrap/>
            <w:vAlign w:val="bottom"/>
            <w:hideMark/>
          </w:tcPr>
          <w:p w14:paraId="470BF29A"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152</w:t>
            </w:r>
          </w:p>
        </w:tc>
        <w:tc>
          <w:tcPr>
            <w:tcW w:w="1021" w:type="dxa"/>
            <w:shd w:val="clear" w:color="auto" w:fill="auto"/>
            <w:noWrap/>
            <w:vAlign w:val="bottom"/>
            <w:hideMark/>
          </w:tcPr>
          <w:p w14:paraId="3066C67A" w14:textId="7C4F9DAF"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27.7</w:t>
            </w:r>
          </w:p>
        </w:tc>
        <w:tc>
          <w:tcPr>
            <w:tcW w:w="1020" w:type="dxa"/>
            <w:shd w:val="clear" w:color="auto" w:fill="auto"/>
            <w:noWrap/>
            <w:vAlign w:val="bottom"/>
            <w:hideMark/>
          </w:tcPr>
          <w:p w14:paraId="71D90990"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17.5</w:t>
            </w:r>
          </w:p>
        </w:tc>
        <w:tc>
          <w:tcPr>
            <w:tcW w:w="1021" w:type="dxa"/>
            <w:vAlign w:val="bottom"/>
          </w:tcPr>
          <w:p w14:paraId="22EC2BC6" w14:textId="3020E77A" w:rsidR="00056C94" w:rsidRPr="009F5E8B" w:rsidRDefault="00056C94" w:rsidP="00056C94">
            <w:pPr>
              <w:keepNext/>
              <w:spacing w:after="0"/>
              <w:jc w:val="right"/>
              <w:rPr>
                <w:rFonts w:ascii="Calibri" w:eastAsia="Times New Roman" w:hAnsi="Calibri" w:cs="Calibri"/>
                <w:color w:val="000000"/>
                <w:sz w:val="20"/>
                <w:szCs w:val="20"/>
              </w:rPr>
            </w:pPr>
            <w:r w:rsidRPr="00056C94">
              <w:rPr>
                <w:rFonts w:ascii="Calibri" w:hAnsi="Calibri" w:cs="Calibri"/>
                <w:color w:val="000000"/>
                <w:sz w:val="20"/>
                <w:szCs w:val="20"/>
              </w:rPr>
              <w:t>14</w:t>
            </w:r>
          </w:p>
        </w:tc>
        <w:tc>
          <w:tcPr>
            <w:tcW w:w="1021" w:type="dxa"/>
            <w:shd w:val="clear" w:color="auto" w:fill="auto"/>
            <w:noWrap/>
            <w:vAlign w:val="bottom"/>
            <w:hideMark/>
          </w:tcPr>
          <w:p w14:paraId="2E50D1F3" w14:textId="0836371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p>
        </w:tc>
        <w:tc>
          <w:tcPr>
            <w:tcW w:w="1021" w:type="dxa"/>
            <w:shd w:val="clear" w:color="auto" w:fill="auto"/>
            <w:noWrap/>
            <w:vAlign w:val="bottom"/>
            <w:hideMark/>
          </w:tcPr>
          <w:p w14:paraId="6D931BD6"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598</w:t>
            </w:r>
          </w:p>
        </w:tc>
      </w:tr>
      <w:tr w:rsidR="00056C94" w:rsidRPr="009F5E8B" w14:paraId="3AD838C1" w14:textId="77777777" w:rsidTr="00A028DF">
        <w:trPr>
          <w:trHeight w:val="300"/>
        </w:trPr>
        <w:tc>
          <w:tcPr>
            <w:tcW w:w="2155" w:type="dxa"/>
            <w:shd w:val="clear" w:color="auto" w:fill="auto"/>
            <w:noWrap/>
            <w:vAlign w:val="bottom"/>
            <w:hideMark/>
          </w:tcPr>
          <w:p w14:paraId="6EEDCAA1"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280</w:t>
            </w:r>
          </w:p>
        </w:tc>
        <w:tc>
          <w:tcPr>
            <w:tcW w:w="1020" w:type="dxa"/>
            <w:shd w:val="clear" w:color="auto" w:fill="auto"/>
            <w:noWrap/>
            <w:vAlign w:val="bottom"/>
            <w:hideMark/>
          </w:tcPr>
          <w:p w14:paraId="33836758" w14:textId="6540DEF0"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9F5E8B">
              <w:rPr>
                <w:rFonts w:ascii="Calibri" w:eastAsia="Times New Roman" w:hAnsi="Calibri" w:cs="Calibri"/>
                <w:color w:val="000000"/>
                <w:sz w:val="20"/>
                <w:szCs w:val="20"/>
              </w:rPr>
              <w:t>645</w:t>
            </w:r>
          </w:p>
        </w:tc>
        <w:tc>
          <w:tcPr>
            <w:tcW w:w="1021" w:type="dxa"/>
            <w:shd w:val="clear" w:color="auto" w:fill="auto"/>
            <w:noWrap/>
            <w:vAlign w:val="bottom"/>
            <w:hideMark/>
          </w:tcPr>
          <w:p w14:paraId="53206153" w14:textId="4DBC0FF1"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31.0</w:t>
            </w:r>
          </w:p>
        </w:tc>
        <w:tc>
          <w:tcPr>
            <w:tcW w:w="1020" w:type="dxa"/>
            <w:shd w:val="clear" w:color="auto" w:fill="auto"/>
            <w:noWrap/>
            <w:vAlign w:val="bottom"/>
            <w:hideMark/>
          </w:tcPr>
          <w:p w14:paraId="1C429C80"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28</w:t>
            </w:r>
          </w:p>
        </w:tc>
        <w:tc>
          <w:tcPr>
            <w:tcW w:w="1021" w:type="dxa"/>
            <w:vAlign w:val="bottom"/>
          </w:tcPr>
          <w:p w14:paraId="218AF927" w14:textId="795CF780" w:rsidR="00056C94" w:rsidRPr="009F5E8B" w:rsidRDefault="00056C94" w:rsidP="00056C94">
            <w:pPr>
              <w:keepNext/>
              <w:spacing w:after="0"/>
              <w:jc w:val="right"/>
              <w:rPr>
                <w:rFonts w:ascii="Calibri" w:eastAsia="Times New Roman" w:hAnsi="Calibri" w:cs="Calibri"/>
                <w:color w:val="000000"/>
                <w:sz w:val="20"/>
                <w:szCs w:val="20"/>
              </w:rPr>
            </w:pPr>
            <w:r w:rsidRPr="00056C94">
              <w:rPr>
                <w:rFonts w:ascii="Calibri" w:hAnsi="Calibri" w:cs="Calibri"/>
                <w:color w:val="000000"/>
                <w:sz w:val="20"/>
                <w:szCs w:val="20"/>
              </w:rPr>
              <w:t>28</w:t>
            </w:r>
          </w:p>
        </w:tc>
        <w:tc>
          <w:tcPr>
            <w:tcW w:w="1021" w:type="dxa"/>
            <w:shd w:val="clear" w:color="auto" w:fill="auto"/>
            <w:noWrap/>
            <w:vAlign w:val="bottom"/>
            <w:hideMark/>
          </w:tcPr>
          <w:p w14:paraId="427A8AD4" w14:textId="59580A2B"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p>
        </w:tc>
        <w:tc>
          <w:tcPr>
            <w:tcW w:w="1021" w:type="dxa"/>
            <w:shd w:val="clear" w:color="auto" w:fill="auto"/>
            <w:noWrap/>
            <w:vAlign w:val="bottom"/>
            <w:hideMark/>
          </w:tcPr>
          <w:p w14:paraId="722CC6EC"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476</w:t>
            </w:r>
          </w:p>
        </w:tc>
      </w:tr>
      <w:tr w:rsidR="00056C94" w:rsidRPr="009F5E8B" w14:paraId="40854BEF" w14:textId="77777777" w:rsidTr="00A028DF">
        <w:trPr>
          <w:trHeight w:val="300"/>
        </w:trPr>
        <w:tc>
          <w:tcPr>
            <w:tcW w:w="2155" w:type="dxa"/>
            <w:shd w:val="clear" w:color="auto" w:fill="auto"/>
            <w:noWrap/>
            <w:vAlign w:val="bottom"/>
            <w:hideMark/>
          </w:tcPr>
          <w:p w14:paraId="1406290B"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420</w:t>
            </w:r>
          </w:p>
        </w:tc>
        <w:tc>
          <w:tcPr>
            <w:tcW w:w="1020" w:type="dxa"/>
            <w:shd w:val="clear" w:color="auto" w:fill="auto"/>
            <w:noWrap/>
            <w:vAlign w:val="bottom"/>
            <w:hideMark/>
          </w:tcPr>
          <w:p w14:paraId="4B61582C" w14:textId="27314414"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30</w:t>
            </w:r>
            <w:r>
              <w:rPr>
                <w:rFonts w:ascii="Calibri" w:eastAsia="Times New Roman" w:hAnsi="Calibri" w:cs="Calibri"/>
                <w:color w:val="000000"/>
                <w:sz w:val="20"/>
                <w:szCs w:val="20"/>
              </w:rPr>
              <w:t>,</w:t>
            </w:r>
            <w:r w:rsidRPr="009F5E8B">
              <w:rPr>
                <w:rFonts w:ascii="Calibri" w:eastAsia="Times New Roman" w:hAnsi="Calibri" w:cs="Calibri"/>
                <w:color w:val="000000"/>
                <w:sz w:val="20"/>
                <w:szCs w:val="20"/>
              </w:rPr>
              <w:t>228</w:t>
            </w:r>
          </w:p>
        </w:tc>
        <w:tc>
          <w:tcPr>
            <w:tcW w:w="1021" w:type="dxa"/>
            <w:shd w:val="clear" w:color="auto" w:fill="auto"/>
            <w:noWrap/>
            <w:vAlign w:val="bottom"/>
            <w:hideMark/>
          </w:tcPr>
          <w:p w14:paraId="70806D44" w14:textId="50D4754D"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43.4</w:t>
            </w:r>
          </w:p>
        </w:tc>
        <w:tc>
          <w:tcPr>
            <w:tcW w:w="1020" w:type="dxa"/>
            <w:shd w:val="clear" w:color="auto" w:fill="auto"/>
            <w:noWrap/>
            <w:vAlign w:val="bottom"/>
            <w:hideMark/>
          </w:tcPr>
          <w:p w14:paraId="09ECCF61"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38</w:t>
            </w:r>
          </w:p>
        </w:tc>
        <w:tc>
          <w:tcPr>
            <w:tcW w:w="1021" w:type="dxa"/>
            <w:vAlign w:val="bottom"/>
          </w:tcPr>
          <w:p w14:paraId="692BA377" w14:textId="7E8FF4F0" w:rsidR="00056C94" w:rsidRPr="009F5E8B" w:rsidRDefault="00056C94" w:rsidP="00056C94">
            <w:pPr>
              <w:keepNext/>
              <w:spacing w:after="0"/>
              <w:jc w:val="right"/>
              <w:rPr>
                <w:rFonts w:ascii="Calibri" w:eastAsia="Times New Roman" w:hAnsi="Calibri" w:cs="Calibri"/>
                <w:color w:val="000000"/>
                <w:sz w:val="20"/>
                <w:szCs w:val="20"/>
              </w:rPr>
            </w:pPr>
            <w:r w:rsidRPr="00056C94">
              <w:rPr>
                <w:rFonts w:ascii="Calibri" w:hAnsi="Calibri" w:cs="Calibri"/>
                <w:color w:val="000000"/>
                <w:sz w:val="20"/>
                <w:szCs w:val="20"/>
              </w:rPr>
              <w:t>28</w:t>
            </w:r>
          </w:p>
        </w:tc>
        <w:tc>
          <w:tcPr>
            <w:tcW w:w="1021" w:type="dxa"/>
            <w:shd w:val="clear" w:color="auto" w:fill="auto"/>
            <w:noWrap/>
            <w:vAlign w:val="bottom"/>
            <w:hideMark/>
          </w:tcPr>
          <w:p w14:paraId="5CDC7183" w14:textId="6B85055D"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p>
        </w:tc>
        <w:tc>
          <w:tcPr>
            <w:tcW w:w="1021" w:type="dxa"/>
            <w:shd w:val="clear" w:color="auto" w:fill="auto"/>
            <w:noWrap/>
            <w:vAlign w:val="bottom"/>
            <w:hideMark/>
          </w:tcPr>
          <w:p w14:paraId="0FFB8E0D" w14:textId="639EEC88"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r w:rsidR="00FA1C8C">
              <w:rPr>
                <w:rFonts w:ascii="Calibri" w:eastAsia="Times New Roman" w:hAnsi="Calibri" w:cs="Calibri"/>
                <w:color w:val="000000"/>
                <w:sz w:val="20"/>
                <w:szCs w:val="20"/>
              </w:rPr>
              <w:t>,</w:t>
            </w:r>
            <w:r w:rsidRPr="009F5E8B">
              <w:rPr>
                <w:rFonts w:ascii="Calibri" w:eastAsia="Times New Roman" w:hAnsi="Calibri" w:cs="Calibri"/>
                <w:color w:val="000000"/>
                <w:sz w:val="20"/>
                <w:szCs w:val="20"/>
              </w:rPr>
              <w:t>186</w:t>
            </w:r>
          </w:p>
        </w:tc>
      </w:tr>
      <w:tr w:rsidR="00056C94" w:rsidRPr="009F5E8B" w14:paraId="19CDB472" w14:textId="77777777" w:rsidTr="00A028DF">
        <w:trPr>
          <w:trHeight w:val="300"/>
        </w:trPr>
        <w:tc>
          <w:tcPr>
            <w:tcW w:w="2155" w:type="dxa"/>
            <w:shd w:val="clear" w:color="auto" w:fill="auto"/>
            <w:noWrap/>
            <w:vAlign w:val="bottom"/>
            <w:hideMark/>
          </w:tcPr>
          <w:p w14:paraId="54BEE70A"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560</w:t>
            </w:r>
          </w:p>
        </w:tc>
        <w:tc>
          <w:tcPr>
            <w:tcW w:w="1020" w:type="dxa"/>
            <w:shd w:val="clear" w:color="auto" w:fill="auto"/>
            <w:noWrap/>
            <w:vAlign w:val="bottom"/>
            <w:hideMark/>
          </w:tcPr>
          <w:p w14:paraId="3AB254F5"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332</w:t>
            </w:r>
          </w:p>
        </w:tc>
        <w:tc>
          <w:tcPr>
            <w:tcW w:w="1021" w:type="dxa"/>
            <w:shd w:val="clear" w:color="auto" w:fill="auto"/>
            <w:noWrap/>
            <w:vAlign w:val="bottom"/>
            <w:hideMark/>
          </w:tcPr>
          <w:p w14:paraId="66720B2D" w14:textId="302C973E"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59.1</w:t>
            </w:r>
          </w:p>
        </w:tc>
        <w:tc>
          <w:tcPr>
            <w:tcW w:w="1020" w:type="dxa"/>
            <w:shd w:val="clear" w:color="auto" w:fill="auto"/>
            <w:noWrap/>
            <w:vAlign w:val="bottom"/>
            <w:hideMark/>
          </w:tcPr>
          <w:p w14:paraId="4023A4D3"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54</w:t>
            </w:r>
          </w:p>
        </w:tc>
        <w:tc>
          <w:tcPr>
            <w:tcW w:w="1021" w:type="dxa"/>
            <w:vAlign w:val="bottom"/>
          </w:tcPr>
          <w:p w14:paraId="6C10C377" w14:textId="73B49CBC" w:rsidR="00056C94" w:rsidRPr="009F5E8B" w:rsidRDefault="00056C94" w:rsidP="00056C94">
            <w:pPr>
              <w:keepNext/>
              <w:spacing w:after="0"/>
              <w:jc w:val="right"/>
              <w:rPr>
                <w:rFonts w:ascii="Calibri" w:eastAsia="Times New Roman" w:hAnsi="Calibri" w:cs="Calibri"/>
                <w:color w:val="000000"/>
                <w:sz w:val="20"/>
                <w:szCs w:val="20"/>
              </w:rPr>
            </w:pPr>
            <w:r w:rsidRPr="00056C94">
              <w:rPr>
                <w:rFonts w:ascii="Calibri" w:hAnsi="Calibri" w:cs="Calibri"/>
                <w:color w:val="000000"/>
                <w:sz w:val="20"/>
                <w:szCs w:val="20"/>
              </w:rPr>
              <w:t>63</w:t>
            </w:r>
          </w:p>
        </w:tc>
        <w:tc>
          <w:tcPr>
            <w:tcW w:w="1021" w:type="dxa"/>
            <w:shd w:val="clear" w:color="auto" w:fill="auto"/>
            <w:noWrap/>
            <w:vAlign w:val="bottom"/>
            <w:hideMark/>
          </w:tcPr>
          <w:p w14:paraId="32770693" w14:textId="4A2AEE9C"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p>
        </w:tc>
        <w:tc>
          <w:tcPr>
            <w:tcW w:w="1021" w:type="dxa"/>
            <w:shd w:val="clear" w:color="auto" w:fill="auto"/>
            <w:noWrap/>
            <w:vAlign w:val="bottom"/>
            <w:hideMark/>
          </w:tcPr>
          <w:p w14:paraId="1B43F9AA" w14:textId="66607EE1"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r w:rsidR="00FA1C8C">
              <w:rPr>
                <w:rFonts w:ascii="Calibri" w:eastAsia="Times New Roman" w:hAnsi="Calibri" w:cs="Calibri"/>
                <w:color w:val="000000"/>
                <w:sz w:val="20"/>
                <w:szCs w:val="20"/>
              </w:rPr>
              <w:t>,</w:t>
            </w:r>
            <w:r w:rsidRPr="009F5E8B">
              <w:rPr>
                <w:rFonts w:ascii="Calibri" w:eastAsia="Times New Roman" w:hAnsi="Calibri" w:cs="Calibri"/>
                <w:color w:val="000000"/>
                <w:sz w:val="20"/>
                <w:szCs w:val="20"/>
              </w:rPr>
              <w:t>170</w:t>
            </w:r>
          </w:p>
        </w:tc>
      </w:tr>
      <w:tr w:rsidR="00056C94" w:rsidRPr="009F5E8B" w14:paraId="66C024A4" w14:textId="77777777" w:rsidTr="00A028DF">
        <w:trPr>
          <w:trHeight w:val="300"/>
        </w:trPr>
        <w:tc>
          <w:tcPr>
            <w:tcW w:w="2155" w:type="dxa"/>
            <w:shd w:val="clear" w:color="auto" w:fill="auto"/>
            <w:noWrap/>
            <w:vAlign w:val="bottom"/>
            <w:hideMark/>
          </w:tcPr>
          <w:p w14:paraId="03902A0C"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700</w:t>
            </w:r>
          </w:p>
        </w:tc>
        <w:tc>
          <w:tcPr>
            <w:tcW w:w="1020" w:type="dxa"/>
            <w:shd w:val="clear" w:color="auto" w:fill="auto"/>
            <w:noWrap/>
            <w:vAlign w:val="bottom"/>
            <w:hideMark/>
          </w:tcPr>
          <w:p w14:paraId="4CA9BD6A"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18</w:t>
            </w:r>
          </w:p>
        </w:tc>
        <w:tc>
          <w:tcPr>
            <w:tcW w:w="1021" w:type="dxa"/>
            <w:shd w:val="clear" w:color="auto" w:fill="auto"/>
            <w:noWrap/>
            <w:vAlign w:val="bottom"/>
            <w:hideMark/>
          </w:tcPr>
          <w:p w14:paraId="26D4680C" w14:textId="1F8337EC"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36.3</w:t>
            </w:r>
          </w:p>
        </w:tc>
        <w:tc>
          <w:tcPr>
            <w:tcW w:w="1020" w:type="dxa"/>
            <w:shd w:val="clear" w:color="auto" w:fill="auto"/>
            <w:noWrap/>
            <w:vAlign w:val="bottom"/>
            <w:hideMark/>
          </w:tcPr>
          <w:p w14:paraId="3DA85459"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31.5</w:t>
            </w:r>
          </w:p>
        </w:tc>
        <w:tc>
          <w:tcPr>
            <w:tcW w:w="1021" w:type="dxa"/>
            <w:vAlign w:val="bottom"/>
          </w:tcPr>
          <w:p w14:paraId="3D938124" w14:textId="72EDDABF" w:rsidR="00056C94" w:rsidRPr="009F5E8B" w:rsidRDefault="00056C94" w:rsidP="00056C94">
            <w:pPr>
              <w:keepNext/>
              <w:spacing w:after="0"/>
              <w:jc w:val="right"/>
              <w:rPr>
                <w:rFonts w:ascii="Calibri" w:eastAsia="Times New Roman" w:hAnsi="Calibri" w:cs="Calibri"/>
                <w:color w:val="000000"/>
                <w:sz w:val="20"/>
                <w:szCs w:val="20"/>
              </w:rPr>
            </w:pPr>
            <w:r w:rsidRPr="00056C94">
              <w:rPr>
                <w:rFonts w:ascii="Calibri" w:hAnsi="Calibri" w:cs="Calibri"/>
                <w:color w:val="000000"/>
                <w:sz w:val="20"/>
                <w:szCs w:val="20"/>
              </w:rPr>
              <w:t>24</w:t>
            </w:r>
          </w:p>
        </w:tc>
        <w:tc>
          <w:tcPr>
            <w:tcW w:w="1021" w:type="dxa"/>
            <w:shd w:val="clear" w:color="auto" w:fill="auto"/>
            <w:noWrap/>
            <w:vAlign w:val="bottom"/>
            <w:hideMark/>
          </w:tcPr>
          <w:p w14:paraId="7DB8B8D0" w14:textId="5A27A28A"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13</w:t>
            </w:r>
          </w:p>
        </w:tc>
        <w:tc>
          <w:tcPr>
            <w:tcW w:w="1021" w:type="dxa"/>
            <w:shd w:val="clear" w:color="auto" w:fill="auto"/>
            <w:noWrap/>
            <w:vAlign w:val="bottom"/>
            <w:hideMark/>
          </w:tcPr>
          <w:p w14:paraId="329705A4"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68</w:t>
            </w:r>
          </w:p>
        </w:tc>
      </w:tr>
      <w:tr w:rsidR="00056C94" w:rsidRPr="009F5E8B" w14:paraId="20551B36" w14:textId="77777777" w:rsidTr="00A028DF">
        <w:trPr>
          <w:trHeight w:val="300"/>
        </w:trPr>
        <w:tc>
          <w:tcPr>
            <w:tcW w:w="2155" w:type="dxa"/>
            <w:shd w:val="clear" w:color="auto" w:fill="auto"/>
            <w:noWrap/>
            <w:vAlign w:val="bottom"/>
            <w:hideMark/>
          </w:tcPr>
          <w:p w14:paraId="744A8D07"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840</w:t>
            </w:r>
          </w:p>
        </w:tc>
        <w:tc>
          <w:tcPr>
            <w:tcW w:w="1020" w:type="dxa"/>
            <w:shd w:val="clear" w:color="auto" w:fill="auto"/>
            <w:noWrap/>
            <w:vAlign w:val="bottom"/>
            <w:hideMark/>
          </w:tcPr>
          <w:p w14:paraId="6B11437F"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941</w:t>
            </w:r>
          </w:p>
        </w:tc>
        <w:tc>
          <w:tcPr>
            <w:tcW w:w="1021" w:type="dxa"/>
            <w:shd w:val="clear" w:color="auto" w:fill="auto"/>
            <w:noWrap/>
            <w:vAlign w:val="bottom"/>
            <w:hideMark/>
          </w:tcPr>
          <w:p w14:paraId="10574604" w14:textId="47F0FFEA"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51.5</w:t>
            </w:r>
          </w:p>
        </w:tc>
        <w:tc>
          <w:tcPr>
            <w:tcW w:w="1020" w:type="dxa"/>
            <w:shd w:val="clear" w:color="auto" w:fill="auto"/>
            <w:noWrap/>
            <w:vAlign w:val="bottom"/>
            <w:hideMark/>
          </w:tcPr>
          <w:p w14:paraId="7F25CA10"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36</w:t>
            </w:r>
          </w:p>
        </w:tc>
        <w:tc>
          <w:tcPr>
            <w:tcW w:w="1021" w:type="dxa"/>
            <w:vAlign w:val="bottom"/>
          </w:tcPr>
          <w:p w14:paraId="261460E5" w14:textId="29EDB45E" w:rsidR="00056C94" w:rsidRPr="009F5E8B" w:rsidRDefault="00056C94" w:rsidP="00056C94">
            <w:pPr>
              <w:keepNext/>
              <w:spacing w:after="0"/>
              <w:jc w:val="right"/>
              <w:rPr>
                <w:rFonts w:ascii="Calibri" w:eastAsia="Times New Roman" w:hAnsi="Calibri" w:cs="Calibri"/>
                <w:color w:val="000000"/>
                <w:sz w:val="20"/>
                <w:szCs w:val="20"/>
              </w:rPr>
            </w:pPr>
            <w:r w:rsidRPr="00056C94">
              <w:rPr>
                <w:rFonts w:ascii="Calibri" w:hAnsi="Calibri" w:cs="Calibri"/>
                <w:color w:val="000000"/>
                <w:sz w:val="20"/>
                <w:szCs w:val="20"/>
              </w:rPr>
              <w:t>28</w:t>
            </w:r>
          </w:p>
        </w:tc>
        <w:tc>
          <w:tcPr>
            <w:tcW w:w="1021" w:type="dxa"/>
            <w:shd w:val="clear" w:color="auto" w:fill="auto"/>
            <w:noWrap/>
            <w:vAlign w:val="bottom"/>
            <w:hideMark/>
          </w:tcPr>
          <w:p w14:paraId="67C5B402" w14:textId="5ECE2954"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p>
        </w:tc>
        <w:tc>
          <w:tcPr>
            <w:tcW w:w="1021" w:type="dxa"/>
            <w:shd w:val="clear" w:color="auto" w:fill="auto"/>
            <w:noWrap/>
            <w:vAlign w:val="bottom"/>
            <w:hideMark/>
          </w:tcPr>
          <w:p w14:paraId="269795A8"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358</w:t>
            </w:r>
          </w:p>
        </w:tc>
      </w:tr>
      <w:tr w:rsidR="00056C94" w:rsidRPr="009F5E8B" w14:paraId="61611BB1" w14:textId="77777777" w:rsidTr="00A028DF">
        <w:trPr>
          <w:trHeight w:val="300"/>
        </w:trPr>
        <w:tc>
          <w:tcPr>
            <w:tcW w:w="2155" w:type="dxa"/>
            <w:shd w:val="clear" w:color="auto" w:fill="auto"/>
            <w:noWrap/>
            <w:vAlign w:val="bottom"/>
            <w:hideMark/>
          </w:tcPr>
          <w:p w14:paraId="7C019D89" w14:textId="3509B7A9"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r w:rsidR="00FA1C8C">
              <w:rPr>
                <w:rFonts w:ascii="Calibri" w:eastAsia="Times New Roman" w:hAnsi="Calibri" w:cs="Calibri"/>
                <w:color w:val="000000"/>
                <w:sz w:val="20"/>
                <w:szCs w:val="20"/>
              </w:rPr>
              <w:t>,</w:t>
            </w:r>
            <w:r w:rsidRPr="009F5E8B">
              <w:rPr>
                <w:rFonts w:ascii="Calibri" w:eastAsia="Times New Roman" w:hAnsi="Calibri" w:cs="Calibri"/>
                <w:color w:val="000000"/>
                <w:sz w:val="20"/>
                <w:szCs w:val="20"/>
              </w:rPr>
              <w:t>120</w:t>
            </w:r>
          </w:p>
        </w:tc>
        <w:tc>
          <w:tcPr>
            <w:tcW w:w="1020" w:type="dxa"/>
            <w:shd w:val="clear" w:color="auto" w:fill="auto"/>
            <w:noWrap/>
            <w:vAlign w:val="bottom"/>
            <w:hideMark/>
          </w:tcPr>
          <w:p w14:paraId="65059671"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11</w:t>
            </w:r>
          </w:p>
        </w:tc>
        <w:tc>
          <w:tcPr>
            <w:tcW w:w="1021" w:type="dxa"/>
            <w:shd w:val="clear" w:color="auto" w:fill="auto"/>
            <w:noWrap/>
            <w:vAlign w:val="bottom"/>
            <w:hideMark/>
          </w:tcPr>
          <w:p w14:paraId="226948B1" w14:textId="41793341"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119.7</w:t>
            </w:r>
          </w:p>
        </w:tc>
        <w:tc>
          <w:tcPr>
            <w:tcW w:w="1020" w:type="dxa"/>
            <w:shd w:val="clear" w:color="auto" w:fill="auto"/>
            <w:noWrap/>
            <w:vAlign w:val="bottom"/>
            <w:hideMark/>
          </w:tcPr>
          <w:p w14:paraId="3C166766"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115</w:t>
            </w:r>
          </w:p>
        </w:tc>
        <w:tc>
          <w:tcPr>
            <w:tcW w:w="1021" w:type="dxa"/>
            <w:vAlign w:val="bottom"/>
          </w:tcPr>
          <w:p w14:paraId="0B10737D" w14:textId="77777777" w:rsidR="00056C94" w:rsidRPr="009F5E8B" w:rsidRDefault="00056C94" w:rsidP="00056C94">
            <w:pPr>
              <w:keepNext/>
              <w:spacing w:after="0"/>
              <w:jc w:val="right"/>
              <w:rPr>
                <w:rFonts w:ascii="Calibri" w:eastAsia="Times New Roman" w:hAnsi="Calibri" w:cs="Calibri"/>
                <w:color w:val="000000"/>
                <w:sz w:val="20"/>
                <w:szCs w:val="20"/>
              </w:rPr>
            </w:pPr>
          </w:p>
        </w:tc>
        <w:tc>
          <w:tcPr>
            <w:tcW w:w="1021" w:type="dxa"/>
            <w:shd w:val="clear" w:color="auto" w:fill="auto"/>
            <w:noWrap/>
            <w:vAlign w:val="bottom"/>
            <w:hideMark/>
          </w:tcPr>
          <w:p w14:paraId="42897744" w14:textId="76D601D0"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5</w:t>
            </w:r>
          </w:p>
        </w:tc>
        <w:tc>
          <w:tcPr>
            <w:tcW w:w="1021" w:type="dxa"/>
            <w:shd w:val="clear" w:color="auto" w:fill="auto"/>
            <w:noWrap/>
            <w:vAlign w:val="bottom"/>
            <w:hideMark/>
          </w:tcPr>
          <w:p w14:paraId="2EB142EC"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180</w:t>
            </w:r>
          </w:p>
        </w:tc>
      </w:tr>
      <w:tr w:rsidR="00056C94" w:rsidRPr="009F5E8B" w14:paraId="0BDA1DAA" w14:textId="77777777" w:rsidTr="00A028DF">
        <w:trPr>
          <w:trHeight w:val="300"/>
        </w:trPr>
        <w:tc>
          <w:tcPr>
            <w:tcW w:w="2155" w:type="dxa"/>
            <w:shd w:val="clear" w:color="auto" w:fill="auto"/>
            <w:noWrap/>
            <w:vAlign w:val="bottom"/>
            <w:hideMark/>
          </w:tcPr>
          <w:p w14:paraId="65704BD6" w14:textId="52E94EF4"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r w:rsidR="00FA1C8C">
              <w:rPr>
                <w:rFonts w:ascii="Calibri" w:eastAsia="Times New Roman" w:hAnsi="Calibri" w:cs="Calibri"/>
                <w:color w:val="000000"/>
                <w:sz w:val="20"/>
                <w:szCs w:val="20"/>
              </w:rPr>
              <w:t>,</w:t>
            </w:r>
            <w:r w:rsidRPr="009F5E8B">
              <w:rPr>
                <w:rFonts w:ascii="Calibri" w:eastAsia="Times New Roman" w:hAnsi="Calibri" w:cs="Calibri"/>
                <w:color w:val="000000"/>
                <w:sz w:val="20"/>
                <w:szCs w:val="20"/>
              </w:rPr>
              <w:t>260</w:t>
            </w:r>
          </w:p>
        </w:tc>
        <w:tc>
          <w:tcPr>
            <w:tcW w:w="1020" w:type="dxa"/>
            <w:shd w:val="clear" w:color="auto" w:fill="auto"/>
            <w:noWrap/>
            <w:vAlign w:val="bottom"/>
            <w:hideMark/>
          </w:tcPr>
          <w:p w14:paraId="201A3838"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73</w:t>
            </w:r>
          </w:p>
        </w:tc>
        <w:tc>
          <w:tcPr>
            <w:tcW w:w="1021" w:type="dxa"/>
            <w:shd w:val="clear" w:color="auto" w:fill="auto"/>
            <w:noWrap/>
            <w:vAlign w:val="bottom"/>
            <w:hideMark/>
          </w:tcPr>
          <w:p w14:paraId="28EB9044" w14:textId="3D2572F5"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109.8</w:t>
            </w:r>
          </w:p>
        </w:tc>
        <w:tc>
          <w:tcPr>
            <w:tcW w:w="1020" w:type="dxa"/>
            <w:shd w:val="clear" w:color="auto" w:fill="auto"/>
            <w:noWrap/>
            <w:vAlign w:val="bottom"/>
            <w:hideMark/>
          </w:tcPr>
          <w:p w14:paraId="700A44F6"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104</w:t>
            </w:r>
          </w:p>
        </w:tc>
        <w:tc>
          <w:tcPr>
            <w:tcW w:w="1021" w:type="dxa"/>
            <w:vAlign w:val="bottom"/>
          </w:tcPr>
          <w:p w14:paraId="42EA09B0" w14:textId="1F2D520B" w:rsidR="00056C94" w:rsidRPr="009F5E8B" w:rsidRDefault="00056C94" w:rsidP="00056C94">
            <w:pPr>
              <w:keepNext/>
              <w:spacing w:after="0"/>
              <w:jc w:val="right"/>
              <w:rPr>
                <w:rFonts w:ascii="Calibri" w:eastAsia="Times New Roman" w:hAnsi="Calibri" w:cs="Calibri"/>
                <w:color w:val="000000"/>
                <w:sz w:val="20"/>
                <w:szCs w:val="20"/>
              </w:rPr>
            </w:pPr>
            <w:r w:rsidRPr="00056C94">
              <w:rPr>
                <w:rFonts w:ascii="Calibri" w:hAnsi="Calibri" w:cs="Calibri"/>
                <w:color w:val="000000"/>
                <w:sz w:val="20"/>
                <w:szCs w:val="20"/>
              </w:rPr>
              <w:t>56</w:t>
            </w:r>
          </w:p>
        </w:tc>
        <w:tc>
          <w:tcPr>
            <w:tcW w:w="1021" w:type="dxa"/>
            <w:shd w:val="clear" w:color="auto" w:fill="auto"/>
            <w:noWrap/>
            <w:vAlign w:val="bottom"/>
            <w:hideMark/>
          </w:tcPr>
          <w:p w14:paraId="55047D6A" w14:textId="112B3DAE"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2</w:t>
            </w:r>
          </w:p>
        </w:tc>
        <w:tc>
          <w:tcPr>
            <w:tcW w:w="1021" w:type="dxa"/>
            <w:shd w:val="clear" w:color="auto" w:fill="auto"/>
            <w:noWrap/>
            <w:vAlign w:val="bottom"/>
            <w:hideMark/>
          </w:tcPr>
          <w:p w14:paraId="284C22A7"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469</w:t>
            </w:r>
          </w:p>
        </w:tc>
      </w:tr>
      <w:tr w:rsidR="00056C94" w:rsidRPr="009F5E8B" w14:paraId="5B5208AC" w14:textId="77777777" w:rsidTr="00A028DF">
        <w:trPr>
          <w:trHeight w:val="300"/>
        </w:trPr>
        <w:tc>
          <w:tcPr>
            <w:tcW w:w="2155" w:type="dxa"/>
            <w:shd w:val="clear" w:color="auto" w:fill="auto"/>
            <w:noWrap/>
            <w:vAlign w:val="bottom"/>
            <w:hideMark/>
          </w:tcPr>
          <w:p w14:paraId="49B0B0B0" w14:textId="51DA280B"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r w:rsidR="00FA1C8C">
              <w:rPr>
                <w:rFonts w:ascii="Calibri" w:eastAsia="Times New Roman" w:hAnsi="Calibri" w:cs="Calibri"/>
                <w:color w:val="000000"/>
                <w:sz w:val="20"/>
                <w:szCs w:val="20"/>
              </w:rPr>
              <w:t>,</w:t>
            </w:r>
            <w:r w:rsidRPr="009F5E8B">
              <w:rPr>
                <w:rFonts w:ascii="Calibri" w:eastAsia="Times New Roman" w:hAnsi="Calibri" w:cs="Calibri"/>
                <w:color w:val="000000"/>
                <w:sz w:val="20"/>
                <w:szCs w:val="20"/>
              </w:rPr>
              <w:t>400</w:t>
            </w:r>
          </w:p>
        </w:tc>
        <w:tc>
          <w:tcPr>
            <w:tcW w:w="1020" w:type="dxa"/>
            <w:shd w:val="clear" w:color="auto" w:fill="auto"/>
            <w:noWrap/>
            <w:vAlign w:val="bottom"/>
            <w:hideMark/>
          </w:tcPr>
          <w:p w14:paraId="1A77370B"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11</w:t>
            </w:r>
          </w:p>
        </w:tc>
        <w:tc>
          <w:tcPr>
            <w:tcW w:w="1021" w:type="dxa"/>
            <w:shd w:val="clear" w:color="auto" w:fill="auto"/>
            <w:noWrap/>
            <w:vAlign w:val="bottom"/>
            <w:hideMark/>
          </w:tcPr>
          <w:p w14:paraId="6A875212" w14:textId="0ED10E9E"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157.1</w:t>
            </w:r>
          </w:p>
        </w:tc>
        <w:tc>
          <w:tcPr>
            <w:tcW w:w="1020" w:type="dxa"/>
            <w:shd w:val="clear" w:color="auto" w:fill="auto"/>
            <w:noWrap/>
            <w:vAlign w:val="bottom"/>
            <w:hideMark/>
          </w:tcPr>
          <w:p w14:paraId="64647BC4"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165</w:t>
            </w:r>
          </w:p>
        </w:tc>
        <w:tc>
          <w:tcPr>
            <w:tcW w:w="1021" w:type="dxa"/>
            <w:vAlign w:val="bottom"/>
          </w:tcPr>
          <w:p w14:paraId="5338361F" w14:textId="77777777" w:rsidR="00056C94" w:rsidRPr="009F5E8B" w:rsidRDefault="00056C94" w:rsidP="00056C94">
            <w:pPr>
              <w:keepNext/>
              <w:spacing w:after="0"/>
              <w:jc w:val="right"/>
              <w:rPr>
                <w:rFonts w:ascii="Calibri" w:eastAsia="Times New Roman" w:hAnsi="Calibri" w:cs="Calibri"/>
                <w:color w:val="000000"/>
                <w:sz w:val="20"/>
                <w:szCs w:val="20"/>
              </w:rPr>
            </w:pPr>
          </w:p>
        </w:tc>
        <w:tc>
          <w:tcPr>
            <w:tcW w:w="1021" w:type="dxa"/>
            <w:shd w:val="clear" w:color="auto" w:fill="auto"/>
            <w:noWrap/>
            <w:vAlign w:val="bottom"/>
            <w:hideMark/>
          </w:tcPr>
          <w:p w14:paraId="7DECF860" w14:textId="278277BC"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25</w:t>
            </w:r>
          </w:p>
        </w:tc>
        <w:tc>
          <w:tcPr>
            <w:tcW w:w="1021" w:type="dxa"/>
            <w:shd w:val="clear" w:color="auto" w:fill="auto"/>
            <w:noWrap/>
            <w:vAlign w:val="bottom"/>
            <w:hideMark/>
          </w:tcPr>
          <w:p w14:paraId="0701637B"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214</w:t>
            </w:r>
          </w:p>
        </w:tc>
      </w:tr>
      <w:tr w:rsidR="00056C94" w:rsidRPr="009F5E8B" w14:paraId="5B647155" w14:textId="77777777" w:rsidTr="00A028DF">
        <w:trPr>
          <w:trHeight w:val="300"/>
        </w:trPr>
        <w:tc>
          <w:tcPr>
            <w:tcW w:w="2155" w:type="dxa"/>
            <w:shd w:val="clear" w:color="auto" w:fill="auto"/>
            <w:noWrap/>
            <w:vAlign w:val="bottom"/>
            <w:hideMark/>
          </w:tcPr>
          <w:p w14:paraId="7523A804" w14:textId="40F7B17D"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r w:rsidR="00FA1C8C">
              <w:rPr>
                <w:rFonts w:ascii="Calibri" w:eastAsia="Times New Roman" w:hAnsi="Calibri" w:cs="Calibri"/>
                <w:color w:val="000000"/>
                <w:sz w:val="20"/>
                <w:szCs w:val="20"/>
              </w:rPr>
              <w:t>,</w:t>
            </w:r>
            <w:r w:rsidRPr="009F5E8B">
              <w:rPr>
                <w:rFonts w:ascii="Calibri" w:eastAsia="Times New Roman" w:hAnsi="Calibri" w:cs="Calibri"/>
                <w:color w:val="000000"/>
                <w:sz w:val="20"/>
                <w:szCs w:val="20"/>
              </w:rPr>
              <w:t>680</w:t>
            </w:r>
          </w:p>
        </w:tc>
        <w:tc>
          <w:tcPr>
            <w:tcW w:w="1020" w:type="dxa"/>
            <w:shd w:val="clear" w:color="auto" w:fill="auto"/>
            <w:noWrap/>
            <w:vAlign w:val="bottom"/>
            <w:hideMark/>
          </w:tcPr>
          <w:p w14:paraId="73F1931E"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33</w:t>
            </w:r>
          </w:p>
        </w:tc>
        <w:tc>
          <w:tcPr>
            <w:tcW w:w="1021" w:type="dxa"/>
            <w:shd w:val="clear" w:color="auto" w:fill="auto"/>
            <w:noWrap/>
            <w:vAlign w:val="bottom"/>
            <w:hideMark/>
          </w:tcPr>
          <w:p w14:paraId="15A5D4DF" w14:textId="47C93070"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hAnsi="Calibri" w:cs="Calibri"/>
                <w:color w:val="000000"/>
                <w:sz w:val="20"/>
                <w:szCs w:val="20"/>
              </w:rPr>
              <w:t>122.3</w:t>
            </w:r>
          </w:p>
        </w:tc>
        <w:tc>
          <w:tcPr>
            <w:tcW w:w="1020" w:type="dxa"/>
            <w:shd w:val="clear" w:color="auto" w:fill="auto"/>
            <w:noWrap/>
            <w:vAlign w:val="bottom"/>
            <w:hideMark/>
          </w:tcPr>
          <w:p w14:paraId="15E422F1"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126</w:t>
            </w:r>
          </w:p>
        </w:tc>
        <w:tc>
          <w:tcPr>
            <w:tcW w:w="1021" w:type="dxa"/>
            <w:vAlign w:val="bottom"/>
          </w:tcPr>
          <w:p w14:paraId="2AC4BA6E" w14:textId="28B125F2" w:rsidR="00056C94" w:rsidRPr="009F5E8B" w:rsidRDefault="00056C94" w:rsidP="00056C94">
            <w:pPr>
              <w:keepNext/>
              <w:spacing w:after="0"/>
              <w:jc w:val="right"/>
              <w:rPr>
                <w:rFonts w:ascii="Calibri" w:eastAsia="Times New Roman" w:hAnsi="Calibri" w:cs="Calibri"/>
                <w:color w:val="000000"/>
                <w:sz w:val="20"/>
                <w:szCs w:val="20"/>
              </w:rPr>
            </w:pPr>
            <w:r w:rsidRPr="00056C94">
              <w:rPr>
                <w:rFonts w:ascii="Calibri" w:hAnsi="Calibri" w:cs="Calibri"/>
                <w:color w:val="000000"/>
                <w:sz w:val="20"/>
                <w:szCs w:val="20"/>
              </w:rPr>
              <w:t>51</w:t>
            </w:r>
          </w:p>
        </w:tc>
        <w:tc>
          <w:tcPr>
            <w:tcW w:w="1021" w:type="dxa"/>
            <w:shd w:val="clear" w:color="auto" w:fill="auto"/>
            <w:noWrap/>
            <w:vAlign w:val="bottom"/>
            <w:hideMark/>
          </w:tcPr>
          <w:p w14:paraId="6C1D264E" w14:textId="2E812066"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22</w:t>
            </w:r>
          </w:p>
        </w:tc>
        <w:tc>
          <w:tcPr>
            <w:tcW w:w="1021" w:type="dxa"/>
            <w:shd w:val="clear" w:color="auto" w:fill="auto"/>
            <w:noWrap/>
            <w:vAlign w:val="bottom"/>
            <w:hideMark/>
          </w:tcPr>
          <w:p w14:paraId="3553655D" w14:textId="77777777" w:rsidR="00056C94" w:rsidRPr="009F5E8B" w:rsidRDefault="00056C94" w:rsidP="00056C94">
            <w:pPr>
              <w:keepNext/>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237</w:t>
            </w:r>
          </w:p>
        </w:tc>
      </w:tr>
      <w:tr w:rsidR="00056C94" w:rsidRPr="009F5E8B" w14:paraId="6B5EFC88" w14:textId="77777777" w:rsidTr="00056C94">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4E4F" w14:textId="24CAD8F5" w:rsidR="00056C94" w:rsidRPr="009F5E8B" w:rsidRDefault="00056C94" w:rsidP="00056C94">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Overall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2975" w14:textId="7838E525" w:rsidR="00056C94" w:rsidRPr="009F5E8B" w:rsidRDefault="00056C94" w:rsidP="00056C94">
            <w:pPr>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50</w:t>
            </w:r>
            <w:r>
              <w:rPr>
                <w:rFonts w:ascii="Calibri" w:eastAsia="Times New Roman" w:hAnsi="Calibri" w:cs="Calibri"/>
                <w:color w:val="000000"/>
                <w:sz w:val="20"/>
                <w:szCs w:val="20"/>
              </w:rPr>
              <w:t>,</w:t>
            </w:r>
            <w:r w:rsidRPr="009F5E8B">
              <w:rPr>
                <w:rFonts w:ascii="Calibri" w:eastAsia="Times New Roman" w:hAnsi="Calibri" w:cs="Calibri"/>
                <w:color w:val="000000"/>
                <w:sz w:val="20"/>
                <w:szCs w:val="20"/>
              </w:rPr>
              <w:t>471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0319D" w14:textId="77777777" w:rsidR="00056C94" w:rsidRPr="009F5E8B" w:rsidRDefault="00056C94" w:rsidP="00056C94">
            <w:pPr>
              <w:spacing w:after="0"/>
              <w:jc w:val="right"/>
              <w:rPr>
                <w:rFonts w:ascii="Calibri" w:hAnsi="Calibri" w:cs="Calibri"/>
                <w:color w:val="000000"/>
                <w:sz w:val="20"/>
                <w:szCs w:val="20"/>
              </w:rPr>
            </w:pPr>
            <w:r w:rsidRPr="009F5E8B">
              <w:rPr>
                <w:rFonts w:ascii="Calibri" w:hAnsi="Calibri" w:cs="Calibri"/>
                <w:color w:val="000000"/>
                <w:sz w:val="20"/>
                <w:szCs w:val="20"/>
              </w:rPr>
              <w:t>39.3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C3225" w14:textId="77777777" w:rsidR="00056C94" w:rsidRPr="009F5E8B" w:rsidRDefault="00056C94" w:rsidP="00056C94">
            <w:pPr>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33</w:t>
            </w:r>
          </w:p>
        </w:tc>
        <w:tc>
          <w:tcPr>
            <w:tcW w:w="1021" w:type="dxa"/>
            <w:tcBorders>
              <w:top w:val="single" w:sz="4" w:space="0" w:color="auto"/>
              <w:left w:val="single" w:sz="4" w:space="0" w:color="auto"/>
              <w:bottom w:val="single" w:sz="4" w:space="0" w:color="auto"/>
              <w:right w:val="single" w:sz="4" w:space="0" w:color="auto"/>
            </w:tcBorders>
          </w:tcPr>
          <w:p w14:paraId="13D61F4B" w14:textId="2F09865D" w:rsidR="00056C94" w:rsidRPr="009F5E8B" w:rsidRDefault="00056C94" w:rsidP="00056C94">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C94AE" w14:textId="11CD80E2" w:rsidR="00056C94" w:rsidRPr="009F5E8B" w:rsidRDefault="00056C94" w:rsidP="00056C94">
            <w:pPr>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08584" w14:textId="0CA4670E" w:rsidR="00056C94" w:rsidRPr="009F5E8B" w:rsidRDefault="00056C94" w:rsidP="00056C94">
            <w:pPr>
              <w:spacing w:after="0"/>
              <w:jc w:val="right"/>
              <w:rPr>
                <w:rFonts w:ascii="Calibri" w:eastAsia="Times New Roman" w:hAnsi="Calibri" w:cs="Calibri"/>
                <w:color w:val="000000"/>
                <w:sz w:val="20"/>
                <w:szCs w:val="20"/>
              </w:rPr>
            </w:pPr>
            <w:r w:rsidRPr="009F5E8B">
              <w:rPr>
                <w:rFonts w:ascii="Calibri" w:eastAsia="Times New Roman" w:hAnsi="Calibri" w:cs="Calibri"/>
                <w:color w:val="000000"/>
                <w:sz w:val="20"/>
                <w:szCs w:val="20"/>
              </w:rPr>
              <w:t>1</w:t>
            </w:r>
            <w:r w:rsidR="00FA1C8C">
              <w:rPr>
                <w:rFonts w:ascii="Calibri" w:eastAsia="Times New Roman" w:hAnsi="Calibri" w:cs="Calibri"/>
                <w:color w:val="000000"/>
                <w:sz w:val="20"/>
                <w:szCs w:val="20"/>
              </w:rPr>
              <w:t>,</w:t>
            </w:r>
            <w:r w:rsidRPr="009F5E8B">
              <w:rPr>
                <w:rFonts w:ascii="Calibri" w:eastAsia="Times New Roman" w:hAnsi="Calibri" w:cs="Calibri"/>
                <w:color w:val="000000"/>
                <w:sz w:val="20"/>
                <w:szCs w:val="20"/>
              </w:rPr>
              <w:t>186</w:t>
            </w:r>
          </w:p>
        </w:tc>
      </w:tr>
    </w:tbl>
    <w:p w14:paraId="565C2C4A" w14:textId="01C39925" w:rsidR="006445DA" w:rsidRDefault="00532B59" w:rsidP="00A028DF">
      <w:pPr>
        <w:pStyle w:val="Notes"/>
      </w:pPr>
      <w:r>
        <w:t>Note: Doses higher than 1,680 mg ha</w:t>
      </w:r>
      <w:r w:rsidR="00A028DF">
        <w:t>ve</w:t>
      </w:r>
      <w:r>
        <w:t xml:space="preserve"> been deleted due to small numbers</w:t>
      </w:r>
    </w:p>
    <w:p w14:paraId="1368E2D4" w14:textId="20F08827" w:rsidR="009F5E8B" w:rsidRDefault="001A7C17" w:rsidP="00394E19">
      <w:pPr>
        <w:keepNext/>
      </w:pPr>
      <w:r>
        <w:rPr>
          <w:rFonts w:ascii="Arial" w:hAnsi="Arial" w:cs="Arial"/>
          <w:noProof/>
          <w:color w:val="000000"/>
          <w:sz w:val="20"/>
          <w:szCs w:val="20"/>
        </w:rPr>
        <w:drawing>
          <wp:inline distT="0" distB="0" distL="0" distR="0" wp14:anchorId="3F784B81" wp14:editId="198CC5B1">
            <wp:extent cx="5687695" cy="4267994"/>
            <wp:effectExtent l="0" t="0" r="8255" b="0"/>
            <wp:docPr id="8" name="Picture 8" descr="Kaplan-Meier estimates of length of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aplan-Meier estimates of length of treat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87695" cy="4267994"/>
                    </a:xfrm>
                    <a:prstGeom prst="rect">
                      <a:avLst/>
                    </a:prstGeom>
                    <a:noFill/>
                    <a:ln>
                      <a:noFill/>
                    </a:ln>
                  </pic:spPr>
                </pic:pic>
              </a:graphicData>
            </a:graphic>
          </wp:inline>
        </w:drawing>
      </w:r>
    </w:p>
    <w:p w14:paraId="46A41476" w14:textId="6471FB96" w:rsidR="001A7C17" w:rsidRDefault="00F4362D" w:rsidP="001A7C17">
      <w:pPr>
        <w:pStyle w:val="Tabletitle"/>
      </w:pPr>
      <w:r>
        <w:t>Figure 9</w:t>
      </w:r>
      <w:r w:rsidR="001A7C17">
        <w:t>: Kaplan</w:t>
      </w:r>
      <w:r w:rsidR="004B0FB2">
        <w:t>-</w:t>
      </w:r>
      <w:r w:rsidR="001A7C17">
        <w:t>Meier estimates of length of treatment</w:t>
      </w:r>
    </w:p>
    <w:p w14:paraId="0A38DBBA" w14:textId="77777777" w:rsidR="001A7C17" w:rsidRDefault="001A7C17" w:rsidP="001A7C17"/>
    <w:p w14:paraId="342CF8F9" w14:textId="59062AC3" w:rsidR="001A7C17" w:rsidRDefault="00AE16B2" w:rsidP="001A7C17">
      <w:r>
        <w:t xml:space="preserve">The data </w:t>
      </w:r>
      <w:r w:rsidR="00DB78D7">
        <w:t>were</w:t>
      </w:r>
      <w:r>
        <w:t xml:space="preserve"> too immature to assess the treatment duration with evolocumab, the median therapy time had not been reached. As at March 2021, t</w:t>
      </w:r>
      <w:r w:rsidR="001A7C17">
        <w:t>he mean length of treatment was estimated to be 3.</w:t>
      </w:r>
      <w:r w:rsidR="00E63B15">
        <w:t>24</w:t>
      </w:r>
      <w:r w:rsidR="001A7C17">
        <w:t xml:space="preserve"> years with a standard error of 0.</w:t>
      </w:r>
      <w:r w:rsidR="00E63B15">
        <w:t>02360</w:t>
      </w:r>
      <w:r w:rsidR="008A24B6">
        <w:t xml:space="preserve"> years</w:t>
      </w:r>
      <w:r>
        <w:t>.</w:t>
      </w:r>
    </w:p>
    <w:p w14:paraId="52C1969E" w14:textId="06677136" w:rsidR="00864EA9" w:rsidRDefault="00864EA9" w:rsidP="00864EA9">
      <w:pPr>
        <w:pStyle w:val="Heading1"/>
      </w:pPr>
      <w:r>
        <w:lastRenderedPageBreak/>
        <w:t>A</w:t>
      </w:r>
      <w:r w:rsidRPr="005E22C2">
        <w:t xml:space="preserve">ctual versus </w:t>
      </w:r>
      <w:r>
        <w:t>p</w:t>
      </w:r>
      <w:r w:rsidRPr="005E22C2">
        <w:t xml:space="preserve">redicted </w:t>
      </w:r>
      <w:r>
        <w:t>u</w:t>
      </w:r>
      <w:r w:rsidRPr="005E22C2">
        <w:t>tilisation</w:t>
      </w:r>
      <w:r>
        <w:t xml:space="preserve"> </w:t>
      </w:r>
    </w:p>
    <w:p w14:paraId="5ED563E6" w14:textId="0FF8B197" w:rsidR="00864EA9" w:rsidRDefault="00864EA9" w:rsidP="00864EA9">
      <w:pPr>
        <w:pStyle w:val="Heading2"/>
      </w:pPr>
      <w:r>
        <w:t>Approach taken to estimate utilisation</w:t>
      </w:r>
    </w:p>
    <w:p w14:paraId="3B664DCA" w14:textId="3873ECA2" w:rsidR="00864EA9" w:rsidRDefault="00864EA9" w:rsidP="00864EA9">
      <w:r w:rsidRPr="004047BD">
        <w:t xml:space="preserve">The March 2018 submission </w:t>
      </w:r>
      <w:r>
        <w:t xml:space="preserve">used an </w:t>
      </w:r>
      <w:r w:rsidRPr="004047BD">
        <w:t>epidemiological approach to estimate the extent of use of evolocumab in the proposed population</w:t>
      </w:r>
      <w:r>
        <w:t xml:space="preserve">s. </w:t>
      </w:r>
      <w:r w:rsidRPr="00864EA9">
        <w:t>The size of the Australian population sourced from the Australian Bureau of Statistics (ABS) was used as the starting point of the analysis</w:t>
      </w:r>
      <w:r>
        <w:t>. The prevalence of FH was estimated using Watts et al (2015). Watts et al estimated the probable age standardised prevalence of FH, from an unselected longitudinal survey, as 0.0027, with a confidence interval between 0.0015 and 0.0039.</w:t>
      </w:r>
      <w:r>
        <w:rPr>
          <w:rStyle w:val="FootnoteReference"/>
        </w:rPr>
        <w:footnoteReference w:id="2"/>
      </w:r>
      <w:r>
        <w:t xml:space="preserve"> The submission applied a prevalence of 0.00283</w:t>
      </w:r>
      <w:r w:rsidR="00CB3211">
        <w:t xml:space="preserve"> (i.e. 1 in 353 persons)</w:t>
      </w:r>
      <w:r>
        <w:t>.</w:t>
      </w:r>
    </w:p>
    <w:p w14:paraId="5EC3130D" w14:textId="7D8A57F0" w:rsidR="00864EA9" w:rsidRDefault="00864EA9" w:rsidP="00864EA9">
      <w:r>
        <w:t>The submission applied a diagnosis rate, percentage of FH patients with ASCVD, percentage of FH patients with LDL-C greater than 3.3 mmol/L, percentage of FH patients with</w:t>
      </w:r>
      <w:r w:rsidRPr="004047BD">
        <w:t xml:space="preserve"> </w:t>
      </w:r>
      <w:r>
        <w:t xml:space="preserve">LDL-C greater than 5 mmol/L, and uptake rates between </w:t>
      </w:r>
      <w:r w:rsidR="00B327B0" w:rsidRPr="00B327B0">
        <w:rPr>
          <w:highlight w:val="black"/>
        </w:rPr>
        <w:t>xxx</w:t>
      </w:r>
      <w:r>
        <w:t xml:space="preserve"> and </w:t>
      </w:r>
      <w:r w:rsidR="00B327B0" w:rsidRPr="00B327B0">
        <w:rPr>
          <w:highlight w:val="black"/>
        </w:rPr>
        <w:t>xxx</w:t>
      </w:r>
      <w:r>
        <w:t xml:space="preserve">. </w:t>
      </w:r>
      <w:r w:rsidRPr="00864EA9">
        <w:t xml:space="preserve">The monthly:fortnightly evolocumab dosing split was assumed to be </w:t>
      </w:r>
      <w:r>
        <w:t>20</w:t>
      </w:r>
      <w:r w:rsidRPr="00864EA9">
        <w:t>:</w:t>
      </w:r>
      <w:r>
        <w:t>80</w:t>
      </w:r>
      <w:r w:rsidRPr="00864EA9">
        <w:t>.</w:t>
      </w:r>
    </w:p>
    <w:p w14:paraId="5F22B4D8" w14:textId="319090EA" w:rsidR="00736041" w:rsidRPr="005E22C2"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37E181B2" w14:textId="345E3FA1" w:rsidR="00E4690C" w:rsidRPr="00E4690C" w:rsidRDefault="00E4690C" w:rsidP="009C19EE">
      <w:r w:rsidRPr="00864EA9">
        <w:t>As the March 2018 submission estimated the number of patients who would access PBS</w:t>
      </w:r>
      <w:r>
        <w:t xml:space="preserve"> evolocumab under heterozygous listing and the extension of the LDL level, the submission estimated all FH patients. This PvA compares estimates of the submission to the actual use of all </w:t>
      </w:r>
      <w:r w:rsidRPr="00E4690C">
        <w:t>FH (h</w:t>
      </w:r>
      <w:r>
        <w:t>eter</w:t>
      </w:r>
      <w:r w:rsidRPr="00E4690C">
        <w:t xml:space="preserve">ozygous </w:t>
      </w:r>
      <w:r>
        <w:t>and</w:t>
      </w:r>
      <w:r w:rsidRPr="00E4690C">
        <w:t xml:space="preserve"> homozygous)</w:t>
      </w:r>
      <w:r>
        <w:t xml:space="preserve"> as determined by the indication of the prescription. For </w:t>
      </w:r>
      <w:r w:rsidR="00864EA9">
        <w:t>comparison</w:t>
      </w:r>
      <w:r>
        <w:t>,</w:t>
      </w:r>
      <w:r w:rsidR="00864EA9">
        <w:t xml:space="preserve"> the</w:t>
      </w:r>
      <w:r>
        <w:t xml:space="preserve"> submission for homozygous FH estimated </w:t>
      </w:r>
      <w:r w:rsidR="00C108CE" w:rsidRPr="00C108CE">
        <w:rPr>
          <w:highlight w:val="black"/>
        </w:rPr>
        <w:t>xxx</w:t>
      </w:r>
      <w:r>
        <w:t xml:space="preserve"> patients would be treated for homozygous FH in year 1, and the actual number was 502. For more details see Appendix B.</w:t>
      </w:r>
    </w:p>
    <w:p w14:paraId="222B771D" w14:textId="0ABBC145" w:rsidR="00E4690C" w:rsidRDefault="00E4690C" w:rsidP="009C19EE">
      <w:r w:rsidRPr="00E4690C">
        <w:t>The submission labelled this estimation ‘prescriptions’, however given the multiple qu</w:t>
      </w:r>
      <w:r w:rsidR="00F4362D">
        <w:t>antities being supplied (Table 7</w:t>
      </w:r>
      <w:r w:rsidRPr="00E4690C">
        <w:t xml:space="preserve">) these are shown for prescriptions and for total quantity (quantity </w:t>
      </w:r>
      <w:r w:rsidR="00F4362D">
        <w:rPr>
          <w:rFonts w:cstheme="minorHAnsi"/>
        </w:rPr>
        <w:t>×</w:t>
      </w:r>
      <w:r w:rsidRPr="00E4690C">
        <w:t xml:space="preserve"> prescriptions).</w:t>
      </w:r>
    </w:p>
    <w:p w14:paraId="330798C5" w14:textId="1C24B1AD" w:rsidR="001479EF" w:rsidRPr="00E4690C" w:rsidRDefault="00F4362D" w:rsidP="00055E09">
      <w:pPr>
        <w:pStyle w:val="Tabletitle"/>
        <w:keepNext/>
      </w:pPr>
      <w:r>
        <w:lastRenderedPageBreak/>
        <w:t>Table 9</w:t>
      </w:r>
      <w:r w:rsidR="001479EF">
        <w:t>: Predicted vs. actual use of evolocumab for heterozygous and homozygous familial hypercholesterolaemia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2005"/>
        <w:gridCol w:w="1228"/>
        <w:gridCol w:w="1229"/>
        <w:gridCol w:w="1229"/>
      </w:tblGrid>
      <w:tr w:rsidR="00EB45CD" w:rsidRPr="00506B86" w14:paraId="6D4464CD" w14:textId="77777777" w:rsidTr="00E4690C">
        <w:trPr>
          <w:trHeight w:val="300"/>
        </w:trPr>
        <w:tc>
          <w:tcPr>
            <w:tcW w:w="1620" w:type="dxa"/>
            <w:shd w:val="clear" w:color="auto" w:fill="BFBFBF" w:themeFill="background1" w:themeFillShade="BF"/>
          </w:tcPr>
          <w:p w14:paraId="67104DAD" w14:textId="77777777" w:rsidR="00EB45CD" w:rsidRPr="00506B86" w:rsidRDefault="00EB45CD" w:rsidP="00055E09">
            <w:pPr>
              <w:keepNext/>
              <w:spacing w:after="0"/>
              <w:rPr>
                <w:rFonts w:ascii="Times New Roman" w:eastAsia="Times New Roman" w:hAnsi="Times New Roman" w:cs="Times New Roman"/>
                <w:b/>
                <w:sz w:val="20"/>
                <w:szCs w:val="20"/>
              </w:rPr>
            </w:pPr>
          </w:p>
        </w:tc>
        <w:tc>
          <w:tcPr>
            <w:tcW w:w="1620" w:type="dxa"/>
            <w:shd w:val="clear" w:color="auto" w:fill="BFBFBF" w:themeFill="background1" w:themeFillShade="BF"/>
            <w:noWrap/>
            <w:vAlign w:val="bottom"/>
            <w:hideMark/>
          </w:tcPr>
          <w:p w14:paraId="28BF69F4" w14:textId="10FD78CF" w:rsidR="00EB45CD" w:rsidRPr="00506B86" w:rsidRDefault="00EB45CD" w:rsidP="00055E09">
            <w:pPr>
              <w:keepNext/>
              <w:spacing w:after="0"/>
              <w:rPr>
                <w:rFonts w:ascii="Times New Roman" w:eastAsia="Times New Roman" w:hAnsi="Times New Roman" w:cs="Times New Roman"/>
                <w:b/>
                <w:sz w:val="20"/>
                <w:szCs w:val="20"/>
              </w:rPr>
            </w:pPr>
          </w:p>
        </w:tc>
        <w:tc>
          <w:tcPr>
            <w:tcW w:w="2005" w:type="dxa"/>
            <w:shd w:val="clear" w:color="auto" w:fill="BFBFBF" w:themeFill="background1" w:themeFillShade="BF"/>
            <w:noWrap/>
            <w:vAlign w:val="bottom"/>
            <w:hideMark/>
          </w:tcPr>
          <w:p w14:paraId="5250854A" w14:textId="77777777" w:rsidR="00EB45CD" w:rsidRPr="00506B86" w:rsidRDefault="00EB45CD" w:rsidP="00055E09">
            <w:pPr>
              <w:keepNext/>
              <w:spacing w:after="0"/>
              <w:rPr>
                <w:rFonts w:ascii="Times New Roman" w:eastAsia="Times New Roman" w:hAnsi="Times New Roman" w:cs="Times New Roman"/>
                <w:b/>
                <w:sz w:val="20"/>
                <w:szCs w:val="20"/>
              </w:rPr>
            </w:pPr>
          </w:p>
        </w:tc>
        <w:tc>
          <w:tcPr>
            <w:tcW w:w="1228" w:type="dxa"/>
            <w:shd w:val="clear" w:color="auto" w:fill="BFBFBF" w:themeFill="background1" w:themeFillShade="BF"/>
            <w:noWrap/>
            <w:vAlign w:val="center"/>
            <w:hideMark/>
          </w:tcPr>
          <w:p w14:paraId="761644F1" w14:textId="77777777" w:rsidR="00EB45CD" w:rsidRPr="00506B86" w:rsidRDefault="00EB45CD" w:rsidP="00055E09">
            <w:pPr>
              <w:keepNext/>
              <w:spacing w:after="0"/>
              <w:jc w:val="center"/>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2018</w:t>
            </w:r>
          </w:p>
        </w:tc>
        <w:tc>
          <w:tcPr>
            <w:tcW w:w="1229" w:type="dxa"/>
            <w:shd w:val="clear" w:color="auto" w:fill="BFBFBF" w:themeFill="background1" w:themeFillShade="BF"/>
            <w:noWrap/>
            <w:vAlign w:val="center"/>
            <w:hideMark/>
          </w:tcPr>
          <w:p w14:paraId="4F5FC251" w14:textId="77777777" w:rsidR="00EB45CD" w:rsidRPr="00506B86" w:rsidRDefault="00EB45CD" w:rsidP="00055E09">
            <w:pPr>
              <w:keepNext/>
              <w:spacing w:after="0"/>
              <w:jc w:val="center"/>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2019</w:t>
            </w:r>
          </w:p>
        </w:tc>
        <w:tc>
          <w:tcPr>
            <w:tcW w:w="1229" w:type="dxa"/>
            <w:shd w:val="clear" w:color="auto" w:fill="BFBFBF" w:themeFill="background1" w:themeFillShade="BF"/>
            <w:noWrap/>
            <w:vAlign w:val="center"/>
            <w:hideMark/>
          </w:tcPr>
          <w:p w14:paraId="27AE8581" w14:textId="77777777" w:rsidR="00EB45CD" w:rsidRPr="00506B86" w:rsidRDefault="00EB45CD" w:rsidP="00055E09">
            <w:pPr>
              <w:keepNext/>
              <w:spacing w:after="0"/>
              <w:jc w:val="center"/>
              <w:rPr>
                <w:rFonts w:ascii="Calibri" w:eastAsia="Times New Roman" w:hAnsi="Calibri" w:cs="Calibri"/>
                <w:b/>
                <w:color w:val="000000"/>
                <w:sz w:val="20"/>
                <w:szCs w:val="20"/>
              </w:rPr>
            </w:pPr>
            <w:r w:rsidRPr="00506B86">
              <w:rPr>
                <w:rFonts w:ascii="Calibri" w:eastAsia="Times New Roman" w:hAnsi="Calibri" w:cs="Calibri"/>
                <w:b/>
                <w:color w:val="000000"/>
                <w:sz w:val="20"/>
                <w:szCs w:val="20"/>
              </w:rPr>
              <w:t>2020</w:t>
            </w:r>
          </w:p>
        </w:tc>
      </w:tr>
      <w:tr w:rsidR="00EB45CD" w:rsidRPr="00506B86" w14:paraId="00D5384F" w14:textId="77777777" w:rsidTr="00EB45CD">
        <w:trPr>
          <w:trHeight w:val="300"/>
        </w:trPr>
        <w:tc>
          <w:tcPr>
            <w:tcW w:w="3240" w:type="dxa"/>
            <w:gridSpan w:val="2"/>
            <w:vMerge w:val="restart"/>
          </w:tcPr>
          <w:p w14:paraId="2E02CE0E" w14:textId="35A9156A"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Patients</w:t>
            </w:r>
          </w:p>
        </w:tc>
        <w:tc>
          <w:tcPr>
            <w:tcW w:w="2005" w:type="dxa"/>
            <w:shd w:val="clear" w:color="auto" w:fill="auto"/>
            <w:noWrap/>
            <w:vAlign w:val="bottom"/>
            <w:hideMark/>
          </w:tcPr>
          <w:p w14:paraId="3CA7B645"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Predicted</w:t>
            </w:r>
          </w:p>
        </w:tc>
        <w:tc>
          <w:tcPr>
            <w:tcW w:w="1228" w:type="dxa"/>
            <w:shd w:val="clear" w:color="auto" w:fill="auto"/>
            <w:noWrap/>
            <w:vAlign w:val="center"/>
            <w:hideMark/>
          </w:tcPr>
          <w:p w14:paraId="09083DFA" w14:textId="39807F29" w:rsidR="00EB45CD" w:rsidRPr="00506B86" w:rsidRDefault="00B46B37" w:rsidP="00055E09">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1C3E492F" w14:textId="088B716B" w:rsidR="00EB45CD" w:rsidRPr="00506B86" w:rsidRDefault="00B46B37" w:rsidP="00055E09">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1C8A4DBE" w14:textId="786C973E" w:rsidR="00EB45CD" w:rsidRPr="00506B86" w:rsidRDefault="00B46B37" w:rsidP="00055E09">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EB45CD" w:rsidRPr="00506B86" w14:paraId="779FCE79" w14:textId="77777777" w:rsidTr="00EB45CD">
        <w:trPr>
          <w:trHeight w:val="300"/>
        </w:trPr>
        <w:tc>
          <w:tcPr>
            <w:tcW w:w="3240" w:type="dxa"/>
            <w:gridSpan w:val="2"/>
            <w:vMerge/>
          </w:tcPr>
          <w:p w14:paraId="0EDDF0B7" w14:textId="2397A6CD" w:rsidR="00EB45CD" w:rsidRPr="00506B86" w:rsidRDefault="00EB45CD" w:rsidP="00055E09">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736850EE"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Actual</w:t>
            </w:r>
          </w:p>
        </w:tc>
        <w:tc>
          <w:tcPr>
            <w:tcW w:w="1228" w:type="dxa"/>
            <w:shd w:val="clear" w:color="auto" w:fill="auto"/>
            <w:noWrap/>
            <w:vAlign w:val="center"/>
            <w:hideMark/>
          </w:tcPr>
          <w:p w14:paraId="03F5A580" w14:textId="1805769F"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1,124</w:t>
            </w:r>
          </w:p>
        </w:tc>
        <w:tc>
          <w:tcPr>
            <w:tcW w:w="1229" w:type="dxa"/>
            <w:shd w:val="clear" w:color="auto" w:fill="auto"/>
            <w:noWrap/>
            <w:vAlign w:val="center"/>
            <w:hideMark/>
          </w:tcPr>
          <w:p w14:paraId="01DAD215" w14:textId="37B6C561"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1,753</w:t>
            </w:r>
          </w:p>
        </w:tc>
        <w:tc>
          <w:tcPr>
            <w:tcW w:w="1229" w:type="dxa"/>
            <w:shd w:val="clear" w:color="auto" w:fill="auto"/>
            <w:noWrap/>
            <w:vAlign w:val="center"/>
            <w:hideMark/>
          </w:tcPr>
          <w:p w14:paraId="42BA140B" w14:textId="050DABE2"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2,693</w:t>
            </w:r>
          </w:p>
        </w:tc>
      </w:tr>
      <w:tr w:rsidR="00EB45CD" w:rsidRPr="00506B86" w14:paraId="0E7EBD3A" w14:textId="77777777" w:rsidTr="00EB45CD">
        <w:trPr>
          <w:trHeight w:val="300"/>
        </w:trPr>
        <w:tc>
          <w:tcPr>
            <w:tcW w:w="3240" w:type="dxa"/>
            <w:gridSpan w:val="2"/>
            <w:vMerge/>
          </w:tcPr>
          <w:p w14:paraId="48C0FF0D" w14:textId="2EDCE0EA" w:rsidR="00EB45CD" w:rsidRPr="00506B86" w:rsidRDefault="00EB45CD" w:rsidP="00055E09">
            <w:pPr>
              <w:keepNext/>
              <w:spacing w:after="0"/>
              <w:jc w:val="right"/>
              <w:rPr>
                <w:rFonts w:ascii="Calibri" w:eastAsia="Times New Roman" w:hAnsi="Calibri" w:cs="Calibri"/>
                <w:color w:val="000000"/>
                <w:sz w:val="20"/>
                <w:szCs w:val="20"/>
              </w:rPr>
            </w:pPr>
          </w:p>
        </w:tc>
        <w:tc>
          <w:tcPr>
            <w:tcW w:w="2005" w:type="dxa"/>
            <w:shd w:val="clear" w:color="auto" w:fill="auto"/>
            <w:noWrap/>
            <w:vAlign w:val="bottom"/>
            <w:hideMark/>
          </w:tcPr>
          <w:p w14:paraId="2F0582BF"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Difference</w:t>
            </w:r>
          </w:p>
        </w:tc>
        <w:tc>
          <w:tcPr>
            <w:tcW w:w="1228" w:type="dxa"/>
            <w:shd w:val="clear" w:color="auto" w:fill="auto"/>
            <w:noWrap/>
            <w:vAlign w:val="center"/>
            <w:hideMark/>
          </w:tcPr>
          <w:p w14:paraId="017597E2" w14:textId="086BD84E" w:rsidR="00EB45CD" w:rsidRPr="00506B86" w:rsidRDefault="00B46B37" w:rsidP="00055E09">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175058F3" w14:textId="76121E65" w:rsidR="00EB45CD" w:rsidRPr="00506B86" w:rsidRDefault="00B46B37" w:rsidP="00055E09">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00711D54" w14:textId="14EA8C5D" w:rsidR="00EB45CD" w:rsidRPr="00506B86" w:rsidRDefault="00B46B37" w:rsidP="00055E09">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B46B37" w:rsidRPr="00506B86" w14:paraId="016BD53B" w14:textId="77777777" w:rsidTr="00EB45CD">
        <w:trPr>
          <w:trHeight w:val="300"/>
        </w:trPr>
        <w:tc>
          <w:tcPr>
            <w:tcW w:w="1620" w:type="dxa"/>
            <w:vMerge w:val="restart"/>
          </w:tcPr>
          <w:p w14:paraId="29BCB421" w14:textId="7D68753D"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Prescriptions</w:t>
            </w:r>
          </w:p>
        </w:tc>
        <w:tc>
          <w:tcPr>
            <w:tcW w:w="1620" w:type="dxa"/>
            <w:vMerge w:val="restart"/>
            <w:shd w:val="clear" w:color="auto" w:fill="auto"/>
            <w:noWrap/>
            <w:vAlign w:val="center"/>
            <w:hideMark/>
          </w:tcPr>
          <w:p w14:paraId="4649B6A5" w14:textId="7A36F75D"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140 mg in 1 mL</w:t>
            </w:r>
          </w:p>
        </w:tc>
        <w:tc>
          <w:tcPr>
            <w:tcW w:w="2005" w:type="dxa"/>
            <w:shd w:val="clear" w:color="auto" w:fill="auto"/>
            <w:noWrap/>
            <w:vAlign w:val="bottom"/>
            <w:hideMark/>
          </w:tcPr>
          <w:p w14:paraId="14F0B7EE"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Predicted</w:t>
            </w:r>
          </w:p>
        </w:tc>
        <w:tc>
          <w:tcPr>
            <w:tcW w:w="1228" w:type="dxa"/>
            <w:shd w:val="clear" w:color="auto" w:fill="auto"/>
            <w:noWrap/>
            <w:vAlign w:val="center"/>
            <w:hideMark/>
          </w:tcPr>
          <w:p w14:paraId="71CCE3B9" w14:textId="437CB9B3"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5C492E3C" w14:textId="193C9069"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w:t>
            </w:r>
            <w:r>
              <w:rPr>
                <w:rFonts w:ascii="Calibri" w:eastAsia="Times New Roman" w:hAnsi="Calibri" w:cs="Calibri"/>
                <w:color w:val="000000"/>
                <w:sz w:val="20"/>
                <w:szCs w:val="20"/>
                <w:highlight w:val="black"/>
              </w:rPr>
              <w:t>x</w:t>
            </w:r>
            <w:r w:rsidRPr="00B46B37">
              <w:rPr>
                <w:rFonts w:ascii="Calibri" w:eastAsia="Times New Roman" w:hAnsi="Calibri" w:cs="Calibri"/>
                <w:color w:val="000000"/>
                <w:sz w:val="20"/>
                <w:szCs w:val="20"/>
                <w:highlight w:val="black"/>
              </w:rPr>
              <w:t>xx</w:t>
            </w:r>
          </w:p>
        </w:tc>
        <w:tc>
          <w:tcPr>
            <w:tcW w:w="1229" w:type="dxa"/>
            <w:shd w:val="clear" w:color="auto" w:fill="auto"/>
            <w:noWrap/>
            <w:vAlign w:val="center"/>
            <w:hideMark/>
          </w:tcPr>
          <w:p w14:paraId="7E7FA1B7" w14:textId="0BA021C7"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w:t>
            </w:r>
            <w:r>
              <w:rPr>
                <w:rFonts w:ascii="Calibri" w:eastAsia="Times New Roman" w:hAnsi="Calibri" w:cs="Calibri"/>
                <w:color w:val="000000"/>
                <w:sz w:val="20"/>
                <w:szCs w:val="20"/>
                <w:highlight w:val="black"/>
              </w:rPr>
              <w:t>x</w:t>
            </w:r>
            <w:r w:rsidRPr="00B46B37">
              <w:rPr>
                <w:rFonts w:ascii="Calibri" w:eastAsia="Times New Roman" w:hAnsi="Calibri" w:cs="Calibri"/>
                <w:color w:val="000000"/>
                <w:sz w:val="20"/>
                <w:szCs w:val="20"/>
                <w:highlight w:val="black"/>
              </w:rPr>
              <w:t>xx</w:t>
            </w:r>
          </w:p>
        </w:tc>
      </w:tr>
      <w:tr w:rsidR="00EB45CD" w:rsidRPr="00506B86" w14:paraId="1A36F20E" w14:textId="77777777" w:rsidTr="00EB45CD">
        <w:trPr>
          <w:trHeight w:val="300"/>
        </w:trPr>
        <w:tc>
          <w:tcPr>
            <w:tcW w:w="1620" w:type="dxa"/>
            <w:vMerge/>
          </w:tcPr>
          <w:p w14:paraId="7687ED0C" w14:textId="77777777" w:rsidR="00EB45CD" w:rsidRPr="00506B86" w:rsidRDefault="00EB45CD" w:rsidP="00055E09">
            <w:pPr>
              <w:keepNext/>
              <w:spacing w:after="0"/>
              <w:rPr>
                <w:rFonts w:ascii="Calibri" w:eastAsia="Times New Roman" w:hAnsi="Calibri" w:cs="Calibri"/>
                <w:color w:val="000000"/>
                <w:sz w:val="20"/>
                <w:szCs w:val="20"/>
              </w:rPr>
            </w:pPr>
          </w:p>
        </w:tc>
        <w:tc>
          <w:tcPr>
            <w:tcW w:w="1620" w:type="dxa"/>
            <w:vMerge/>
            <w:shd w:val="clear" w:color="auto" w:fill="auto"/>
            <w:noWrap/>
            <w:vAlign w:val="center"/>
            <w:hideMark/>
          </w:tcPr>
          <w:p w14:paraId="20DFF3B4" w14:textId="47572DE1" w:rsidR="00EB45CD" w:rsidRPr="00506B86" w:rsidRDefault="00EB45CD" w:rsidP="00055E09">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4A950DDE"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Actual prescriptions</w:t>
            </w:r>
          </w:p>
        </w:tc>
        <w:tc>
          <w:tcPr>
            <w:tcW w:w="1228" w:type="dxa"/>
            <w:shd w:val="clear" w:color="auto" w:fill="auto"/>
            <w:noWrap/>
            <w:vAlign w:val="center"/>
            <w:hideMark/>
          </w:tcPr>
          <w:p w14:paraId="5341DBF2" w14:textId="59F97E1A"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6,908</w:t>
            </w:r>
          </w:p>
        </w:tc>
        <w:tc>
          <w:tcPr>
            <w:tcW w:w="1229" w:type="dxa"/>
            <w:shd w:val="clear" w:color="auto" w:fill="auto"/>
            <w:noWrap/>
            <w:vAlign w:val="center"/>
            <w:hideMark/>
          </w:tcPr>
          <w:p w14:paraId="209FB06D" w14:textId="2FA4A092"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11,537</w:t>
            </w:r>
          </w:p>
        </w:tc>
        <w:tc>
          <w:tcPr>
            <w:tcW w:w="1229" w:type="dxa"/>
            <w:shd w:val="clear" w:color="auto" w:fill="auto"/>
            <w:noWrap/>
            <w:vAlign w:val="center"/>
            <w:hideMark/>
          </w:tcPr>
          <w:p w14:paraId="29401373" w14:textId="3306FC8B"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17,181</w:t>
            </w:r>
          </w:p>
        </w:tc>
      </w:tr>
      <w:tr w:rsidR="00B46B37" w:rsidRPr="00506B86" w14:paraId="441A3DE6" w14:textId="77777777" w:rsidTr="00EB45CD">
        <w:trPr>
          <w:trHeight w:val="300"/>
        </w:trPr>
        <w:tc>
          <w:tcPr>
            <w:tcW w:w="1620" w:type="dxa"/>
            <w:vMerge/>
          </w:tcPr>
          <w:p w14:paraId="5E3AA58B" w14:textId="77777777" w:rsidR="00B46B37" w:rsidRPr="00506B86" w:rsidRDefault="00B46B37" w:rsidP="00B46B37">
            <w:pPr>
              <w:keepNext/>
              <w:spacing w:after="0"/>
              <w:jc w:val="right"/>
              <w:rPr>
                <w:rFonts w:ascii="Calibri" w:eastAsia="Times New Roman" w:hAnsi="Calibri" w:cs="Calibri"/>
                <w:color w:val="000000"/>
                <w:sz w:val="20"/>
                <w:szCs w:val="20"/>
              </w:rPr>
            </w:pPr>
          </w:p>
        </w:tc>
        <w:tc>
          <w:tcPr>
            <w:tcW w:w="1620" w:type="dxa"/>
            <w:vMerge/>
            <w:shd w:val="clear" w:color="auto" w:fill="auto"/>
            <w:noWrap/>
            <w:vAlign w:val="center"/>
            <w:hideMark/>
          </w:tcPr>
          <w:p w14:paraId="48F0BD4E" w14:textId="579DDD2B" w:rsidR="00B46B37" w:rsidRPr="00506B86" w:rsidRDefault="00B46B37" w:rsidP="00B46B37">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569B3858"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Difference</w:t>
            </w:r>
          </w:p>
        </w:tc>
        <w:tc>
          <w:tcPr>
            <w:tcW w:w="1228" w:type="dxa"/>
            <w:shd w:val="clear" w:color="auto" w:fill="auto"/>
            <w:noWrap/>
            <w:vAlign w:val="center"/>
            <w:hideMark/>
          </w:tcPr>
          <w:p w14:paraId="1BCD6E19" w14:textId="45F795A2"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33057EAA" w14:textId="5E083220"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74D90178" w14:textId="41F6B085"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B46B37" w:rsidRPr="00506B86" w14:paraId="3ABC166B" w14:textId="77777777" w:rsidTr="00EB45CD">
        <w:trPr>
          <w:trHeight w:val="300"/>
        </w:trPr>
        <w:tc>
          <w:tcPr>
            <w:tcW w:w="1620" w:type="dxa"/>
            <w:vMerge/>
          </w:tcPr>
          <w:p w14:paraId="5A2E8A98" w14:textId="77777777" w:rsidR="00B46B37" w:rsidRPr="00506B86" w:rsidRDefault="00B46B37" w:rsidP="00B46B37">
            <w:pPr>
              <w:keepNext/>
              <w:spacing w:after="0"/>
              <w:rPr>
                <w:rFonts w:ascii="Times New Roman" w:eastAsia="Times New Roman" w:hAnsi="Times New Roman" w:cs="Times New Roman"/>
                <w:sz w:val="20"/>
                <w:szCs w:val="20"/>
              </w:rPr>
            </w:pPr>
          </w:p>
        </w:tc>
        <w:tc>
          <w:tcPr>
            <w:tcW w:w="1620" w:type="dxa"/>
            <w:vMerge/>
            <w:shd w:val="clear" w:color="auto" w:fill="auto"/>
            <w:noWrap/>
            <w:vAlign w:val="center"/>
            <w:hideMark/>
          </w:tcPr>
          <w:p w14:paraId="6084EABF" w14:textId="0AEDA70E" w:rsidR="00B46B37" w:rsidRPr="00506B86" w:rsidRDefault="00B46B37" w:rsidP="00B46B37">
            <w:pPr>
              <w:keepNext/>
              <w:spacing w:after="0"/>
              <w:rPr>
                <w:rFonts w:ascii="Times New Roman" w:eastAsia="Times New Roman" w:hAnsi="Times New Roman" w:cs="Times New Roman"/>
                <w:sz w:val="20"/>
                <w:szCs w:val="20"/>
              </w:rPr>
            </w:pPr>
          </w:p>
        </w:tc>
        <w:tc>
          <w:tcPr>
            <w:tcW w:w="2005" w:type="dxa"/>
            <w:shd w:val="clear" w:color="auto" w:fill="auto"/>
            <w:noWrap/>
            <w:vAlign w:val="bottom"/>
            <w:hideMark/>
          </w:tcPr>
          <w:p w14:paraId="662E7B4C"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Predicted</w:t>
            </w:r>
          </w:p>
        </w:tc>
        <w:tc>
          <w:tcPr>
            <w:tcW w:w="1228" w:type="dxa"/>
            <w:shd w:val="clear" w:color="auto" w:fill="auto"/>
            <w:noWrap/>
            <w:vAlign w:val="center"/>
            <w:hideMark/>
          </w:tcPr>
          <w:p w14:paraId="203D119D" w14:textId="068313E6"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61D9894D" w14:textId="0AA56792"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w:t>
            </w:r>
            <w:r>
              <w:rPr>
                <w:rFonts w:ascii="Calibri" w:eastAsia="Times New Roman" w:hAnsi="Calibri" w:cs="Calibri"/>
                <w:color w:val="000000"/>
                <w:sz w:val="20"/>
                <w:szCs w:val="20"/>
                <w:highlight w:val="black"/>
              </w:rPr>
              <w:t>x</w:t>
            </w:r>
            <w:r w:rsidRPr="00B46B37">
              <w:rPr>
                <w:rFonts w:ascii="Calibri" w:eastAsia="Times New Roman" w:hAnsi="Calibri" w:cs="Calibri"/>
                <w:color w:val="000000"/>
                <w:sz w:val="20"/>
                <w:szCs w:val="20"/>
                <w:highlight w:val="black"/>
              </w:rPr>
              <w:t>xx</w:t>
            </w:r>
          </w:p>
        </w:tc>
        <w:tc>
          <w:tcPr>
            <w:tcW w:w="1229" w:type="dxa"/>
            <w:shd w:val="clear" w:color="auto" w:fill="auto"/>
            <w:noWrap/>
            <w:vAlign w:val="center"/>
            <w:hideMark/>
          </w:tcPr>
          <w:p w14:paraId="717543EF" w14:textId="6D9F1972"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w:t>
            </w:r>
            <w:r>
              <w:rPr>
                <w:rFonts w:ascii="Calibri" w:eastAsia="Times New Roman" w:hAnsi="Calibri" w:cs="Calibri"/>
                <w:color w:val="000000"/>
                <w:sz w:val="20"/>
                <w:szCs w:val="20"/>
                <w:highlight w:val="black"/>
              </w:rPr>
              <w:t>x</w:t>
            </w:r>
            <w:r w:rsidRPr="00B46B37">
              <w:rPr>
                <w:rFonts w:ascii="Calibri" w:eastAsia="Times New Roman" w:hAnsi="Calibri" w:cs="Calibri"/>
                <w:color w:val="000000"/>
                <w:sz w:val="20"/>
                <w:szCs w:val="20"/>
                <w:highlight w:val="black"/>
              </w:rPr>
              <w:t>xx</w:t>
            </w:r>
          </w:p>
        </w:tc>
      </w:tr>
      <w:tr w:rsidR="00EB45CD" w:rsidRPr="00506B86" w14:paraId="2C4F3CA2" w14:textId="77777777" w:rsidTr="00EB45CD">
        <w:trPr>
          <w:trHeight w:val="300"/>
        </w:trPr>
        <w:tc>
          <w:tcPr>
            <w:tcW w:w="1620" w:type="dxa"/>
            <w:vMerge/>
          </w:tcPr>
          <w:p w14:paraId="60E2CD2A" w14:textId="77777777" w:rsidR="00EB45CD" w:rsidRPr="00506B86" w:rsidRDefault="00EB45CD" w:rsidP="00055E09">
            <w:pPr>
              <w:keepNext/>
              <w:spacing w:after="0"/>
              <w:rPr>
                <w:rFonts w:ascii="Calibri" w:eastAsia="Times New Roman" w:hAnsi="Calibri" w:cs="Calibri"/>
                <w:color w:val="000000"/>
                <w:sz w:val="20"/>
                <w:szCs w:val="20"/>
              </w:rPr>
            </w:pPr>
          </w:p>
        </w:tc>
        <w:tc>
          <w:tcPr>
            <w:tcW w:w="1620" w:type="dxa"/>
            <w:vMerge/>
            <w:shd w:val="clear" w:color="auto" w:fill="auto"/>
            <w:noWrap/>
            <w:vAlign w:val="center"/>
            <w:hideMark/>
          </w:tcPr>
          <w:p w14:paraId="5CB4E49B" w14:textId="4687C023" w:rsidR="00EB45CD" w:rsidRPr="00506B86" w:rsidRDefault="00EB45CD" w:rsidP="00055E09">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22B2F111"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Actual quantity</w:t>
            </w:r>
          </w:p>
        </w:tc>
        <w:tc>
          <w:tcPr>
            <w:tcW w:w="1228" w:type="dxa"/>
            <w:shd w:val="clear" w:color="auto" w:fill="auto"/>
            <w:noWrap/>
            <w:vAlign w:val="center"/>
            <w:hideMark/>
          </w:tcPr>
          <w:p w14:paraId="45D6DC16" w14:textId="44991052"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20,545</w:t>
            </w:r>
          </w:p>
        </w:tc>
        <w:tc>
          <w:tcPr>
            <w:tcW w:w="1229" w:type="dxa"/>
            <w:shd w:val="clear" w:color="auto" w:fill="auto"/>
            <w:noWrap/>
            <w:vAlign w:val="center"/>
            <w:hideMark/>
          </w:tcPr>
          <w:p w14:paraId="5EC619B2" w14:textId="30D83C0D"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31,471</w:t>
            </w:r>
          </w:p>
        </w:tc>
        <w:tc>
          <w:tcPr>
            <w:tcW w:w="1229" w:type="dxa"/>
            <w:shd w:val="clear" w:color="auto" w:fill="auto"/>
            <w:noWrap/>
            <w:vAlign w:val="center"/>
            <w:hideMark/>
          </w:tcPr>
          <w:p w14:paraId="70D4BC78" w14:textId="08BAE081"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43,675</w:t>
            </w:r>
          </w:p>
        </w:tc>
      </w:tr>
      <w:tr w:rsidR="00B46B37" w:rsidRPr="00506B86" w14:paraId="3B341A5F" w14:textId="77777777" w:rsidTr="00EB45CD">
        <w:trPr>
          <w:trHeight w:val="300"/>
        </w:trPr>
        <w:tc>
          <w:tcPr>
            <w:tcW w:w="1620" w:type="dxa"/>
            <w:vMerge/>
          </w:tcPr>
          <w:p w14:paraId="3FF48AFC" w14:textId="77777777" w:rsidR="00B46B37" w:rsidRPr="00506B86" w:rsidRDefault="00B46B37" w:rsidP="00B46B37">
            <w:pPr>
              <w:keepNext/>
              <w:spacing w:after="0"/>
              <w:jc w:val="right"/>
              <w:rPr>
                <w:rFonts w:ascii="Calibri" w:eastAsia="Times New Roman" w:hAnsi="Calibri" w:cs="Calibri"/>
                <w:color w:val="000000"/>
                <w:sz w:val="20"/>
                <w:szCs w:val="20"/>
              </w:rPr>
            </w:pPr>
          </w:p>
        </w:tc>
        <w:tc>
          <w:tcPr>
            <w:tcW w:w="1620" w:type="dxa"/>
            <w:vMerge/>
            <w:shd w:val="clear" w:color="auto" w:fill="auto"/>
            <w:noWrap/>
            <w:vAlign w:val="center"/>
            <w:hideMark/>
          </w:tcPr>
          <w:p w14:paraId="76D5E233" w14:textId="77E5A4EA" w:rsidR="00B46B37" w:rsidRPr="00506B86" w:rsidRDefault="00B46B37" w:rsidP="00B46B37">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0653A615"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Difference</w:t>
            </w:r>
          </w:p>
        </w:tc>
        <w:tc>
          <w:tcPr>
            <w:tcW w:w="1228" w:type="dxa"/>
            <w:shd w:val="clear" w:color="auto" w:fill="auto"/>
            <w:noWrap/>
            <w:vAlign w:val="center"/>
            <w:hideMark/>
          </w:tcPr>
          <w:p w14:paraId="5217284D" w14:textId="28B687AE"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5D720669" w14:textId="2FB54F68"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7A6CCE52" w14:textId="6D5F0DEA"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B46B37" w:rsidRPr="00506B86" w14:paraId="65876EDC" w14:textId="77777777" w:rsidTr="00EB45CD">
        <w:trPr>
          <w:trHeight w:val="300"/>
        </w:trPr>
        <w:tc>
          <w:tcPr>
            <w:tcW w:w="1620" w:type="dxa"/>
            <w:vMerge/>
          </w:tcPr>
          <w:p w14:paraId="37EB3C69" w14:textId="77777777" w:rsidR="00B46B37" w:rsidRPr="00506B86" w:rsidRDefault="00B46B37" w:rsidP="00B46B37">
            <w:pPr>
              <w:keepNext/>
              <w:spacing w:after="0"/>
              <w:rPr>
                <w:rFonts w:ascii="Calibri" w:eastAsia="Times New Roman" w:hAnsi="Calibri" w:cs="Calibri"/>
                <w:color w:val="000000"/>
                <w:sz w:val="20"/>
                <w:szCs w:val="20"/>
              </w:rPr>
            </w:pPr>
          </w:p>
        </w:tc>
        <w:tc>
          <w:tcPr>
            <w:tcW w:w="1620" w:type="dxa"/>
            <w:vMerge w:val="restart"/>
            <w:shd w:val="clear" w:color="auto" w:fill="auto"/>
            <w:noWrap/>
            <w:vAlign w:val="center"/>
            <w:hideMark/>
          </w:tcPr>
          <w:p w14:paraId="63C67299" w14:textId="2384C7A1"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420 mg in 3.5 mL</w:t>
            </w:r>
          </w:p>
        </w:tc>
        <w:tc>
          <w:tcPr>
            <w:tcW w:w="2005" w:type="dxa"/>
            <w:shd w:val="clear" w:color="auto" w:fill="auto"/>
            <w:noWrap/>
            <w:vAlign w:val="bottom"/>
            <w:hideMark/>
          </w:tcPr>
          <w:p w14:paraId="4F275250"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Predicted</w:t>
            </w:r>
          </w:p>
        </w:tc>
        <w:tc>
          <w:tcPr>
            <w:tcW w:w="1228" w:type="dxa"/>
            <w:shd w:val="clear" w:color="auto" w:fill="auto"/>
            <w:noWrap/>
            <w:vAlign w:val="center"/>
            <w:hideMark/>
          </w:tcPr>
          <w:p w14:paraId="328DB522" w14:textId="2B80B31F"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016AACAD" w14:textId="3FA225D6"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746F1BB9" w14:textId="6CEAE6CE"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EB45CD" w:rsidRPr="00506B86" w14:paraId="5A5200E2" w14:textId="77777777" w:rsidTr="00EB45CD">
        <w:trPr>
          <w:trHeight w:val="300"/>
        </w:trPr>
        <w:tc>
          <w:tcPr>
            <w:tcW w:w="1620" w:type="dxa"/>
            <w:vMerge/>
          </w:tcPr>
          <w:p w14:paraId="0AADC6D7" w14:textId="77777777" w:rsidR="00EB45CD" w:rsidRPr="00506B86" w:rsidRDefault="00EB45CD" w:rsidP="00055E09">
            <w:pPr>
              <w:keepNext/>
              <w:spacing w:after="0"/>
              <w:rPr>
                <w:rFonts w:ascii="Calibri" w:eastAsia="Times New Roman" w:hAnsi="Calibri" w:cs="Calibri"/>
                <w:color w:val="000000"/>
                <w:sz w:val="20"/>
                <w:szCs w:val="20"/>
              </w:rPr>
            </w:pPr>
          </w:p>
        </w:tc>
        <w:tc>
          <w:tcPr>
            <w:tcW w:w="1620" w:type="dxa"/>
            <w:vMerge/>
            <w:shd w:val="clear" w:color="auto" w:fill="auto"/>
            <w:noWrap/>
            <w:vAlign w:val="center"/>
            <w:hideMark/>
          </w:tcPr>
          <w:p w14:paraId="17B4CD75" w14:textId="56796894" w:rsidR="00EB45CD" w:rsidRPr="00506B86" w:rsidRDefault="00EB45CD" w:rsidP="00055E09">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0E3ACBB0"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Actual prescriptions</w:t>
            </w:r>
          </w:p>
        </w:tc>
        <w:tc>
          <w:tcPr>
            <w:tcW w:w="1228" w:type="dxa"/>
            <w:shd w:val="clear" w:color="auto" w:fill="auto"/>
            <w:noWrap/>
            <w:vAlign w:val="center"/>
            <w:hideMark/>
          </w:tcPr>
          <w:p w14:paraId="00A4CBAD" w14:textId="77777777"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274</w:t>
            </w:r>
          </w:p>
        </w:tc>
        <w:tc>
          <w:tcPr>
            <w:tcW w:w="1229" w:type="dxa"/>
            <w:shd w:val="clear" w:color="auto" w:fill="auto"/>
            <w:noWrap/>
            <w:vAlign w:val="center"/>
            <w:hideMark/>
          </w:tcPr>
          <w:p w14:paraId="4D2649D2" w14:textId="77777777"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880</w:t>
            </w:r>
          </w:p>
        </w:tc>
        <w:tc>
          <w:tcPr>
            <w:tcW w:w="1229" w:type="dxa"/>
            <w:shd w:val="clear" w:color="auto" w:fill="auto"/>
            <w:noWrap/>
            <w:vAlign w:val="center"/>
            <w:hideMark/>
          </w:tcPr>
          <w:p w14:paraId="50EAC9F1" w14:textId="53E745C0"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w:t>
            </w:r>
            <w:r w:rsidR="004D1DE6" w:rsidRPr="00506B86">
              <w:rPr>
                <w:rFonts w:ascii="Calibri" w:eastAsia="Times New Roman" w:hAnsi="Calibri" w:cs="Calibri"/>
                <w:color w:val="000000"/>
                <w:sz w:val="20"/>
                <w:szCs w:val="20"/>
              </w:rPr>
              <w:t>,</w:t>
            </w:r>
            <w:r w:rsidR="0079038C" w:rsidRPr="00506B86">
              <w:rPr>
                <w:rFonts w:ascii="Calibri" w:eastAsia="Times New Roman" w:hAnsi="Calibri" w:cs="Calibri"/>
                <w:color w:val="000000"/>
                <w:sz w:val="20"/>
                <w:szCs w:val="20"/>
              </w:rPr>
              <w:t>268</w:t>
            </w:r>
          </w:p>
        </w:tc>
      </w:tr>
      <w:tr w:rsidR="00B46B37" w:rsidRPr="00506B86" w14:paraId="43B6F747" w14:textId="77777777" w:rsidTr="00EB45CD">
        <w:trPr>
          <w:trHeight w:val="300"/>
        </w:trPr>
        <w:tc>
          <w:tcPr>
            <w:tcW w:w="1620" w:type="dxa"/>
            <w:vMerge/>
          </w:tcPr>
          <w:p w14:paraId="1008975E" w14:textId="77777777" w:rsidR="00B46B37" w:rsidRPr="00506B86" w:rsidRDefault="00B46B37" w:rsidP="00B46B37">
            <w:pPr>
              <w:keepNext/>
              <w:spacing w:after="0"/>
              <w:jc w:val="right"/>
              <w:rPr>
                <w:rFonts w:ascii="Calibri" w:eastAsia="Times New Roman" w:hAnsi="Calibri" w:cs="Calibri"/>
                <w:color w:val="000000"/>
                <w:sz w:val="20"/>
                <w:szCs w:val="20"/>
              </w:rPr>
            </w:pPr>
          </w:p>
        </w:tc>
        <w:tc>
          <w:tcPr>
            <w:tcW w:w="1620" w:type="dxa"/>
            <w:vMerge/>
            <w:shd w:val="clear" w:color="auto" w:fill="auto"/>
            <w:noWrap/>
            <w:vAlign w:val="center"/>
            <w:hideMark/>
          </w:tcPr>
          <w:p w14:paraId="16F8D23E" w14:textId="47B1EE1D" w:rsidR="00B46B37" w:rsidRPr="00506B86" w:rsidRDefault="00B46B37" w:rsidP="00B46B37">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62A65CD4"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Difference</w:t>
            </w:r>
          </w:p>
        </w:tc>
        <w:tc>
          <w:tcPr>
            <w:tcW w:w="1228" w:type="dxa"/>
            <w:shd w:val="clear" w:color="auto" w:fill="auto"/>
            <w:noWrap/>
            <w:vAlign w:val="center"/>
            <w:hideMark/>
          </w:tcPr>
          <w:p w14:paraId="234415B9" w14:textId="47A0CB20"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0602127B" w14:textId="785D4CCD"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188BBBF9" w14:textId="0F532FFA"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B46B37" w:rsidRPr="00506B86" w14:paraId="1C965DB6" w14:textId="77777777" w:rsidTr="00EB45CD">
        <w:trPr>
          <w:trHeight w:val="300"/>
        </w:trPr>
        <w:tc>
          <w:tcPr>
            <w:tcW w:w="1620" w:type="dxa"/>
            <w:vMerge/>
          </w:tcPr>
          <w:p w14:paraId="081FBB12" w14:textId="77777777" w:rsidR="00B46B37" w:rsidRPr="00506B86" w:rsidRDefault="00B46B37" w:rsidP="00B46B37">
            <w:pPr>
              <w:keepNext/>
              <w:spacing w:after="0"/>
              <w:rPr>
                <w:rFonts w:ascii="Times New Roman" w:eastAsia="Times New Roman" w:hAnsi="Times New Roman" w:cs="Times New Roman"/>
                <w:sz w:val="20"/>
                <w:szCs w:val="20"/>
              </w:rPr>
            </w:pPr>
          </w:p>
        </w:tc>
        <w:tc>
          <w:tcPr>
            <w:tcW w:w="1620" w:type="dxa"/>
            <w:vMerge/>
            <w:shd w:val="clear" w:color="auto" w:fill="auto"/>
            <w:noWrap/>
            <w:vAlign w:val="center"/>
            <w:hideMark/>
          </w:tcPr>
          <w:p w14:paraId="238FA9F5" w14:textId="34A3B9E8" w:rsidR="00B46B37" w:rsidRPr="00506B86" w:rsidRDefault="00B46B37" w:rsidP="00B46B37">
            <w:pPr>
              <w:keepNext/>
              <w:spacing w:after="0"/>
              <w:rPr>
                <w:rFonts w:ascii="Times New Roman" w:eastAsia="Times New Roman" w:hAnsi="Times New Roman" w:cs="Times New Roman"/>
                <w:sz w:val="20"/>
                <w:szCs w:val="20"/>
              </w:rPr>
            </w:pPr>
          </w:p>
        </w:tc>
        <w:tc>
          <w:tcPr>
            <w:tcW w:w="2005" w:type="dxa"/>
            <w:shd w:val="clear" w:color="auto" w:fill="auto"/>
            <w:noWrap/>
            <w:vAlign w:val="bottom"/>
            <w:hideMark/>
          </w:tcPr>
          <w:p w14:paraId="5977F3BE"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Predicted</w:t>
            </w:r>
          </w:p>
        </w:tc>
        <w:tc>
          <w:tcPr>
            <w:tcW w:w="1228" w:type="dxa"/>
            <w:shd w:val="clear" w:color="auto" w:fill="auto"/>
            <w:noWrap/>
            <w:vAlign w:val="center"/>
            <w:hideMark/>
          </w:tcPr>
          <w:p w14:paraId="69CEB4C2" w14:textId="22AE9860"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39F97688" w14:textId="06093BC3"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32450325" w14:textId="46A57307"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EB45CD" w:rsidRPr="00506B86" w14:paraId="03D56C43" w14:textId="77777777" w:rsidTr="00EB45CD">
        <w:trPr>
          <w:trHeight w:val="300"/>
        </w:trPr>
        <w:tc>
          <w:tcPr>
            <w:tcW w:w="1620" w:type="dxa"/>
            <w:vMerge/>
          </w:tcPr>
          <w:p w14:paraId="0E856C50" w14:textId="77777777" w:rsidR="00EB45CD" w:rsidRPr="00506B86" w:rsidRDefault="00EB45CD" w:rsidP="00055E09">
            <w:pPr>
              <w:keepNext/>
              <w:spacing w:after="0"/>
              <w:rPr>
                <w:rFonts w:ascii="Calibri" w:eastAsia="Times New Roman" w:hAnsi="Calibri" w:cs="Calibri"/>
                <w:color w:val="000000"/>
                <w:sz w:val="20"/>
                <w:szCs w:val="20"/>
              </w:rPr>
            </w:pPr>
          </w:p>
        </w:tc>
        <w:tc>
          <w:tcPr>
            <w:tcW w:w="1620" w:type="dxa"/>
            <w:vMerge/>
            <w:shd w:val="clear" w:color="auto" w:fill="auto"/>
            <w:noWrap/>
            <w:vAlign w:val="center"/>
            <w:hideMark/>
          </w:tcPr>
          <w:p w14:paraId="4F95DC98" w14:textId="44586772" w:rsidR="00EB45CD" w:rsidRPr="00506B86" w:rsidRDefault="00EB45CD" w:rsidP="00055E09">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433C8604"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Actual quantity</w:t>
            </w:r>
          </w:p>
        </w:tc>
        <w:tc>
          <w:tcPr>
            <w:tcW w:w="1228" w:type="dxa"/>
            <w:shd w:val="clear" w:color="auto" w:fill="auto"/>
            <w:noWrap/>
            <w:vAlign w:val="center"/>
            <w:hideMark/>
          </w:tcPr>
          <w:p w14:paraId="03EE1648" w14:textId="77777777"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314</w:t>
            </w:r>
          </w:p>
        </w:tc>
        <w:tc>
          <w:tcPr>
            <w:tcW w:w="1229" w:type="dxa"/>
            <w:shd w:val="clear" w:color="auto" w:fill="auto"/>
            <w:noWrap/>
            <w:vAlign w:val="center"/>
            <w:hideMark/>
          </w:tcPr>
          <w:p w14:paraId="5FD97EED" w14:textId="77777777"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952</w:t>
            </w:r>
          </w:p>
        </w:tc>
        <w:tc>
          <w:tcPr>
            <w:tcW w:w="1229" w:type="dxa"/>
            <w:shd w:val="clear" w:color="auto" w:fill="auto"/>
            <w:noWrap/>
            <w:vAlign w:val="center"/>
            <w:hideMark/>
          </w:tcPr>
          <w:p w14:paraId="35E741D6" w14:textId="5DED601A"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w:t>
            </w:r>
            <w:r w:rsidR="0079038C" w:rsidRPr="00506B86">
              <w:rPr>
                <w:rFonts w:ascii="Calibri" w:eastAsia="Times New Roman" w:hAnsi="Calibri" w:cs="Calibri"/>
                <w:color w:val="000000"/>
                <w:sz w:val="20"/>
                <w:szCs w:val="20"/>
              </w:rPr>
              <w:t>360</w:t>
            </w:r>
          </w:p>
        </w:tc>
      </w:tr>
      <w:tr w:rsidR="00B46B37" w:rsidRPr="00506B86" w14:paraId="5BFB6810" w14:textId="77777777" w:rsidTr="00EB45CD">
        <w:trPr>
          <w:trHeight w:val="300"/>
        </w:trPr>
        <w:tc>
          <w:tcPr>
            <w:tcW w:w="1620" w:type="dxa"/>
            <w:vMerge/>
          </w:tcPr>
          <w:p w14:paraId="1BF31690" w14:textId="77777777" w:rsidR="00B46B37" w:rsidRPr="00506B86" w:rsidRDefault="00B46B37" w:rsidP="00B46B37">
            <w:pPr>
              <w:keepNext/>
              <w:spacing w:after="0"/>
              <w:jc w:val="right"/>
              <w:rPr>
                <w:rFonts w:ascii="Calibri" w:eastAsia="Times New Roman" w:hAnsi="Calibri" w:cs="Calibri"/>
                <w:color w:val="000000"/>
                <w:sz w:val="20"/>
                <w:szCs w:val="20"/>
              </w:rPr>
            </w:pPr>
          </w:p>
        </w:tc>
        <w:tc>
          <w:tcPr>
            <w:tcW w:w="1620" w:type="dxa"/>
            <w:vMerge/>
            <w:shd w:val="clear" w:color="auto" w:fill="auto"/>
            <w:noWrap/>
            <w:vAlign w:val="center"/>
            <w:hideMark/>
          </w:tcPr>
          <w:p w14:paraId="2DA6FEB0" w14:textId="2F99021E" w:rsidR="00B46B37" w:rsidRPr="00506B86" w:rsidRDefault="00B46B37" w:rsidP="00B46B37">
            <w:pPr>
              <w:keepNext/>
              <w:spacing w:after="0"/>
              <w:rPr>
                <w:rFonts w:ascii="Calibri" w:eastAsia="Times New Roman" w:hAnsi="Calibri" w:cs="Calibri"/>
                <w:color w:val="000000"/>
                <w:sz w:val="20"/>
                <w:szCs w:val="20"/>
              </w:rPr>
            </w:pPr>
          </w:p>
        </w:tc>
        <w:tc>
          <w:tcPr>
            <w:tcW w:w="2005" w:type="dxa"/>
            <w:shd w:val="clear" w:color="auto" w:fill="auto"/>
            <w:noWrap/>
            <w:vAlign w:val="bottom"/>
            <w:hideMark/>
          </w:tcPr>
          <w:p w14:paraId="7A857030"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Difference</w:t>
            </w:r>
          </w:p>
        </w:tc>
        <w:tc>
          <w:tcPr>
            <w:tcW w:w="1228" w:type="dxa"/>
            <w:shd w:val="clear" w:color="auto" w:fill="auto"/>
            <w:noWrap/>
            <w:vAlign w:val="center"/>
            <w:hideMark/>
          </w:tcPr>
          <w:p w14:paraId="6C2DE1DD" w14:textId="7278D3E6"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373EC203" w14:textId="0541720F"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7DA5C820" w14:textId="288F50D4"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B46B37" w:rsidRPr="00506B86" w14:paraId="2D805BE8" w14:textId="77777777" w:rsidTr="00EB45CD">
        <w:trPr>
          <w:trHeight w:val="300"/>
        </w:trPr>
        <w:tc>
          <w:tcPr>
            <w:tcW w:w="1620" w:type="dxa"/>
            <w:vMerge/>
          </w:tcPr>
          <w:p w14:paraId="608DE4B1" w14:textId="77777777" w:rsidR="00B46B37" w:rsidRPr="00506B86" w:rsidRDefault="00B46B37" w:rsidP="00B46B37">
            <w:pPr>
              <w:keepNext/>
              <w:spacing w:after="0"/>
              <w:rPr>
                <w:rFonts w:ascii="Calibri" w:eastAsia="Times New Roman" w:hAnsi="Calibri" w:cs="Calibri"/>
                <w:color w:val="000000"/>
                <w:sz w:val="20"/>
                <w:szCs w:val="20"/>
              </w:rPr>
            </w:pPr>
          </w:p>
        </w:tc>
        <w:tc>
          <w:tcPr>
            <w:tcW w:w="1620" w:type="dxa"/>
            <w:vMerge w:val="restart"/>
            <w:shd w:val="clear" w:color="auto" w:fill="auto"/>
            <w:noWrap/>
            <w:vAlign w:val="center"/>
            <w:hideMark/>
          </w:tcPr>
          <w:p w14:paraId="49DB8D2E" w14:textId="57B547BC"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Total services</w:t>
            </w:r>
          </w:p>
        </w:tc>
        <w:tc>
          <w:tcPr>
            <w:tcW w:w="2005" w:type="dxa"/>
            <w:shd w:val="clear" w:color="auto" w:fill="auto"/>
            <w:noWrap/>
            <w:vAlign w:val="bottom"/>
            <w:hideMark/>
          </w:tcPr>
          <w:p w14:paraId="06C3E858"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Predicted</w:t>
            </w:r>
          </w:p>
        </w:tc>
        <w:tc>
          <w:tcPr>
            <w:tcW w:w="1228" w:type="dxa"/>
            <w:shd w:val="clear" w:color="auto" w:fill="auto"/>
            <w:noWrap/>
            <w:vAlign w:val="center"/>
            <w:hideMark/>
          </w:tcPr>
          <w:p w14:paraId="24B52826" w14:textId="088C408F"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54D20BC6" w14:textId="095FBD6B"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191AA032" w14:textId="47D8E57A"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EB45CD" w:rsidRPr="00506B86" w14:paraId="46458050" w14:textId="77777777" w:rsidTr="00EB45CD">
        <w:trPr>
          <w:trHeight w:val="300"/>
        </w:trPr>
        <w:tc>
          <w:tcPr>
            <w:tcW w:w="1620" w:type="dxa"/>
            <w:vMerge/>
          </w:tcPr>
          <w:p w14:paraId="7E7B8DD0" w14:textId="77777777" w:rsidR="00EB45CD" w:rsidRPr="00506B86" w:rsidRDefault="00EB45CD" w:rsidP="00055E09">
            <w:pPr>
              <w:keepNext/>
              <w:spacing w:after="0"/>
              <w:jc w:val="right"/>
              <w:rPr>
                <w:rFonts w:ascii="Calibri" w:eastAsia="Times New Roman" w:hAnsi="Calibri" w:cs="Calibri"/>
                <w:color w:val="000000"/>
                <w:sz w:val="20"/>
                <w:szCs w:val="20"/>
              </w:rPr>
            </w:pPr>
          </w:p>
        </w:tc>
        <w:tc>
          <w:tcPr>
            <w:tcW w:w="1620" w:type="dxa"/>
            <w:vMerge/>
            <w:shd w:val="clear" w:color="auto" w:fill="auto"/>
            <w:noWrap/>
            <w:vAlign w:val="bottom"/>
            <w:hideMark/>
          </w:tcPr>
          <w:p w14:paraId="3052A089" w14:textId="3E8B3BA2" w:rsidR="00EB45CD" w:rsidRPr="00506B86" w:rsidRDefault="00EB45CD" w:rsidP="00055E09">
            <w:pPr>
              <w:keepNext/>
              <w:spacing w:after="0"/>
              <w:jc w:val="right"/>
              <w:rPr>
                <w:rFonts w:ascii="Calibri" w:eastAsia="Times New Roman" w:hAnsi="Calibri" w:cs="Calibri"/>
                <w:color w:val="000000"/>
                <w:sz w:val="20"/>
                <w:szCs w:val="20"/>
              </w:rPr>
            </w:pPr>
          </w:p>
        </w:tc>
        <w:tc>
          <w:tcPr>
            <w:tcW w:w="2005" w:type="dxa"/>
            <w:shd w:val="clear" w:color="auto" w:fill="auto"/>
            <w:noWrap/>
            <w:vAlign w:val="bottom"/>
            <w:hideMark/>
          </w:tcPr>
          <w:p w14:paraId="6CE565A8"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Actual prescriptions</w:t>
            </w:r>
          </w:p>
        </w:tc>
        <w:tc>
          <w:tcPr>
            <w:tcW w:w="1228" w:type="dxa"/>
            <w:shd w:val="clear" w:color="auto" w:fill="auto"/>
            <w:noWrap/>
            <w:vAlign w:val="center"/>
            <w:hideMark/>
          </w:tcPr>
          <w:p w14:paraId="3779DF95" w14:textId="56EC62C8"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7,182</w:t>
            </w:r>
          </w:p>
        </w:tc>
        <w:tc>
          <w:tcPr>
            <w:tcW w:w="1229" w:type="dxa"/>
            <w:shd w:val="clear" w:color="auto" w:fill="auto"/>
            <w:noWrap/>
            <w:vAlign w:val="center"/>
            <w:hideMark/>
          </w:tcPr>
          <w:p w14:paraId="59833337" w14:textId="78C62EDB"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12,417</w:t>
            </w:r>
          </w:p>
        </w:tc>
        <w:tc>
          <w:tcPr>
            <w:tcW w:w="1229" w:type="dxa"/>
            <w:shd w:val="clear" w:color="auto" w:fill="auto"/>
            <w:noWrap/>
            <w:vAlign w:val="center"/>
            <w:hideMark/>
          </w:tcPr>
          <w:p w14:paraId="1950A7E3" w14:textId="377E1CB6"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19,</w:t>
            </w:r>
            <w:r w:rsidR="0079038C" w:rsidRPr="00506B86">
              <w:rPr>
                <w:rFonts w:ascii="Calibri" w:eastAsia="Times New Roman" w:hAnsi="Calibri" w:cs="Calibri"/>
                <w:color w:val="000000"/>
                <w:sz w:val="20"/>
                <w:szCs w:val="20"/>
              </w:rPr>
              <w:t>449</w:t>
            </w:r>
          </w:p>
        </w:tc>
      </w:tr>
      <w:tr w:rsidR="00B46B37" w:rsidRPr="00506B86" w14:paraId="57450E9B" w14:textId="77777777" w:rsidTr="00EB45CD">
        <w:trPr>
          <w:trHeight w:val="300"/>
        </w:trPr>
        <w:tc>
          <w:tcPr>
            <w:tcW w:w="1620" w:type="dxa"/>
            <w:vMerge/>
          </w:tcPr>
          <w:p w14:paraId="431CB4A8" w14:textId="77777777" w:rsidR="00B46B37" w:rsidRPr="00506B86" w:rsidRDefault="00B46B37" w:rsidP="00B46B37">
            <w:pPr>
              <w:keepNext/>
              <w:spacing w:after="0"/>
              <w:jc w:val="right"/>
              <w:rPr>
                <w:rFonts w:ascii="Calibri" w:eastAsia="Times New Roman" w:hAnsi="Calibri" w:cs="Calibri"/>
                <w:color w:val="000000"/>
                <w:sz w:val="20"/>
                <w:szCs w:val="20"/>
              </w:rPr>
            </w:pPr>
          </w:p>
        </w:tc>
        <w:tc>
          <w:tcPr>
            <w:tcW w:w="1620" w:type="dxa"/>
            <w:vMerge/>
            <w:shd w:val="clear" w:color="auto" w:fill="auto"/>
            <w:noWrap/>
            <w:vAlign w:val="bottom"/>
            <w:hideMark/>
          </w:tcPr>
          <w:p w14:paraId="73585686" w14:textId="64FC6E34" w:rsidR="00B46B37" w:rsidRPr="00506B86" w:rsidRDefault="00B46B37" w:rsidP="00B46B37">
            <w:pPr>
              <w:keepNext/>
              <w:spacing w:after="0"/>
              <w:jc w:val="right"/>
              <w:rPr>
                <w:rFonts w:ascii="Calibri" w:eastAsia="Times New Roman" w:hAnsi="Calibri" w:cs="Calibri"/>
                <w:color w:val="000000"/>
                <w:sz w:val="20"/>
                <w:szCs w:val="20"/>
              </w:rPr>
            </w:pPr>
          </w:p>
        </w:tc>
        <w:tc>
          <w:tcPr>
            <w:tcW w:w="2005" w:type="dxa"/>
            <w:shd w:val="clear" w:color="auto" w:fill="auto"/>
            <w:noWrap/>
            <w:vAlign w:val="bottom"/>
            <w:hideMark/>
          </w:tcPr>
          <w:p w14:paraId="1EFC4E3D"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Difference</w:t>
            </w:r>
          </w:p>
        </w:tc>
        <w:tc>
          <w:tcPr>
            <w:tcW w:w="1228" w:type="dxa"/>
            <w:shd w:val="clear" w:color="auto" w:fill="auto"/>
            <w:noWrap/>
            <w:vAlign w:val="center"/>
            <w:hideMark/>
          </w:tcPr>
          <w:p w14:paraId="505241DE" w14:textId="6364C7E0"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7EB5B4F7" w14:textId="4B20F3A8"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1BEC6756" w14:textId="3C6FBB6E"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B46B37" w:rsidRPr="00506B86" w14:paraId="03ACE09B" w14:textId="77777777" w:rsidTr="00EB45CD">
        <w:trPr>
          <w:trHeight w:val="300"/>
        </w:trPr>
        <w:tc>
          <w:tcPr>
            <w:tcW w:w="1620" w:type="dxa"/>
            <w:vMerge/>
          </w:tcPr>
          <w:p w14:paraId="493636DE" w14:textId="77777777" w:rsidR="00B46B37" w:rsidRPr="00506B86" w:rsidRDefault="00B46B37" w:rsidP="00B46B37">
            <w:pPr>
              <w:keepNext/>
              <w:spacing w:after="0"/>
              <w:rPr>
                <w:rFonts w:ascii="Times New Roman" w:eastAsia="Times New Roman" w:hAnsi="Times New Roman" w:cs="Times New Roman"/>
                <w:sz w:val="20"/>
                <w:szCs w:val="20"/>
              </w:rPr>
            </w:pPr>
          </w:p>
        </w:tc>
        <w:tc>
          <w:tcPr>
            <w:tcW w:w="1620" w:type="dxa"/>
            <w:vMerge/>
            <w:shd w:val="clear" w:color="auto" w:fill="auto"/>
            <w:noWrap/>
            <w:vAlign w:val="bottom"/>
            <w:hideMark/>
          </w:tcPr>
          <w:p w14:paraId="10A94847" w14:textId="3F4B5CDC" w:rsidR="00B46B37" w:rsidRPr="00506B86" w:rsidRDefault="00B46B37" w:rsidP="00B46B37">
            <w:pPr>
              <w:keepNext/>
              <w:spacing w:after="0"/>
              <w:rPr>
                <w:rFonts w:ascii="Times New Roman" w:eastAsia="Times New Roman" w:hAnsi="Times New Roman" w:cs="Times New Roman"/>
                <w:sz w:val="20"/>
                <w:szCs w:val="20"/>
              </w:rPr>
            </w:pPr>
          </w:p>
        </w:tc>
        <w:tc>
          <w:tcPr>
            <w:tcW w:w="2005" w:type="dxa"/>
            <w:shd w:val="clear" w:color="auto" w:fill="auto"/>
            <w:noWrap/>
            <w:vAlign w:val="bottom"/>
            <w:hideMark/>
          </w:tcPr>
          <w:p w14:paraId="49467E5F" w14:textId="77777777" w:rsidR="00B46B37" w:rsidRPr="00506B86" w:rsidRDefault="00B46B37" w:rsidP="00B46B37">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Predicted</w:t>
            </w:r>
          </w:p>
        </w:tc>
        <w:tc>
          <w:tcPr>
            <w:tcW w:w="1228" w:type="dxa"/>
            <w:shd w:val="clear" w:color="auto" w:fill="auto"/>
            <w:noWrap/>
            <w:vAlign w:val="center"/>
            <w:hideMark/>
          </w:tcPr>
          <w:p w14:paraId="306ACD4B" w14:textId="03DF610A"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0C52745D" w14:textId="5DA68109"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5246DD84" w14:textId="3E735777" w:rsidR="00B46B37" w:rsidRPr="00506B86" w:rsidRDefault="00B46B37" w:rsidP="00B46B37">
            <w:pPr>
              <w:keepNext/>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r w:rsidR="00EB45CD" w:rsidRPr="00506B86" w14:paraId="62EBD136" w14:textId="77777777" w:rsidTr="00EB45CD">
        <w:trPr>
          <w:trHeight w:val="300"/>
        </w:trPr>
        <w:tc>
          <w:tcPr>
            <w:tcW w:w="1620" w:type="dxa"/>
            <w:vMerge/>
          </w:tcPr>
          <w:p w14:paraId="1F32F40A" w14:textId="77777777" w:rsidR="00EB45CD" w:rsidRPr="00506B86" w:rsidRDefault="00EB45CD" w:rsidP="00055E09">
            <w:pPr>
              <w:keepNext/>
              <w:spacing w:after="0"/>
              <w:jc w:val="right"/>
              <w:rPr>
                <w:rFonts w:ascii="Calibri" w:eastAsia="Times New Roman" w:hAnsi="Calibri" w:cs="Calibri"/>
                <w:color w:val="000000"/>
                <w:sz w:val="20"/>
                <w:szCs w:val="20"/>
              </w:rPr>
            </w:pPr>
          </w:p>
        </w:tc>
        <w:tc>
          <w:tcPr>
            <w:tcW w:w="1620" w:type="dxa"/>
            <w:vMerge/>
            <w:shd w:val="clear" w:color="auto" w:fill="auto"/>
            <w:noWrap/>
            <w:vAlign w:val="bottom"/>
            <w:hideMark/>
          </w:tcPr>
          <w:p w14:paraId="1A315102" w14:textId="3FE3BF69" w:rsidR="00EB45CD" w:rsidRPr="00506B86" w:rsidRDefault="00EB45CD" w:rsidP="00055E09">
            <w:pPr>
              <w:keepNext/>
              <w:spacing w:after="0"/>
              <w:jc w:val="right"/>
              <w:rPr>
                <w:rFonts w:ascii="Calibri" w:eastAsia="Times New Roman" w:hAnsi="Calibri" w:cs="Calibri"/>
                <w:color w:val="000000"/>
                <w:sz w:val="20"/>
                <w:szCs w:val="20"/>
              </w:rPr>
            </w:pPr>
          </w:p>
        </w:tc>
        <w:tc>
          <w:tcPr>
            <w:tcW w:w="2005" w:type="dxa"/>
            <w:shd w:val="clear" w:color="auto" w:fill="auto"/>
            <w:noWrap/>
            <w:vAlign w:val="bottom"/>
            <w:hideMark/>
          </w:tcPr>
          <w:p w14:paraId="70FD8421" w14:textId="77777777" w:rsidR="00EB45CD" w:rsidRPr="00506B86" w:rsidRDefault="00EB45CD" w:rsidP="00055E09">
            <w:pPr>
              <w:keepNext/>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Actual quantity</w:t>
            </w:r>
          </w:p>
        </w:tc>
        <w:tc>
          <w:tcPr>
            <w:tcW w:w="1228" w:type="dxa"/>
            <w:shd w:val="clear" w:color="auto" w:fill="auto"/>
            <w:noWrap/>
            <w:vAlign w:val="center"/>
            <w:hideMark/>
          </w:tcPr>
          <w:p w14:paraId="48C2CDFD" w14:textId="4F98CDBB"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20,859</w:t>
            </w:r>
          </w:p>
        </w:tc>
        <w:tc>
          <w:tcPr>
            <w:tcW w:w="1229" w:type="dxa"/>
            <w:shd w:val="clear" w:color="auto" w:fill="auto"/>
            <w:noWrap/>
            <w:vAlign w:val="center"/>
            <w:hideMark/>
          </w:tcPr>
          <w:p w14:paraId="7465413E" w14:textId="67B248EC"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32,423</w:t>
            </w:r>
          </w:p>
        </w:tc>
        <w:tc>
          <w:tcPr>
            <w:tcW w:w="1229" w:type="dxa"/>
            <w:shd w:val="clear" w:color="auto" w:fill="auto"/>
            <w:noWrap/>
            <w:vAlign w:val="center"/>
            <w:hideMark/>
          </w:tcPr>
          <w:p w14:paraId="6B84DBA9" w14:textId="218DBDC8" w:rsidR="00EB45CD" w:rsidRPr="00506B86" w:rsidRDefault="00EB45CD" w:rsidP="00055E09">
            <w:pPr>
              <w:keepNext/>
              <w:spacing w:after="0"/>
              <w:jc w:val="center"/>
              <w:rPr>
                <w:rFonts w:ascii="Calibri" w:eastAsia="Times New Roman" w:hAnsi="Calibri" w:cs="Calibri"/>
                <w:color w:val="000000"/>
                <w:sz w:val="20"/>
                <w:szCs w:val="20"/>
              </w:rPr>
            </w:pPr>
            <w:r w:rsidRPr="00506B86">
              <w:rPr>
                <w:rFonts w:ascii="Calibri" w:eastAsia="Times New Roman" w:hAnsi="Calibri" w:cs="Calibri"/>
                <w:color w:val="000000"/>
                <w:sz w:val="20"/>
                <w:szCs w:val="20"/>
              </w:rPr>
              <w:t>46,03</w:t>
            </w:r>
            <w:r w:rsidR="0079038C" w:rsidRPr="00506B86">
              <w:rPr>
                <w:rFonts w:ascii="Calibri" w:eastAsia="Times New Roman" w:hAnsi="Calibri" w:cs="Calibri"/>
                <w:color w:val="000000"/>
                <w:sz w:val="20"/>
                <w:szCs w:val="20"/>
              </w:rPr>
              <w:t>5</w:t>
            </w:r>
          </w:p>
        </w:tc>
      </w:tr>
      <w:tr w:rsidR="00B46B37" w:rsidRPr="00506B86" w14:paraId="600D9842" w14:textId="77777777" w:rsidTr="00EB45CD">
        <w:trPr>
          <w:trHeight w:val="300"/>
        </w:trPr>
        <w:tc>
          <w:tcPr>
            <w:tcW w:w="1620" w:type="dxa"/>
            <w:vMerge/>
          </w:tcPr>
          <w:p w14:paraId="3888C9F3" w14:textId="77777777" w:rsidR="00B46B37" w:rsidRPr="00506B86" w:rsidRDefault="00B46B37" w:rsidP="00B46B37">
            <w:pPr>
              <w:spacing w:after="0"/>
              <w:jc w:val="right"/>
              <w:rPr>
                <w:rFonts w:ascii="Calibri" w:eastAsia="Times New Roman" w:hAnsi="Calibri" w:cs="Calibri"/>
                <w:color w:val="000000"/>
                <w:sz w:val="20"/>
                <w:szCs w:val="20"/>
              </w:rPr>
            </w:pPr>
          </w:p>
        </w:tc>
        <w:tc>
          <w:tcPr>
            <w:tcW w:w="1620" w:type="dxa"/>
            <w:vMerge/>
            <w:shd w:val="clear" w:color="auto" w:fill="auto"/>
            <w:noWrap/>
            <w:vAlign w:val="bottom"/>
            <w:hideMark/>
          </w:tcPr>
          <w:p w14:paraId="0BC5F756" w14:textId="00C8F5C2" w:rsidR="00B46B37" w:rsidRPr="00506B86" w:rsidRDefault="00B46B37" w:rsidP="00B46B37">
            <w:pPr>
              <w:spacing w:after="0"/>
              <w:jc w:val="right"/>
              <w:rPr>
                <w:rFonts w:ascii="Calibri" w:eastAsia="Times New Roman" w:hAnsi="Calibri" w:cs="Calibri"/>
                <w:color w:val="000000"/>
                <w:sz w:val="20"/>
                <w:szCs w:val="20"/>
              </w:rPr>
            </w:pPr>
          </w:p>
        </w:tc>
        <w:tc>
          <w:tcPr>
            <w:tcW w:w="2005" w:type="dxa"/>
            <w:shd w:val="clear" w:color="auto" w:fill="auto"/>
            <w:noWrap/>
            <w:vAlign w:val="bottom"/>
            <w:hideMark/>
          </w:tcPr>
          <w:p w14:paraId="44AE553D" w14:textId="77777777" w:rsidR="00B46B37" w:rsidRPr="00506B86" w:rsidRDefault="00B46B37" w:rsidP="00B46B37">
            <w:pPr>
              <w:spacing w:after="0"/>
              <w:rPr>
                <w:rFonts w:ascii="Calibri" w:eastAsia="Times New Roman" w:hAnsi="Calibri" w:cs="Calibri"/>
                <w:color w:val="000000"/>
                <w:sz w:val="20"/>
                <w:szCs w:val="20"/>
              </w:rPr>
            </w:pPr>
            <w:r w:rsidRPr="00506B86">
              <w:rPr>
                <w:rFonts w:ascii="Calibri" w:eastAsia="Times New Roman" w:hAnsi="Calibri" w:cs="Calibri"/>
                <w:color w:val="000000"/>
                <w:sz w:val="20"/>
                <w:szCs w:val="20"/>
              </w:rPr>
              <w:t>% Difference</w:t>
            </w:r>
          </w:p>
        </w:tc>
        <w:tc>
          <w:tcPr>
            <w:tcW w:w="1228" w:type="dxa"/>
            <w:shd w:val="clear" w:color="auto" w:fill="auto"/>
            <w:noWrap/>
            <w:vAlign w:val="center"/>
            <w:hideMark/>
          </w:tcPr>
          <w:p w14:paraId="6F08EB6F" w14:textId="03BDF99A" w:rsidR="00B46B37" w:rsidRPr="00506B86" w:rsidRDefault="00B46B37" w:rsidP="00B46B37">
            <w:pPr>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443CFF34" w14:textId="3DE61571" w:rsidR="00B46B37" w:rsidRPr="00506B86" w:rsidRDefault="00B46B37" w:rsidP="00B46B37">
            <w:pPr>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c>
          <w:tcPr>
            <w:tcW w:w="1229" w:type="dxa"/>
            <w:shd w:val="clear" w:color="auto" w:fill="auto"/>
            <w:noWrap/>
            <w:vAlign w:val="center"/>
            <w:hideMark/>
          </w:tcPr>
          <w:p w14:paraId="73174DB9" w14:textId="034B1C55" w:rsidR="00B46B37" w:rsidRPr="00506B86" w:rsidRDefault="00B46B37" w:rsidP="00B46B37">
            <w:pPr>
              <w:spacing w:after="0"/>
              <w:jc w:val="center"/>
              <w:rPr>
                <w:rFonts w:ascii="Calibri" w:eastAsia="Times New Roman" w:hAnsi="Calibri" w:cs="Calibri"/>
                <w:color w:val="000000"/>
                <w:sz w:val="20"/>
                <w:szCs w:val="20"/>
              </w:rPr>
            </w:pPr>
            <w:r w:rsidRPr="00B46B37">
              <w:rPr>
                <w:rFonts w:ascii="Calibri" w:eastAsia="Times New Roman" w:hAnsi="Calibri" w:cs="Calibri"/>
                <w:color w:val="000000"/>
                <w:sz w:val="20"/>
                <w:szCs w:val="20"/>
                <w:highlight w:val="black"/>
              </w:rPr>
              <w:t>xxxxx</w:t>
            </w:r>
          </w:p>
        </w:tc>
      </w:tr>
    </w:tbl>
    <w:p w14:paraId="3858FD9C" w14:textId="3C33FD39" w:rsidR="00EB45CD" w:rsidRDefault="00EB45CD" w:rsidP="009C19EE">
      <w:pPr>
        <w:rPr>
          <w:highlight w:val="yellow"/>
        </w:rPr>
      </w:pPr>
    </w:p>
    <w:p w14:paraId="0E002392" w14:textId="77777777" w:rsidR="007458D6" w:rsidRDefault="007458D6">
      <w:pPr>
        <w:spacing w:line="276" w:lineRule="auto"/>
        <w:rPr>
          <w:rFonts w:eastAsiaTheme="majorEastAsia" w:cstheme="majorBidi"/>
          <w:b/>
          <w:bCs/>
          <w:sz w:val="32"/>
          <w:szCs w:val="32"/>
        </w:rPr>
      </w:pPr>
      <w:r>
        <w:br w:type="page"/>
      </w:r>
    </w:p>
    <w:p w14:paraId="3555DFBA" w14:textId="38D63D72" w:rsidR="00591512" w:rsidRDefault="00AB3733" w:rsidP="00F73113">
      <w:pPr>
        <w:pStyle w:val="Heading1"/>
      </w:pPr>
      <w:r>
        <w:lastRenderedPageBreak/>
        <w:t>D</w:t>
      </w:r>
      <w:r w:rsidR="007346C7" w:rsidRPr="005E22C2">
        <w:t>iscussion</w:t>
      </w:r>
    </w:p>
    <w:p w14:paraId="0B4FE87B" w14:textId="76741BC3" w:rsidR="00F34DF6" w:rsidRDefault="00F34DF6" w:rsidP="00F34DF6">
      <w:r>
        <w:t xml:space="preserve">The previous evolocumab report in October 2019 noted that the </w:t>
      </w:r>
      <w:r w:rsidRPr="00F777E5">
        <w:t>number of patients treated with evolocumab in the first two years of listing was higher than expected</w:t>
      </w:r>
      <w:r>
        <w:t xml:space="preserve">. As noted in the ‘Previous reviews by the DUSC’ section, due to the PBS restriction of this listing, heterozygous patients could have been eligible for </w:t>
      </w:r>
      <w:r w:rsidR="00B76961">
        <w:t xml:space="preserve">PBS </w:t>
      </w:r>
      <w:r>
        <w:t xml:space="preserve">treatment under the homozygous listing. The listing of heterozygous </w:t>
      </w:r>
      <w:r w:rsidR="00B76961" w:rsidRPr="001E6391">
        <w:t>hypercholesterolaemia</w:t>
      </w:r>
      <w:r w:rsidR="00B76961">
        <w:t xml:space="preserve"> </w:t>
      </w:r>
      <w:r>
        <w:t>does not appear to have increased the number of initiating or treated patients. However, the listings of non-familial may have (reasonably) increased the number of initiating and treated patients.</w:t>
      </w:r>
    </w:p>
    <w:p w14:paraId="212588C9" w14:textId="42582B31" w:rsidR="0069520E" w:rsidRDefault="0069520E" w:rsidP="0069520E">
      <w:r>
        <w:t>Although the previous report noted that the use of evolocumab for HoFH was underestimated, the current predicted versus actual review shows that the number of HeFH patients was overestimated.</w:t>
      </w:r>
    </w:p>
    <w:p w14:paraId="4FC069B3" w14:textId="77777777" w:rsidR="0069520E" w:rsidRDefault="0069520E" w:rsidP="0069520E">
      <w:r>
        <w:t>The analysis of c</w:t>
      </w:r>
      <w:r w:rsidRPr="00532B59">
        <w:t xml:space="preserve">onsistency of utilisation by indication </w:t>
      </w:r>
      <w:r>
        <w:t>shows that of the 4,483 patients treated with evolocumab since its first listing, 79% have only been treated under only one indication. As streamlined listings and item codes with multiple associated indications were PBS listed in May 2020, this percentage may decrease in the future.</w:t>
      </w:r>
    </w:p>
    <w:p w14:paraId="3414DA6E" w14:textId="278C0E9C" w:rsidR="00752FC6" w:rsidRDefault="0069520E" w:rsidP="0069520E">
      <w:r>
        <w:t xml:space="preserve">The cohort of patients who initiated in 2019 were supplied a mean number of prescriptions of 10.1, with a median of 11. This includes patients who are treated monthly and fortnightly. The most common dose dispensed in 2020 was 420 mg, </w:t>
      </w:r>
      <w:r w:rsidR="00752FC6">
        <w:t xml:space="preserve">and it appears there is a strong preference among either patients or prescribers for multiple 140 mg pen devices, rather than one </w:t>
      </w:r>
      <w:r w:rsidR="00752FC6" w:rsidRPr="00F34DF6">
        <w:t xml:space="preserve">automated mini-doser with </w:t>
      </w:r>
      <w:r w:rsidR="00752FC6">
        <w:t>3.5 mL pre-filled cartridge.</w:t>
      </w:r>
    </w:p>
    <w:p w14:paraId="37A53583" w14:textId="1067C114" w:rsidR="00F777E5" w:rsidRDefault="00752FC6" w:rsidP="00F777E5">
      <w:r>
        <w:t>The most common resupply time for 280 mg doses and 420 mg doses was 28 days. However, although</w:t>
      </w:r>
      <w:r w:rsidR="0069520E">
        <w:t xml:space="preserve"> a majority of patients </w:t>
      </w:r>
      <w:r>
        <w:t>were</w:t>
      </w:r>
      <w:r w:rsidR="0069520E">
        <w:t xml:space="preserve"> </w:t>
      </w:r>
      <w:r>
        <w:t>supplied evolocumab</w:t>
      </w:r>
      <w:r w:rsidR="0069520E">
        <w:t xml:space="preserve"> once a month</w:t>
      </w:r>
      <w:r>
        <w:t>, there were also peaks in resupply times of 420 mg at five and six weeks</w:t>
      </w:r>
      <w:r w:rsidR="0069520E">
        <w:t xml:space="preserve">. </w:t>
      </w:r>
    </w:p>
    <w:p w14:paraId="2ECBFE48" w14:textId="52027A7E" w:rsidR="001310AE" w:rsidRPr="006A0864" w:rsidRDefault="00C050B6" w:rsidP="00F73113">
      <w:pPr>
        <w:pStyle w:val="Heading1"/>
      </w:pPr>
      <w:r w:rsidRPr="006A0864">
        <w:t xml:space="preserve">Actions undertaken by the </w:t>
      </w:r>
      <w:r w:rsidR="00801E74" w:rsidRPr="006A0864">
        <w:t xml:space="preserve">DUSC </w:t>
      </w:r>
      <w:r w:rsidRPr="006A0864">
        <w:t>Secretariat</w:t>
      </w:r>
    </w:p>
    <w:p w14:paraId="44220B37" w14:textId="19545FD7" w:rsidR="006A0864" w:rsidRPr="006A0864" w:rsidRDefault="006A0864" w:rsidP="006A0864">
      <w:pPr>
        <w:rPr>
          <w:highlight w:val="cyan"/>
        </w:rPr>
      </w:pPr>
      <w:r w:rsidRPr="006A0864">
        <w:t xml:space="preserve">A copy of the report was sent to the </w:t>
      </w:r>
      <w:r>
        <w:t>sponsor of evolocumab</w:t>
      </w:r>
      <w:r w:rsidRPr="006A0864">
        <w:t xml:space="preserve"> and </w:t>
      </w:r>
      <w:r>
        <w:t>relevant consumer</w:t>
      </w:r>
      <w:r w:rsidRPr="006A0864">
        <w:t xml:space="preserve"> group</w:t>
      </w:r>
      <w:r>
        <w:t>s</w:t>
      </w:r>
      <w:r w:rsidRPr="006A0864">
        <w:t>.</w:t>
      </w:r>
    </w:p>
    <w:p w14:paraId="601B0DD4" w14:textId="77777777" w:rsidR="00DB78D7" w:rsidRDefault="00DB78D7" w:rsidP="00DB78D7">
      <w:pPr>
        <w:pStyle w:val="Heading1"/>
      </w:pPr>
      <w:r>
        <w:t>DUSC consideration</w:t>
      </w:r>
    </w:p>
    <w:p w14:paraId="172B2F9B" w14:textId="77777777" w:rsidR="004E5715" w:rsidRPr="00604DFD" w:rsidRDefault="004E5715" w:rsidP="004E5715">
      <w:r>
        <w:t xml:space="preserve">DUSC </w:t>
      </w:r>
      <w:r w:rsidRPr="00604DFD">
        <w:t>noted that the listing of heterozygous hypercholesterolaemia does not appear to have increased the number of initiating or treated patients. DUSC noted the clear increase in the number of supplied prescriptions following the listing of non-familial hypercholesterolaemia on 1 May 2020.</w:t>
      </w:r>
    </w:p>
    <w:p w14:paraId="722E9799" w14:textId="77777777" w:rsidR="004E5715" w:rsidRPr="00604DFD" w:rsidRDefault="004E5715" w:rsidP="004E5715">
      <w:r w:rsidRPr="00604DFD">
        <w:t xml:space="preserve">DUSC noted that evolocumab is available in two different doses and devices, a 420 mg automated mini-doser (AMD) with 3.5 mL pre-filled cartridge and 140 mg in 1 mL single-use pre-filled pen device. DUSC noted that evolocumab may be administered fortnightly (140 mg) or monthly (420 mg). DUSC noted that a dose of 420 mg once monthly may be administered by one AMD or three single-use pre-filled pens administered consecutively within 30 minutes. DUSC considered that the number of prescriptions dispensed with </w:t>
      </w:r>
      <w:r w:rsidRPr="00604DFD">
        <w:lastRenderedPageBreak/>
        <w:t>quantities of two and three 140 mg pens was consistent with the recommended fortnightly and monthly dosing. DUSC commented that the majority of patients are receiving the 420 mg dose as three single pens, and questioned why there is a patient preference for this rather than one AMD.</w:t>
      </w:r>
    </w:p>
    <w:p w14:paraId="02500EF1" w14:textId="77777777" w:rsidR="004E5715" w:rsidRPr="00604DFD" w:rsidRDefault="004E5715" w:rsidP="004E5715">
      <w:r w:rsidRPr="00604DFD">
        <w:t xml:space="preserve">DUSC noted the proportion of patients with consistent coding of indication was 79% of the total number of treated patients. DUSC commented that a high proportion of patients are being approved for evolocumab through a written or telephone Authority Approval (prior to May 2020) or through the Online PBS Authorities system (after May 2020). DUSC considered this is likely because the maximum quantity of the 140 mg pen devices on the non-familial and familial heterozygous hypercholesterolaemia listings is two. DUSC commented that patients who require three pen devices for a monthly treatment would need to seek an increased quantity through an Authority Approval. </w:t>
      </w:r>
    </w:p>
    <w:p w14:paraId="18097454" w14:textId="77777777" w:rsidR="004E5715" w:rsidRPr="00604DFD" w:rsidRDefault="004E5715" w:rsidP="004E5715">
      <w:r w:rsidRPr="00604DFD">
        <w:t>DUSC noted analyses by age and gender which showed the majority of patients are male, and the highest proportion of male and female patients supplied evolocumab was 65-69 years old. DUSC noted that the analysis of age by indication suggested that patients with familial homozygous hypercholesterolaemia appear to be the youngest patients to initiate evolocumab. DUSC commented that the analysis of age generally matches with expectations, however patients with homozygous hypercholesterolaemia may have been expected to be younger. DUSC recalled that at the time of the March 2018 submission, DUSC and the sponsor disagreed over the population to which the prevalence of familial hypercholesterolaemia should be applied. DUSC considered that the familial hypercholesterolaemia prevalence should be applied to the population aged above 25 years (DUSC Advice November 2017) whereas the resubmission applied the prevalence rate to the whole Australian population.</w:t>
      </w:r>
      <w:r w:rsidRPr="00604DFD">
        <w:rPr>
          <w:rStyle w:val="FootnoteReference"/>
        </w:rPr>
        <w:footnoteReference w:id="3"/>
      </w:r>
      <w:r w:rsidRPr="00604DFD">
        <w:t xml:space="preserve"> DUSC noted that the data shows there are less than 130 patients younger than 35 who have initiated evolocumab. </w:t>
      </w:r>
    </w:p>
    <w:p w14:paraId="1CDD9D34" w14:textId="77777777" w:rsidR="004E5715" w:rsidRPr="00604DFD" w:rsidRDefault="004E5715" w:rsidP="004E5715">
      <w:r w:rsidRPr="00604DFD">
        <w:t>DUSC noted that the estimates in the predicted versus actual analysis estimated the use of familial hypercholesterolaemia, and the actual numbers presented both quantity and prescriptions. DUSC commented that as three pen devices are often used for a dose of 420 mg, quantity was a better comparison than prescriptions. DUSC commented that the use of evolocumab to treat homozygous hypercholesterolaemia was underestimated, but some of the apparent overuse for homozygous hypercholesterolaemia and underuse for heterozygous hypercholesterolaemia may be due to inaccurate assignment of the relevant streamlined authority codes.</w:t>
      </w:r>
    </w:p>
    <w:p w14:paraId="283DB028" w14:textId="4CE9AE8D" w:rsidR="00C108CE" w:rsidRDefault="004E5715" w:rsidP="004E5715">
      <w:pPr>
        <w:rPr>
          <w:i/>
        </w:rPr>
      </w:pPr>
      <w:r w:rsidRPr="00604DFD">
        <w:t>Regarding the predicted versus actual comparison, the sponsor in its Pre-Sub-Committee Response (PSCR) stated that,</w:t>
      </w:r>
      <w:r>
        <w:rPr>
          <w:i/>
        </w:rPr>
        <w:t xml:space="preserve"> </w:t>
      </w:r>
      <w:r w:rsidR="00C108CE" w:rsidRPr="00C108CE">
        <w:rPr>
          <w:i/>
          <w:highlight w:val="black"/>
        </w:rPr>
        <w:t xml:space="preserve">xxxxxxxxxxxxxxxxxxxxxxxxxxxxxxxxxxxxxxxxxxxxxxxxxxxx xxxxxxxxxxxxxxxxxxxxxxxxxxxxxxxxxxxxxxxxxxxxxxxxxxxxxxxxxxxxxxxxxxxxxxxxxxxxxxxxxxx xxxxxxxxxxxxxxxxxxxxxxxxxxxxxxxxxxxxxxxxxxxxxxxxxxxxxxxxxxxxxxxxxxxxxxxxxxxxxxxxxxxxxx xxxxxxxxxxxxxxxxxxxxxxxxxxxxxxxxxxxxxxxxxxxxxxxxxxxxxxxxxxxxxxxxxxxxxxxxxxxxxxxxxxxxx xxxxxxxxxxxxxxxxxxxxxxxxxxxxxxxxxxxxxxxxxxxxxxxxxxxxxxxxxxxxxxxxxxxxxxxxxxxxxxxxxxxxx xxxxxxxxxxxxxxxxxxxxxxxxxxxxxxxxxxxxxxxxxxxxxxxxxxxxxxxxxxxxxxxxxxxxxxxxxxxxxxxxxx </w:t>
      </w:r>
      <w:r w:rsidR="00C108CE" w:rsidRPr="00C108CE">
        <w:rPr>
          <w:i/>
          <w:highlight w:val="black"/>
        </w:rPr>
        <w:lastRenderedPageBreak/>
        <w:t>xxxxxxxxxxxxxxxxxxxxxxxxxxxxxxxxxxxxxxxxxxxxxxxxxxxxxxxxxxxxxxxxxxxxxxxxxxxxxxxxxxx xxxxxxxxxxxxxxxxxxxxxxxxxxxxxxxxxxxxxxxxxxxxxxxxxxxxxxxxxxxxxxxxxxxxxxxxxxxxxxxxxxxx xxxxxxxxxxxxxxxxxxxxxxxxxxxxxxxxxxxxxxxxxxxxxxxxxxxxxxxxxxxxxxxxxxxxxxxxxxxxxxxxxx xxxxxxxxxxxxxxxxxxxxxxxxxxxxxxxxxx</w:t>
      </w:r>
      <w:r w:rsidR="00C108CE">
        <w:rPr>
          <w:i/>
        </w:rPr>
        <w:t xml:space="preserve"> </w:t>
      </w:r>
    </w:p>
    <w:p w14:paraId="25D22D61" w14:textId="77777777" w:rsidR="004E5715" w:rsidRPr="00604DFD" w:rsidRDefault="004E5715" w:rsidP="004E5715">
      <w:pPr>
        <w:rPr>
          <w:iCs/>
        </w:rPr>
      </w:pPr>
      <w:r w:rsidRPr="00604DFD">
        <w:rPr>
          <w:iCs/>
        </w:rPr>
        <w:t>DUSC agreed that clinics are busy but evolving, and considered that opening prescribing to GPs at this stage would not be appropriate. DUSC considered that the proportion of patients initiating evolocumab by prescriber type in 2020 as presented in the report appears appropriate.</w:t>
      </w:r>
    </w:p>
    <w:p w14:paraId="705E51B3" w14:textId="77777777" w:rsidR="004E5715" w:rsidRPr="00604DFD" w:rsidRDefault="004E5715" w:rsidP="004E5715">
      <w:pPr>
        <w:rPr>
          <w:iCs/>
        </w:rPr>
      </w:pPr>
      <w:r w:rsidRPr="00604DFD">
        <w:rPr>
          <w:iCs/>
        </w:rPr>
        <w:t>The PSCR also noted, “That a submission requesting reconsideration of GP initiation was rejected at the November 2020 PBAC meeting and the sponsor intends to revisit this request in a submission for the March 2022 meeting, which is within the PBAC’s advised timeline (18-24 months post-listing) of when DUSC would review utilisation under the non-familial ASCVD listing.” DUSC commented that there is a lag in predicted versus actual reviews due to data processing, and as the non-familial listing was added to the PBS 1 May 2020, it would be due for DUSC review at the February 2023 meeting.</w:t>
      </w:r>
    </w:p>
    <w:p w14:paraId="2BABB557" w14:textId="77777777" w:rsidR="004E5715" w:rsidRPr="00604DFD" w:rsidRDefault="004E5715" w:rsidP="004E5715">
      <w:pPr>
        <w:rPr>
          <w:iCs/>
        </w:rPr>
      </w:pPr>
      <w:r w:rsidRPr="00604DFD">
        <w:rPr>
          <w:iCs/>
        </w:rPr>
        <w:t>DUSC noted the analysis of the estimated length of treatment showed the data was too immature to assess the treatment duration with evolocumab and the median therapy time had not been reached. DUSC noted there was some drop off in patients immediately after initiation, but commented that many patients are continuing treatment for up to four years, noting that the total time of captured in the data extract was four years and four months.</w:t>
      </w:r>
    </w:p>
    <w:p w14:paraId="3AD29C8D" w14:textId="77777777" w:rsidR="00DB78D7" w:rsidRDefault="00DB78D7" w:rsidP="00DB78D7">
      <w:pPr>
        <w:pStyle w:val="Heading1"/>
      </w:pPr>
      <w:r>
        <w:t>DUSC actions</w:t>
      </w:r>
    </w:p>
    <w:p w14:paraId="3CCC9767" w14:textId="1464C6DE" w:rsidR="00DB78D7" w:rsidRPr="00832324" w:rsidRDefault="004E5715" w:rsidP="00DB78D7">
      <w:pPr>
        <w:rPr>
          <w:highlight w:val="yellow"/>
        </w:rPr>
      </w:pPr>
      <w:r w:rsidRPr="004E5715">
        <w:t>DUSC requested that the report be provided to the PBAC for consideration.</w:t>
      </w:r>
    </w:p>
    <w:p w14:paraId="0FD91D84" w14:textId="77777777" w:rsidR="00DB78D7" w:rsidRDefault="00DB78D7" w:rsidP="00DB78D7">
      <w:pPr>
        <w:pStyle w:val="Heading1"/>
      </w:pPr>
      <w:r w:rsidRPr="0092516A">
        <w:t>Context for analysis</w:t>
      </w:r>
    </w:p>
    <w:p w14:paraId="174E154A" w14:textId="77777777" w:rsidR="00DB78D7" w:rsidRDefault="00DB78D7" w:rsidP="00DB78D7">
      <w:r>
        <w:t>The DUSC is a Sub Committee of the Pharmaceutical Benefits Advisory Committee (PBAC). The DUSC assesses estimates on projected usage and financial cost of medicines.</w:t>
      </w:r>
    </w:p>
    <w:p w14:paraId="29938489" w14:textId="77777777" w:rsidR="00DB78D7" w:rsidRDefault="00DB78D7" w:rsidP="00DB78D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B504EA5" w14:textId="77777777" w:rsidR="00DB78D7" w:rsidRDefault="00DB78D7" w:rsidP="00DB78D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72E5BF5E" w14:textId="77777777" w:rsidR="00DB78D7" w:rsidRDefault="00DB78D7" w:rsidP="00DB78D7">
      <w:r>
        <w:lastRenderedPageBreak/>
        <w:t>The utilisation analysis report was provided to the pharmaceutical sponsors of each drug and comments on the report were provided to DUSC prior to its consideration of the analysis.</w:t>
      </w:r>
    </w:p>
    <w:p w14:paraId="72EB7886" w14:textId="77777777" w:rsidR="00DB78D7" w:rsidRDefault="00DB78D7" w:rsidP="00DB78D7">
      <w:pPr>
        <w:pStyle w:val="Heading1"/>
      </w:pPr>
      <w:r>
        <w:t>Sponsor</w:t>
      </w:r>
      <w:r w:rsidRPr="0092516A">
        <w:t>s</w:t>
      </w:r>
      <w:r>
        <w:t>’</w:t>
      </w:r>
      <w:r w:rsidRPr="0092516A">
        <w:t xml:space="preserve"> comments</w:t>
      </w:r>
    </w:p>
    <w:p w14:paraId="4E7BA4CA" w14:textId="4D315E66" w:rsidR="00DB78D7" w:rsidRDefault="00B46B37" w:rsidP="00DB78D7">
      <w:r w:rsidRPr="00B46B37">
        <w:t xml:space="preserve">Amgen: </w:t>
      </w:r>
      <w:r w:rsidR="00DB78D7" w:rsidRPr="00B46B37">
        <w:t>The sponsor has no comment.</w:t>
      </w:r>
    </w:p>
    <w:p w14:paraId="786DB9D0" w14:textId="77777777" w:rsidR="00DB78D7" w:rsidRDefault="00DB78D7" w:rsidP="00DB78D7">
      <w:pPr>
        <w:pStyle w:val="Heading1"/>
      </w:pPr>
      <w:r w:rsidRPr="00A4020E">
        <w:t>Disclaimer</w:t>
      </w:r>
    </w:p>
    <w:p w14:paraId="247E5800" w14:textId="77777777" w:rsidR="00DB78D7" w:rsidRDefault="00DB78D7" w:rsidP="00DB78D7">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E02C029" w14:textId="77777777" w:rsidR="00DB78D7" w:rsidRDefault="00DB78D7" w:rsidP="00DB78D7">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6A92954C" w14:textId="77777777" w:rsidR="00DB78D7" w:rsidRDefault="00DB78D7" w:rsidP="00DB78D7">
      <w:r>
        <w:t xml:space="preserve">To the extent provided by law, DoH makes no warranties or representations as to accuracy or completeness of information contained in this report. </w:t>
      </w:r>
    </w:p>
    <w:p w14:paraId="14766B7D" w14:textId="62DAE7DE" w:rsidR="00DB78D7" w:rsidRDefault="00DB78D7" w:rsidP="00DB78D7">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02FE13D5" w14:textId="684B803C" w:rsidR="009F20ED" w:rsidRDefault="009F20ED">
      <w:pPr>
        <w:spacing w:line="276" w:lineRule="auto"/>
      </w:pPr>
      <w:r>
        <w:br w:type="page"/>
      </w:r>
    </w:p>
    <w:p w14:paraId="510EB567" w14:textId="77777777" w:rsidR="004E5715" w:rsidRDefault="004E5715" w:rsidP="004E5715">
      <w:pPr>
        <w:pStyle w:val="Heading1"/>
      </w:pPr>
      <w:r>
        <w:lastRenderedPageBreak/>
        <w:t>Appendix A</w:t>
      </w:r>
    </w:p>
    <w:tbl>
      <w:tblPr>
        <w:tblStyle w:val="TableGrid"/>
        <w:tblW w:w="9067" w:type="dxa"/>
        <w:tblLayout w:type="fixed"/>
        <w:tblLook w:val="04A0" w:firstRow="1" w:lastRow="0" w:firstColumn="1" w:lastColumn="0" w:noHBand="0" w:noVBand="1"/>
        <w:tblCaption w:val="PBAC considerations"/>
        <w:tblDescription w:val="Relevant aspects of consideration by the Pharmaceutical Benefits Advisory Committee (PBAC)"/>
      </w:tblPr>
      <w:tblGrid>
        <w:gridCol w:w="1696"/>
        <w:gridCol w:w="2268"/>
        <w:gridCol w:w="5103"/>
      </w:tblGrid>
      <w:tr w:rsidR="004E5715" w:rsidRPr="00A35800" w:rsidDel="00EE2BBB" w14:paraId="6AF2B383" w14:textId="77777777" w:rsidTr="00B327B0">
        <w:trPr>
          <w:trHeight w:val="416"/>
          <w:tblHeader/>
        </w:trPr>
        <w:tc>
          <w:tcPr>
            <w:tcW w:w="1696" w:type="dxa"/>
            <w:shd w:val="clear" w:color="auto" w:fill="BFBFBF" w:themeFill="background1" w:themeFillShade="BF"/>
          </w:tcPr>
          <w:p w14:paraId="3C520024" w14:textId="77777777" w:rsidR="004E5715" w:rsidRPr="008A51F9" w:rsidDel="00EE2BBB" w:rsidRDefault="004E5715" w:rsidP="00B327B0">
            <w:pPr>
              <w:pStyle w:val="Tableheading"/>
              <w:jc w:val="left"/>
              <w:rPr>
                <w:rFonts w:cstheme="minorHAnsi"/>
                <w:sz w:val="20"/>
                <w:szCs w:val="20"/>
              </w:rPr>
            </w:pPr>
            <w:r>
              <w:rPr>
                <w:rFonts w:cstheme="minorHAnsi"/>
                <w:sz w:val="20"/>
                <w:szCs w:val="20"/>
              </w:rPr>
              <w:t xml:space="preserve">PBAC </w:t>
            </w:r>
            <w:r w:rsidRPr="008A51F9">
              <w:rPr>
                <w:rFonts w:cstheme="minorHAnsi"/>
                <w:sz w:val="20"/>
                <w:szCs w:val="20"/>
              </w:rPr>
              <w:t>Meeting</w:t>
            </w:r>
          </w:p>
        </w:tc>
        <w:tc>
          <w:tcPr>
            <w:tcW w:w="2268" w:type="dxa"/>
            <w:shd w:val="clear" w:color="auto" w:fill="BFBFBF" w:themeFill="background1" w:themeFillShade="BF"/>
          </w:tcPr>
          <w:p w14:paraId="30DC491C" w14:textId="77777777" w:rsidR="004E5715" w:rsidRPr="008A51F9" w:rsidDel="00EE2BBB" w:rsidRDefault="004E5715" w:rsidP="00B327B0">
            <w:pPr>
              <w:pStyle w:val="Tableheading"/>
              <w:rPr>
                <w:rFonts w:cstheme="minorHAnsi"/>
                <w:sz w:val="20"/>
                <w:szCs w:val="20"/>
              </w:rPr>
            </w:pPr>
            <w:r w:rsidRPr="008A51F9">
              <w:rPr>
                <w:rFonts w:cstheme="minorHAnsi"/>
                <w:sz w:val="20"/>
                <w:szCs w:val="20"/>
              </w:rPr>
              <w:t>Indication Considered</w:t>
            </w:r>
          </w:p>
        </w:tc>
        <w:tc>
          <w:tcPr>
            <w:tcW w:w="5103" w:type="dxa"/>
            <w:shd w:val="clear" w:color="auto" w:fill="BFBFBF" w:themeFill="background1" w:themeFillShade="BF"/>
          </w:tcPr>
          <w:p w14:paraId="0DED7D75" w14:textId="77777777" w:rsidR="004E5715" w:rsidRPr="008A51F9" w:rsidDel="00EE2BBB" w:rsidRDefault="004E5715" w:rsidP="00B327B0">
            <w:pPr>
              <w:pStyle w:val="Tableheading"/>
              <w:rPr>
                <w:rFonts w:cstheme="minorHAnsi"/>
                <w:sz w:val="20"/>
                <w:szCs w:val="20"/>
              </w:rPr>
            </w:pPr>
            <w:r w:rsidRPr="008A51F9">
              <w:rPr>
                <w:rFonts w:cstheme="minorHAnsi"/>
                <w:sz w:val="20"/>
                <w:szCs w:val="20"/>
              </w:rPr>
              <w:t>Outcome</w:t>
            </w:r>
          </w:p>
        </w:tc>
      </w:tr>
      <w:tr w:rsidR="004E5715" w:rsidRPr="00A35800" w:rsidDel="00EE2BBB" w14:paraId="583409E1" w14:textId="77777777" w:rsidTr="00B327B0">
        <w:trPr>
          <w:trHeight w:val="552"/>
        </w:trPr>
        <w:tc>
          <w:tcPr>
            <w:tcW w:w="1696" w:type="dxa"/>
            <w:shd w:val="clear" w:color="auto" w:fill="auto"/>
          </w:tcPr>
          <w:p w14:paraId="7BDDA9C3" w14:textId="77777777" w:rsidR="004E5715" w:rsidRPr="008A51F9" w:rsidRDefault="004E5715" w:rsidP="00B327B0">
            <w:pPr>
              <w:spacing w:before="60" w:after="60"/>
              <w:rPr>
                <w:rFonts w:eastAsia="Times New Roman" w:cstheme="minorHAnsi"/>
                <w:sz w:val="20"/>
                <w:szCs w:val="20"/>
              </w:rPr>
            </w:pPr>
            <w:r w:rsidRPr="004449A7">
              <w:rPr>
                <w:rFonts w:eastAsia="Times New Roman" w:cstheme="minorHAnsi"/>
                <w:sz w:val="20"/>
                <w:szCs w:val="20"/>
              </w:rPr>
              <w:t>March 2015</w:t>
            </w:r>
          </w:p>
          <w:p w14:paraId="01C6A3BE" w14:textId="77777777" w:rsidR="004E5715" w:rsidRPr="008A51F9" w:rsidDel="00EE2BBB" w:rsidRDefault="004E5715" w:rsidP="00B327B0">
            <w:pPr>
              <w:pStyle w:val="Tablewriting"/>
              <w:rPr>
                <w:rFonts w:cstheme="minorHAnsi"/>
              </w:rPr>
            </w:pPr>
          </w:p>
        </w:tc>
        <w:tc>
          <w:tcPr>
            <w:tcW w:w="2268" w:type="dxa"/>
            <w:shd w:val="clear" w:color="auto" w:fill="auto"/>
          </w:tcPr>
          <w:p w14:paraId="3C8453EA" w14:textId="77777777" w:rsidR="004E5715" w:rsidRPr="008A51F9" w:rsidDel="00EE2BBB" w:rsidRDefault="004E5715" w:rsidP="00B327B0">
            <w:pPr>
              <w:spacing w:before="60" w:after="60"/>
              <w:rPr>
                <w:rFonts w:cstheme="minorHAnsi"/>
                <w:sz w:val="20"/>
                <w:szCs w:val="20"/>
              </w:rPr>
            </w:pPr>
            <w:r w:rsidRPr="008A51F9">
              <w:rPr>
                <w:rFonts w:cstheme="minorHAnsi"/>
                <w:sz w:val="20"/>
                <w:szCs w:val="20"/>
              </w:rPr>
              <w:t>Hypercholesterolaemia</w:t>
            </w:r>
          </w:p>
        </w:tc>
        <w:tc>
          <w:tcPr>
            <w:tcW w:w="5103" w:type="dxa"/>
            <w:shd w:val="clear" w:color="auto" w:fill="auto"/>
          </w:tcPr>
          <w:p w14:paraId="3B941213" w14:textId="77777777" w:rsidR="004E5715" w:rsidRPr="008A51F9" w:rsidRDefault="004E5715" w:rsidP="00B327B0">
            <w:pPr>
              <w:snapToGrid w:val="0"/>
              <w:spacing w:before="60" w:after="60"/>
              <w:rPr>
                <w:rFonts w:cstheme="minorHAnsi"/>
                <w:sz w:val="20"/>
                <w:szCs w:val="20"/>
                <w:lang w:val="en-US"/>
              </w:rPr>
            </w:pPr>
            <w:r w:rsidRPr="008A51F9">
              <w:rPr>
                <w:rFonts w:cstheme="minorHAnsi"/>
                <w:sz w:val="20"/>
                <w:szCs w:val="20"/>
                <w:lang w:val="en-US"/>
              </w:rPr>
              <w:t>The PBAC rejected the request to list evolocumab for the treatment of hypercholesterolaemia on the basis of unestablished clinical place in therapy and the uncertainty surrounding its use in clinical practice.</w:t>
            </w:r>
          </w:p>
          <w:p w14:paraId="3A863A1F" w14:textId="77777777" w:rsidR="004E5715" w:rsidRPr="008A51F9" w:rsidRDefault="004E5715" w:rsidP="00B327B0">
            <w:pPr>
              <w:snapToGrid w:val="0"/>
              <w:spacing w:before="60" w:after="60"/>
              <w:rPr>
                <w:rFonts w:cstheme="minorHAnsi"/>
                <w:sz w:val="20"/>
                <w:szCs w:val="20"/>
                <w:lang w:val="en-US"/>
              </w:rPr>
            </w:pPr>
          </w:p>
          <w:p w14:paraId="4A707B39" w14:textId="77777777" w:rsidR="004E5715" w:rsidRPr="008A51F9" w:rsidDel="00EE2BBB" w:rsidRDefault="004E5715" w:rsidP="00B327B0">
            <w:pPr>
              <w:pStyle w:val="Tablewriting"/>
              <w:rPr>
                <w:rFonts w:cstheme="minorHAnsi"/>
              </w:rPr>
            </w:pPr>
            <w:r w:rsidRPr="008A51F9">
              <w:rPr>
                <w:rFonts w:cstheme="minorHAnsi"/>
                <w:lang w:val="en-US"/>
              </w:rPr>
              <w:t>The PBAC noted that the submission was made under the TGA-PBAC parallel process with the TGA Delegate’s consideration expected in late 2015. Accordingly, the PBAC noted that there were no TGA documents available during the time of PBAC consideration to determine the indication of the drug and its clinical place in therapy.</w:t>
            </w:r>
          </w:p>
        </w:tc>
      </w:tr>
      <w:tr w:rsidR="004E5715" w:rsidRPr="00A35800" w:rsidDel="00EE2BBB" w14:paraId="1D8D26B0" w14:textId="77777777" w:rsidTr="00B327B0">
        <w:trPr>
          <w:trHeight w:val="2153"/>
        </w:trPr>
        <w:tc>
          <w:tcPr>
            <w:tcW w:w="1696" w:type="dxa"/>
            <w:shd w:val="clear" w:color="auto" w:fill="auto"/>
          </w:tcPr>
          <w:p w14:paraId="5F6BE436" w14:textId="77777777" w:rsidR="004E5715" w:rsidRPr="008A51F9" w:rsidRDefault="004E5715" w:rsidP="00B327B0">
            <w:pPr>
              <w:spacing w:before="60" w:after="60"/>
              <w:rPr>
                <w:rFonts w:eastAsia="Times New Roman" w:cstheme="minorHAnsi"/>
                <w:sz w:val="20"/>
                <w:szCs w:val="20"/>
              </w:rPr>
            </w:pPr>
            <w:r w:rsidRPr="004449A7">
              <w:rPr>
                <w:rFonts w:eastAsia="Times New Roman" w:cstheme="minorHAnsi"/>
                <w:sz w:val="20"/>
                <w:szCs w:val="20"/>
              </w:rPr>
              <w:t>March 2016</w:t>
            </w:r>
          </w:p>
          <w:p w14:paraId="491EE5E6" w14:textId="77777777" w:rsidR="004E5715" w:rsidRPr="008A51F9" w:rsidDel="00EE2BBB" w:rsidRDefault="004E5715" w:rsidP="00B327B0">
            <w:pPr>
              <w:pStyle w:val="Tablewriting"/>
              <w:rPr>
                <w:rFonts w:cstheme="minorHAnsi"/>
              </w:rPr>
            </w:pPr>
          </w:p>
        </w:tc>
        <w:tc>
          <w:tcPr>
            <w:tcW w:w="2268" w:type="dxa"/>
            <w:shd w:val="clear" w:color="auto" w:fill="auto"/>
          </w:tcPr>
          <w:p w14:paraId="4166932E" w14:textId="77777777" w:rsidR="004E5715" w:rsidRPr="008A51F9" w:rsidDel="00EE2BBB" w:rsidRDefault="004E5715" w:rsidP="00B327B0">
            <w:pPr>
              <w:pStyle w:val="Tablewriting"/>
              <w:rPr>
                <w:rFonts w:cstheme="minorHAnsi"/>
              </w:rPr>
            </w:pPr>
            <w:r w:rsidRPr="008A51F9">
              <w:rPr>
                <w:rFonts w:cstheme="minorHAnsi"/>
              </w:rPr>
              <w:t>Familial hypercholesterolaemia</w:t>
            </w:r>
          </w:p>
        </w:tc>
        <w:tc>
          <w:tcPr>
            <w:tcW w:w="5103" w:type="dxa"/>
            <w:shd w:val="clear" w:color="auto" w:fill="auto"/>
          </w:tcPr>
          <w:p w14:paraId="17291166" w14:textId="77777777" w:rsidR="004E5715" w:rsidRPr="008A51F9" w:rsidDel="00EE2BBB" w:rsidRDefault="004E5715" w:rsidP="00B327B0">
            <w:pPr>
              <w:spacing w:before="60" w:after="60"/>
            </w:pPr>
            <w:r w:rsidRPr="008A51F9">
              <w:rPr>
                <w:rFonts w:cstheme="minorHAnsi"/>
                <w:sz w:val="20"/>
                <w:szCs w:val="20"/>
              </w:rPr>
              <w:t>The PBAC recommended the Authority Required listing of evolocumab under Section 85, for the treatment of homozygous familial hypercholesterolaemia. In making this recommendation, the PBAC considered that the homozygous FH population (with an abnormality in both of the two copies of the specific gene) represent a small, definable, patient group, in whom there is a high level of clinical need.</w:t>
            </w:r>
          </w:p>
        </w:tc>
      </w:tr>
      <w:tr w:rsidR="004E5715" w:rsidRPr="00A35800" w:rsidDel="00EE2BBB" w14:paraId="4568F6B5" w14:textId="77777777" w:rsidTr="00B327B0">
        <w:trPr>
          <w:trHeight w:val="546"/>
        </w:trPr>
        <w:tc>
          <w:tcPr>
            <w:tcW w:w="1696" w:type="dxa"/>
            <w:shd w:val="clear" w:color="auto" w:fill="auto"/>
          </w:tcPr>
          <w:p w14:paraId="4B11DCFE" w14:textId="77777777" w:rsidR="004E5715" w:rsidRPr="008A51F9" w:rsidRDefault="004E5715" w:rsidP="00B327B0">
            <w:pPr>
              <w:spacing w:before="60" w:after="60" w:line="276" w:lineRule="auto"/>
              <w:rPr>
                <w:rFonts w:eastAsia="Times New Roman" w:cstheme="minorHAnsi"/>
                <w:sz w:val="20"/>
                <w:szCs w:val="20"/>
              </w:rPr>
            </w:pPr>
            <w:r w:rsidRPr="004449A7">
              <w:rPr>
                <w:rFonts w:eastAsia="Times New Roman" w:cstheme="minorHAnsi"/>
                <w:sz w:val="20"/>
                <w:szCs w:val="20"/>
              </w:rPr>
              <w:t>July 2017</w:t>
            </w:r>
            <w:r w:rsidRPr="008A51F9">
              <w:rPr>
                <w:rFonts w:eastAsia="Times New Roman" w:cstheme="minorHAnsi"/>
                <w:sz w:val="20"/>
                <w:szCs w:val="20"/>
              </w:rPr>
              <w:t xml:space="preserve"> </w:t>
            </w:r>
          </w:p>
        </w:tc>
        <w:tc>
          <w:tcPr>
            <w:tcW w:w="2268" w:type="dxa"/>
            <w:shd w:val="clear" w:color="auto" w:fill="auto"/>
          </w:tcPr>
          <w:p w14:paraId="0757D8D0" w14:textId="77777777" w:rsidR="004E5715" w:rsidRPr="008A51F9" w:rsidRDefault="004E5715" w:rsidP="00B327B0">
            <w:pPr>
              <w:pStyle w:val="Tablewriting"/>
              <w:rPr>
                <w:rFonts w:cstheme="minorHAnsi"/>
              </w:rPr>
            </w:pPr>
            <w:r w:rsidRPr="008A51F9">
              <w:rPr>
                <w:rFonts w:cstheme="minorHAnsi"/>
              </w:rPr>
              <w:t>Familial homozygous hypercholesterol</w:t>
            </w:r>
            <w:r>
              <w:rPr>
                <w:rFonts w:cstheme="minorHAnsi"/>
              </w:rPr>
              <w:t>aemia (listing of Injection 420 </w:t>
            </w:r>
            <w:r w:rsidRPr="008A51F9">
              <w:rPr>
                <w:rFonts w:cstheme="minorHAnsi"/>
              </w:rPr>
              <w:t>mg in 3.5 mL single dose autoinjector)</w:t>
            </w:r>
          </w:p>
        </w:tc>
        <w:tc>
          <w:tcPr>
            <w:tcW w:w="5103" w:type="dxa"/>
            <w:shd w:val="clear" w:color="auto" w:fill="auto"/>
          </w:tcPr>
          <w:p w14:paraId="5025638D" w14:textId="77777777" w:rsidR="004E5715" w:rsidRPr="008A51F9" w:rsidRDefault="004E5715" w:rsidP="00B327B0">
            <w:pPr>
              <w:spacing w:before="60" w:after="60"/>
              <w:rPr>
                <w:rFonts w:cstheme="minorHAnsi"/>
                <w:sz w:val="20"/>
                <w:szCs w:val="20"/>
              </w:rPr>
            </w:pPr>
            <w:r w:rsidRPr="008A51F9">
              <w:rPr>
                <w:rFonts w:cstheme="minorHAnsi"/>
                <w:sz w:val="20"/>
                <w:szCs w:val="20"/>
              </w:rPr>
              <w:t>The PBAC recommended the listing of the new strength of evolocumab for the treatment of familial homozygous hypercholest</w:t>
            </w:r>
            <w:r>
              <w:rPr>
                <w:rFonts w:cstheme="minorHAnsi"/>
                <w:sz w:val="20"/>
                <w:szCs w:val="20"/>
              </w:rPr>
              <w:t>e</w:t>
            </w:r>
            <w:r w:rsidRPr="008A51F9">
              <w:rPr>
                <w:rFonts w:cstheme="minorHAnsi"/>
                <w:sz w:val="20"/>
                <w:szCs w:val="20"/>
              </w:rPr>
              <w:t>rolaemia. The PBAC accepted that this additional form of evolocumab would provide patients with an alternative dosing schedule to the currently listed form at no additional cost to the Government.</w:t>
            </w:r>
          </w:p>
        </w:tc>
      </w:tr>
      <w:tr w:rsidR="004E5715" w:rsidRPr="00A35800" w:rsidDel="00EE2BBB" w14:paraId="3AA37A5B" w14:textId="77777777" w:rsidTr="00B327B0">
        <w:trPr>
          <w:trHeight w:val="546"/>
        </w:trPr>
        <w:tc>
          <w:tcPr>
            <w:tcW w:w="1696" w:type="dxa"/>
            <w:shd w:val="clear" w:color="auto" w:fill="auto"/>
          </w:tcPr>
          <w:p w14:paraId="66CD5977" w14:textId="77777777" w:rsidR="004E5715" w:rsidRPr="0041706F" w:rsidRDefault="004E5715" w:rsidP="00B327B0">
            <w:pPr>
              <w:spacing w:before="60" w:after="60"/>
              <w:rPr>
                <w:rFonts w:eastAsia="Times New Roman" w:cstheme="minorHAnsi"/>
                <w:sz w:val="20"/>
                <w:szCs w:val="20"/>
              </w:rPr>
            </w:pPr>
            <w:r w:rsidRPr="004449A7">
              <w:rPr>
                <w:rFonts w:eastAsia="Times New Roman" w:cstheme="minorHAnsi"/>
                <w:sz w:val="20"/>
                <w:szCs w:val="20"/>
              </w:rPr>
              <w:t>November 2017</w:t>
            </w:r>
            <w:r w:rsidRPr="0041706F">
              <w:rPr>
                <w:rFonts w:eastAsia="Times New Roman" w:cstheme="minorHAnsi"/>
                <w:sz w:val="20"/>
                <w:szCs w:val="20"/>
              </w:rPr>
              <w:t xml:space="preserve"> </w:t>
            </w:r>
          </w:p>
          <w:p w14:paraId="6EEE10A8" w14:textId="77777777" w:rsidR="004E5715" w:rsidRDefault="004E5715" w:rsidP="00B327B0">
            <w:pPr>
              <w:spacing w:before="60" w:after="60" w:line="276" w:lineRule="auto"/>
              <w:rPr>
                <w:rFonts w:eastAsia="Times New Roman" w:cstheme="minorHAnsi"/>
                <w:sz w:val="20"/>
                <w:szCs w:val="20"/>
              </w:rPr>
            </w:pPr>
          </w:p>
        </w:tc>
        <w:tc>
          <w:tcPr>
            <w:tcW w:w="2268" w:type="dxa"/>
            <w:shd w:val="clear" w:color="auto" w:fill="auto"/>
          </w:tcPr>
          <w:p w14:paraId="3E01E27C" w14:textId="77777777" w:rsidR="004E5715" w:rsidRPr="008A51F9" w:rsidRDefault="004E5715" w:rsidP="00B327B0">
            <w:pPr>
              <w:pStyle w:val="Tablewriting"/>
              <w:rPr>
                <w:rFonts w:cstheme="minorHAnsi"/>
              </w:rPr>
            </w:pPr>
            <w:r w:rsidRPr="008A51F9">
              <w:rPr>
                <w:rFonts w:cstheme="minorHAnsi"/>
              </w:rPr>
              <w:t>Familial hypercholesterolaemia</w:t>
            </w:r>
            <w:r w:rsidRPr="007F33D6">
              <w:rPr>
                <w:rFonts w:cstheme="minorHAnsi"/>
              </w:rPr>
              <w:t xml:space="preserve"> </w:t>
            </w:r>
            <w:r>
              <w:rPr>
                <w:rFonts w:cstheme="minorHAnsi"/>
              </w:rPr>
              <w:t>(extension of the listing to</w:t>
            </w:r>
            <w:r w:rsidRPr="007F33D6">
              <w:rPr>
                <w:rFonts w:cstheme="minorHAnsi"/>
              </w:rPr>
              <w:t xml:space="preserve"> include the treatment of </w:t>
            </w:r>
            <w:r>
              <w:rPr>
                <w:rFonts w:cstheme="minorHAnsi"/>
              </w:rPr>
              <w:t>HeFH)</w:t>
            </w:r>
            <w:r w:rsidRPr="008A51F9">
              <w:rPr>
                <w:rFonts w:cstheme="minorHAnsi"/>
              </w:rPr>
              <w:t>/</w:t>
            </w:r>
            <w:r>
              <w:rPr>
                <w:rFonts w:cstheme="minorHAnsi"/>
              </w:rPr>
              <w:t xml:space="preserve"> </w:t>
            </w:r>
            <w:r w:rsidRPr="008A51F9">
              <w:rPr>
                <w:rFonts w:cstheme="minorHAnsi"/>
              </w:rPr>
              <w:t>hypercholesterolaemia with symptomatic atherosclerotic cardiovascular disease (ASCVD) who do not have underlying FH</w:t>
            </w:r>
          </w:p>
        </w:tc>
        <w:tc>
          <w:tcPr>
            <w:tcW w:w="5103" w:type="dxa"/>
            <w:shd w:val="clear" w:color="auto" w:fill="auto"/>
          </w:tcPr>
          <w:p w14:paraId="695A86C9" w14:textId="77777777" w:rsidR="004E5715" w:rsidRDefault="004E5715" w:rsidP="00B327B0">
            <w:pPr>
              <w:spacing w:before="60" w:after="60"/>
              <w:rPr>
                <w:rFonts w:cstheme="minorHAnsi"/>
                <w:sz w:val="20"/>
                <w:szCs w:val="20"/>
              </w:rPr>
            </w:pPr>
            <w:r w:rsidRPr="000756D3">
              <w:rPr>
                <w:rFonts w:cstheme="minorHAnsi"/>
                <w:sz w:val="20"/>
                <w:szCs w:val="20"/>
              </w:rPr>
              <w:t>The PBAC deferred making a recommendation to extend the PBS listing of evolocumab for patients with familial hypercholesterolaemia in order to address the residual uncertainty with the economic model following revisions provided in the pre-PBAC response.</w:t>
            </w:r>
          </w:p>
          <w:p w14:paraId="50F1C1C2" w14:textId="77777777" w:rsidR="004E5715" w:rsidRPr="008A51F9" w:rsidRDefault="004E5715" w:rsidP="00B327B0">
            <w:pPr>
              <w:spacing w:before="60" w:after="60"/>
              <w:rPr>
                <w:rFonts w:cstheme="minorHAnsi"/>
                <w:sz w:val="20"/>
                <w:szCs w:val="20"/>
              </w:rPr>
            </w:pPr>
          </w:p>
          <w:p w14:paraId="65A3092A" w14:textId="77777777" w:rsidR="004E5715" w:rsidRPr="008A51F9" w:rsidRDefault="004E5715" w:rsidP="00B327B0">
            <w:pPr>
              <w:spacing w:before="60" w:after="60"/>
              <w:rPr>
                <w:rFonts w:cstheme="minorHAnsi"/>
                <w:sz w:val="20"/>
                <w:szCs w:val="20"/>
              </w:rPr>
            </w:pPr>
            <w:r w:rsidRPr="008A51F9">
              <w:rPr>
                <w:rFonts w:cstheme="minorHAnsi"/>
                <w:sz w:val="20"/>
                <w:szCs w:val="20"/>
              </w:rPr>
              <w:t>The PBAC did not recommend the listing of evolocumab for patients with non-familial hypercholesterolaemia with atherosclerotic disease on the basis of a high incremental cost effectiveness ratio (ICER) and high and uncertain patient population numbers</w:t>
            </w:r>
            <w:r>
              <w:rPr>
                <w:rFonts w:cstheme="minorHAnsi"/>
                <w:sz w:val="20"/>
                <w:szCs w:val="20"/>
              </w:rPr>
              <w:t>.</w:t>
            </w:r>
          </w:p>
        </w:tc>
      </w:tr>
      <w:tr w:rsidR="004E5715" w:rsidRPr="00A35800" w:rsidDel="00EE2BBB" w14:paraId="05648B2F" w14:textId="77777777" w:rsidTr="00B327B0">
        <w:trPr>
          <w:trHeight w:val="546"/>
        </w:trPr>
        <w:tc>
          <w:tcPr>
            <w:tcW w:w="1696" w:type="dxa"/>
          </w:tcPr>
          <w:p w14:paraId="2C99D6B1" w14:textId="77777777" w:rsidR="004E5715" w:rsidRPr="0041706F" w:rsidRDefault="004E5715" w:rsidP="00B327B0">
            <w:pPr>
              <w:spacing w:before="60" w:after="60"/>
              <w:rPr>
                <w:rFonts w:eastAsia="Times New Roman" w:cstheme="minorHAnsi"/>
                <w:sz w:val="20"/>
                <w:szCs w:val="20"/>
              </w:rPr>
            </w:pPr>
            <w:r w:rsidRPr="004449A7">
              <w:rPr>
                <w:rFonts w:eastAsia="Times New Roman" w:cstheme="minorHAnsi"/>
                <w:sz w:val="20"/>
                <w:szCs w:val="20"/>
              </w:rPr>
              <w:t>March 2018</w:t>
            </w:r>
          </w:p>
        </w:tc>
        <w:tc>
          <w:tcPr>
            <w:tcW w:w="2268" w:type="dxa"/>
          </w:tcPr>
          <w:p w14:paraId="24CE11C7" w14:textId="77777777" w:rsidR="004E5715" w:rsidRPr="008A51F9" w:rsidRDefault="004E5715" w:rsidP="00B327B0">
            <w:pPr>
              <w:pStyle w:val="Tablewriting"/>
              <w:rPr>
                <w:rFonts w:cstheme="minorHAnsi"/>
              </w:rPr>
            </w:pPr>
            <w:r w:rsidRPr="008A51F9">
              <w:rPr>
                <w:rFonts w:cstheme="minorHAnsi"/>
              </w:rPr>
              <w:t xml:space="preserve">Familial hypercholesterolaemia </w:t>
            </w:r>
          </w:p>
        </w:tc>
        <w:tc>
          <w:tcPr>
            <w:tcW w:w="5103" w:type="dxa"/>
          </w:tcPr>
          <w:p w14:paraId="108CD218" w14:textId="77777777" w:rsidR="004E5715" w:rsidRPr="008A51F9" w:rsidRDefault="004E5715" w:rsidP="00B327B0">
            <w:pPr>
              <w:spacing w:before="60" w:after="60"/>
              <w:rPr>
                <w:rFonts w:cstheme="minorHAnsi"/>
                <w:sz w:val="20"/>
                <w:szCs w:val="20"/>
              </w:rPr>
            </w:pPr>
            <w:r w:rsidRPr="008A51F9">
              <w:rPr>
                <w:rFonts w:cstheme="minorHAnsi"/>
                <w:sz w:val="20"/>
                <w:szCs w:val="20"/>
              </w:rPr>
              <w:t>The PBAC recommended extending the PBS listing for evolocumab for patients with Familial Hypercholesterolaemia</w:t>
            </w:r>
            <w:r>
              <w:rPr>
                <w:rFonts w:cstheme="minorHAnsi"/>
                <w:sz w:val="20"/>
                <w:szCs w:val="20"/>
              </w:rPr>
              <w:t xml:space="preserve"> </w:t>
            </w:r>
            <w:r w:rsidRPr="008A51F9">
              <w:rPr>
                <w:rFonts w:cstheme="minorHAnsi"/>
                <w:sz w:val="20"/>
                <w:szCs w:val="20"/>
              </w:rPr>
              <w:t xml:space="preserve">to include patients with heterozygous FH, under certain conditions. The PBAC accepted that both the heterozygous and homozygous FH populations are high risk, and that the use of evolocumab could be extended to include the heterozygous population as it would be an effective and safe therapy following failed treatment with statins and ezetimibe. The PBAC considered that the revised economic model, reduced price and other arrangements proposed in the resubmission addressed the </w:t>
            </w:r>
            <w:r w:rsidRPr="008A51F9">
              <w:rPr>
                <w:rFonts w:cstheme="minorHAnsi"/>
                <w:sz w:val="20"/>
                <w:szCs w:val="20"/>
              </w:rPr>
              <w:lastRenderedPageBreak/>
              <w:t>outstanding issues raised by the PBAC from the November 2017 submission.</w:t>
            </w:r>
          </w:p>
        </w:tc>
      </w:tr>
      <w:tr w:rsidR="004E5715" w:rsidRPr="00A35800" w:rsidDel="00EE2BBB" w14:paraId="26569CD5" w14:textId="77777777" w:rsidTr="00B327B0">
        <w:trPr>
          <w:trHeight w:val="546"/>
        </w:trPr>
        <w:tc>
          <w:tcPr>
            <w:tcW w:w="1696" w:type="dxa"/>
          </w:tcPr>
          <w:p w14:paraId="7D3C40D8" w14:textId="77777777" w:rsidR="004E5715" w:rsidRPr="0041706F" w:rsidRDefault="004E5715" w:rsidP="00B327B0">
            <w:pPr>
              <w:spacing w:before="60" w:after="60"/>
              <w:rPr>
                <w:rFonts w:eastAsia="Times New Roman" w:cstheme="minorHAnsi"/>
                <w:sz w:val="20"/>
                <w:szCs w:val="20"/>
              </w:rPr>
            </w:pPr>
            <w:r w:rsidRPr="004449A7">
              <w:rPr>
                <w:rFonts w:eastAsia="Times New Roman" w:cstheme="minorHAnsi"/>
                <w:sz w:val="20"/>
                <w:szCs w:val="20"/>
              </w:rPr>
              <w:lastRenderedPageBreak/>
              <w:t>July 2018</w:t>
            </w:r>
            <w:r w:rsidRPr="0041706F">
              <w:rPr>
                <w:rFonts w:eastAsia="Times New Roman" w:cstheme="minorHAnsi"/>
                <w:sz w:val="20"/>
                <w:szCs w:val="20"/>
              </w:rPr>
              <w:t xml:space="preserve"> </w:t>
            </w:r>
          </w:p>
          <w:p w14:paraId="0B909635" w14:textId="77777777" w:rsidR="004E5715" w:rsidRPr="0041706F" w:rsidRDefault="004E5715" w:rsidP="00B327B0">
            <w:pPr>
              <w:spacing w:before="60" w:after="60"/>
              <w:rPr>
                <w:rFonts w:eastAsia="Times New Roman" w:cstheme="minorHAnsi"/>
                <w:sz w:val="20"/>
                <w:szCs w:val="20"/>
              </w:rPr>
            </w:pPr>
          </w:p>
        </w:tc>
        <w:tc>
          <w:tcPr>
            <w:tcW w:w="2268" w:type="dxa"/>
          </w:tcPr>
          <w:p w14:paraId="44DF2CEC" w14:textId="77777777" w:rsidR="004E5715" w:rsidRPr="008A51F9" w:rsidRDefault="004E5715" w:rsidP="00B327B0">
            <w:pPr>
              <w:spacing w:before="60" w:after="60"/>
              <w:rPr>
                <w:rFonts w:eastAsia="Times New Roman" w:cstheme="minorHAnsi"/>
                <w:sz w:val="20"/>
                <w:szCs w:val="20"/>
              </w:rPr>
            </w:pPr>
            <w:r w:rsidRPr="008A51F9">
              <w:rPr>
                <w:rFonts w:eastAsia="Times New Roman" w:cstheme="minorHAnsi"/>
                <w:sz w:val="20"/>
                <w:szCs w:val="20"/>
              </w:rPr>
              <w:t xml:space="preserve">Non-familial hypercholesterolaemia with atherosclerotic disease. </w:t>
            </w:r>
          </w:p>
          <w:p w14:paraId="40CB2004" w14:textId="77777777" w:rsidR="004E5715" w:rsidRPr="008A51F9" w:rsidRDefault="004E5715" w:rsidP="00B327B0">
            <w:pPr>
              <w:pStyle w:val="Tablewriting"/>
              <w:rPr>
                <w:rFonts w:cstheme="minorHAnsi"/>
              </w:rPr>
            </w:pPr>
          </w:p>
        </w:tc>
        <w:tc>
          <w:tcPr>
            <w:tcW w:w="5103" w:type="dxa"/>
          </w:tcPr>
          <w:p w14:paraId="4B9821D4" w14:textId="77777777" w:rsidR="004E5715" w:rsidRPr="008A51F9" w:rsidRDefault="004E5715" w:rsidP="00B327B0">
            <w:pPr>
              <w:spacing w:before="60" w:after="60"/>
              <w:rPr>
                <w:rFonts w:cstheme="minorHAnsi"/>
                <w:sz w:val="20"/>
                <w:szCs w:val="20"/>
              </w:rPr>
            </w:pPr>
            <w:r w:rsidRPr="008A51F9">
              <w:rPr>
                <w:rFonts w:cstheme="minorHAnsi"/>
                <w:sz w:val="20"/>
                <w:szCs w:val="20"/>
              </w:rPr>
              <w:t>The PBAC did not recommend the listing of evolocumab for patients with non-familial hypercholesterolaemia with atherosclerotic disease on the basis of an inadequately defined patient population, an uncertain incremental cost-effectiveness ratio (ICER) and high and uncertain patient population numbers. The PBAC considered that this population required more refined eligibility criteria in the proposed PBS listing given the very high financial estimates.</w:t>
            </w:r>
          </w:p>
        </w:tc>
      </w:tr>
      <w:tr w:rsidR="004E5715" w:rsidRPr="00A35800" w:rsidDel="00EE2BBB" w14:paraId="096F5360" w14:textId="77777777" w:rsidTr="00B327B0">
        <w:trPr>
          <w:trHeight w:val="546"/>
        </w:trPr>
        <w:tc>
          <w:tcPr>
            <w:tcW w:w="1696" w:type="dxa"/>
          </w:tcPr>
          <w:p w14:paraId="63CB508C" w14:textId="77777777" w:rsidR="004E5715" w:rsidRPr="0041706F" w:rsidRDefault="004E5715" w:rsidP="00B327B0">
            <w:pPr>
              <w:spacing w:before="60" w:after="60"/>
              <w:rPr>
                <w:rFonts w:eastAsia="Times New Roman" w:cstheme="minorHAnsi"/>
                <w:sz w:val="20"/>
                <w:szCs w:val="20"/>
              </w:rPr>
            </w:pPr>
            <w:r w:rsidRPr="004449A7">
              <w:rPr>
                <w:rFonts w:eastAsia="Times New Roman" w:cstheme="minorHAnsi"/>
                <w:sz w:val="20"/>
                <w:szCs w:val="20"/>
              </w:rPr>
              <w:t>July 2019</w:t>
            </w:r>
          </w:p>
        </w:tc>
        <w:tc>
          <w:tcPr>
            <w:tcW w:w="2268" w:type="dxa"/>
          </w:tcPr>
          <w:p w14:paraId="09DDFB68" w14:textId="77777777" w:rsidR="004E5715" w:rsidRPr="008A51F9" w:rsidRDefault="004E5715" w:rsidP="00B327B0">
            <w:pPr>
              <w:spacing w:before="60" w:after="60"/>
              <w:rPr>
                <w:rFonts w:eastAsia="Times New Roman" w:cstheme="minorHAnsi"/>
                <w:sz w:val="20"/>
                <w:szCs w:val="20"/>
              </w:rPr>
            </w:pPr>
            <w:r w:rsidRPr="0087144E">
              <w:rPr>
                <w:rFonts w:eastAsia="Times New Roman" w:cstheme="minorHAnsi"/>
                <w:sz w:val="20"/>
                <w:szCs w:val="20"/>
              </w:rPr>
              <w:t>Hypercholesterolaemia</w:t>
            </w:r>
          </w:p>
        </w:tc>
        <w:tc>
          <w:tcPr>
            <w:tcW w:w="5103" w:type="dxa"/>
          </w:tcPr>
          <w:p w14:paraId="24027184" w14:textId="77777777" w:rsidR="004E5715" w:rsidRDefault="004E5715" w:rsidP="00B327B0">
            <w:pPr>
              <w:spacing w:before="60" w:after="60"/>
              <w:rPr>
                <w:rFonts w:eastAsia="Times New Roman" w:cstheme="minorHAnsi"/>
                <w:sz w:val="20"/>
                <w:szCs w:val="20"/>
              </w:rPr>
            </w:pPr>
            <w:r w:rsidRPr="0087144E">
              <w:rPr>
                <w:rFonts w:eastAsia="Times New Roman" w:cstheme="minorHAnsi"/>
                <w:sz w:val="20"/>
                <w:szCs w:val="20"/>
              </w:rPr>
              <w:t>The PBAC deferred making a recommendation on the listing of evolocumab</w:t>
            </w:r>
            <w:r>
              <w:rPr>
                <w:rFonts w:eastAsia="Times New Roman" w:cstheme="minorHAnsi"/>
                <w:sz w:val="20"/>
                <w:szCs w:val="20"/>
              </w:rPr>
              <w:t xml:space="preserve"> </w:t>
            </w:r>
            <w:r w:rsidRPr="0087144E">
              <w:rPr>
                <w:rFonts w:eastAsia="Times New Roman" w:cstheme="minorHAnsi"/>
                <w:sz w:val="20"/>
                <w:szCs w:val="20"/>
              </w:rPr>
              <w:t>for the treatment of non-familial hypercholes</w:t>
            </w:r>
            <w:r>
              <w:rPr>
                <w:rFonts w:eastAsia="Times New Roman" w:cstheme="minorHAnsi"/>
                <w:sz w:val="20"/>
                <w:szCs w:val="20"/>
              </w:rPr>
              <w:t xml:space="preserve">terolaemia in patients </w:t>
            </w:r>
            <w:r w:rsidRPr="0087144E">
              <w:rPr>
                <w:rFonts w:eastAsia="Times New Roman" w:cstheme="minorHAnsi"/>
                <w:sz w:val="20"/>
                <w:szCs w:val="20"/>
              </w:rPr>
              <w:t>with ASCVD and additional high-risk factors.</w:t>
            </w:r>
            <w:r>
              <w:rPr>
                <w:rFonts w:eastAsia="Times New Roman" w:cstheme="minorHAnsi"/>
                <w:sz w:val="20"/>
                <w:szCs w:val="20"/>
              </w:rPr>
              <w:t xml:space="preserve"> </w:t>
            </w:r>
          </w:p>
          <w:p w14:paraId="0CC9994B" w14:textId="77777777" w:rsidR="004E5715" w:rsidRDefault="004E5715" w:rsidP="00B327B0">
            <w:pPr>
              <w:spacing w:before="60" w:after="60"/>
              <w:rPr>
                <w:rFonts w:eastAsia="Times New Roman" w:cstheme="minorHAnsi"/>
                <w:sz w:val="20"/>
                <w:szCs w:val="20"/>
              </w:rPr>
            </w:pPr>
          </w:p>
          <w:p w14:paraId="2D0A7889" w14:textId="77777777" w:rsidR="004E5715" w:rsidRPr="0087144E" w:rsidRDefault="004E5715" w:rsidP="00B327B0">
            <w:pPr>
              <w:spacing w:before="60" w:after="60"/>
              <w:rPr>
                <w:rFonts w:eastAsia="Times New Roman" w:cstheme="minorHAnsi"/>
                <w:sz w:val="20"/>
                <w:szCs w:val="20"/>
              </w:rPr>
            </w:pPr>
            <w:r w:rsidRPr="0087144E">
              <w:rPr>
                <w:rFonts w:eastAsia="Times New Roman" w:cstheme="minorHAnsi"/>
                <w:sz w:val="20"/>
                <w:szCs w:val="20"/>
              </w:rPr>
              <w:t>The PBAC also deferred making a recom</w:t>
            </w:r>
            <w:r>
              <w:rPr>
                <w:rFonts w:eastAsia="Times New Roman" w:cstheme="minorHAnsi"/>
                <w:sz w:val="20"/>
                <w:szCs w:val="20"/>
              </w:rPr>
              <w:t xml:space="preserve">mendation on the resubmission’s </w:t>
            </w:r>
            <w:r w:rsidRPr="0087144E">
              <w:rPr>
                <w:rFonts w:eastAsia="Times New Roman" w:cstheme="minorHAnsi"/>
                <w:sz w:val="20"/>
                <w:szCs w:val="20"/>
              </w:rPr>
              <w:t>request to extend the existing familial hyperc</w:t>
            </w:r>
            <w:r>
              <w:rPr>
                <w:rFonts w:eastAsia="Times New Roman" w:cstheme="minorHAnsi"/>
                <w:sz w:val="20"/>
                <w:szCs w:val="20"/>
              </w:rPr>
              <w:t xml:space="preserve">holesterolaemia listing in </w:t>
            </w:r>
            <w:r w:rsidRPr="0087144E">
              <w:rPr>
                <w:rFonts w:eastAsia="Times New Roman" w:cstheme="minorHAnsi"/>
                <w:sz w:val="20"/>
                <w:szCs w:val="20"/>
              </w:rPr>
              <w:t>the ASCVD population to include patients with low-density lipoprotein (LDL)</w:t>
            </w:r>
          </w:p>
          <w:p w14:paraId="05BEF2A5" w14:textId="77777777" w:rsidR="004E5715" w:rsidRPr="0087144E" w:rsidRDefault="004E5715" w:rsidP="00B327B0">
            <w:pPr>
              <w:spacing w:before="60" w:after="60"/>
              <w:rPr>
                <w:rFonts w:eastAsia="Times New Roman" w:cstheme="minorHAnsi"/>
                <w:sz w:val="20"/>
                <w:szCs w:val="20"/>
              </w:rPr>
            </w:pPr>
            <w:r w:rsidRPr="0087144E">
              <w:rPr>
                <w:rFonts w:eastAsia="Times New Roman" w:cstheme="minorHAnsi"/>
                <w:sz w:val="20"/>
                <w:szCs w:val="20"/>
              </w:rPr>
              <w:t>levels between 2.6 mmol/L and 3.3 mmol/L.</w:t>
            </w:r>
          </w:p>
        </w:tc>
      </w:tr>
      <w:tr w:rsidR="004E5715" w:rsidRPr="00A35800" w:rsidDel="00EE2BBB" w14:paraId="05D684BF" w14:textId="77777777" w:rsidTr="00B327B0">
        <w:trPr>
          <w:trHeight w:val="546"/>
        </w:trPr>
        <w:tc>
          <w:tcPr>
            <w:tcW w:w="1696" w:type="dxa"/>
          </w:tcPr>
          <w:p w14:paraId="0EDE3C88" w14:textId="77777777" w:rsidR="004E5715" w:rsidRPr="004449A7" w:rsidRDefault="004E5715" w:rsidP="00B327B0">
            <w:pPr>
              <w:spacing w:before="60" w:after="60"/>
              <w:rPr>
                <w:rFonts w:eastAsia="Times New Roman" w:cstheme="minorHAnsi"/>
                <w:sz w:val="20"/>
                <w:szCs w:val="20"/>
              </w:rPr>
            </w:pPr>
            <w:r>
              <w:rPr>
                <w:rFonts w:eastAsia="Times New Roman" w:cstheme="minorHAnsi"/>
                <w:sz w:val="20"/>
                <w:szCs w:val="20"/>
              </w:rPr>
              <w:t>November 2019</w:t>
            </w:r>
          </w:p>
        </w:tc>
        <w:tc>
          <w:tcPr>
            <w:tcW w:w="2268" w:type="dxa"/>
          </w:tcPr>
          <w:p w14:paraId="7EC4D8C9" w14:textId="77777777" w:rsidR="004E5715" w:rsidRPr="008A51F9" w:rsidRDefault="004E5715" w:rsidP="00B327B0">
            <w:pPr>
              <w:spacing w:before="60" w:after="60"/>
              <w:rPr>
                <w:rFonts w:eastAsia="Times New Roman" w:cstheme="minorHAnsi"/>
                <w:sz w:val="20"/>
                <w:szCs w:val="20"/>
              </w:rPr>
            </w:pPr>
            <w:r w:rsidRPr="008A51F9">
              <w:rPr>
                <w:rFonts w:eastAsia="Times New Roman" w:cstheme="minorHAnsi"/>
                <w:sz w:val="20"/>
                <w:szCs w:val="20"/>
              </w:rPr>
              <w:t>Non-familial hypercholesterolaemi</w:t>
            </w:r>
            <w:r>
              <w:rPr>
                <w:rFonts w:eastAsia="Times New Roman" w:cstheme="minorHAnsi"/>
                <w:sz w:val="20"/>
                <w:szCs w:val="20"/>
              </w:rPr>
              <w:t xml:space="preserve">a with atherosclerotic disease and an extension for familial </w:t>
            </w:r>
            <w:r w:rsidRPr="00895499">
              <w:rPr>
                <w:rFonts w:eastAsia="Times New Roman" w:cstheme="minorHAnsi"/>
                <w:sz w:val="20"/>
                <w:szCs w:val="20"/>
              </w:rPr>
              <w:t>hypercholesterolaemia</w:t>
            </w:r>
            <w:r>
              <w:rPr>
                <w:rFonts w:eastAsia="Times New Roman" w:cstheme="minorHAnsi"/>
                <w:sz w:val="20"/>
                <w:szCs w:val="20"/>
              </w:rPr>
              <w:t xml:space="preserve"> to include patients </w:t>
            </w:r>
            <w:r w:rsidRPr="00895499">
              <w:rPr>
                <w:rFonts w:eastAsia="Times New Roman" w:cstheme="minorHAnsi"/>
                <w:sz w:val="20"/>
                <w:szCs w:val="20"/>
              </w:rPr>
              <w:t>with symptomatic ASCVD or homozygous FH who have an LDL level</w:t>
            </w:r>
            <w:r>
              <w:rPr>
                <w:rFonts w:eastAsia="Times New Roman" w:cstheme="minorHAnsi"/>
                <w:sz w:val="20"/>
                <w:szCs w:val="20"/>
              </w:rPr>
              <w:t xml:space="preserve"> </w:t>
            </w:r>
            <w:r w:rsidRPr="00895499">
              <w:rPr>
                <w:rFonts w:eastAsia="Times New Roman" w:cstheme="minorHAnsi"/>
                <w:sz w:val="20"/>
                <w:szCs w:val="20"/>
              </w:rPr>
              <w:t>between 2.6 and 3.3 mmol/L despite optimised treatment with statins and</w:t>
            </w:r>
            <w:r>
              <w:rPr>
                <w:rFonts w:eastAsia="Times New Roman" w:cstheme="minorHAnsi"/>
                <w:sz w:val="20"/>
                <w:szCs w:val="20"/>
              </w:rPr>
              <w:t xml:space="preserve"> </w:t>
            </w:r>
            <w:r w:rsidRPr="00895499">
              <w:rPr>
                <w:rFonts w:eastAsia="Times New Roman" w:cstheme="minorHAnsi"/>
                <w:sz w:val="20"/>
                <w:szCs w:val="20"/>
              </w:rPr>
              <w:t>ezetimibe.</w:t>
            </w:r>
          </w:p>
          <w:p w14:paraId="60BD9DBD" w14:textId="77777777" w:rsidR="004E5715" w:rsidRPr="0087144E" w:rsidRDefault="004E5715" w:rsidP="00B327B0">
            <w:pPr>
              <w:spacing w:before="60" w:after="60"/>
              <w:rPr>
                <w:rFonts w:eastAsia="Times New Roman" w:cstheme="minorHAnsi"/>
                <w:sz w:val="20"/>
                <w:szCs w:val="20"/>
              </w:rPr>
            </w:pPr>
          </w:p>
        </w:tc>
        <w:tc>
          <w:tcPr>
            <w:tcW w:w="5103" w:type="dxa"/>
          </w:tcPr>
          <w:p w14:paraId="65594C47" w14:textId="77777777" w:rsidR="004E5715" w:rsidRPr="00895499" w:rsidRDefault="004E5715" w:rsidP="00B327B0">
            <w:pPr>
              <w:spacing w:before="60" w:after="60"/>
              <w:rPr>
                <w:rFonts w:eastAsia="Times New Roman" w:cstheme="minorHAnsi"/>
                <w:sz w:val="20"/>
                <w:szCs w:val="20"/>
              </w:rPr>
            </w:pPr>
            <w:r w:rsidRPr="00895499">
              <w:rPr>
                <w:rFonts w:eastAsia="Times New Roman" w:cstheme="minorHAnsi"/>
                <w:sz w:val="20"/>
                <w:szCs w:val="20"/>
              </w:rPr>
              <w:t>The PBAC recommended the Authority Required listing of evolocumab, but on the</w:t>
            </w:r>
            <w:r>
              <w:rPr>
                <w:rFonts w:eastAsia="Times New Roman" w:cstheme="minorHAnsi"/>
                <w:sz w:val="20"/>
                <w:szCs w:val="20"/>
              </w:rPr>
              <w:t xml:space="preserve"> </w:t>
            </w:r>
            <w:r w:rsidRPr="00895499">
              <w:rPr>
                <w:rFonts w:eastAsia="Times New Roman" w:cstheme="minorHAnsi"/>
                <w:sz w:val="20"/>
                <w:szCs w:val="20"/>
              </w:rPr>
              <w:t>basis that it be available only in the circumstances where use is restricted to the</w:t>
            </w:r>
            <w:r>
              <w:rPr>
                <w:rFonts w:eastAsia="Times New Roman" w:cstheme="minorHAnsi"/>
                <w:sz w:val="20"/>
                <w:szCs w:val="20"/>
              </w:rPr>
              <w:t xml:space="preserve"> </w:t>
            </w:r>
            <w:r w:rsidRPr="00895499">
              <w:rPr>
                <w:rFonts w:eastAsia="Times New Roman" w:cstheme="minorHAnsi"/>
                <w:sz w:val="20"/>
                <w:szCs w:val="20"/>
              </w:rPr>
              <w:t>treatment of:</w:t>
            </w:r>
          </w:p>
          <w:p w14:paraId="2DD019DC" w14:textId="77777777" w:rsidR="004E5715" w:rsidRPr="00D057A0" w:rsidRDefault="004E5715" w:rsidP="004E5715">
            <w:pPr>
              <w:pStyle w:val="ListParagraph"/>
              <w:numPr>
                <w:ilvl w:val="0"/>
                <w:numId w:val="5"/>
              </w:numPr>
              <w:spacing w:before="60" w:after="60"/>
              <w:ind w:left="290" w:hanging="284"/>
              <w:rPr>
                <w:rFonts w:eastAsia="Times New Roman" w:cstheme="minorHAnsi"/>
                <w:sz w:val="20"/>
                <w:szCs w:val="20"/>
              </w:rPr>
            </w:pPr>
            <w:r w:rsidRPr="00D057A0">
              <w:rPr>
                <w:rFonts w:eastAsia="Times New Roman" w:cstheme="minorHAnsi"/>
                <w:sz w:val="20"/>
                <w:szCs w:val="20"/>
              </w:rPr>
              <w:t>non-familial hypercholesterolaemia (non-FH) in patients with atherosclerotic cardiovascular disease (ASCVD), who have an LDL level greater than 2.6 mmol/L and additional high-risk factors; and</w:t>
            </w:r>
          </w:p>
          <w:p w14:paraId="237CCD23" w14:textId="77777777" w:rsidR="004E5715" w:rsidRPr="00D057A0" w:rsidRDefault="004E5715" w:rsidP="004E5715">
            <w:pPr>
              <w:pStyle w:val="ListParagraph"/>
              <w:numPr>
                <w:ilvl w:val="0"/>
                <w:numId w:val="5"/>
              </w:numPr>
              <w:spacing w:before="60" w:after="60"/>
              <w:ind w:left="290" w:hanging="284"/>
              <w:rPr>
                <w:rFonts w:eastAsia="Times New Roman" w:cstheme="minorHAnsi"/>
                <w:sz w:val="20"/>
                <w:szCs w:val="20"/>
              </w:rPr>
            </w:pPr>
            <w:r w:rsidRPr="00D057A0">
              <w:rPr>
                <w:rFonts w:eastAsia="Times New Roman" w:cstheme="minorHAnsi"/>
                <w:sz w:val="20"/>
                <w:szCs w:val="20"/>
              </w:rPr>
              <w:t>familial hypercholesterolaemia in patients with symptomatic ASCVD or homozygous FH (ho-FH), who have an LDL level between 2.6 and 3.3 mmol/L.</w:t>
            </w:r>
          </w:p>
        </w:tc>
      </w:tr>
      <w:tr w:rsidR="004E5715" w:rsidRPr="00A35800" w:rsidDel="00EE2BBB" w14:paraId="14616988" w14:textId="77777777" w:rsidTr="00B327B0">
        <w:trPr>
          <w:trHeight w:val="546"/>
        </w:trPr>
        <w:tc>
          <w:tcPr>
            <w:tcW w:w="1696" w:type="dxa"/>
          </w:tcPr>
          <w:p w14:paraId="11AF3C60" w14:textId="77777777" w:rsidR="004E5715" w:rsidRDefault="004E5715" w:rsidP="00B327B0">
            <w:pPr>
              <w:spacing w:before="60" w:after="60"/>
              <w:rPr>
                <w:rFonts w:eastAsia="Times New Roman" w:cstheme="minorHAnsi"/>
                <w:sz w:val="20"/>
                <w:szCs w:val="20"/>
              </w:rPr>
            </w:pPr>
            <w:r>
              <w:rPr>
                <w:rFonts w:eastAsia="Times New Roman" w:cstheme="minorHAnsi"/>
                <w:sz w:val="20"/>
                <w:szCs w:val="20"/>
              </w:rPr>
              <w:t>November 2020</w:t>
            </w:r>
          </w:p>
        </w:tc>
        <w:tc>
          <w:tcPr>
            <w:tcW w:w="2268" w:type="dxa"/>
          </w:tcPr>
          <w:p w14:paraId="0AABF011" w14:textId="77777777" w:rsidR="004E5715" w:rsidRPr="008A51F9" w:rsidRDefault="004E5715" w:rsidP="00B327B0">
            <w:pPr>
              <w:spacing w:before="60" w:after="60"/>
              <w:rPr>
                <w:rFonts w:eastAsia="Times New Roman" w:cstheme="minorHAnsi"/>
                <w:sz w:val="20"/>
                <w:szCs w:val="20"/>
              </w:rPr>
            </w:pPr>
            <w:r>
              <w:rPr>
                <w:rFonts w:eastAsia="Times New Roman" w:cstheme="minorHAnsi"/>
                <w:sz w:val="20"/>
                <w:szCs w:val="20"/>
              </w:rPr>
              <w:t xml:space="preserve">To </w:t>
            </w:r>
            <w:r w:rsidRPr="00D057A0">
              <w:rPr>
                <w:rFonts w:eastAsia="Times New Roman" w:cstheme="minorHAnsi"/>
                <w:sz w:val="20"/>
                <w:szCs w:val="20"/>
              </w:rPr>
              <w:t>allow general practitioners (GPs) to initiate</w:t>
            </w:r>
            <w:r>
              <w:rPr>
                <w:rFonts w:eastAsia="Times New Roman" w:cstheme="minorHAnsi"/>
                <w:sz w:val="20"/>
                <w:szCs w:val="20"/>
              </w:rPr>
              <w:t xml:space="preserve"> </w:t>
            </w:r>
            <w:r w:rsidRPr="00D057A0">
              <w:rPr>
                <w:rFonts w:eastAsia="Times New Roman" w:cstheme="minorHAnsi"/>
                <w:sz w:val="20"/>
                <w:szCs w:val="20"/>
              </w:rPr>
              <w:t>treatment, but only after having consulted a specialist.</w:t>
            </w:r>
          </w:p>
        </w:tc>
        <w:tc>
          <w:tcPr>
            <w:tcW w:w="5103" w:type="dxa"/>
          </w:tcPr>
          <w:p w14:paraId="012570B4" w14:textId="77777777" w:rsidR="004E5715" w:rsidRPr="0087144E" w:rsidRDefault="004E5715" w:rsidP="00B327B0">
            <w:pPr>
              <w:spacing w:before="60" w:after="60"/>
              <w:rPr>
                <w:rFonts w:eastAsia="Times New Roman" w:cstheme="minorHAnsi"/>
                <w:sz w:val="20"/>
                <w:szCs w:val="20"/>
              </w:rPr>
            </w:pPr>
            <w:r w:rsidRPr="00D057A0">
              <w:rPr>
                <w:rFonts w:eastAsia="Times New Roman" w:cstheme="minorHAnsi"/>
                <w:sz w:val="20"/>
                <w:szCs w:val="20"/>
              </w:rPr>
              <w:t>The PBAC did not recommend an amendment to the Authority Required listings of</w:t>
            </w:r>
            <w:r>
              <w:rPr>
                <w:rFonts w:eastAsia="Times New Roman" w:cstheme="minorHAnsi"/>
                <w:sz w:val="20"/>
                <w:szCs w:val="20"/>
              </w:rPr>
              <w:t xml:space="preserve"> </w:t>
            </w:r>
            <w:r w:rsidRPr="00D057A0">
              <w:rPr>
                <w:rFonts w:eastAsia="Times New Roman" w:cstheme="minorHAnsi"/>
                <w:sz w:val="20"/>
                <w:szCs w:val="20"/>
              </w:rPr>
              <w:t>evolocumab for all indications to allow GPs to initiate treatment after having</w:t>
            </w:r>
            <w:r>
              <w:rPr>
                <w:rFonts w:eastAsia="Times New Roman" w:cstheme="minorHAnsi"/>
                <w:sz w:val="20"/>
                <w:szCs w:val="20"/>
              </w:rPr>
              <w:t xml:space="preserve"> </w:t>
            </w:r>
            <w:r w:rsidRPr="00D057A0">
              <w:rPr>
                <w:rFonts w:eastAsia="Times New Roman" w:cstheme="minorHAnsi"/>
                <w:sz w:val="20"/>
                <w:szCs w:val="20"/>
              </w:rPr>
              <w:t>consulted a specialist. The PBAC advised that “Must be treated by a specialist</w:t>
            </w:r>
            <w:r>
              <w:rPr>
                <w:rFonts w:eastAsia="Times New Roman" w:cstheme="minorHAnsi"/>
                <w:sz w:val="20"/>
                <w:szCs w:val="20"/>
              </w:rPr>
              <w:t xml:space="preserve"> </w:t>
            </w:r>
            <w:r w:rsidRPr="00D057A0">
              <w:rPr>
                <w:rFonts w:eastAsia="Times New Roman" w:cstheme="minorHAnsi"/>
                <w:sz w:val="20"/>
                <w:szCs w:val="20"/>
              </w:rPr>
              <w:t>physician” for initiation of treatment should remain for all indications, consistent with</w:t>
            </w:r>
            <w:r>
              <w:rPr>
                <w:rFonts w:eastAsia="Times New Roman" w:cstheme="minorHAnsi"/>
                <w:sz w:val="20"/>
                <w:szCs w:val="20"/>
              </w:rPr>
              <w:t xml:space="preserve"> </w:t>
            </w:r>
            <w:r w:rsidRPr="00D057A0">
              <w:rPr>
                <w:rFonts w:eastAsia="Times New Roman" w:cstheme="minorHAnsi"/>
                <w:sz w:val="20"/>
                <w:szCs w:val="20"/>
              </w:rPr>
              <w:t>its previous advice.</w:t>
            </w:r>
          </w:p>
        </w:tc>
      </w:tr>
    </w:tbl>
    <w:p w14:paraId="781A4C76" w14:textId="77777777" w:rsidR="004E5715" w:rsidRDefault="004E5715" w:rsidP="004E5715"/>
    <w:p w14:paraId="23F45034" w14:textId="77777777" w:rsidR="004E5715" w:rsidRDefault="004E5715" w:rsidP="004E5715">
      <w:pPr>
        <w:spacing w:line="276" w:lineRule="auto"/>
      </w:pPr>
      <w:r>
        <w:br w:type="page"/>
      </w:r>
    </w:p>
    <w:p w14:paraId="6EB5AA63" w14:textId="77777777" w:rsidR="004E5715" w:rsidRDefault="004E5715" w:rsidP="004E5715">
      <w:pPr>
        <w:pStyle w:val="Heading1"/>
      </w:pPr>
      <w:r>
        <w:lastRenderedPageBreak/>
        <w:t>Appendix B</w:t>
      </w:r>
    </w:p>
    <w:p w14:paraId="4A568D74" w14:textId="77777777" w:rsidR="004E5715" w:rsidRDefault="004E5715" w:rsidP="004E5715">
      <w:pPr>
        <w:pStyle w:val="Heading2"/>
      </w:pPr>
      <w:r>
        <w:t xml:space="preserve">Analysis </w:t>
      </w:r>
      <w:r w:rsidRPr="005E22C2">
        <w:t xml:space="preserve">of </w:t>
      </w:r>
      <w:r>
        <w:t>a</w:t>
      </w:r>
      <w:r w:rsidRPr="005E22C2">
        <w:t xml:space="preserve">ctual versus </w:t>
      </w:r>
      <w:r>
        <w:t>p</w:t>
      </w:r>
      <w:r w:rsidRPr="005E22C2">
        <w:t xml:space="preserve">redicted </w:t>
      </w:r>
      <w:r>
        <w:t>u</w:t>
      </w:r>
      <w:r w:rsidRPr="005E22C2">
        <w:t>tilisation</w:t>
      </w:r>
      <w:r>
        <w:t xml:space="preserve"> - October 2019 report</w:t>
      </w:r>
    </w:p>
    <w:p w14:paraId="757D6DC9" w14:textId="77777777" w:rsidR="004E5715" w:rsidRDefault="004E5715" w:rsidP="004E5715">
      <w:r>
        <w:t>A comparison of the predicted utilisation of evolocumab for HoFH versus actual use is shown in Table B.</w:t>
      </w:r>
    </w:p>
    <w:p w14:paraId="67E99F45" w14:textId="77777777" w:rsidR="004E5715" w:rsidRPr="00C20632" w:rsidRDefault="004E5715" w:rsidP="004E5715">
      <w:pPr>
        <w:spacing w:before="200" w:after="20"/>
        <w:rPr>
          <w:b/>
          <w:highlight w:val="black"/>
        </w:rPr>
      </w:pPr>
      <w:r>
        <w:rPr>
          <w:b/>
        </w:rPr>
        <w:t>Table B: Evolocumab</w:t>
      </w:r>
      <w:r w:rsidRPr="00E3204F">
        <w:rPr>
          <w:b/>
        </w:rPr>
        <w:t>: actual versus predicted utilisation</w:t>
      </w:r>
      <w:r>
        <w:rPr>
          <w:b/>
        </w:rPr>
        <w:t xml:space="preserve"> for HoFH</w:t>
      </w:r>
    </w:p>
    <w:tbl>
      <w:tblPr>
        <w:tblStyle w:val="TableGrid"/>
        <w:tblW w:w="8217" w:type="dxa"/>
        <w:tblInd w:w="10" w:type="dxa"/>
        <w:tblLook w:val="04A0" w:firstRow="1" w:lastRow="0" w:firstColumn="1" w:lastColumn="0" w:noHBand="0" w:noVBand="1"/>
      </w:tblPr>
      <w:tblGrid>
        <w:gridCol w:w="1706"/>
        <w:gridCol w:w="1975"/>
        <w:gridCol w:w="2551"/>
        <w:gridCol w:w="1985"/>
      </w:tblGrid>
      <w:tr w:rsidR="004E5715" w:rsidRPr="00D610D2" w14:paraId="440004AB" w14:textId="77777777" w:rsidTr="00B327B0">
        <w:trPr>
          <w:trHeight w:val="300"/>
        </w:trPr>
        <w:tc>
          <w:tcPr>
            <w:tcW w:w="1706" w:type="dxa"/>
            <w:shd w:val="clear" w:color="auto" w:fill="BFBFBF" w:themeFill="background1" w:themeFillShade="BF"/>
            <w:noWrap/>
            <w:hideMark/>
          </w:tcPr>
          <w:p w14:paraId="088FFF99" w14:textId="77777777" w:rsidR="004E5715" w:rsidRPr="00D610D2" w:rsidRDefault="004E5715" w:rsidP="00B327B0">
            <w:pPr>
              <w:spacing w:before="60" w:after="60"/>
              <w:rPr>
                <w:rFonts w:cstheme="minorHAnsi"/>
                <w:sz w:val="20"/>
                <w:szCs w:val="20"/>
              </w:rPr>
            </w:pPr>
            <w:r w:rsidRPr="00D610D2">
              <w:rPr>
                <w:rFonts w:cstheme="minorHAnsi"/>
                <w:sz w:val="20"/>
                <w:szCs w:val="20"/>
              </w:rPr>
              <w:t> </w:t>
            </w:r>
          </w:p>
        </w:tc>
        <w:tc>
          <w:tcPr>
            <w:tcW w:w="1975" w:type="dxa"/>
            <w:shd w:val="clear" w:color="auto" w:fill="BFBFBF" w:themeFill="background1" w:themeFillShade="BF"/>
          </w:tcPr>
          <w:p w14:paraId="174D48C8" w14:textId="77777777" w:rsidR="004E5715" w:rsidRPr="00D610D2" w:rsidRDefault="004E5715" w:rsidP="00B327B0">
            <w:pPr>
              <w:spacing w:before="60" w:after="60"/>
              <w:rPr>
                <w:rFonts w:cstheme="minorHAnsi"/>
                <w:b/>
                <w:bCs/>
                <w:sz w:val="20"/>
                <w:szCs w:val="20"/>
              </w:rPr>
            </w:pPr>
          </w:p>
        </w:tc>
        <w:tc>
          <w:tcPr>
            <w:tcW w:w="2551" w:type="dxa"/>
            <w:shd w:val="clear" w:color="auto" w:fill="BFBFBF" w:themeFill="background1" w:themeFillShade="BF"/>
            <w:noWrap/>
            <w:hideMark/>
          </w:tcPr>
          <w:p w14:paraId="0AEDDCFA" w14:textId="77777777" w:rsidR="004E5715" w:rsidRPr="00D610D2" w:rsidRDefault="004E5715" w:rsidP="00B327B0">
            <w:pPr>
              <w:spacing w:before="60" w:after="60"/>
              <w:rPr>
                <w:rFonts w:cstheme="minorHAnsi"/>
                <w:b/>
                <w:bCs/>
                <w:sz w:val="20"/>
                <w:szCs w:val="20"/>
              </w:rPr>
            </w:pPr>
            <w:r w:rsidRPr="00D610D2">
              <w:rPr>
                <w:rFonts w:cstheme="minorHAnsi"/>
                <w:b/>
                <w:bCs/>
                <w:sz w:val="20"/>
                <w:szCs w:val="20"/>
              </w:rPr>
              <w:t>Year 1</w:t>
            </w:r>
          </w:p>
        </w:tc>
        <w:tc>
          <w:tcPr>
            <w:tcW w:w="1985" w:type="dxa"/>
            <w:shd w:val="clear" w:color="auto" w:fill="BFBFBF" w:themeFill="background1" w:themeFillShade="BF"/>
            <w:noWrap/>
            <w:hideMark/>
          </w:tcPr>
          <w:p w14:paraId="62431EC3" w14:textId="77777777" w:rsidR="004E5715" w:rsidRPr="00D610D2" w:rsidRDefault="004E5715" w:rsidP="00B327B0">
            <w:pPr>
              <w:spacing w:before="60" w:after="60"/>
              <w:rPr>
                <w:rFonts w:cstheme="minorHAnsi"/>
                <w:b/>
                <w:bCs/>
                <w:sz w:val="20"/>
                <w:szCs w:val="20"/>
              </w:rPr>
            </w:pPr>
            <w:r w:rsidRPr="00D610D2">
              <w:rPr>
                <w:rFonts w:cstheme="minorHAnsi"/>
                <w:b/>
                <w:bCs/>
                <w:sz w:val="20"/>
                <w:szCs w:val="20"/>
              </w:rPr>
              <w:t>Year 2</w:t>
            </w:r>
          </w:p>
        </w:tc>
      </w:tr>
      <w:tr w:rsidR="004E5715" w:rsidRPr="00D610D2" w14:paraId="4022C71F" w14:textId="77777777" w:rsidTr="00B327B0">
        <w:trPr>
          <w:trHeight w:val="180"/>
        </w:trPr>
        <w:tc>
          <w:tcPr>
            <w:tcW w:w="1706" w:type="dxa"/>
            <w:vMerge w:val="restart"/>
            <w:noWrap/>
            <w:hideMark/>
          </w:tcPr>
          <w:p w14:paraId="4FBFE831" w14:textId="77777777" w:rsidR="004E5715" w:rsidRPr="00D610D2" w:rsidRDefault="004E5715" w:rsidP="00B327B0">
            <w:pPr>
              <w:spacing w:before="60" w:after="60"/>
              <w:rPr>
                <w:rFonts w:cstheme="minorHAnsi"/>
                <w:b/>
                <w:bCs/>
                <w:sz w:val="20"/>
                <w:szCs w:val="20"/>
              </w:rPr>
            </w:pPr>
            <w:r>
              <w:rPr>
                <w:rFonts w:cstheme="minorHAnsi"/>
                <w:b/>
                <w:bCs/>
                <w:sz w:val="20"/>
                <w:szCs w:val="20"/>
              </w:rPr>
              <w:t>P</w:t>
            </w:r>
            <w:r w:rsidRPr="00D610D2">
              <w:rPr>
                <w:rFonts w:cstheme="minorHAnsi"/>
                <w:b/>
                <w:bCs/>
                <w:sz w:val="20"/>
                <w:szCs w:val="20"/>
              </w:rPr>
              <w:t>atients</w:t>
            </w:r>
          </w:p>
        </w:tc>
        <w:tc>
          <w:tcPr>
            <w:tcW w:w="1975" w:type="dxa"/>
          </w:tcPr>
          <w:p w14:paraId="103B7200" w14:textId="77777777" w:rsidR="004E5715" w:rsidRPr="00D610D2" w:rsidRDefault="004E5715" w:rsidP="00B327B0">
            <w:pPr>
              <w:spacing w:before="60" w:after="60"/>
              <w:rPr>
                <w:rFonts w:cstheme="minorHAnsi"/>
                <w:sz w:val="20"/>
                <w:szCs w:val="20"/>
              </w:rPr>
            </w:pPr>
            <w:r w:rsidRPr="00D610D2">
              <w:rPr>
                <w:rFonts w:cstheme="minorHAnsi"/>
                <w:sz w:val="20"/>
                <w:szCs w:val="20"/>
              </w:rPr>
              <w:t xml:space="preserve">Predicted </w:t>
            </w:r>
          </w:p>
        </w:tc>
        <w:tc>
          <w:tcPr>
            <w:tcW w:w="2551" w:type="dxa"/>
            <w:noWrap/>
            <w:hideMark/>
          </w:tcPr>
          <w:p w14:paraId="53912771" w14:textId="7F663981" w:rsidR="004E5715" w:rsidRPr="00D610D2" w:rsidRDefault="00B46B37" w:rsidP="00B327B0">
            <w:pPr>
              <w:spacing w:before="60" w:after="60"/>
              <w:rPr>
                <w:rFonts w:cstheme="minorHAnsi"/>
                <w:sz w:val="20"/>
                <w:szCs w:val="20"/>
              </w:rPr>
            </w:pPr>
            <w:r w:rsidRPr="00B46B37">
              <w:rPr>
                <w:rFonts w:cstheme="minorHAnsi"/>
                <w:sz w:val="20"/>
                <w:szCs w:val="20"/>
                <w:highlight w:val="black"/>
              </w:rPr>
              <w:t>xxx</w:t>
            </w:r>
            <w:r w:rsidR="004E5715" w:rsidRPr="00D610D2">
              <w:rPr>
                <w:rFonts w:cstheme="minorHAnsi"/>
                <w:sz w:val="20"/>
                <w:szCs w:val="20"/>
              </w:rPr>
              <w:t xml:space="preserve"> </w:t>
            </w:r>
          </w:p>
        </w:tc>
        <w:tc>
          <w:tcPr>
            <w:tcW w:w="1985" w:type="dxa"/>
            <w:noWrap/>
            <w:hideMark/>
          </w:tcPr>
          <w:p w14:paraId="02A2F1CC" w14:textId="10B14519" w:rsidR="004E5715" w:rsidRPr="00D610D2" w:rsidRDefault="00B46B37" w:rsidP="00B327B0">
            <w:pPr>
              <w:spacing w:before="60" w:after="60"/>
              <w:rPr>
                <w:rFonts w:cstheme="minorHAnsi"/>
                <w:sz w:val="20"/>
                <w:szCs w:val="20"/>
              </w:rPr>
            </w:pPr>
            <w:r w:rsidRPr="00B46B37">
              <w:rPr>
                <w:rFonts w:cstheme="minorHAnsi"/>
                <w:sz w:val="20"/>
                <w:szCs w:val="20"/>
                <w:highlight w:val="black"/>
              </w:rPr>
              <w:t>xxx</w:t>
            </w:r>
          </w:p>
        </w:tc>
      </w:tr>
      <w:tr w:rsidR="004E5715" w:rsidRPr="00D610D2" w14:paraId="37994383" w14:textId="77777777" w:rsidTr="00B327B0">
        <w:trPr>
          <w:trHeight w:val="180"/>
        </w:trPr>
        <w:tc>
          <w:tcPr>
            <w:tcW w:w="1706" w:type="dxa"/>
            <w:vMerge/>
            <w:noWrap/>
          </w:tcPr>
          <w:p w14:paraId="113DC9F5" w14:textId="77777777" w:rsidR="004E5715" w:rsidRPr="00D610D2" w:rsidRDefault="004E5715" w:rsidP="00B327B0">
            <w:pPr>
              <w:spacing w:before="60" w:after="60"/>
              <w:rPr>
                <w:rFonts w:cstheme="minorHAnsi"/>
                <w:b/>
                <w:bCs/>
                <w:sz w:val="20"/>
                <w:szCs w:val="20"/>
              </w:rPr>
            </w:pPr>
          </w:p>
        </w:tc>
        <w:tc>
          <w:tcPr>
            <w:tcW w:w="1975" w:type="dxa"/>
          </w:tcPr>
          <w:p w14:paraId="0A797062" w14:textId="77777777" w:rsidR="004E5715" w:rsidRPr="00D610D2" w:rsidRDefault="004E5715" w:rsidP="00B327B0">
            <w:pPr>
              <w:spacing w:before="60" w:after="60"/>
              <w:rPr>
                <w:rFonts w:cstheme="minorHAnsi"/>
                <w:sz w:val="20"/>
                <w:szCs w:val="20"/>
              </w:rPr>
            </w:pPr>
            <w:r w:rsidRPr="00D610D2">
              <w:rPr>
                <w:rFonts w:cstheme="minorHAnsi"/>
                <w:sz w:val="20"/>
                <w:szCs w:val="20"/>
              </w:rPr>
              <w:t>Actual</w:t>
            </w:r>
          </w:p>
        </w:tc>
        <w:tc>
          <w:tcPr>
            <w:tcW w:w="2551" w:type="dxa"/>
            <w:noWrap/>
          </w:tcPr>
          <w:p w14:paraId="6FD911CD" w14:textId="77777777" w:rsidR="004E5715" w:rsidRPr="00D610D2" w:rsidRDefault="004E5715" w:rsidP="00B327B0">
            <w:pPr>
              <w:spacing w:before="60" w:after="60"/>
              <w:rPr>
                <w:rFonts w:cstheme="minorHAnsi"/>
                <w:sz w:val="20"/>
                <w:szCs w:val="20"/>
              </w:rPr>
            </w:pPr>
            <w:r>
              <w:rPr>
                <w:rFonts w:cstheme="minorHAnsi"/>
                <w:sz w:val="20"/>
                <w:szCs w:val="20"/>
              </w:rPr>
              <w:t>502</w:t>
            </w:r>
          </w:p>
        </w:tc>
        <w:tc>
          <w:tcPr>
            <w:tcW w:w="1985" w:type="dxa"/>
            <w:noWrap/>
          </w:tcPr>
          <w:p w14:paraId="758CDA22" w14:textId="77777777" w:rsidR="004E5715" w:rsidRPr="00D610D2" w:rsidRDefault="004E5715" w:rsidP="00B327B0">
            <w:pPr>
              <w:spacing w:before="60" w:after="60"/>
              <w:rPr>
                <w:rFonts w:cstheme="minorHAnsi"/>
                <w:sz w:val="20"/>
                <w:szCs w:val="20"/>
              </w:rPr>
            </w:pPr>
            <w:r>
              <w:rPr>
                <w:rFonts w:cstheme="minorHAnsi"/>
                <w:sz w:val="20"/>
                <w:szCs w:val="20"/>
              </w:rPr>
              <w:t>1,068</w:t>
            </w:r>
          </w:p>
        </w:tc>
      </w:tr>
      <w:tr w:rsidR="004E5715" w:rsidRPr="00D610D2" w14:paraId="149E88A2" w14:textId="77777777" w:rsidTr="00B327B0">
        <w:trPr>
          <w:trHeight w:val="180"/>
        </w:trPr>
        <w:tc>
          <w:tcPr>
            <w:tcW w:w="1706" w:type="dxa"/>
            <w:vMerge/>
            <w:noWrap/>
          </w:tcPr>
          <w:p w14:paraId="0DBFC77E" w14:textId="77777777" w:rsidR="004E5715" w:rsidRPr="00D610D2" w:rsidRDefault="004E5715" w:rsidP="00B327B0">
            <w:pPr>
              <w:spacing w:before="60" w:after="60"/>
              <w:rPr>
                <w:rFonts w:cstheme="minorHAnsi"/>
                <w:b/>
                <w:bCs/>
                <w:sz w:val="20"/>
                <w:szCs w:val="20"/>
              </w:rPr>
            </w:pPr>
          </w:p>
        </w:tc>
        <w:tc>
          <w:tcPr>
            <w:tcW w:w="1975" w:type="dxa"/>
          </w:tcPr>
          <w:p w14:paraId="1154EA84" w14:textId="77777777" w:rsidR="004E5715" w:rsidRPr="00502BB4" w:rsidRDefault="004E5715" w:rsidP="00B327B0">
            <w:pPr>
              <w:spacing w:before="60" w:after="60"/>
              <w:rPr>
                <w:rFonts w:cstheme="minorHAnsi"/>
                <w:sz w:val="20"/>
                <w:szCs w:val="20"/>
              </w:rPr>
            </w:pPr>
            <w:r w:rsidRPr="00502BB4">
              <w:rPr>
                <w:rFonts w:cstheme="minorHAnsi"/>
                <w:sz w:val="20"/>
                <w:szCs w:val="20"/>
              </w:rPr>
              <w:t xml:space="preserve">%Difference </w:t>
            </w:r>
          </w:p>
        </w:tc>
        <w:tc>
          <w:tcPr>
            <w:tcW w:w="2551" w:type="dxa"/>
            <w:noWrap/>
          </w:tcPr>
          <w:p w14:paraId="01B59735" w14:textId="4A4FD10D" w:rsidR="004E5715" w:rsidRPr="00B46B37" w:rsidRDefault="00B46B37" w:rsidP="00B327B0">
            <w:pPr>
              <w:spacing w:before="60" w:after="60"/>
              <w:rPr>
                <w:rFonts w:cstheme="minorHAnsi"/>
                <w:sz w:val="20"/>
                <w:szCs w:val="20"/>
                <w:highlight w:val="black"/>
              </w:rPr>
            </w:pPr>
            <w:r w:rsidRPr="00B46B37">
              <w:rPr>
                <w:rFonts w:cstheme="minorHAnsi"/>
                <w:sz w:val="20"/>
                <w:szCs w:val="20"/>
                <w:highlight w:val="black"/>
              </w:rPr>
              <w:t>Xx</w:t>
            </w:r>
            <w:r>
              <w:rPr>
                <w:rFonts w:cstheme="minorHAnsi"/>
                <w:sz w:val="20"/>
                <w:szCs w:val="20"/>
                <w:highlight w:val="black"/>
              </w:rPr>
              <w:t>xx</w:t>
            </w:r>
            <w:r w:rsidRPr="00B46B37">
              <w:rPr>
                <w:rFonts w:cstheme="minorHAnsi"/>
                <w:sz w:val="20"/>
                <w:szCs w:val="20"/>
                <w:highlight w:val="black"/>
              </w:rPr>
              <w:t>xx</w:t>
            </w:r>
          </w:p>
        </w:tc>
        <w:tc>
          <w:tcPr>
            <w:tcW w:w="1985" w:type="dxa"/>
            <w:noWrap/>
          </w:tcPr>
          <w:p w14:paraId="2E768A25" w14:textId="573E356C" w:rsidR="004E5715" w:rsidRPr="00D610D2" w:rsidRDefault="00B46B37" w:rsidP="00B327B0">
            <w:pPr>
              <w:spacing w:before="60" w:after="60"/>
              <w:rPr>
                <w:rFonts w:cstheme="minorHAnsi"/>
                <w:sz w:val="20"/>
                <w:szCs w:val="20"/>
              </w:rPr>
            </w:pPr>
            <w:r w:rsidRPr="00B46B37">
              <w:rPr>
                <w:rFonts w:cstheme="minorHAnsi"/>
                <w:sz w:val="20"/>
                <w:szCs w:val="20"/>
                <w:highlight w:val="black"/>
              </w:rPr>
              <w:t>xx</w:t>
            </w:r>
            <w:r>
              <w:rPr>
                <w:rFonts w:cstheme="minorHAnsi"/>
                <w:sz w:val="20"/>
                <w:szCs w:val="20"/>
                <w:highlight w:val="black"/>
              </w:rPr>
              <w:t>xx</w:t>
            </w:r>
            <w:r w:rsidRPr="00B46B37">
              <w:rPr>
                <w:rFonts w:cstheme="minorHAnsi"/>
                <w:sz w:val="20"/>
                <w:szCs w:val="20"/>
                <w:highlight w:val="black"/>
              </w:rPr>
              <w:t>xx</w:t>
            </w:r>
          </w:p>
        </w:tc>
      </w:tr>
      <w:tr w:rsidR="00B46B37" w:rsidRPr="00D610D2" w14:paraId="247B0D43" w14:textId="77777777" w:rsidTr="00B327B0">
        <w:trPr>
          <w:trHeight w:val="120"/>
        </w:trPr>
        <w:tc>
          <w:tcPr>
            <w:tcW w:w="1706" w:type="dxa"/>
            <w:vMerge w:val="restart"/>
            <w:noWrap/>
            <w:hideMark/>
          </w:tcPr>
          <w:p w14:paraId="20EC7B81" w14:textId="77777777" w:rsidR="00B46B37" w:rsidRPr="00D610D2" w:rsidRDefault="00B46B37" w:rsidP="00B46B37">
            <w:pPr>
              <w:spacing w:before="60" w:after="60"/>
              <w:rPr>
                <w:rFonts w:cstheme="minorHAnsi"/>
                <w:b/>
                <w:bCs/>
                <w:sz w:val="20"/>
                <w:szCs w:val="20"/>
              </w:rPr>
            </w:pPr>
            <w:r>
              <w:rPr>
                <w:rFonts w:cstheme="minorHAnsi"/>
                <w:b/>
                <w:bCs/>
                <w:sz w:val="20"/>
                <w:szCs w:val="20"/>
              </w:rPr>
              <w:t>P</w:t>
            </w:r>
            <w:r w:rsidRPr="00D610D2">
              <w:rPr>
                <w:rFonts w:cstheme="minorHAnsi"/>
                <w:b/>
                <w:bCs/>
                <w:sz w:val="20"/>
                <w:szCs w:val="20"/>
              </w:rPr>
              <w:t xml:space="preserve">rescriptions </w:t>
            </w:r>
            <w:r>
              <w:rPr>
                <w:rFonts w:cstheme="minorHAnsi"/>
                <w:b/>
                <w:bCs/>
                <w:sz w:val="20"/>
                <w:szCs w:val="20"/>
              </w:rPr>
              <w:t>(total)</w:t>
            </w:r>
          </w:p>
        </w:tc>
        <w:tc>
          <w:tcPr>
            <w:tcW w:w="1975" w:type="dxa"/>
          </w:tcPr>
          <w:p w14:paraId="2B4AD6BC" w14:textId="77777777" w:rsidR="00B46B37" w:rsidRPr="00D610D2" w:rsidRDefault="00B46B37" w:rsidP="00B46B37">
            <w:pPr>
              <w:spacing w:before="60" w:after="60"/>
              <w:rPr>
                <w:rFonts w:cstheme="minorHAnsi"/>
                <w:sz w:val="20"/>
                <w:szCs w:val="20"/>
              </w:rPr>
            </w:pPr>
            <w:r w:rsidRPr="00D610D2">
              <w:rPr>
                <w:rFonts w:cstheme="minorHAnsi"/>
                <w:sz w:val="20"/>
                <w:szCs w:val="20"/>
              </w:rPr>
              <w:t xml:space="preserve">Predicted </w:t>
            </w:r>
          </w:p>
        </w:tc>
        <w:tc>
          <w:tcPr>
            <w:tcW w:w="2551" w:type="dxa"/>
            <w:noWrap/>
            <w:hideMark/>
          </w:tcPr>
          <w:p w14:paraId="711CC016" w14:textId="3E0CB401" w:rsidR="00B46B37" w:rsidRPr="00D610D2" w:rsidRDefault="00B46B37" w:rsidP="00B46B37">
            <w:pPr>
              <w:spacing w:before="60" w:after="60"/>
              <w:rPr>
                <w:rFonts w:cstheme="minorHAnsi"/>
                <w:sz w:val="20"/>
                <w:szCs w:val="20"/>
              </w:rPr>
            </w:pPr>
            <w:r w:rsidRPr="00B46B37">
              <w:rPr>
                <w:rFonts w:cstheme="minorHAnsi"/>
                <w:sz w:val="20"/>
                <w:szCs w:val="20"/>
                <w:highlight w:val="black"/>
              </w:rPr>
              <w:t>Xx</w:t>
            </w:r>
            <w:r>
              <w:rPr>
                <w:rFonts w:cstheme="minorHAnsi"/>
                <w:sz w:val="20"/>
                <w:szCs w:val="20"/>
                <w:highlight w:val="black"/>
              </w:rPr>
              <w:t>x</w:t>
            </w:r>
            <w:r w:rsidRPr="00B46B37">
              <w:rPr>
                <w:rFonts w:cstheme="minorHAnsi"/>
                <w:sz w:val="20"/>
                <w:szCs w:val="20"/>
                <w:highlight w:val="black"/>
              </w:rPr>
              <w:t>xx</w:t>
            </w:r>
          </w:p>
        </w:tc>
        <w:tc>
          <w:tcPr>
            <w:tcW w:w="1985" w:type="dxa"/>
            <w:noWrap/>
            <w:hideMark/>
          </w:tcPr>
          <w:p w14:paraId="77020B5E" w14:textId="08945850" w:rsidR="00B46B37" w:rsidRPr="00D610D2" w:rsidRDefault="00B46B37" w:rsidP="00B46B37">
            <w:pPr>
              <w:spacing w:before="60" w:after="60"/>
              <w:rPr>
                <w:rFonts w:cstheme="minorHAnsi"/>
                <w:sz w:val="20"/>
                <w:szCs w:val="20"/>
              </w:rPr>
            </w:pPr>
            <w:r w:rsidRPr="00B46B37">
              <w:rPr>
                <w:rFonts w:cstheme="minorHAnsi"/>
                <w:sz w:val="20"/>
                <w:szCs w:val="20"/>
                <w:highlight w:val="black"/>
              </w:rPr>
              <w:t>xx</w:t>
            </w:r>
            <w:r>
              <w:rPr>
                <w:rFonts w:cstheme="minorHAnsi"/>
                <w:sz w:val="20"/>
                <w:szCs w:val="20"/>
                <w:highlight w:val="black"/>
              </w:rPr>
              <w:t>x</w:t>
            </w:r>
            <w:r w:rsidRPr="00B46B37">
              <w:rPr>
                <w:rFonts w:cstheme="minorHAnsi"/>
                <w:sz w:val="20"/>
                <w:szCs w:val="20"/>
                <w:highlight w:val="black"/>
              </w:rPr>
              <w:t>xx</w:t>
            </w:r>
          </w:p>
        </w:tc>
      </w:tr>
      <w:tr w:rsidR="004E5715" w:rsidRPr="00D610D2" w14:paraId="5FA56ECC" w14:textId="77777777" w:rsidTr="00B327B0">
        <w:trPr>
          <w:trHeight w:val="120"/>
        </w:trPr>
        <w:tc>
          <w:tcPr>
            <w:tcW w:w="1706" w:type="dxa"/>
            <w:vMerge/>
            <w:noWrap/>
          </w:tcPr>
          <w:p w14:paraId="1FB87D69" w14:textId="77777777" w:rsidR="004E5715" w:rsidRPr="00D610D2" w:rsidRDefault="004E5715" w:rsidP="00B327B0">
            <w:pPr>
              <w:spacing w:before="60" w:after="60"/>
              <w:rPr>
                <w:rFonts w:cstheme="minorHAnsi"/>
                <w:b/>
                <w:bCs/>
                <w:sz w:val="20"/>
                <w:szCs w:val="20"/>
              </w:rPr>
            </w:pPr>
          </w:p>
        </w:tc>
        <w:tc>
          <w:tcPr>
            <w:tcW w:w="1975" w:type="dxa"/>
          </w:tcPr>
          <w:p w14:paraId="03AFF639" w14:textId="77777777" w:rsidR="004E5715" w:rsidRPr="00D610D2" w:rsidRDefault="004E5715" w:rsidP="00B327B0">
            <w:pPr>
              <w:spacing w:before="60" w:after="60"/>
              <w:rPr>
                <w:rFonts w:cstheme="minorHAnsi"/>
                <w:sz w:val="20"/>
                <w:szCs w:val="20"/>
              </w:rPr>
            </w:pPr>
            <w:r w:rsidRPr="00D610D2">
              <w:rPr>
                <w:rFonts w:cstheme="minorHAnsi"/>
                <w:sz w:val="20"/>
                <w:szCs w:val="20"/>
              </w:rPr>
              <w:t>Actual</w:t>
            </w:r>
          </w:p>
        </w:tc>
        <w:tc>
          <w:tcPr>
            <w:tcW w:w="2551" w:type="dxa"/>
            <w:noWrap/>
          </w:tcPr>
          <w:p w14:paraId="10858A5A" w14:textId="77777777" w:rsidR="004E5715" w:rsidRPr="00D610D2" w:rsidRDefault="004E5715" w:rsidP="00B327B0">
            <w:pPr>
              <w:spacing w:before="60" w:after="60"/>
              <w:rPr>
                <w:rFonts w:cstheme="minorHAnsi"/>
                <w:sz w:val="20"/>
                <w:szCs w:val="20"/>
              </w:rPr>
            </w:pPr>
            <w:r>
              <w:rPr>
                <w:rFonts w:cstheme="minorHAnsi"/>
                <w:sz w:val="20"/>
                <w:szCs w:val="20"/>
              </w:rPr>
              <w:t>2,010</w:t>
            </w:r>
          </w:p>
        </w:tc>
        <w:tc>
          <w:tcPr>
            <w:tcW w:w="1985" w:type="dxa"/>
            <w:noWrap/>
          </w:tcPr>
          <w:p w14:paraId="6E196786" w14:textId="77777777" w:rsidR="004E5715" w:rsidRPr="00D610D2" w:rsidRDefault="004E5715" w:rsidP="00B327B0">
            <w:pPr>
              <w:spacing w:before="60" w:after="60"/>
              <w:rPr>
                <w:rFonts w:cstheme="minorHAnsi"/>
                <w:sz w:val="20"/>
                <w:szCs w:val="20"/>
              </w:rPr>
            </w:pPr>
            <w:r>
              <w:rPr>
                <w:rFonts w:cstheme="minorHAnsi"/>
                <w:sz w:val="20"/>
                <w:szCs w:val="20"/>
              </w:rPr>
              <w:t>6,915</w:t>
            </w:r>
          </w:p>
        </w:tc>
      </w:tr>
      <w:tr w:rsidR="00B46B37" w:rsidRPr="00D610D2" w14:paraId="4CA691EE" w14:textId="77777777" w:rsidTr="00B327B0">
        <w:trPr>
          <w:trHeight w:val="120"/>
        </w:trPr>
        <w:tc>
          <w:tcPr>
            <w:tcW w:w="1706" w:type="dxa"/>
            <w:vMerge/>
            <w:noWrap/>
          </w:tcPr>
          <w:p w14:paraId="68987055" w14:textId="77777777" w:rsidR="00B46B37" w:rsidRPr="00D610D2" w:rsidRDefault="00B46B37" w:rsidP="00B46B37">
            <w:pPr>
              <w:spacing w:before="60" w:after="60"/>
              <w:rPr>
                <w:rFonts w:cstheme="minorHAnsi"/>
                <w:b/>
                <w:bCs/>
                <w:sz w:val="20"/>
                <w:szCs w:val="20"/>
              </w:rPr>
            </w:pPr>
          </w:p>
        </w:tc>
        <w:tc>
          <w:tcPr>
            <w:tcW w:w="1975" w:type="dxa"/>
          </w:tcPr>
          <w:p w14:paraId="3B1A601F" w14:textId="77777777" w:rsidR="00B46B37" w:rsidRPr="00D610D2" w:rsidRDefault="00B46B37" w:rsidP="00B46B37">
            <w:pPr>
              <w:spacing w:before="60" w:after="60"/>
              <w:rPr>
                <w:rFonts w:cstheme="minorHAnsi"/>
                <w:sz w:val="20"/>
                <w:szCs w:val="20"/>
              </w:rPr>
            </w:pPr>
            <w:r w:rsidRPr="00D610D2">
              <w:rPr>
                <w:rFonts w:cstheme="minorHAnsi"/>
                <w:sz w:val="20"/>
                <w:szCs w:val="20"/>
              </w:rPr>
              <w:t xml:space="preserve">%Difference </w:t>
            </w:r>
          </w:p>
        </w:tc>
        <w:tc>
          <w:tcPr>
            <w:tcW w:w="2551" w:type="dxa"/>
            <w:noWrap/>
          </w:tcPr>
          <w:p w14:paraId="7DE646AC" w14:textId="449F4331" w:rsidR="00B46B37" w:rsidRPr="00D610D2" w:rsidRDefault="00B46B37" w:rsidP="00B46B37">
            <w:pPr>
              <w:spacing w:before="60" w:after="60"/>
              <w:rPr>
                <w:rFonts w:cstheme="minorHAnsi"/>
                <w:sz w:val="20"/>
                <w:szCs w:val="20"/>
              </w:rPr>
            </w:pPr>
            <w:r w:rsidRPr="00B46B37">
              <w:rPr>
                <w:rFonts w:cstheme="minorHAnsi"/>
                <w:sz w:val="20"/>
                <w:szCs w:val="20"/>
                <w:highlight w:val="black"/>
              </w:rPr>
              <w:t>Xxxx</w:t>
            </w:r>
          </w:p>
        </w:tc>
        <w:tc>
          <w:tcPr>
            <w:tcW w:w="1985" w:type="dxa"/>
            <w:noWrap/>
          </w:tcPr>
          <w:p w14:paraId="06322448" w14:textId="1B18755B" w:rsidR="00B46B37" w:rsidRPr="00D610D2" w:rsidRDefault="00B46B37" w:rsidP="00B46B37">
            <w:pPr>
              <w:spacing w:before="60" w:after="60"/>
              <w:rPr>
                <w:rFonts w:cstheme="minorHAnsi"/>
                <w:sz w:val="20"/>
                <w:szCs w:val="20"/>
              </w:rPr>
            </w:pPr>
            <w:r w:rsidRPr="00B46B37">
              <w:rPr>
                <w:rFonts w:cstheme="minorHAnsi"/>
                <w:sz w:val="20"/>
                <w:szCs w:val="20"/>
                <w:highlight w:val="black"/>
              </w:rPr>
              <w:t>xx</w:t>
            </w:r>
            <w:r>
              <w:rPr>
                <w:rFonts w:cstheme="minorHAnsi"/>
                <w:sz w:val="20"/>
                <w:szCs w:val="20"/>
                <w:highlight w:val="black"/>
              </w:rPr>
              <w:t>xx</w:t>
            </w:r>
            <w:r w:rsidRPr="00B46B37">
              <w:rPr>
                <w:rFonts w:cstheme="minorHAnsi"/>
                <w:sz w:val="20"/>
                <w:szCs w:val="20"/>
                <w:highlight w:val="black"/>
              </w:rPr>
              <w:t>xx</w:t>
            </w:r>
          </w:p>
        </w:tc>
      </w:tr>
      <w:tr w:rsidR="00B46B37" w:rsidRPr="00D610D2" w14:paraId="6638CB9B" w14:textId="77777777" w:rsidTr="00B327B0">
        <w:trPr>
          <w:trHeight w:val="120"/>
        </w:trPr>
        <w:tc>
          <w:tcPr>
            <w:tcW w:w="1706" w:type="dxa"/>
            <w:vMerge w:val="restart"/>
            <w:noWrap/>
          </w:tcPr>
          <w:p w14:paraId="2D394502" w14:textId="77777777" w:rsidR="00B46B37" w:rsidRPr="00D610D2" w:rsidRDefault="00B46B37" w:rsidP="00B46B37">
            <w:pPr>
              <w:spacing w:before="60" w:after="60"/>
              <w:rPr>
                <w:rFonts w:cstheme="minorHAnsi"/>
                <w:b/>
                <w:bCs/>
                <w:sz w:val="20"/>
                <w:szCs w:val="20"/>
              </w:rPr>
            </w:pPr>
            <w:r>
              <w:rPr>
                <w:rFonts w:cstheme="minorHAnsi"/>
                <w:b/>
                <w:bCs/>
                <w:sz w:val="20"/>
                <w:szCs w:val="20"/>
              </w:rPr>
              <w:t>Prescriptions for 140 mg in 1 mL pen device (10958R)</w:t>
            </w:r>
          </w:p>
        </w:tc>
        <w:tc>
          <w:tcPr>
            <w:tcW w:w="1975" w:type="dxa"/>
          </w:tcPr>
          <w:p w14:paraId="091926A3" w14:textId="77777777" w:rsidR="00B46B37" w:rsidRPr="00D610D2" w:rsidRDefault="00B46B37" w:rsidP="00B46B37">
            <w:pPr>
              <w:spacing w:before="60" w:after="60"/>
              <w:rPr>
                <w:rFonts w:cstheme="minorHAnsi"/>
                <w:sz w:val="20"/>
                <w:szCs w:val="20"/>
              </w:rPr>
            </w:pPr>
            <w:r w:rsidRPr="00D610D2">
              <w:rPr>
                <w:rFonts w:cstheme="minorHAnsi"/>
                <w:sz w:val="20"/>
                <w:szCs w:val="20"/>
              </w:rPr>
              <w:t xml:space="preserve">Predicted </w:t>
            </w:r>
          </w:p>
        </w:tc>
        <w:tc>
          <w:tcPr>
            <w:tcW w:w="2551" w:type="dxa"/>
            <w:noWrap/>
          </w:tcPr>
          <w:p w14:paraId="24EBE494" w14:textId="08625406" w:rsidR="00B46B37" w:rsidRPr="002719B3" w:rsidRDefault="00B46B37" w:rsidP="00B46B37">
            <w:pPr>
              <w:spacing w:before="60" w:after="60"/>
              <w:rPr>
                <w:rFonts w:cstheme="minorHAnsi"/>
                <w:sz w:val="20"/>
                <w:szCs w:val="20"/>
                <w:highlight w:val="yellow"/>
              </w:rPr>
            </w:pPr>
            <w:r w:rsidRPr="00B46B37">
              <w:rPr>
                <w:rFonts w:cstheme="minorHAnsi"/>
                <w:sz w:val="20"/>
                <w:szCs w:val="20"/>
                <w:highlight w:val="black"/>
              </w:rPr>
              <w:t>X</w:t>
            </w:r>
            <w:r>
              <w:rPr>
                <w:rFonts w:cstheme="minorHAnsi"/>
                <w:sz w:val="20"/>
                <w:szCs w:val="20"/>
                <w:highlight w:val="black"/>
              </w:rPr>
              <w:t>x</w:t>
            </w:r>
            <w:r w:rsidRPr="00B46B37">
              <w:rPr>
                <w:rFonts w:cstheme="minorHAnsi"/>
                <w:sz w:val="20"/>
                <w:szCs w:val="20"/>
                <w:highlight w:val="black"/>
              </w:rPr>
              <w:t>xxx</w:t>
            </w:r>
          </w:p>
        </w:tc>
        <w:tc>
          <w:tcPr>
            <w:tcW w:w="1985" w:type="dxa"/>
            <w:noWrap/>
          </w:tcPr>
          <w:p w14:paraId="08ACBF6F" w14:textId="1CDA24D2" w:rsidR="00B46B37" w:rsidRPr="00C0535B" w:rsidRDefault="00B46B37" w:rsidP="00B46B37">
            <w:pPr>
              <w:spacing w:before="60" w:after="60"/>
              <w:rPr>
                <w:rFonts w:cstheme="minorHAnsi"/>
                <w:sz w:val="20"/>
                <w:szCs w:val="20"/>
                <w:vertAlign w:val="superscript"/>
              </w:rPr>
            </w:pPr>
            <w:r w:rsidRPr="00B46B37">
              <w:rPr>
                <w:rFonts w:cstheme="minorHAnsi"/>
                <w:sz w:val="20"/>
                <w:szCs w:val="20"/>
                <w:highlight w:val="black"/>
              </w:rPr>
              <w:t>xx</w:t>
            </w:r>
            <w:r>
              <w:rPr>
                <w:rFonts w:cstheme="minorHAnsi"/>
                <w:sz w:val="20"/>
                <w:szCs w:val="20"/>
                <w:highlight w:val="black"/>
              </w:rPr>
              <w:t>xxx</w:t>
            </w:r>
            <w:r w:rsidRPr="00B46B37">
              <w:rPr>
                <w:rFonts w:cstheme="minorHAnsi"/>
                <w:sz w:val="20"/>
                <w:szCs w:val="20"/>
                <w:highlight w:val="black"/>
              </w:rPr>
              <w:t>xx</w:t>
            </w:r>
          </w:p>
        </w:tc>
      </w:tr>
      <w:tr w:rsidR="004E5715" w:rsidRPr="00D610D2" w14:paraId="4C32102D" w14:textId="77777777" w:rsidTr="00B327B0">
        <w:trPr>
          <w:trHeight w:val="120"/>
        </w:trPr>
        <w:tc>
          <w:tcPr>
            <w:tcW w:w="1706" w:type="dxa"/>
            <w:vMerge/>
            <w:noWrap/>
          </w:tcPr>
          <w:p w14:paraId="2BE7E1AF" w14:textId="77777777" w:rsidR="004E5715" w:rsidRPr="00D610D2" w:rsidRDefault="004E5715" w:rsidP="00B327B0">
            <w:pPr>
              <w:spacing w:before="60" w:after="60"/>
              <w:rPr>
                <w:rFonts w:cstheme="minorHAnsi"/>
                <w:b/>
                <w:bCs/>
                <w:sz w:val="20"/>
                <w:szCs w:val="20"/>
              </w:rPr>
            </w:pPr>
          </w:p>
        </w:tc>
        <w:tc>
          <w:tcPr>
            <w:tcW w:w="1975" w:type="dxa"/>
          </w:tcPr>
          <w:p w14:paraId="79C9D162" w14:textId="77777777" w:rsidR="004E5715" w:rsidRPr="00D610D2" w:rsidRDefault="004E5715" w:rsidP="00B327B0">
            <w:pPr>
              <w:spacing w:before="60" w:after="60"/>
              <w:rPr>
                <w:rFonts w:cstheme="minorHAnsi"/>
                <w:sz w:val="20"/>
                <w:szCs w:val="20"/>
              </w:rPr>
            </w:pPr>
            <w:r w:rsidRPr="00D610D2">
              <w:rPr>
                <w:rFonts w:cstheme="minorHAnsi"/>
                <w:sz w:val="20"/>
                <w:szCs w:val="20"/>
              </w:rPr>
              <w:t>Actual</w:t>
            </w:r>
          </w:p>
        </w:tc>
        <w:tc>
          <w:tcPr>
            <w:tcW w:w="2551" w:type="dxa"/>
            <w:noWrap/>
          </w:tcPr>
          <w:p w14:paraId="4E72A27F" w14:textId="77777777" w:rsidR="004E5715" w:rsidRPr="002719B3" w:rsidRDefault="004E5715" w:rsidP="00B327B0">
            <w:pPr>
              <w:spacing w:before="60" w:after="60"/>
              <w:rPr>
                <w:rFonts w:cstheme="minorHAnsi"/>
                <w:sz w:val="20"/>
                <w:szCs w:val="20"/>
                <w:highlight w:val="yellow"/>
              </w:rPr>
            </w:pPr>
            <w:r>
              <w:rPr>
                <w:rFonts w:cstheme="minorHAnsi"/>
                <w:sz w:val="20"/>
                <w:szCs w:val="20"/>
              </w:rPr>
              <w:t>2,010</w:t>
            </w:r>
          </w:p>
        </w:tc>
        <w:tc>
          <w:tcPr>
            <w:tcW w:w="1985" w:type="dxa"/>
            <w:noWrap/>
          </w:tcPr>
          <w:p w14:paraId="1ED0D2C2" w14:textId="77777777" w:rsidR="004E5715" w:rsidRDefault="004E5715" w:rsidP="00B327B0">
            <w:pPr>
              <w:spacing w:before="60" w:after="60"/>
              <w:rPr>
                <w:rFonts w:cstheme="minorHAnsi"/>
                <w:sz w:val="20"/>
                <w:szCs w:val="20"/>
              </w:rPr>
            </w:pPr>
            <w:r>
              <w:rPr>
                <w:rFonts w:cstheme="minorHAnsi"/>
                <w:sz w:val="20"/>
                <w:szCs w:val="20"/>
              </w:rPr>
              <w:t>6,686</w:t>
            </w:r>
          </w:p>
        </w:tc>
      </w:tr>
      <w:tr w:rsidR="00B46B37" w:rsidRPr="00D610D2" w14:paraId="5076B29D" w14:textId="77777777" w:rsidTr="00B327B0">
        <w:trPr>
          <w:trHeight w:val="120"/>
        </w:trPr>
        <w:tc>
          <w:tcPr>
            <w:tcW w:w="1706" w:type="dxa"/>
            <w:vMerge/>
            <w:noWrap/>
          </w:tcPr>
          <w:p w14:paraId="37A374ED" w14:textId="77777777" w:rsidR="00B46B37" w:rsidRPr="00D610D2" w:rsidRDefault="00B46B37" w:rsidP="00B46B37">
            <w:pPr>
              <w:spacing w:before="60" w:after="60"/>
              <w:rPr>
                <w:rFonts w:cstheme="minorHAnsi"/>
                <w:b/>
                <w:bCs/>
                <w:sz w:val="20"/>
                <w:szCs w:val="20"/>
              </w:rPr>
            </w:pPr>
          </w:p>
        </w:tc>
        <w:tc>
          <w:tcPr>
            <w:tcW w:w="1975" w:type="dxa"/>
          </w:tcPr>
          <w:p w14:paraId="14C97520" w14:textId="77777777" w:rsidR="00B46B37" w:rsidRPr="00D610D2" w:rsidRDefault="00B46B37" w:rsidP="00B46B37">
            <w:pPr>
              <w:spacing w:before="60" w:after="60"/>
              <w:rPr>
                <w:rFonts w:cstheme="minorHAnsi"/>
                <w:sz w:val="20"/>
                <w:szCs w:val="20"/>
              </w:rPr>
            </w:pPr>
            <w:r w:rsidRPr="00D610D2">
              <w:rPr>
                <w:rFonts w:cstheme="minorHAnsi"/>
                <w:sz w:val="20"/>
                <w:szCs w:val="20"/>
              </w:rPr>
              <w:t xml:space="preserve">%Difference </w:t>
            </w:r>
          </w:p>
        </w:tc>
        <w:tc>
          <w:tcPr>
            <w:tcW w:w="2551" w:type="dxa"/>
            <w:noWrap/>
          </w:tcPr>
          <w:p w14:paraId="0F9F1BFA" w14:textId="15129F7A" w:rsidR="00B46B37" w:rsidRPr="002719B3" w:rsidRDefault="00B46B37" w:rsidP="00B46B37">
            <w:pPr>
              <w:spacing w:before="60" w:after="60"/>
              <w:rPr>
                <w:rFonts w:cstheme="minorHAnsi"/>
                <w:sz w:val="20"/>
                <w:szCs w:val="20"/>
                <w:highlight w:val="yellow"/>
              </w:rPr>
            </w:pPr>
            <w:r w:rsidRPr="00B46B37">
              <w:rPr>
                <w:rFonts w:cstheme="minorHAnsi"/>
                <w:sz w:val="20"/>
                <w:szCs w:val="20"/>
                <w:highlight w:val="black"/>
              </w:rPr>
              <w:t>Xxxx</w:t>
            </w:r>
          </w:p>
        </w:tc>
        <w:tc>
          <w:tcPr>
            <w:tcW w:w="1985" w:type="dxa"/>
            <w:noWrap/>
          </w:tcPr>
          <w:p w14:paraId="66010702" w14:textId="00083BDD" w:rsidR="00B46B37" w:rsidRDefault="00B46B37" w:rsidP="00B46B37">
            <w:pPr>
              <w:spacing w:before="60" w:after="60"/>
              <w:rPr>
                <w:rFonts w:cstheme="minorHAnsi"/>
                <w:sz w:val="20"/>
                <w:szCs w:val="20"/>
              </w:rPr>
            </w:pPr>
            <w:r w:rsidRPr="00B46B37">
              <w:rPr>
                <w:rFonts w:cstheme="minorHAnsi"/>
                <w:sz w:val="20"/>
                <w:szCs w:val="20"/>
                <w:highlight w:val="black"/>
              </w:rPr>
              <w:t>xx</w:t>
            </w:r>
            <w:r>
              <w:rPr>
                <w:rFonts w:cstheme="minorHAnsi"/>
                <w:sz w:val="20"/>
                <w:szCs w:val="20"/>
                <w:highlight w:val="black"/>
              </w:rPr>
              <w:t>xx</w:t>
            </w:r>
            <w:r w:rsidRPr="00B46B37">
              <w:rPr>
                <w:rFonts w:cstheme="minorHAnsi"/>
                <w:sz w:val="20"/>
                <w:szCs w:val="20"/>
                <w:highlight w:val="black"/>
              </w:rPr>
              <w:t>xx</w:t>
            </w:r>
          </w:p>
        </w:tc>
      </w:tr>
      <w:tr w:rsidR="00B46B37" w:rsidRPr="00D610D2" w14:paraId="6B13C6C4" w14:textId="77777777" w:rsidTr="00B327B0">
        <w:trPr>
          <w:trHeight w:val="120"/>
        </w:trPr>
        <w:tc>
          <w:tcPr>
            <w:tcW w:w="1706" w:type="dxa"/>
            <w:vMerge w:val="restart"/>
            <w:noWrap/>
          </w:tcPr>
          <w:p w14:paraId="74AF1789" w14:textId="77777777" w:rsidR="00B46B37" w:rsidRPr="00D610D2" w:rsidRDefault="00B46B37" w:rsidP="00B46B37">
            <w:pPr>
              <w:spacing w:before="60" w:after="60"/>
              <w:rPr>
                <w:rFonts w:cstheme="minorHAnsi"/>
                <w:b/>
                <w:bCs/>
                <w:sz w:val="20"/>
                <w:szCs w:val="20"/>
              </w:rPr>
            </w:pPr>
            <w:r>
              <w:rPr>
                <w:rFonts w:cstheme="minorHAnsi"/>
                <w:b/>
                <w:bCs/>
                <w:sz w:val="20"/>
                <w:szCs w:val="20"/>
              </w:rPr>
              <w:t xml:space="preserve">Prescriptions for 420 mg in 3.5 mL cartridge (11193D) </w:t>
            </w:r>
          </w:p>
        </w:tc>
        <w:tc>
          <w:tcPr>
            <w:tcW w:w="1975" w:type="dxa"/>
          </w:tcPr>
          <w:p w14:paraId="7C26CF30" w14:textId="77777777" w:rsidR="00B46B37" w:rsidRPr="00D610D2" w:rsidRDefault="00B46B37" w:rsidP="00B46B37">
            <w:pPr>
              <w:spacing w:before="60" w:after="60"/>
              <w:rPr>
                <w:rFonts w:cstheme="minorHAnsi"/>
                <w:sz w:val="20"/>
                <w:szCs w:val="20"/>
              </w:rPr>
            </w:pPr>
            <w:r w:rsidRPr="00D610D2">
              <w:rPr>
                <w:rFonts w:cstheme="minorHAnsi"/>
                <w:sz w:val="20"/>
                <w:szCs w:val="20"/>
              </w:rPr>
              <w:t xml:space="preserve">Predicted </w:t>
            </w:r>
          </w:p>
        </w:tc>
        <w:tc>
          <w:tcPr>
            <w:tcW w:w="2551" w:type="dxa"/>
            <w:noWrap/>
          </w:tcPr>
          <w:p w14:paraId="77E75E58" w14:textId="77777777" w:rsidR="00B46B37" w:rsidRPr="00B862BA" w:rsidRDefault="00B46B37" w:rsidP="00B46B37">
            <w:pPr>
              <w:spacing w:before="60" w:after="60"/>
              <w:rPr>
                <w:rFonts w:cstheme="minorHAnsi"/>
                <w:sz w:val="20"/>
                <w:szCs w:val="20"/>
              </w:rPr>
            </w:pPr>
            <w:r w:rsidRPr="00B862BA">
              <w:rPr>
                <w:rFonts w:cstheme="minorHAnsi"/>
                <w:sz w:val="20"/>
                <w:szCs w:val="20"/>
              </w:rPr>
              <w:t>n/a</w:t>
            </w:r>
          </w:p>
        </w:tc>
        <w:tc>
          <w:tcPr>
            <w:tcW w:w="1985" w:type="dxa"/>
            <w:noWrap/>
          </w:tcPr>
          <w:p w14:paraId="021B4431" w14:textId="182B9E5C" w:rsidR="00B46B37" w:rsidRPr="00C0535B" w:rsidRDefault="00B46B37" w:rsidP="00B46B37">
            <w:pPr>
              <w:spacing w:before="60" w:after="60"/>
              <w:rPr>
                <w:rFonts w:cstheme="minorHAnsi"/>
                <w:sz w:val="20"/>
                <w:szCs w:val="20"/>
                <w:vertAlign w:val="superscript"/>
              </w:rPr>
            </w:pPr>
            <w:r w:rsidRPr="00B46B37">
              <w:rPr>
                <w:rFonts w:cstheme="minorHAnsi"/>
                <w:sz w:val="20"/>
                <w:szCs w:val="20"/>
                <w:highlight w:val="black"/>
              </w:rPr>
              <w:t>xxxx</w:t>
            </w:r>
          </w:p>
        </w:tc>
      </w:tr>
      <w:tr w:rsidR="004E5715" w:rsidRPr="00D610D2" w14:paraId="366738B9" w14:textId="77777777" w:rsidTr="00B327B0">
        <w:trPr>
          <w:trHeight w:val="120"/>
        </w:trPr>
        <w:tc>
          <w:tcPr>
            <w:tcW w:w="1706" w:type="dxa"/>
            <w:vMerge/>
            <w:noWrap/>
          </w:tcPr>
          <w:p w14:paraId="70BD4B88" w14:textId="77777777" w:rsidR="004E5715" w:rsidRPr="00D610D2" w:rsidRDefault="004E5715" w:rsidP="00B327B0">
            <w:pPr>
              <w:spacing w:before="60" w:after="60"/>
              <w:rPr>
                <w:rFonts w:cstheme="minorHAnsi"/>
                <w:b/>
                <w:bCs/>
                <w:sz w:val="20"/>
                <w:szCs w:val="20"/>
              </w:rPr>
            </w:pPr>
          </w:p>
        </w:tc>
        <w:tc>
          <w:tcPr>
            <w:tcW w:w="1975" w:type="dxa"/>
          </w:tcPr>
          <w:p w14:paraId="29079AC4" w14:textId="77777777" w:rsidR="004E5715" w:rsidRPr="00D610D2" w:rsidRDefault="004E5715" w:rsidP="00B327B0">
            <w:pPr>
              <w:spacing w:before="60" w:after="60"/>
              <w:rPr>
                <w:rFonts w:cstheme="minorHAnsi"/>
                <w:sz w:val="20"/>
                <w:szCs w:val="20"/>
              </w:rPr>
            </w:pPr>
            <w:r w:rsidRPr="00D610D2">
              <w:rPr>
                <w:rFonts w:cstheme="minorHAnsi"/>
                <w:sz w:val="20"/>
                <w:szCs w:val="20"/>
              </w:rPr>
              <w:t>Actual</w:t>
            </w:r>
          </w:p>
        </w:tc>
        <w:tc>
          <w:tcPr>
            <w:tcW w:w="2551" w:type="dxa"/>
            <w:noWrap/>
          </w:tcPr>
          <w:p w14:paraId="23C91C82" w14:textId="77777777" w:rsidR="004E5715" w:rsidRPr="00B862BA" w:rsidRDefault="004E5715" w:rsidP="00B327B0">
            <w:pPr>
              <w:spacing w:before="60" w:after="60"/>
              <w:rPr>
                <w:rFonts w:cstheme="minorHAnsi"/>
                <w:sz w:val="20"/>
                <w:szCs w:val="20"/>
              </w:rPr>
            </w:pPr>
            <w:r w:rsidRPr="00B862BA">
              <w:rPr>
                <w:rFonts w:cstheme="minorHAnsi"/>
                <w:sz w:val="20"/>
                <w:szCs w:val="20"/>
              </w:rPr>
              <w:t>n/a</w:t>
            </w:r>
          </w:p>
        </w:tc>
        <w:tc>
          <w:tcPr>
            <w:tcW w:w="1985" w:type="dxa"/>
            <w:noWrap/>
          </w:tcPr>
          <w:p w14:paraId="75576FC1" w14:textId="77777777" w:rsidR="004E5715" w:rsidRDefault="004E5715" w:rsidP="00B327B0">
            <w:pPr>
              <w:spacing w:before="60" w:after="60"/>
              <w:rPr>
                <w:rFonts w:cstheme="minorHAnsi"/>
                <w:sz w:val="20"/>
                <w:szCs w:val="20"/>
              </w:rPr>
            </w:pPr>
            <w:r>
              <w:rPr>
                <w:rFonts w:cstheme="minorHAnsi"/>
                <w:sz w:val="20"/>
                <w:szCs w:val="20"/>
              </w:rPr>
              <w:t>229</w:t>
            </w:r>
          </w:p>
        </w:tc>
      </w:tr>
      <w:tr w:rsidR="00B46B37" w:rsidRPr="00D610D2" w14:paraId="4AF8E698" w14:textId="77777777" w:rsidTr="00B327B0">
        <w:trPr>
          <w:trHeight w:val="120"/>
        </w:trPr>
        <w:tc>
          <w:tcPr>
            <w:tcW w:w="1706" w:type="dxa"/>
            <w:vMerge/>
            <w:noWrap/>
          </w:tcPr>
          <w:p w14:paraId="30F7E38E" w14:textId="77777777" w:rsidR="00B46B37" w:rsidRPr="00D610D2" w:rsidRDefault="00B46B37" w:rsidP="00B46B37">
            <w:pPr>
              <w:spacing w:before="60" w:after="60"/>
              <w:rPr>
                <w:rFonts w:cstheme="minorHAnsi"/>
                <w:b/>
                <w:bCs/>
                <w:sz w:val="20"/>
                <w:szCs w:val="20"/>
              </w:rPr>
            </w:pPr>
          </w:p>
        </w:tc>
        <w:tc>
          <w:tcPr>
            <w:tcW w:w="1975" w:type="dxa"/>
          </w:tcPr>
          <w:p w14:paraId="30E189F7" w14:textId="77777777" w:rsidR="00B46B37" w:rsidRPr="00D610D2" w:rsidRDefault="00B46B37" w:rsidP="00B46B37">
            <w:pPr>
              <w:spacing w:before="60" w:after="60"/>
              <w:rPr>
                <w:rFonts w:cstheme="minorHAnsi"/>
                <w:sz w:val="20"/>
                <w:szCs w:val="20"/>
              </w:rPr>
            </w:pPr>
            <w:r w:rsidRPr="00D610D2">
              <w:rPr>
                <w:rFonts w:cstheme="minorHAnsi"/>
                <w:sz w:val="20"/>
                <w:szCs w:val="20"/>
              </w:rPr>
              <w:t xml:space="preserve">%Difference </w:t>
            </w:r>
          </w:p>
        </w:tc>
        <w:tc>
          <w:tcPr>
            <w:tcW w:w="2551" w:type="dxa"/>
            <w:noWrap/>
          </w:tcPr>
          <w:p w14:paraId="5776983A" w14:textId="77777777" w:rsidR="00B46B37" w:rsidRPr="00B862BA" w:rsidRDefault="00B46B37" w:rsidP="00B46B37">
            <w:pPr>
              <w:spacing w:before="60" w:after="60"/>
              <w:rPr>
                <w:rFonts w:cstheme="minorHAnsi"/>
                <w:sz w:val="20"/>
                <w:szCs w:val="20"/>
              </w:rPr>
            </w:pPr>
            <w:r w:rsidRPr="00B862BA">
              <w:rPr>
                <w:rFonts w:cstheme="minorHAnsi"/>
                <w:sz w:val="20"/>
                <w:szCs w:val="20"/>
              </w:rPr>
              <w:t>n/a</w:t>
            </w:r>
          </w:p>
        </w:tc>
        <w:tc>
          <w:tcPr>
            <w:tcW w:w="1985" w:type="dxa"/>
            <w:noWrap/>
          </w:tcPr>
          <w:p w14:paraId="7BBADE8E" w14:textId="53E0F520" w:rsidR="00B46B37" w:rsidRDefault="00B46B37" w:rsidP="00B46B37">
            <w:pPr>
              <w:spacing w:before="60" w:after="60"/>
              <w:rPr>
                <w:rFonts w:cstheme="minorHAnsi"/>
                <w:sz w:val="20"/>
                <w:szCs w:val="20"/>
              </w:rPr>
            </w:pPr>
            <w:r w:rsidRPr="00B46B37">
              <w:rPr>
                <w:rFonts w:cstheme="minorHAnsi"/>
                <w:sz w:val="20"/>
                <w:szCs w:val="20"/>
                <w:highlight w:val="black"/>
              </w:rPr>
              <w:t>x</w:t>
            </w:r>
            <w:r>
              <w:rPr>
                <w:rFonts w:cstheme="minorHAnsi"/>
                <w:sz w:val="20"/>
                <w:szCs w:val="20"/>
                <w:highlight w:val="black"/>
              </w:rPr>
              <w:t>xxx</w:t>
            </w:r>
            <w:r w:rsidRPr="00B46B37">
              <w:rPr>
                <w:rFonts w:cstheme="minorHAnsi"/>
                <w:sz w:val="20"/>
                <w:szCs w:val="20"/>
                <w:highlight w:val="black"/>
              </w:rPr>
              <w:t>xxx</w:t>
            </w:r>
          </w:p>
        </w:tc>
      </w:tr>
      <w:tr w:rsidR="004E5715" w:rsidRPr="00D610D2" w14:paraId="5E07114F" w14:textId="77777777" w:rsidTr="00B327B0">
        <w:trPr>
          <w:trHeight w:val="205"/>
        </w:trPr>
        <w:tc>
          <w:tcPr>
            <w:tcW w:w="1706" w:type="dxa"/>
            <w:vMerge w:val="restart"/>
            <w:noWrap/>
            <w:hideMark/>
          </w:tcPr>
          <w:p w14:paraId="49B33C8B" w14:textId="77777777" w:rsidR="004E5715" w:rsidRPr="00D610D2" w:rsidRDefault="004E5715" w:rsidP="00B327B0">
            <w:pPr>
              <w:spacing w:before="60" w:after="60"/>
              <w:rPr>
                <w:rFonts w:cstheme="minorHAnsi"/>
                <w:b/>
                <w:bCs/>
                <w:sz w:val="20"/>
                <w:szCs w:val="20"/>
              </w:rPr>
            </w:pPr>
            <w:r w:rsidRPr="00D610D2">
              <w:rPr>
                <w:rFonts w:cstheme="minorHAnsi"/>
                <w:b/>
                <w:bCs/>
                <w:sz w:val="20"/>
                <w:szCs w:val="20"/>
              </w:rPr>
              <w:t>Expenditure</w:t>
            </w:r>
          </w:p>
        </w:tc>
        <w:tc>
          <w:tcPr>
            <w:tcW w:w="1975" w:type="dxa"/>
          </w:tcPr>
          <w:p w14:paraId="7C268CD7" w14:textId="77777777" w:rsidR="004E5715" w:rsidRPr="00D610D2" w:rsidRDefault="004E5715" w:rsidP="00B327B0">
            <w:pPr>
              <w:spacing w:before="60" w:after="60"/>
              <w:rPr>
                <w:rFonts w:cstheme="minorHAnsi"/>
                <w:sz w:val="20"/>
                <w:szCs w:val="20"/>
              </w:rPr>
            </w:pPr>
            <w:r w:rsidRPr="00D610D2">
              <w:rPr>
                <w:rFonts w:cstheme="minorHAnsi"/>
                <w:sz w:val="20"/>
                <w:szCs w:val="20"/>
              </w:rPr>
              <w:t xml:space="preserve">Predicted </w:t>
            </w:r>
          </w:p>
        </w:tc>
        <w:tc>
          <w:tcPr>
            <w:tcW w:w="2551" w:type="dxa"/>
            <w:noWrap/>
            <w:hideMark/>
          </w:tcPr>
          <w:p w14:paraId="6DF606F8" w14:textId="333C6A10" w:rsidR="004E5715" w:rsidRPr="00B46B37" w:rsidRDefault="00B46B37" w:rsidP="00B327B0">
            <w:pPr>
              <w:spacing w:before="60" w:after="60"/>
              <w:rPr>
                <w:rFonts w:cstheme="minorHAnsi"/>
                <w:sz w:val="20"/>
                <w:szCs w:val="20"/>
                <w:highlight w:val="black"/>
              </w:rPr>
            </w:pPr>
            <w:r w:rsidRPr="00B46B37">
              <w:rPr>
                <w:rFonts w:cstheme="minorHAnsi"/>
                <w:sz w:val="20"/>
                <w:szCs w:val="20"/>
                <w:highlight w:val="black"/>
              </w:rPr>
              <w:t>xxxxxxxxxxx</w:t>
            </w:r>
          </w:p>
        </w:tc>
        <w:tc>
          <w:tcPr>
            <w:tcW w:w="1985" w:type="dxa"/>
            <w:noWrap/>
            <w:hideMark/>
          </w:tcPr>
          <w:p w14:paraId="12764378" w14:textId="2C39EE28" w:rsidR="004E5715" w:rsidRPr="00D610D2" w:rsidRDefault="00B46B37" w:rsidP="00B327B0">
            <w:pPr>
              <w:spacing w:before="60" w:after="60"/>
              <w:rPr>
                <w:rFonts w:cstheme="minorHAnsi"/>
                <w:sz w:val="20"/>
                <w:szCs w:val="20"/>
              </w:rPr>
            </w:pPr>
            <w:r w:rsidRPr="00B46B37">
              <w:rPr>
                <w:rFonts w:cstheme="minorHAnsi"/>
                <w:sz w:val="20"/>
                <w:szCs w:val="20"/>
                <w:highlight w:val="black"/>
              </w:rPr>
              <w:t>xxxxxxxxxxx</w:t>
            </w:r>
          </w:p>
        </w:tc>
      </w:tr>
      <w:tr w:rsidR="004E5715" w:rsidRPr="00D610D2" w14:paraId="3078FFB6" w14:textId="77777777" w:rsidTr="00B327B0">
        <w:trPr>
          <w:trHeight w:val="205"/>
        </w:trPr>
        <w:tc>
          <w:tcPr>
            <w:tcW w:w="1706" w:type="dxa"/>
            <w:vMerge/>
            <w:noWrap/>
          </w:tcPr>
          <w:p w14:paraId="502FDED0" w14:textId="77777777" w:rsidR="004E5715" w:rsidRPr="00D610D2" w:rsidRDefault="004E5715" w:rsidP="00B327B0">
            <w:pPr>
              <w:spacing w:before="60" w:after="60"/>
              <w:rPr>
                <w:rFonts w:cstheme="minorHAnsi"/>
                <w:b/>
                <w:bCs/>
                <w:sz w:val="20"/>
                <w:szCs w:val="20"/>
              </w:rPr>
            </w:pPr>
          </w:p>
        </w:tc>
        <w:tc>
          <w:tcPr>
            <w:tcW w:w="1975" w:type="dxa"/>
            <w:shd w:val="clear" w:color="auto" w:fill="auto"/>
          </w:tcPr>
          <w:p w14:paraId="5783A69B" w14:textId="77777777" w:rsidR="004E5715" w:rsidRPr="00D610D2" w:rsidRDefault="004E5715" w:rsidP="00B327B0">
            <w:pPr>
              <w:spacing w:before="60" w:after="60"/>
              <w:rPr>
                <w:rFonts w:cstheme="minorHAnsi"/>
                <w:sz w:val="20"/>
                <w:szCs w:val="20"/>
              </w:rPr>
            </w:pPr>
            <w:r w:rsidRPr="00D610D2">
              <w:rPr>
                <w:rFonts w:cstheme="minorHAnsi"/>
                <w:sz w:val="20"/>
                <w:szCs w:val="20"/>
              </w:rPr>
              <w:t>Actual</w:t>
            </w:r>
          </w:p>
        </w:tc>
        <w:tc>
          <w:tcPr>
            <w:tcW w:w="2551" w:type="dxa"/>
            <w:shd w:val="clear" w:color="auto" w:fill="auto"/>
            <w:noWrap/>
          </w:tcPr>
          <w:p w14:paraId="709B685D" w14:textId="77777777" w:rsidR="004E5715" w:rsidRPr="00D610D2" w:rsidRDefault="004E5715" w:rsidP="00B327B0">
            <w:pPr>
              <w:spacing w:before="60" w:after="60"/>
              <w:rPr>
                <w:rFonts w:cstheme="minorHAnsi"/>
                <w:sz w:val="20"/>
                <w:szCs w:val="20"/>
              </w:rPr>
            </w:pPr>
            <w:r>
              <w:rPr>
                <w:rFonts w:cstheme="minorHAnsi"/>
                <w:sz w:val="20"/>
                <w:szCs w:val="20"/>
              </w:rPr>
              <w:t>$</w:t>
            </w:r>
            <w:r w:rsidRPr="00561F56">
              <w:rPr>
                <w:rFonts w:cstheme="minorHAnsi"/>
                <w:sz w:val="20"/>
                <w:szCs w:val="20"/>
              </w:rPr>
              <w:t>1</w:t>
            </w:r>
            <w:r>
              <w:rPr>
                <w:rFonts w:cstheme="minorHAnsi"/>
                <w:sz w:val="20"/>
                <w:szCs w:val="20"/>
              </w:rPr>
              <w:t>,</w:t>
            </w:r>
            <w:r w:rsidRPr="00561F56">
              <w:rPr>
                <w:rFonts w:cstheme="minorHAnsi"/>
                <w:sz w:val="20"/>
                <w:szCs w:val="20"/>
              </w:rPr>
              <w:t>84</w:t>
            </w:r>
            <w:r>
              <w:rPr>
                <w:rFonts w:cstheme="minorHAnsi"/>
                <w:sz w:val="20"/>
                <w:szCs w:val="20"/>
              </w:rPr>
              <w:t>8,635</w:t>
            </w:r>
          </w:p>
        </w:tc>
        <w:tc>
          <w:tcPr>
            <w:tcW w:w="1985" w:type="dxa"/>
            <w:shd w:val="clear" w:color="auto" w:fill="auto"/>
            <w:noWrap/>
          </w:tcPr>
          <w:p w14:paraId="14FFB2BF" w14:textId="77777777" w:rsidR="004E5715" w:rsidRPr="00D610D2" w:rsidRDefault="004E5715" w:rsidP="00B327B0">
            <w:pPr>
              <w:spacing w:before="60" w:after="60"/>
              <w:rPr>
                <w:rFonts w:cstheme="minorHAnsi"/>
                <w:sz w:val="20"/>
                <w:szCs w:val="20"/>
              </w:rPr>
            </w:pPr>
            <w:r>
              <w:rPr>
                <w:rFonts w:cstheme="minorHAnsi"/>
                <w:sz w:val="20"/>
                <w:szCs w:val="20"/>
              </w:rPr>
              <w:t>$6,319,473</w:t>
            </w:r>
          </w:p>
        </w:tc>
      </w:tr>
      <w:tr w:rsidR="00B46B37" w:rsidRPr="00D610D2" w14:paraId="5174480C" w14:textId="77777777" w:rsidTr="00B327B0">
        <w:trPr>
          <w:trHeight w:val="205"/>
        </w:trPr>
        <w:tc>
          <w:tcPr>
            <w:tcW w:w="1706" w:type="dxa"/>
            <w:vMerge/>
            <w:noWrap/>
          </w:tcPr>
          <w:p w14:paraId="2CF6B70B" w14:textId="77777777" w:rsidR="00B46B37" w:rsidRPr="00D610D2" w:rsidRDefault="00B46B37" w:rsidP="00B46B37">
            <w:pPr>
              <w:spacing w:before="60" w:after="60"/>
              <w:rPr>
                <w:rFonts w:cstheme="minorHAnsi"/>
                <w:b/>
                <w:bCs/>
                <w:sz w:val="20"/>
                <w:szCs w:val="20"/>
              </w:rPr>
            </w:pPr>
          </w:p>
        </w:tc>
        <w:tc>
          <w:tcPr>
            <w:tcW w:w="1975" w:type="dxa"/>
          </w:tcPr>
          <w:p w14:paraId="0FD8F73E" w14:textId="77777777" w:rsidR="00B46B37" w:rsidRPr="00D610D2" w:rsidRDefault="00B46B37" w:rsidP="00B46B37">
            <w:pPr>
              <w:spacing w:before="60" w:after="60"/>
              <w:rPr>
                <w:rFonts w:cstheme="minorHAnsi"/>
                <w:sz w:val="20"/>
                <w:szCs w:val="20"/>
              </w:rPr>
            </w:pPr>
            <w:r w:rsidRPr="00D610D2">
              <w:rPr>
                <w:rFonts w:cstheme="minorHAnsi"/>
                <w:sz w:val="20"/>
                <w:szCs w:val="20"/>
              </w:rPr>
              <w:t xml:space="preserve">%Difference </w:t>
            </w:r>
          </w:p>
        </w:tc>
        <w:tc>
          <w:tcPr>
            <w:tcW w:w="2551" w:type="dxa"/>
            <w:noWrap/>
          </w:tcPr>
          <w:p w14:paraId="1191BBA0" w14:textId="51219151" w:rsidR="00B46B37" w:rsidRPr="002719B3" w:rsidRDefault="00B46B37" w:rsidP="00B46B37">
            <w:pPr>
              <w:spacing w:before="60" w:after="60"/>
              <w:rPr>
                <w:rFonts w:cstheme="minorHAnsi"/>
                <w:sz w:val="20"/>
                <w:szCs w:val="20"/>
                <w:highlight w:val="yellow"/>
              </w:rPr>
            </w:pPr>
            <w:r w:rsidRPr="00B46B37">
              <w:rPr>
                <w:rFonts w:cstheme="minorHAnsi"/>
                <w:sz w:val="20"/>
                <w:szCs w:val="20"/>
                <w:highlight w:val="black"/>
              </w:rPr>
              <w:t>Xxxx</w:t>
            </w:r>
          </w:p>
        </w:tc>
        <w:tc>
          <w:tcPr>
            <w:tcW w:w="1985" w:type="dxa"/>
            <w:noWrap/>
          </w:tcPr>
          <w:p w14:paraId="1ED7A226" w14:textId="7828B140" w:rsidR="00B46B37" w:rsidRPr="00D610D2" w:rsidRDefault="00B46B37" w:rsidP="00B46B37">
            <w:pPr>
              <w:spacing w:before="60" w:after="60"/>
              <w:rPr>
                <w:rFonts w:cstheme="minorHAnsi"/>
                <w:sz w:val="20"/>
                <w:szCs w:val="20"/>
              </w:rPr>
            </w:pPr>
            <w:r w:rsidRPr="00B46B37">
              <w:rPr>
                <w:rFonts w:cstheme="minorHAnsi"/>
                <w:sz w:val="20"/>
                <w:szCs w:val="20"/>
                <w:highlight w:val="black"/>
              </w:rPr>
              <w:t>x</w:t>
            </w:r>
            <w:r>
              <w:rPr>
                <w:rFonts w:cstheme="minorHAnsi"/>
                <w:sz w:val="20"/>
                <w:szCs w:val="20"/>
                <w:highlight w:val="black"/>
              </w:rPr>
              <w:t>x</w:t>
            </w:r>
            <w:r w:rsidRPr="00B46B37">
              <w:rPr>
                <w:rFonts w:cstheme="minorHAnsi"/>
                <w:sz w:val="20"/>
                <w:szCs w:val="20"/>
                <w:highlight w:val="black"/>
              </w:rPr>
              <w:t>xxx</w:t>
            </w:r>
          </w:p>
        </w:tc>
      </w:tr>
    </w:tbl>
    <w:p w14:paraId="74FCCFB2" w14:textId="77777777" w:rsidR="004E5715" w:rsidRDefault="004E5715" w:rsidP="004E5715">
      <w:pPr>
        <w:autoSpaceDE w:val="0"/>
        <w:autoSpaceDN w:val="0"/>
        <w:adjustRightInd w:val="0"/>
        <w:spacing w:after="0"/>
        <w:contextualSpacing/>
        <w:rPr>
          <w:rFonts w:cs="Calibri"/>
          <w:color w:val="000000"/>
          <w:sz w:val="20"/>
          <w:szCs w:val="20"/>
        </w:rPr>
      </w:pPr>
      <w:r>
        <w:rPr>
          <w:rFonts w:cs="Calibri"/>
          <w:color w:val="000000"/>
          <w:sz w:val="20"/>
          <w:szCs w:val="20"/>
        </w:rPr>
        <w:t>Source: Evolocumab</w:t>
      </w:r>
      <w:r w:rsidRPr="00D610D2">
        <w:rPr>
          <w:rFonts w:cs="Calibri"/>
          <w:color w:val="000000"/>
          <w:sz w:val="20"/>
          <w:szCs w:val="20"/>
        </w:rPr>
        <w:t xml:space="preserve"> Final Estimates</w:t>
      </w:r>
      <w:r>
        <w:rPr>
          <w:rFonts w:cs="Calibri"/>
          <w:color w:val="000000"/>
          <w:sz w:val="20"/>
          <w:szCs w:val="20"/>
        </w:rPr>
        <w:t xml:space="preserve"> 2016 </w:t>
      </w:r>
      <w:r w:rsidRPr="00D610D2">
        <w:rPr>
          <w:rFonts w:cs="Calibri"/>
          <w:color w:val="000000"/>
          <w:sz w:val="20"/>
          <w:szCs w:val="20"/>
        </w:rPr>
        <w:t>(predicted), DHS prescription da</w:t>
      </w:r>
      <w:r>
        <w:rPr>
          <w:rFonts w:cs="Calibri"/>
          <w:color w:val="000000"/>
          <w:sz w:val="20"/>
          <w:szCs w:val="20"/>
        </w:rPr>
        <w:t>tabase (actual), extracted July</w:t>
      </w:r>
      <w:r w:rsidRPr="00D610D2">
        <w:rPr>
          <w:rFonts w:cs="Calibri"/>
          <w:color w:val="000000"/>
          <w:sz w:val="20"/>
          <w:szCs w:val="20"/>
        </w:rPr>
        <w:t xml:space="preserve"> 2019</w:t>
      </w:r>
      <w:r>
        <w:rPr>
          <w:rFonts w:cs="Calibri"/>
          <w:color w:val="000000"/>
          <w:sz w:val="20"/>
          <w:szCs w:val="20"/>
        </w:rPr>
        <w:t>. n/a = not applicable.</w:t>
      </w:r>
    </w:p>
    <w:p w14:paraId="21B8C99D" w14:textId="77777777" w:rsidR="004E5715" w:rsidRDefault="004E5715" w:rsidP="004E5715">
      <w:pPr>
        <w:autoSpaceDE w:val="0"/>
        <w:autoSpaceDN w:val="0"/>
        <w:adjustRightInd w:val="0"/>
        <w:spacing w:after="0"/>
        <w:contextualSpacing/>
        <w:rPr>
          <w:rFonts w:cs="Calibri"/>
          <w:color w:val="000000"/>
          <w:sz w:val="20"/>
          <w:szCs w:val="20"/>
        </w:rPr>
      </w:pPr>
      <w:r>
        <w:rPr>
          <w:rFonts w:cs="Calibri"/>
          <w:color w:val="000000"/>
          <w:sz w:val="20"/>
          <w:szCs w:val="20"/>
        </w:rPr>
        <w:t xml:space="preserve">Note: Expenditure is reported based on published prices. </w:t>
      </w:r>
      <w:r w:rsidRPr="00E160CF">
        <w:rPr>
          <w:rFonts w:cs="Calibri"/>
          <w:color w:val="000000"/>
          <w:sz w:val="20"/>
          <w:szCs w:val="20"/>
        </w:rPr>
        <w:t>Special Pricing Arrangements apply</w:t>
      </w:r>
      <w:r>
        <w:rPr>
          <w:rFonts w:cs="Calibri"/>
          <w:color w:val="000000"/>
          <w:sz w:val="20"/>
          <w:szCs w:val="20"/>
        </w:rPr>
        <w:t>.</w:t>
      </w:r>
    </w:p>
    <w:p w14:paraId="491B5FE1" w14:textId="77777777" w:rsidR="004E5715" w:rsidRDefault="004E5715" w:rsidP="004E5715">
      <w:pPr>
        <w:autoSpaceDE w:val="0"/>
        <w:autoSpaceDN w:val="0"/>
        <w:adjustRightInd w:val="0"/>
        <w:spacing w:after="0"/>
        <w:contextualSpacing/>
        <w:rPr>
          <w:rFonts w:cs="Calibri"/>
          <w:color w:val="000000"/>
          <w:sz w:val="20"/>
          <w:szCs w:val="20"/>
        </w:rPr>
      </w:pPr>
      <w:r>
        <w:rPr>
          <w:rFonts w:cs="Calibri"/>
          <w:color w:val="000000"/>
          <w:sz w:val="20"/>
          <w:szCs w:val="20"/>
          <w:vertAlign w:val="superscript"/>
        </w:rPr>
        <w:t>*</w:t>
      </w:r>
      <w:r>
        <w:rPr>
          <w:rFonts w:cs="Calibri"/>
          <w:color w:val="000000"/>
          <w:sz w:val="20"/>
          <w:szCs w:val="20"/>
        </w:rPr>
        <w:t xml:space="preserve">From the July 2017 PBAC submission for listing of the </w:t>
      </w:r>
      <w:r w:rsidRPr="00C0535B">
        <w:rPr>
          <w:rFonts w:cs="Calibri"/>
          <w:color w:val="000000"/>
          <w:sz w:val="20"/>
          <w:szCs w:val="20"/>
        </w:rPr>
        <w:t>420mg in 3.5mL pre-filled cartridge</w:t>
      </w:r>
    </w:p>
    <w:p w14:paraId="3A3A1E65" w14:textId="77777777" w:rsidR="004E5715" w:rsidRDefault="004E5715" w:rsidP="004E5715">
      <w:pPr>
        <w:jc w:val="both"/>
      </w:pPr>
    </w:p>
    <w:p w14:paraId="62ACD27E" w14:textId="77777777" w:rsidR="004E5715" w:rsidRDefault="004E5715" w:rsidP="004E5715">
      <w:pPr>
        <w:jc w:val="both"/>
      </w:pPr>
      <w:r>
        <w:t>The sponsor’s predicted number of patients, prescriptions and expenditure were very similar between listing years 1 and 2; i.e. the sponsor predicted very little growth in the market. The actual number of patients receiving evolocumab was higher than predicted in both year 1 and year 2. The number of PBS subsidised prescriptions of evolocumab was close to the predicted number in Year 1 but was higher than predicted in year 2 of listing. The government expenditure was lower than predicted in the first year of listing but was higher than expected in the second year of listing.</w:t>
      </w:r>
    </w:p>
    <w:p w14:paraId="1B1428C2" w14:textId="77777777" w:rsidR="004E5715" w:rsidRDefault="004E5715" w:rsidP="004E5715">
      <w:r>
        <w:t>In the July 2017 submission, the sponsor estimated that the 420 mg in 3.5 mL pre-filled cartridge would substitute for 2% of the 140 mg in 1 mL pre-filled pen prescriptions. Actual data show that the cartridge accounted for 3% of the market in its first year of listing (i.e. the second year of evolocumab listing), although use of both forms was higher than expected.</w:t>
      </w:r>
    </w:p>
    <w:sectPr w:rsidR="004E5715" w:rsidSect="00DD188C">
      <w:headerReference w:type="even" r:id="rId29"/>
      <w:headerReference w:type="default" r:id="rId30"/>
      <w:footerReference w:type="even" r:id="rId31"/>
      <w:footerReference w:type="default" r:id="rId32"/>
      <w:headerReference w:type="first" r:id="rId33"/>
      <w:footerReference w:type="first" r:id="rId3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D272" w14:textId="77777777" w:rsidR="00B327B0" w:rsidRDefault="00B327B0" w:rsidP="00A35800">
      <w:r>
        <w:separator/>
      </w:r>
    </w:p>
  </w:endnote>
  <w:endnote w:type="continuationSeparator" w:id="0">
    <w:p w14:paraId="0E86646B" w14:textId="77777777" w:rsidR="00B327B0" w:rsidRDefault="00B327B0"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B327B0" w:rsidRDefault="00B327B0"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327B0" w:rsidRDefault="00B327B0"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623EA1CB" w14:textId="70E90F16" w:rsidR="00B327B0" w:rsidRDefault="00B327B0" w:rsidP="000E72C6">
            <w:pPr>
              <w:pStyle w:val="Footer"/>
              <w:jc w:val="center"/>
              <w:rPr>
                <w:i/>
                <w:sz w:val="20"/>
              </w:rPr>
            </w:pPr>
            <w:r w:rsidRPr="00DB78D7">
              <w:rPr>
                <w:i/>
                <w:sz w:val="20"/>
              </w:rPr>
              <w:t xml:space="preserve">Public Release Document, </w:t>
            </w:r>
            <w:r>
              <w:rPr>
                <w:i/>
                <w:sz w:val="20"/>
              </w:rPr>
              <w:t>June 2021</w:t>
            </w:r>
            <w:r w:rsidRPr="00DB78D7">
              <w:rPr>
                <w:i/>
                <w:sz w:val="20"/>
              </w:rPr>
              <w:t xml:space="preserve"> DUSC Meeting</w:t>
            </w:r>
          </w:p>
          <w:p w14:paraId="10292A9A" w14:textId="6E05D374" w:rsidR="00B327B0" w:rsidRDefault="00B327B0" w:rsidP="000E72C6">
            <w:pPr>
              <w:pStyle w:val="Footer"/>
              <w:jc w:val="center"/>
              <w:rPr>
                <w:rStyle w:val="PageNumber"/>
              </w:rPr>
            </w:pPr>
            <w:r>
              <w:rPr>
                <w:i/>
                <w:sz w:val="20"/>
              </w:rPr>
              <w:t>P</w:t>
            </w:r>
            <w:r w:rsidRPr="00DD188C">
              <w:rPr>
                <w:i/>
                <w:sz w:val="20"/>
              </w:rPr>
              <w:t xml:space="preserve">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27</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B327B0" w:rsidRDefault="00B327B0" w:rsidP="007A5733">
    <w:pPr>
      <w:pStyle w:val="Footer"/>
      <w:jc w:val="center"/>
      <w:rPr>
        <w:rStyle w:val="PageNumber"/>
      </w:rPr>
    </w:pPr>
    <w:r>
      <w:rPr>
        <w:rStyle w:val="PageNumber"/>
      </w:rPr>
      <w:t>Committee-in-Confidence</w:t>
    </w:r>
  </w:p>
  <w:p w14:paraId="3CE6880B" w14:textId="77777777" w:rsidR="00B327B0" w:rsidRDefault="00B327B0"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8D7BC" w14:textId="77777777" w:rsidR="00B327B0" w:rsidRDefault="00B327B0" w:rsidP="00A35800">
      <w:r>
        <w:separator/>
      </w:r>
    </w:p>
  </w:footnote>
  <w:footnote w:type="continuationSeparator" w:id="0">
    <w:p w14:paraId="16109323" w14:textId="77777777" w:rsidR="00B327B0" w:rsidRDefault="00B327B0" w:rsidP="00A35800">
      <w:r>
        <w:continuationSeparator/>
      </w:r>
    </w:p>
  </w:footnote>
  <w:footnote w:id="1">
    <w:p w14:paraId="0A4DD767" w14:textId="77777777" w:rsidR="00B327B0" w:rsidRPr="00BC5AE2" w:rsidRDefault="00B327B0"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1" w:history="1">
        <w:r>
          <w:rPr>
            <w:rStyle w:val="Hyperlink"/>
            <w:sz w:val="20"/>
          </w:rPr>
          <w:t>http://www.medicareaustralia.gov.au/provider/pbs/stats.jsp</w:t>
        </w:r>
      </w:hyperlink>
      <w:r>
        <w:rPr>
          <w:sz w:val="20"/>
        </w:rPr>
        <w:t>&gt;.</w:t>
      </w:r>
    </w:p>
  </w:footnote>
  <w:footnote w:id="2">
    <w:p w14:paraId="7CBEBD4D" w14:textId="77777777" w:rsidR="00B327B0" w:rsidRPr="00864EA9" w:rsidRDefault="00B327B0" w:rsidP="00864EA9">
      <w:pPr>
        <w:pStyle w:val="FootnoteText"/>
        <w:rPr>
          <w:sz w:val="20"/>
        </w:rPr>
      </w:pPr>
      <w:r>
        <w:rPr>
          <w:rStyle w:val="FootnoteReference"/>
        </w:rPr>
        <w:footnoteRef/>
      </w:r>
      <w:r>
        <w:t xml:space="preserve"> </w:t>
      </w:r>
      <w:r w:rsidRPr="00864EA9">
        <w:rPr>
          <w:sz w:val="20"/>
        </w:rPr>
        <w:t xml:space="preserve">Watts GF, Shaw JE, Pang J, Magliano DJ, Jennings GLR, Carrington MJ, Prevalence and treatment of familial hypercholesterolaemia in Australian communities, International Journal of Cardiology, Volume 185, 2015, Pages 69-71, </w:t>
      </w:r>
      <w:hyperlink r:id="rId2" w:history="1">
        <w:r w:rsidRPr="00864EA9">
          <w:rPr>
            <w:rStyle w:val="Hyperlink"/>
            <w:sz w:val="20"/>
          </w:rPr>
          <w:t>https://doi.org/10.1016/j.ijcard.2015.03.027</w:t>
        </w:r>
      </w:hyperlink>
      <w:r w:rsidRPr="00864EA9">
        <w:rPr>
          <w:sz w:val="20"/>
        </w:rPr>
        <w:t xml:space="preserve"> </w:t>
      </w:r>
    </w:p>
  </w:footnote>
  <w:footnote w:id="3">
    <w:p w14:paraId="71DA55FD" w14:textId="77777777" w:rsidR="00B327B0" w:rsidRPr="00AD4980" w:rsidRDefault="00B327B0" w:rsidP="004E5715">
      <w:pPr>
        <w:pStyle w:val="FootnoteText"/>
        <w:rPr>
          <w:rFonts w:cstheme="minorHAnsi"/>
        </w:rPr>
      </w:pPr>
      <w:r w:rsidRPr="00AD4980">
        <w:rPr>
          <w:rStyle w:val="FootnoteReference"/>
          <w:rFonts w:cstheme="minorHAnsi"/>
        </w:rPr>
        <w:footnoteRef/>
      </w:r>
      <w:r w:rsidRPr="00AD4980">
        <w:rPr>
          <w:rFonts w:cstheme="minorHAnsi"/>
        </w:rPr>
        <w:t xml:space="preserve"> </w:t>
      </w:r>
      <w:r>
        <w:rPr>
          <w:rFonts w:cstheme="minorHAnsi"/>
        </w:rPr>
        <w:t xml:space="preserve">Evolocumab Public Summary Document, March 2018, p9, </w:t>
      </w:r>
      <w:hyperlink r:id="rId3" w:history="1">
        <w:r w:rsidRPr="005630F6">
          <w:rPr>
            <w:rStyle w:val="Hyperlink"/>
            <w:rFonts w:cstheme="minorHAnsi"/>
          </w:rPr>
          <w:t>https://www.pbs.gov.au/industry/listing/elements/pbac-meetings/psd/2018-03/files/evolocumab-psd-march-2018.pdf</w:t>
        </w:r>
      </w:hyperlink>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861F3" w14:textId="77777777" w:rsidR="00B327B0" w:rsidRDefault="00B32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F15D" w14:textId="77777777" w:rsidR="00B327B0" w:rsidRDefault="00B32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271DC" w14:textId="77777777" w:rsidR="00B327B0" w:rsidRDefault="00B3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44236"/>
    <w:multiLevelType w:val="hybridMultilevel"/>
    <w:tmpl w:val="871A5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D836D1"/>
    <w:multiLevelType w:val="hybridMultilevel"/>
    <w:tmpl w:val="58B23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96109D"/>
    <w:multiLevelType w:val="hybridMultilevel"/>
    <w:tmpl w:val="FED4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826579C"/>
    <w:multiLevelType w:val="hybridMultilevel"/>
    <w:tmpl w:val="7E54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D558AE"/>
    <w:multiLevelType w:val="hybridMultilevel"/>
    <w:tmpl w:val="FA6CC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7E85"/>
    <w:rsid w:val="00013465"/>
    <w:rsid w:val="000226B3"/>
    <w:rsid w:val="00023561"/>
    <w:rsid w:val="00024549"/>
    <w:rsid w:val="000544B6"/>
    <w:rsid w:val="00055E09"/>
    <w:rsid w:val="00056C94"/>
    <w:rsid w:val="000604AF"/>
    <w:rsid w:val="00086C11"/>
    <w:rsid w:val="00094DCF"/>
    <w:rsid w:val="000A120E"/>
    <w:rsid w:val="000A6CFD"/>
    <w:rsid w:val="000A7C00"/>
    <w:rsid w:val="000B0664"/>
    <w:rsid w:val="000B0982"/>
    <w:rsid w:val="000B796C"/>
    <w:rsid w:val="000C0D67"/>
    <w:rsid w:val="000C46BB"/>
    <w:rsid w:val="000C4D9D"/>
    <w:rsid w:val="000C7C4B"/>
    <w:rsid w:val="000C7D8B"/>
    <w:rsid w:val="000E3F7B"/>
    <w:rsid w:val="000E485D"/>
    <w:rsid w:val="000E4E80"/>
    <w:rsid w:val="000E72C6"/>
    <w:rsid w:val="000F1893"/>
    <w:rsid w:val="000F2F51"/>
    <w:rsid w:val="00113CF8"/>
    <w:rsid w:val="00113D74"/>
    <w:rsid w:val="00117C5C"/>
    <w:rsid w:val="001310AE"/>
    <w:rsid w:val="001420B3"/>
    <w:rsid w:val="001460C4"/>
    <w:rsid w:val="001479EF"/>
    <w:rsid w:val="0015691C"/>
    <w:rsid w:val="001621F7"/>
    <w:rsid w:val="001624D7"/>
    <w:rsid w:val="00177B86"/>
    <w:rsid w:val="00182585"/>
    <w:rsid w:val="00191182"/>
    <w:rsid w:val="0019664D"/>
    <w:rsid w:val="001A6103"/>
    <w:rsid w:val="001A7C17"/>
    <w:rsid w:val="001B5D37"/>
    <w:rsid w:val="001B79FF"/>
    <w:rsid w:val="001C2940"/>
    <w:rsid w:val="001C4016"/>
    <w:rsid w:val="001C548D"/>
    <w:rsid w:val="001C6A5D"/>
    <w:rsid w:val="001E045D"/>
    <w:rsid w:val="001E31A6"/>
    <w:rsid w:val="001E42C7"/>
    <w:rsid w:val="001E4CAB"/>
    <w:rsid w:val="001E6391"/>
    <w:rsid w:val="001F0A4E"/>
    <w:rsid w:val="001F2F3E"/>
    <w:rsid w:val="001F4906"/>
    <w:rsid w:val="001F7C4A"/>
    <w:rsid w:val="0020578A"/>
    <w:rsid w:val="00207631"/>
    <w:rsid w:val="00213A82"/>
    <w:rsid w:val="00214013"/>
    <w:rsid w:val="00220FC1"/>
    <w:rsid w:val="00222E9A"/>
    <w:rsid w:val="0023179D"/>
    <w:rsid w:val="00245AF8"/>
    <w:rsid w:val="0025389D"/>
    <w:rsid w:val="00254E02"/>
    <w:rsid w:val="0026265F"/>
    <w:rsid w:val="002805FB"/>
    <w:rsid w:val="00286C3A"/>
    <w:rsid w:val="002930F5"/>
    <w:rsid w:val="002A06B7"/>
    <w:rsid w:val="002A2714"/>
    <w:rsid w:val="002B7BC5"/>
    <w:rsid w:val="002C610A"/>
    <w:rsid w:val="002C6E0C"/>
    <w:rsid w:val="002C727E"/>
    <w:rsid w:val="002C78A6"/>
    <w:rsid w:val="002D144A"/>
    <w:rsid w:val="002E19A3"/>
    <w:rsid w:val="002E212B"/>
    <w:rsid w:val="002E3337"/>
    <w:rsid w:val="002E6D03"/>
    <w:rsid w:val="002F49A8"/>
    <w:rsid w:val="002F5E66"/>
    <w:rsid w:val="002F61CA"/>
    <w:rsid w:val="0030010D"/>
    <w:rsid w:val="00326A8D"/>
    <w:rsid w:val="00332067"/>
    <w:rsid w:val="0033504C"/>
    <w:rsid w:val="00336816"/>
    <w:rsid w:val="003370D0"/>
    <w:rsid w:val="00337355"/>
    <w:rsid w:val="003402E4"/>
    <w:rsid w:val="00340F95"/>
    <w:rsid w:val="00353047"/>
    <w:rsid w:val="003531ED"/>
    <w:rsid w:val="003579F8"/>
    <w:rsid w:val="00360B9A"/>
    <w:rsid w:val="00367C83"/>
    <w:rsid w:val="003725BF"/>
    <w:rsid w:val="003825B2"/>
    <w:rsid w:val="00382A5F"/>
    <w:rsid w:val="0039017F"/>
    <w:rsid w:val="00394AEE"/>
    <w:rsid w:val="00394E19"/>
    <w:rsid w:val="003B77DF"/>
    <w:rsid w:val="003B7969"/>
    <w:rsid w:val="003C2D98"/>
    <w:rsid w:val="003C306B"/>
    <w:rsid w:val="003D3A96"/>
    <w:rsid w:val="003D3B9C"/>
    <w:rsid w:val="003F37ED"/>
    <w:rsid w:val="004047BD"/>
    <w:rsid w:val="00404F03"/>
    <w:rsid w:val="00412051"/>
    <w:rsid w:val="00423B94"/>
    <w:rsid w:val="00427520"/>
    <w:rsid w:val="004311BE"/>
    <w:rsid w:val="00460030"/>
    <w:rsid w:val="00463731"/>
    <w:rsid w:val="0046400A"/>
    <w:rsid w:val="00467B25"/>
    <w:rsid w:val="00481108"/>
    <w:rsid w:val="0049042B"/>
    <w:rsid w:val="00495473"/>
    <w:rsid w:val="004A458E"/>
    <w:rsid w:val="004A45EE"/>
    <w:rsid w:val="004B0406"/>
    <w:rsid w:val="004B0FB2"/>
    <w:rsid w:val="004B23E7"/>
    <w:rsid w:val="004B306F"/>
    <w:rsid w:val="004C3186"/>
    <w:rsid w:val="004C5042"/>
    <w:rsid w:val="004D1DE6"/>
    <w:rsid w:val="004E4422"/>
    <w:rsid w:val="004E5715"/>
    <w:rsid w:val="00503998"/>
    <w:rsid w:val="0050623B"/>
    <w:rsid w:val="00506B86"/>
    <w:rsid w:val="00513080"/>
    <w:rsid w:val="00523181"/>
    <w:rsid w:val="00523425"/>
    <w:rsid w:val="00524D13"/>
    <w:rsid w:val="00532B59"/>
    <w:rsid w:val="005339F6"/>
    <w:rsid w:val="00547B95"/>
    <w:rsid w:val="00576B18"/>
    <w:rsid w:val="00587724"/>
    <w:rsid w:val="00591512"/>
    <w:rsid w:val="005A04CD"/>
    <w:rsid w:val="005B2D91"/>
    <w:rsid w:val="005B48B4"/>
    <w:rsid w:val="005C4408"/>
    <w:rsid w:val="005C6661"/>
    <w:rsid w:val="005C6E3B"/>
    <w:rsid w:val="005D1157"/>
    <w:rsid w:val="005D474B"/>
    <w:rsid w:val="005E085C"/>
    <w:rsid w:val="005E147D"/>
    <w:rsid w:val="005E22C2"/>
    <w:rsid w:val="005E57BB"/>
    <w:rsid w:val="005F0017"/>
    <w:rsid w:val="005F293D"/>
    <w:rsid w:val="006014F1"/>
    <w:rsid w:val="00604DFD"/>
    <w:rsid w:val="00610DF0"/>
    <w:rsid w:val="00612829"/>
    <w:rsid w:val="0061357B"/>
    <w:rsid w:val="00614A7D"/>
    <w:rsid w:val="0063631C"/>
    <w:rsid w:val="0063757B"/>
    <w:rsid w:val="006377CE"/>
    <w:rsid w:val="006445DA"/>
    <w:rsid w:val="006537D9"/>
    <w:rsid w:val="00655F19"/>
    <w:rsid w:val="00656EB7"/>
    <w:rsid w:val="00664A48"/>
    <w:rsid w:val="00665DEF"/>
    <w:rsid w:val="00667E20"/>
    <w:rsid w:val="00675BB1"/>
    <w:rsid w:val="006775F1"/>
    <w:rsid w:val="00690CFA"/>
    <w:rsid w:val="00691F9E"/>
    <w:rsid w:val="00692AA7"/>
    <w:rsid w:val="00694BC5"/>
    <w:rsid w:val="0069520E"/>
    <w:rsid w:val="00697FEC"/>
    <w:rsid w:val="006A0864"/>
    <w:rsid w:val="006A175F"/>
    <w:rsid w:val="006A188C"/>
    <w:rsid w:val="006A44F5"/>
    <w:rsid w:val="006A655D"/>
    <w:rsid w:val="006B4537"/>
    <w:rsid w:val="006B5F85"/>
    <w:rsid w:val="006B6929"/>
    <w:rsid w:val="006B709B"/>
    <w:rsid w:val="006C54AF"/>
    <w:rsid w:val="006D76AF"/>
    <w:rsid w:val="006E0181"/>
    <w:rsid w:val="006E35B4"/>
    <w:rsid w:val="006F5C26"/>
    <w:rsid w:val="00700C0E"/>
    <w:rsid w:val="00705DAD"/>
    <w:rsid w:val="007247B9"/>
    <w:rsid w:val="00725EB0"/>
    <w:rsid w:val="00727D85"/>
    <w:rsid w:val="007346C7"/>
    <w:rsid w:val="00736041"/>
    <w:rsid w:val="007408C7"/>
    <w:rsid w:val="007458D6"/>
    <w:rsid w:val="007465DA"/>
    <w:rsid w:val="00751CC8"/>
    <w:rsid w:val="00752C7F"/>
    <w:rsid w:val="00752FC6"/>
    <w:rsid w:val="00753D04"/>
    <w:rsid w:val="007664F3"/>
    <w:rsid w:val="00775C36"/>
    <w:rsid w:val="00776598"/>
    <w:rsid w:val="0079038C"/>
    <w:rsid w:val="00792948"/>
    <w:rsid w:val="00796E84"/>
    <w:rsid w:val="007A3ADE"/>
    <w:rsid w:val="007A4CF2"/>
    <w:rsid w:val="007A5733"/>
    <w:rsid w:val="007A5774"/>
    <w:rsid w:val="007C55B2"/>
    <w:rsid w:val="007F2983"/>
    <w:rsid w:val="00801DC7"/>
    <w:rsid w:val="00801E74"/>
    <w:rsid w:val="008021F8"/>
    <w:rsid w:val="008024AE"/>
    <w:rsid w:val="0080485E"/>
    <w:rsid w:val="008142B4"/>
    <w:rsid w:val="00832324"/>
    <w:rsid w:val="00835337"/>
    <w:rsid w:val="00846DCD"/>
    <w:rsid w:val="008506AF"/>
    <w:rsid w:val="00851D85"/>
    <w:rsid w:val="008557FA"/>
    <w:rsid w:val="00860CCB"/>
    <w:rsid w:val="00864EA9"/>
    <w:rsid w:val="00872FCD"/>
    <w:rsid w:val="008740A3"/>
    <w:rsid w:val="00890BFB"/>
    <w:rsid w:val="0089297B"/>
    <w:rsid w:val="00895499"/>
    <w:rsid w:val="008A08D9"/>
    <w:rsid w:val="008A24B6"/>
    <w:rsid w:val="008B2F30"/>
    <w:rsid w:val="008C36CA"/>
    <w:rsid w:val="008D6596"/>
    <w:rsid w:val="008E2A63"/>
    <w:rsid w:val="008E3F8C"/>
    <w:rsid w:val="00902FD0"/>
    <w:rsid w:val="009053D3"/>
    <w:rsid w:val="0090691F"/>
    <w:rsid w:val="009165D7"/>
    <w:rsid w:val="0093017B"/>
    <w:rsid w:val="0093111F"/>
    <w:rsid w:val="0093180A"/>
    <w:rsid w:val="00931923"/>
    <w:rsid w:val="00935689"/>
    <w:rsid w:val="0094150D"/>
    <w:rsid w:val="0095303B"/>
    <w:rsid w:val="00961F6D"/>
    <w:rsid w:val="00966236"/>
    <w:rsid w:val="009663B6"/>
    <w:rsid w:val="00971A04"/>
    <w:rsid w:val="00974A47"/>
    <w:rsid w:val="00980286"/>
    <w:rsid w:val="00990DCF"/>
    <w:rsid w:val="00991158"/>
    <w:rsid w:val="009A3B10"/>
    <w:rsid w:val="009A4CD6"/>
    <w:rsid w:val="009A537C"/>
    <w:rsid w:val="009C0886"/>
    <w:rsid w:val="009C19EE"/>
    <w:rsid w:val="009C28D0"/>
    <w:rsid w:val="009C35F2"/>
    <w:rsid w:val="009C7782"/>
    <w:rsid w:val="009D1ED5"/>
    <w:rsid w:val="009D4C13"/>
    <w:rsid w:val="009E21A7"/>
    <w:rsid w:val="009F20ED"/>
    <w:rsid w:val="009F5E8B"/>
    <w:rsid w:val="00A028DF"/>
    <w:rsid w:val="00A0471D"/>
    <w:rsid w:val="00A0779E"/>
    <w:rsid w:val="00A103ED"/>
    <w:rsid w:val="00A13C60"/>
    <w:rsid w:val="00A15134"/>
    <w:rsid w:val="00A16E60"/>
    <w:rsid w:val="00A25A31"/>
    <w:rsid w:val="00A341A3"/>
    <w:rsid w:val="00A35800"/>
    <w:rsid w:val="00A5179B"/>
    <w:rsid w:val="00A52918"/>
    <w:rsid w:val="00A547B3"/>
    <w:rsid w:val="00A70E82"/>
    <w:rsid w:val="00A84CAD"/>
    <w:rsid w:val="00A90E50"/>
    <w:rsid w:val="00A95FA5"/>
    <w:rsid w:val="00A966F2"/>
    <w:rsid w:val="00A96D92"/>
    <w:rsid w:val="00AA7770"/>
    <w:rsid w:val="00AB199C"/>
    <w:rsid w:val="00AB3733"/>
    <w:rsid w:val="00AB588C"/>
    <w:rsid w:val="00AB7897"/>
    <w:rsid w:val="00AC5054"/>
    <w:rsid w:val="00AD52AE"/>
    <w:rsid w:val="00AE16B2"/>
    <w:rsid w:val="00AE4BAC"/>
    <w:rsid w:val="00B034FC"/>
    <w:rsid w:val="00B05310"/>
    <w:rsid w:val="00B060CC"/>
    <w:rsid w:val="00B10A0B"/>
    <w:rsid w:val="00B30D85"/>
    <w:rsid w:val="00B327B0"/>
    <w:rsid w:val="00B35A4A"/>
    <w:rsid w:val="00B37332"/>
    <w:rsid w:val="00B453CF"/>
    <w:rsid w:val="00B46B37"/>
    <w:rsid w:val="00B55540"/>
    <w:rsid w:val="00B63FD7"/>
    <w:rsid w:val="00B716C1"/>
    <w:rsid w:val="00B74E06"/>
    <w:rsid w:val="00B76961"/>
    <w:rsid w:val="00B816D9"/>
    <w:rsid w:val="00B8228C"/>
    <w:rsid w:val="00B9120F"/>
    <w:rsid w:val="00B9216C"/>
    <w:rsid w:val="00B924A4"/>
    <w:rsid w:val="00BA189E"/>
    <w:rsid w:val="00BB0D1A"/>
    <w:rsid w:val="00BB1D3B"/>
    <w:rsid w:val="00BC35ED"/>
    <w:rsid w:val="00BE205A"/>
    <w:rsid w:val="00BE3802"/>
    <w:rsid w:val="00BF238E"/>
    <w:rsid w:val="00BF2F4A"/>
    <w:rsid w:val="00BF544D"/>
    <w:rsid w:val="00C0076F"/>
    <w:rsid w:val="00C02CED"/>
    <w:rsid w:val="00C0301C"/>
    <w:rsid w:val="00C050B6"/>
    <w:rsid w:val="00C108CE"/>
    <w:rsid w:val="00C10F12"/>
    <w:rsid w:val="00C22769"/>
    <w:rsid w:val="00C245EA"/>
    <w:rsid w:val="00C256F6"/>
    <w:rsid w:val="00C3097E"/>
    <w:rsid w:val="00C35ECC"/>
    <w:rsid w:val="00C361A8"/>
    <w:rsid w:val="00C41246"/>
    <w:rsid w:val="00C45E5F"/>
    <w:rsid w:val="00C46291"/>
    <w:rsid w:val="00C612BC"/>
    <w:rsid w:val="00C63412"/>
    <w:rsid w:val="00C714D0"/>
    <w:rsid w:val="00C90EF4"/>
    <w:rsid w:val="00CA015A"/>
    <w:rsid w:val="00CA5419"/>
    <w:rsid w:val="00CB3211"/>
    <w:rsid w:val="00CC1AA3"/>
    <w:rsid w:val="00CD4486"/>
    <w:rsid w:val="00CF5E22"/>
    <w:rsid w:val="00D01B6E"/>
    <w:rsid w:val="00D03E8C"/>
    <w:rsid w:val="00D057A0"/>
    <w:rsid w:val="00D06A44"/>
    <w:rsid w:val="00D151EB"/>
    <w:rsid w:val="00D20AF0"/>
    <w:rsid w:val="00D300E0"/>
    <w:rsid w:val="00D374CD"/>
    <w:rsid w:val="00D650CE"/>
    <w:rsid w:val="00D71719"/>
    <w:rsid w:val="00D776DA"/>
    <w:rsid w:val="00D85E6B"/>
    <w:rsid w:val="00D8758B"/>
    <w:rsid w:val="00D90097"/>
    <w:rsid w:val="00D942B3"/>
    <w:rsid w:val="00D94863"/>
    <w:rsid w:val="00DA7D09"/>
    <w:rsid w:val="00DB23D7"/>
    <w:rsid w:val="00DB78D7"/>
    <w:rsid w:val="00DC2630"/>
    <w:rsid w:val="00DC49E9"/>
    <w:rsid w:val="00DC55E4"/>
    <w:rsid w:val="00DC7D71"/>
    <w:rsid w:val="00DD188C"/>
    <w:rsid w:val="00DD28C0"/>
    <w:rsid w:val="00DD29A3"/>
    <w:rsid w:val="00DD48EE"/>
    <w:rsid w:val="00DE0B96"/>
    <w:rsid w:val="00DE10B9"/>
    <w:rsid w:val="00DF0B13"/>
    <w:rsid w:val="00DF2EB8"/>
    <w:rsid w:val="00DF4A94"/>
    <w:rsid w:val="00DF6003"/>
    <w:rsid w:val="00E00095"/>
    <w:rsid w:val="00E066C3"/>
    <w:rsid w:val="00E10D8C"/>
    <w:rsid w:val="00E1353A"/>
    <w:rsid w:val="00E1479E"/>
    <w:rsid w:val="00E1564B"/>
    <w:rsid w:val="00E208A0"/>
    <w:rsid w:val="00E25B49"/>
    <w:rsid w:val="00E26B93"/>
    <w:rsid w:val="00E371EA"/>
    <w:rsid w:val="00E4022B"/>
    <w:rsid w:val="00E4690C"/>
    <w:rsid w:val="00E63B15"/>
    <w:rsid w:val="00E64429"/>
    <w:rsid w:val="00E677DD"/>
    <w:rsid w:val="00E710C9"/>
    <w:rsid w:val="00E7594B"/>
    <w:rsid w:val="00EB0EB2"/>
    <w:rsid w:val="00EB45CD"/>
    <w:rsid w:val="00EB4688"/>
    <w:rsid w:val="00EB6C07"/>
    <w:rsid w:val="00EC028D"/>
    <w:rsid w:val="00ED633B"/>
    <w:rsid w:val="00EE2BBB"/>
    <w:rsid w:val="00EE478C"/>
    <w:rsid w:val="00F1132C"/>
    <w:rsid w:val="00F15DD5"/>
    <w:rsid w:val="00F17D4B"/>
    <w:rsid w:val="00F23139"/>
    <w:rsid w:val="00F31116"/>
    <w:rsid w:val="00F3128A"/>
    <w:rsid w:val="00F34DF6"/>
    <w:rsid w:val="00F4362D"/>
    <w:rsid w:val="00F56077"/>
    <w:rsid w:val="00F66CD5"/>
    <w:rsid w:val="00F67A9A"/>
    <w:rsid w:val="00F70F4E"/>
    <w:rsid w:val="00F7157B"/>
    <w:rsid w:val="00F73113"/>
    <w:rsid w:val="00F75FC4"/>
    <w:rsid w:val="00F777E5"/>
    <w:rsid w:val="00F85981"/>
    <w:rsid w:val="00F87263"/>
    <w:rsid w:val="00F93725"/>
    <w:rsid w:val="00FA1C8C"/>
    <w:rsid w:val="00FA4890"/>
    <w:rsid w:val="00FB5E9A"/>
    <w:rsid w:val="00FB77FA"/>
    <w:rsid w:val="00FC3C70"/>
    <w:rsid w:val="00FC4A73"/>
    <w:rsid w:val="00FC559C"/>
    <w:rsid w:val="00FC7F0D"/>
    <w:rsid w:val="00FD2B37"/>
    <w:rsid w:val="00FE2CE2"/>
    <w:rsid w:val="00FE645A"/>
    <w:rsid w:val="00FF6102"/>
    <w:rsid w:val="00FF69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C01F9B"/>
  <w15:docId w15:val="{7CE8CC4A-A350-47BE-A6A2-61EBADE6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147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3527">
      <w:bodyDiv w:val="1"/>
      <w:marLeft w:val="0"/>
      <w:marRight w:val="0"/>
      <w:marTop w:val="0"/>
      <w:marBottom w:val="0"/>
      <w:divBdr>
        <w:top w:val="none" w:sz="0" w:space="0" w:color="auto"/>
        <w:left w:val="none" w:sz="0" w:space="0" w:color="auto"/>
        <w:bottom w:val="none" w:sz="0" w:space="0" w:color="auto"/>
        <w:right w:val="none" w:sz="0" w:space="0" w:color="auto"/>
      </w:divBdr>
    </w:div>
    <w:div w:id="297998674">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35440534">
      <w:bodyDiv w:val="1"/>
      <w:marLeft w:val="0"/>
      <w:marRight w:val="0"/>
      <w:marTop w:val="0"/>
      <w:marBottom w:val="0"/>
      <w:divBdr>
        <w:top w:val="none" w:sz="0" w:space="0" w:color="auto"/>
        <w:left w:val="none" w:sz="0" w:space="0" w:color="auto"/>
        <w:bottom w:val="none" w:sz="0" w:space="0" w:color="auto"/>
        <w:right w:val="none" w:sz="0" w:space="0" w:color="auto"/>
      </w:divBdr>
    </w:div>
    <w:div w:id="599534283">
      <w:bodyDiv w:val="1"/>
      <w:marLeft w:val="0"/>
      <w:marRight w:val="0"/>
      <w:marTop w:val="0"/>
      <w:marBottom w:val="0"/>
      <w:divBdr>
        <w:top w:val="none" w:sz="0" w:space="0" w:color="auto"/>
        <w:left w:val="none" w:sz="0" w:space="0" w:color="auto"/>
        <w:bottom w:val="none" w:sz="0" w:space="0" w:color="auto"/>
        <w:right w:val="none" w:sz="0" w:space="0" w:color="auto"/>
      </w:divBdr>
    </w:div>
    <w:div w:id="622688187">
      <w:bodyDiv w:val="1"/>
      <w:marLeft w:val="0"/>
      <w:marRight w:val="0"/>
      <w:marTop w:val="0"/>
      <w:marBottom w:val="0"/>
      <w:divBdr>
        <w:top w:val="none" w:sz="0" w:space="0" w:color="auto"/>
        <w:left w:val="none" w:sz="0" w:space="0" w:color="auto"/>
        <w:bottom w:val="none" w:sz="0" w:space="0" w:color="auto"/>
        <w:right w:val="none" w:sz="0" w:space="0" w:color="auto"/>
      </w:divBdr>
    </w:div>
    <w:div w:id="824518610">
      <w:bodyDiv w:val="1"/>
      <w:marLeft w:val="0"/>
      <w:marRight w:val="0"/>
      <w:marTop w:val="0"/>
      <w:marBottom w:val="0"/>
      <w:divBdr>
        <w:top w:val="none" w:sz="0" w:space="0" w:color="auto"/>
        <w:left w:val="none" w:sz="0" w:space="0" w:color="auto"/>
        <w:bottom w:val="none" w:sz="0" w:space="0" w:color="auto"/>
        <w:right w:val="none" w:sz="0" w:space="0" w:color="auto"/>
      </w:divBdr>
    </w:div>
    <w:div w:id="865406316">
      <w:bodyDiv w:val="1"/>
      <w:marLeft w:val="0"/>
      <w:marRight w:val="0"/>
      <w:marTop w:val="0"/>
      <w:marBottom w:val="0"/>
      <w:divBdr>
        <w:top w:val="none" w:sz="0" w:space="0" w:color="auto"/>
        <w:left w:val="none" w:sz="0" w:space="0" w:color="auto"/>
        <w:bottom w:val="none" w:sz="0" w:space="0" w:color="auto"/>
        <w:right w:val="none" w:sz="0" w:space="0" w:color="auto"/>
      </w:divBdr>
    </w:div>
    <w:div w:id="941645711">
      <w:bodyDiv w:val="1"/>
      <w:marLeft w:val="0"/>
      <w:marRight w:val="0"/>
      <w:marTop w:val="0"/>
      <w:marBottom w:val="0"/>
      <w:divBdr>
        <w:top w:val="none" w:sz="0" w:space="0" w:color="auto"/>
        <w:left w:val="none" w:sz="0" w:space="0" w:color="auto"/>
        <w:bottom w:val="none" w:sz="0" w:space="0" w:color="auto"/>
        <w:right w:val="none" w:sz="0" w:space="0" w:color="auto"/>
      </w:divBdr>
    </w:div>
    <w:div w:id="971331536">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2849202">
      <w:bodyDiv w:val="1"/>
      <w:marLeft w:val="0"/>
      <w:marRight w:val="0"/>
      <w:marTop w:val="0"/>
      <w:marBottom w:val="0"/>
      <w:divBdr>
        <w:top w:val="none" w:sz="0" w:space="0" w:color="auto"/>
        <w:left w:val="none" w:sz="0" w:space="0" w:color="auto"/>
        <w:bottom w:val="none" w:sz="0" w:space="0" w:color="auto"/>
        <w:right w:val="none" w:sz="0" w:space="0" w:color="auto"/>
      </w:divBdr>
    </w:div>
    <w:div w:id="1247300158">
      <w:bodyDiv w:val="1"/>
      <w:marLeft w:val="0"/>
      <w:marRight w:val="0"/>
      <w:marTop w:val="0"/>
      <w:marBottom w:val="0"/>
      <w:divBdr>
        <w:top w:val="none" w:sz="0" w:space="0" w:color="auto"/>
        <w:left w:val="none" w:sz="0" w:space="0" w:color="auto"/>
        <w:bottom w:val="none" w:sz="0" w:space="0" w:color="auto"/>
        <w:right w:val="none" w:sz="0" w:space="0" w:color="auto"/>
      </w:divBdr>
    </w:div>
    <w:div w:id="1288465621">
      <w:bodyDiv w:val="1"/>
      <w:marLeft w:val="0"/>
      <w:marRight w:val="0"/>
      <w:marTop w:val="0"/>
      <w:marBottom w:val="0"/>
      <w:divBdr>
        <w:top w:val="none" w:sz="0" w:space="0" w:color="auto"/>
        <w:left w:val="none" w:sz="0" w:space="0" w:color="auto"/>
        <w:bottom w:val="none" w:sz="0" w:space="0" w:color="auto"/>
        <w:right w:val="none" w:sz="0" w:space="0" w:color="auto"/>
      </w:divBdr>
    </w:div>
    <w:div w:id="1353922710">
      <w:bodyDiv w:val="1"/>
      <w:marLeft w:val="0"/>
      <w:marRight w:val="0"/>
      <w:marTop w:val="0"/>
      <w:marBottom w:val="0"/>
      <w:divBdr>
        <w:top w:val="none" w:sz="0" w:space="0" w:color="auto"/>
        <w:left w:val="none" w:sz="0" w:space="0" w:color="auto"/>
        <w:bottom w:val="none" w:sz="0" w:space="0" w:color="auto"/>
        <w:right w:val="none" w:sz="0" w:space="0" w:color="auto"/>
      </w:divBdr>
    </w:div>
    <w:div w:id="1548180133">
      <w:bodyDiv w:val="1"/>
      <w:marLeft w:val="0"/>
      <w:marRight w:val="0"/>
      <w:marTop w:val="0"/>
      <w:marBottom w:val="0"/>
      <w:divBdr>
        <w:top w:val="none" w:sz="0" w:space="0" w:color="auto"/>
        <w:left w:val="none" w:sz="0" w:space="0" w:color="auto"/>
        <w:bottom w:val="none" w:sz="0" w:space="0" w:color="auto"/>
        <w:right w:val="none" w:sz="0" w:space="0" w:color="auto"/>
      </w:divBdr>
    </w:div>
    <w:div w:id="1614365585">
      <w:bodyDiv w:val="1"/>
      <w:marLeft w:val="0"/>
      <w:marRight w:val="0"/>
      <w:marTop w:val="0"/>
      <w:marBottom w:val="0"/>
      <w:divBdr>
        <w:top w:val="none" w:sz="0" w:space="0" w:color="auto"/>
        <w:left w:val="none" w:sz="0" w:space="0" w:color="auto"/>
        <w:bottom w:val="none" w:sz="0" w:space="0" w:color="auto"/>
        <w:right w:val="none" w:sz="0" w:space="0" w:color="auto"/>
      </w:divBdr>
    </w:div>
    <w:div w:id="1768691670">
      <w:bodyDiv w:val="1"/>
      <w:marLeft w:val="0"/>
      <w:marRight w:val="0"/>
      <w:marTop w:val="0"/>
      <w:marBottom w:val="0"/>
      <w:divBdr>
        <w:top w:val="none" w:sz="0" w:space="0" w:color="auto"/>
        <w:left w:val="none" w:sz="0" w:space="0" w:color="auto"/>
        <w:bottom w:val="none" w:sz="0" w:space="0" w:color="auto"/>
        <w:right w:val="none" w:sz="0" w:space="0" w:color="auto"/>
      </w:divBdr>
    </w:div>
    <w:div w:id="1899245847">
      <w:bodyDiv w:val="1"/>
      <w:marLeft w:val="120"/>
      <w:marRight w:val="120"/>
      <w:marTop w:val="0"/>
      <w:marBottom w:val="0"/>
      <w:divBdr>
        <w:top w:val="none" w:sz="0" w:space="0" w:color="auto"/>
        <w:left w:val="none" w:sz="0" w:space="0" w:color="auto"/>
        <w:bottom w:val="none" w:sz="0" w:space="0" w:color="auto"/>
        <w:right w:val="none" w:sz="0" w:space="0" w:color="auto"/>
      </w:divBdr>
    </w:div>
    <w:div w:id="19231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info/industry/listing/elements/pbac-meetings/psd/2015-03/evolocumab-injection-repatha-2015-03-psd" TargetMode="External"/><Relationship Id="rId18" Type="http://schemas.openxmlformats.org/officeDocument/2006/relationships/hyperlink" Target="https://www.pbs.gov.au/info/industry/listing/elements/pbac-meetings/psd/2020-11/evolocumab-injection-140-mg-in-1-ml-single-use-pre-filled"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hyperlink" Target="https://www.pbs.gov.au/info/industry/listing/elements/pbac-meetings/psd/2019-11/evolocumab-injection-420-mg-in-3-5-ml-single-use-pre-filled-cartridge" TargetMode="External"/><Relationship Id="rId25" Type="http://schemas.openxmlformats.org/officeDocument/2006/relationships/chart" Target="charts/chart5.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info/industry/listing/elements/pbac-meetings/psd/2018-03/Evolocumab-psd-march-2018" TargetMode="External"/><Relationship Id="rId20" Type="http://schemas.openxmlformats.org/officeDocument/2006/relationships/chart" Target="charts/char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gov.au/info/industry/listing/elements/pbac-meetings/psd/2017-11/evolocumab-psd-november-2017" TargetMode="External"/><Relationship Id="rId23" Type="http://schemas.openxmlformats.org/officeDocument/2006/relationships/image" Target="media/image1.png"/><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www.pbs.gov.au/pbs/home" TargetMode="External"/><Relationship Id="rId19" Type="http://schemas.openxmlformats.org/officeDocument/2006/relationships/hyperlink" Target="https://www.pbs.gov.au/info/industry/listing/participants/public-release-docs/2019-10/evolocumab-for-homozygous-familial-hypercholesterolaemi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fo/industry/listing/elements/pbac-meetings/psd/2016-03/evolocumab-repatha-psd-03-2016" TargetMode="External"/><Relationship Id="rId22" Type="http://schemas.openxmlformats.org/officeDocument/2006/relationships/chart" Target="charts/chart3.xml"/><Relationship Id="rId27" Type="http://schemas.openxmlformats.org/officeDocument/2006/relationships/chart" Target="charts/chart7.xm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dustry/listing/elements/pbac-meetings/psd/2018-03/files/evolocumab-psd-march-2018.pdf" TargetMode="External"/><Relationship Id="rId2" Type="http://schemas.openxmlformats.org/officeDocument/2006/relationships/hyperlink" Target="https://doi.org/10.1016/j.ijcard.2015.03.027" TargetMode="External"/><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9%20-%20evolocumab%20DUSC%20review%20June%202021\D1309%20-%20Evolocumab%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9%20-%20evolocumab%20DUSC%20review%20June%202021\D1309%20-%20Evolocumab%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9%20-%20evolocumab%20DUSC%20review%20June%202021\D1309%20-%20Evolocumab%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9%20-%20evolocumab%20DUSC%20review%20June%202021\D1309%20-%20Evolocumab%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9%20-%20evolocumab%20DUSC%20review%20June%202021\D1309%20-%20Evolocumab%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9%20-%20evolocumab%20DUSC%20review%20June%202021\D1309%20-%20Evolocumab%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9%20-%20evolocumab%20DUSC%20review%20June%202021\D1309%20-%20Evolocumab%20data.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[D1309 - Evolocumab data.xlsx]type2!PivotTable2</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type2!$S$1:$S$2</c:f>
              <c:strCache>
                <c:ptCount val="1"/>
                <c:pt idx="0">
                  <c:v>Homozygous</c:v>
                </c:pt>
              </c:strCache>
            </c:strRef>
          </c:tx>
          <c:spPr>
            <a:ln w="28575" cap="rnd">
              <a:solidFill>
                <a:schemeClr val="accent1"/>
              </a:solidFill>
              <a:round/>
            </a:ln>
            <a:effectLst/>
          </c:spPr>
          <c:marker>
            <c:symbol val="none"/>
          </c:marker>
          <c:cat>
            <c:strRef>
              <c:f>type2!$R$3:$R$21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type2!$S$3:$S$21</c:f>
              <c:numCache>
                <c:formatCode>General</c:formatCode>
                <c:ptCount val="18"/>
                <c:pt idx="0">
                  <c:v>11</c:v>
                </c:pt>
                <c:pt idx="1">
                  <c:v>120</c:v>
                </c:pt>
                <c:pt idx="2">
                  <c:v>433</c:v>
                </c:pt>
                <c:pt idx="3">
                  <c:v>780</c:v>
                </c:pt>
                <c:pt idx="4">
                  <c:v>1074</c:v>
                </c:pt>
                <c:pt idx="5">
                  <c:v>1360</c:v>
                </c:pt>
                <c:pt idx="6">
                  <c:v>1775</c:v>
                </c:pt>
                <c:pt idx="7">
                  <c:v>1963</c:v>
                </c:pt>
                <c:pt idx="8">
                  <c:v>2157</c:v>
                </c:pt>
                <c:pt idx="9">
                  <c:v>2105</c:v>
                </c:pt>
                <c:pt idx="10">
                  <c:v>2269</c:v>
                </c:pt>
                <c:pt idx="11">
                  <c:v>2331</c:v>
                </c:pt>
                <c:pt idx="12">
                  <c:v>2534</c:v>
                </c:pt>
                <c:pt idx="13">
                  <c:v>2678</c:v>
                </c:pt>
                <c:pt idx="14">
                  <c:v>2538</c:v>
                </c:pt>
                <c:pt idx="15">
                  <c:v>2868</c:v>
                </c:pt>
                <c:pt idx="16">
                  <c:v>3189</c:v>
                </c:pt>
                <c:pt idx="17">
                  <c:v>3172</c:v>
                </c:pt>
              </c:numCache>
            </c:numRef>
          </c:val>
          <c:smooth val="0"/>
          <c:extLst>
            <c:ext xmlns:c16="http://schemas.microsoft.com/office/drawing/2014/chart" uri="{C3380CC4-5D6E-409C-BE32-E72D297353CC}">
              <c16:uniqueId val="{00000000-892F-4780-84EB-EFEF176C3185}"/>
            </c:ext>
          </c:extLst>
        </c:ser>
        <c:ser>
          <c:idx val="1"/>
          <c:order val="1"/>
          <c:tx>
            <c:strRef>
              <c:f>type2!$T$1:$T$2</c:f>
              <c:strCache>
                <c:ptCount val="1"/>
                <c:pt idx="0">
                  <c:v>Heterozygous</c:v>
                </c:pt>
              </c:strCache>
            </c:strRef>
          </c:tx>
          <c:spPr>
            <a:ln w="28575" cap="rnd">
              <a:solidFill>
                <a:schemeClr val="accent2"/>
              </a:solidFill>
              <a:round/>
            </a:ln>
            <a:effectLst/>
          </c:spPr>
          <c:marker>
            <c:symbol val="none"/>
          </c:marker>
          <c:cat>
            <c:strRef>
              <c:f>type2!$R$3:$R$21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type2!$T$3:$T$21</c:f>
              <c:numCache>
                <c:formatCode>General</c:formatCode>
                <c:ptCount val="18"/>
                <c:pt idx="8">
                  <c:v>74</c:v>
                </c:pt>
                <c:pt idx="9">
                  <c:v>391</c:v>
                </c:pt>
                <c:pt idx="10">
                  <c:v>710</c:v>
                </c:pt>
                <c:pt idx="11">
                  <c:v>982</c:v>
                </c:pt>
                <c:pt idx="12">
                  <c:v>1312</c:v>
                </c:pt>
                <c:pt idx="13">
                  <c:v>1659</c:v>
                </c:pt>
                <c:pt idx="14">
                  <c:v>536</c:v>
                </c:pt>
              </c:numCache>
            </c:numRef>
          </c:val>
          <c:smooth val="0"/>
          <c:extLst>
            <c:ext xmlns:c16="http://schemas.microsoft.com/office/drawing/2014/chart" uri="{C3380CC4-5D6E-409C-BE32-E72D297353CC}">
              <c16:uniqueId val="{00000001-892F-4780-84EB-EFEF176C3185}"/>
            </c:ext>
          </c:extLst>
        </c:ser>
        <c:ser>
          <c:idx val="2"/>
          <c:order val="2"/>
          <c:tx>
            <c:strRef>
              <c:f>type2!$U$1:$U$2</c:f>
              <c:strCache>
                <c:ptCount val="1"/>
                <c:pt idx="0">
                  <c:v>Heterozygous/Non-Familial</c:v>
                </c:pt>
              </c:strCache>
            </c:strRef>
          </c:tx>
          <c:spPr>
            <a:ln w="28575" cap="rnd">
              <a:solidFill>
                <a:schemeClr val="accent3"/>
              </a:solidFill>
              <a:round/>
            </a:ln>
            <a:effectLst/>
          </c:spPr>
          <c:marker>
            <c:symbol val="none"/>
          </c:marker>
          <c:cat>
            <c:strRef>
              <c:f>type2!$R$3:$R$21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type2!$U$3:$U$21</c:f>
              <c:numCache>
                <c:formatCode>General</c:formatCode>
                <c:ptCount val="18"/>
                <c:pt idx="14">
                  <c:v>1615</c:v>
                </c:pt>
                <c:pt idx="15">
                  <c:v>3888</c:v>
                </c:pt>
                <c:pt idx="16">
                  <c:v>5635</c:v>
                </c:pt>
                <c:pt idx="17">
                  <c:v>6293</c:v>
                </c:pt>
              </c:numCache>
            </c:numRef>
          </c:val>
          <c:smooth val="0"/>
          <c:extLst>
            <c:ext xmlns:c16="http://schemas.microsoft.com/office/drawing/2014/chart" uri="{C3380CC4-5D6E-409C-BE32-E72D297353CC}">
              <c16:uniqueId val="{00000002-892F-4780-84EB-EFEF176C3185}"/>
            </c:ext>
          </c:extLst>
        </c:ser>
        <c:ser>
          <c:idx val="3"/>
          <c:order val="3"/>
          <c:tx>
            <c:strRef>
              <c:f>type2!$V$1:$V$2</c:f>
              <c:strCache>
                <c:ptCount val="1"/>
                <c:pt idx="0">
                  <c:v>Total</c:v>
                </c:pt>
              </c:strCache>
            </c:strRef>
          </c:tx>
          <c:spPr>
            <a:ln w="28575" cap="rnd">
              <a:solidFill>
                <a:schemeClr val="accent4"/>
              </a:solidFill>
              <a:round/>
            </a:ln>
            <a:effectLst/>
          </c:spPr>
          <c:marker>
            <c:symbol val="none"/>
          </c:marker>
          <c:cat>
            <c:strRef>
              <c:f>type2!$R$3:$R$21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type2!$V$3:$V$21</c:f>
              <c:numCache>
                <c:formatCode>General</c:formatCode>
                <c:ptCount val="18"/>
                <c:pt idx="0">
                  <c:v>11</c:v>
                </c:pt>
                <c:pt idx="1">
                  <c:v>120</c:v>
                </c:pt>
                <c:pt idx="2">
                  <c:v>433</c:v>
                </c:pt>
                <c:pt idx="3">
                  <c:v>780</c:v>
                </c:pt>
                <c:pt idx="4">
                  <c:v>1074</c:v>
                </c:pt>
                <c:pt idx="5">
                  <c:v>1360</c:v>
                </c:pt>
                <c:pt idx="6">
                  <c:v>1775</c:v>
                </c:pt>
                <c:pt idx="7">
                  <c:v>1963</c:v>
                </c:pt>
                <c:pt idx="8">
                  <c:v>2231</c:v>
                </c:pt>
                <c:pt idx="9">
                  <c:v>2496</c:v>
                </c:pt>
                <c:pt idx="10">
                  <c:v>2979</c:v>
                </c:pt>
                <c:pt idx="11">
                  <c:v>3313</c:v>
                </c:pt>
                <c:pt idx="12">
                  <c:v>3846</c:v>
                </c:pt>
                <c:pt idx="13">
                  <c:v>4337</c:v>
                </c:pt>
                <c:pt idx="14">
                  <c:v>4689</c:v>
                </c:pt>
                <c:pt idx="15">
                  <c:v>6756</c:v>
                </c:pt>
                <c:pt idx="16">
                  <c:v>8824</c:v>
                </c:pt>
                <c:pt idx="17">
                  <c:v>9465</c:v>
                </c:pt>
              </c:numCache>
            </c:numRef>
          </c:val>
          <c:smooth val="0"/>
          <c:extLst>
            <c:ext xmlns:c16="http://schemas.microsoft.com/office/drawing/2014/chart" uri="{C3380CC4-5D6E-409C-BE32-E72D297353CC}">
              <c16:uniqueId val="{00000003-892F-4780-84EB-EFEF176C3185}"/>
            </c:ext>
          </c:extLst>
        </c:ser>
        <c:dLbls>
          <c:showLegendKey val="0"/>
          <c:showVal val="0"/>
          <c:showCatName val="0"/>
          <c:showSerName val="0"/>
          <c:showPercent val="0"/>
          <c:showBubbleSize val="0"/>
        </c:dLbls>
        <c:smooth val="0"/>
        <c:axId val="867893112"/>
        <c:axId val="867894096"/>
      </c:lineChart>
      <c:catAx>
        <c:axId val="867893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894096"/>
        <c:crosses val="autoZero"/>
        <c:auto val="1"/>
        <c:lblAlgn val="ctr"/>
        <c:lblOffset val="100"/>
        <c:noMultiLvlLbl val="0"/>
      </c:catAx>
      <c:valAx>
        <c:axId val="867894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893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[D1309 - Evolocumab data.xlsx]type str code!PivotTable4</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'type str code'!$AA$1:$AA$2</c:f>
              <c:strCache>
                <c:ptCount val="1"/>
                <c:pt idx="0">
                  <c:v>Homozygous</c:v>
                </c:pt>
              </c:strCache>
            </c:strRef>
          </c:tx>
          <c:spPr>
            <a:ln w="28575" cap="rnd">
              <a:solidFill>
                <a:schemeClr val="accent1"/>
              </a:solidFill>
              <a:round/>
            </a:ln>
            <a:effectLst/>
          </c:spPr>
          <c:marker>
            <c:symbol val="none"/>
          </c:marker>
          <c:cat>
            <c:strRef>
              <c:f>'type str code'!$Z$3:$Z$7</c:f>
              <c:strCache>
                <c:ptCount val="4"/>
                <c:pt idx="0">
                  <c:v>2020Q2</c:v>
                </c:pt>
                <c:pt idx="1">
                  <c:v>2020Q3</c:v>
                </c:pt>
                <c:pt idx="2">
                  <c:v>2020Q4</c:v>
                </c:pt>
                <c:pt idx="3">
                  <c:v>2021Q1</c:v>
                </c:pt>
              </c:strCache>
            </c:strRef>
          </c:cat>
          <c:val>
            <c:numRef>
              <c:f>'type str code'!$AA$3:$AA$7</c:f>
              <c:numCache>
                <c:formatCode>General</c:formatCode>
                <c:ptCount val="4"/>
                <c:pt idx="0">
                  <c:v>156</c:v>
                </c:pt>
                <c:pt idx="1">
                  <c:v>827</c:v>
                </c:pt>
                <c:pt idx="2">
                  <c:v>1656</c:v>
                </c:pt>
                <c:pt idx="3">
                  <c:v>2078</c:v>
                </c:pt>
              </c:numCache>
            </c:numRef>
          </c:val>
          <c:smooth val="0"/>
          <c:extLst>
            <c:ext xmlns:c16="http://schemas.microsoft.com/office/drawing/2014/chart" uri="{C3380CC4-5D6E-409C-BE32-E72D297353CC}">
              <c16:uniqueId val="{00000000-4AD4-409B-9E3B-A042FFE28667}"/>
            </c:ext>
          </c:extLst>
        </c:ser>
        <c:ser>
          <c:idx val="1"/>
          <c:order val="1"/>
          <c:tx>
            <c:strRef>
              <c:f>'type str code'!$AB$1:$AB$2</c:f>
              <c:strCache>
                <c:ptCount val="1"/>
                <c:pt idx="0">
                  <c:v>Heterozygous</c:v>
                </c:pt>
              </c:strCache>
            </c:strRef>
          </c:tx>
          <c:spPr>
            <a:ln w="28575" cap="rnd">
              <a:solidFill>
                <a:schemeClr val="accent2"/>
              </a:solidFill>
              <a:round/>
            </a:ln>
            <a:effectLst/>
          </c:spPr>
          <c:marker>
            <c:symbol val="none"/>
          </c:marker>
          <c:cat>
            <c:strRef>
              <c:f>'type str code'!$Z$3:$Z$7</c:f>
              <c:strCache>
                <c:ptCount val="4"/>
                <c:pt idx="0">
                  <c:v>2020Q2</c:v>
                </c:pt>
                <c:pt idx="1">
                  <c:v>2020Q3</c:v>
                </c:pt>
                <c:pt idx="2">
                  <c:v>2020Q4</c:v>
                </c:pt>
                <c:pt idx="3">
                  <c:v>2021Q1</c:v>
                </c:pt>
              </c:strCache>
            </c:strRef>
          </c:cat>
          <c:val>
            <c:numRef>
              <c:f>'type str code'!$AB$3:$AB$7</c:f>
              <c:numCache>
                <c:formatCode>General</c:formatCode>
                <c:ptCount val="4"/>
                <c:pt idx="0">
                  <c:v>104</c:v>
                </c:pt>
                <c:pt idx="1">
                  <c:v>637</c:v>
                </c:pt>
                <c:pt idx="2">
                  <c:v>1381</c:v>
                </c:pt>
                <c:pt idx="3">
                  <c:v>1695</c:v>
                </c:pt>
              </c:numCache>
            </c:numRef>
          </c:val>
          <c:smooth val="0"/>
          <c:extLst>
            <c:ext xmlns:c16="http://schemas.microsoft.com/office/drawing/2014/chart" uri="{C3380CC4-5D6E-409C-BE32-E72D297353CC}">
              <c16:uniqueId val="{00000001-4AD4-409B-9E3B-A042FFE28667}"/>
            </c:ext>
          </c:extLst>
        </c:ser>
        <c:ser>
          <c:idx val="2"/>
          <c:order val="2"/>
          <c:tx>
            <c:strRef>
              <c:f>'type str code'!$AC$1:$AC$2</c:f>
              <c:strCache>
                <c:ptCount val="1"/>
                <c:pt idx="0">
                  <c:v>Non-Familial</c:v>
                </c:pt>
              </c:strCache>
            </c:strRef>
          </c:tx>
          <c:spPr>
            <a:ln w="28575" cap="rnd">
              <a:solidFill>
                <a:schemeClr val="accent3"/>
              </a:solidFill>
              <a:round/>
            </a:ln>
            <a:effectLst/>
          </c:spPr>
          <c:marker>
            <c:symbol val="none"/>
          </c:marker>
          <c:cat>
            <c:strRef>
              <c:f>'type str code'!$Z$3:$Z$7</c:f>
              <c:strCache>
                <c:ptCount val="4"/>
                <c:pt idx="0">
                  <c:v>2020Q2</c:v>
                </c:pt>
                <c:pt idx="1">
                  <c:v>2020Q3</c:v>
                </c:pt>
                <c:pt idx="2">
                  <c:v>2020Q4</c:v>
                </c:pt>
                <c:pt idx="3">
                  <c:v>2021Q1</c:v>
                </c:pt>
              </c:strCache>
            </c:strRef>
          </c:cat>
          <c:val>
            <c:numRef>
              <c:f>'type str code'!$AC$3:$AC$7</c:f>
              <c:numCache>
                <c:formatCode>General</c:formatCode>
                <c:ptCount val="4"/>
                <c:pt idx="0">
                  <c:v>75</c:v>
                </c:pt>
                <c:pt idx="1">
                  <c:v>421</c:v>
                </c:pt>
                <c:pt idx="2">
                  <c:v>1004</c:v>
                </c:pt>
                <c:pt idx="3">
                  <c:v>1650</c:v>
                </c:pt>
              </c:numCache>
            </c:numRef>
          </c:val>
          <c:smooth val="0"/>
          <c:extLst>
            <c:ext xmlns:c16="http://schemas.microsoft.com/office/drawing/2014/chart" uri="{C3380CC4-5D6E-409C-BE32-E72D297353CC}">
              <c16:uniqueId val="{00000002-4AD4-409B-9E3B-A042FFE28667}"/>
            </c:ext>
          </c:extLst>
        </c:ser>
        <c:ser>
          <c:idx val="3"/>
          <c:order val="3"/>
          <c:tx>
            <c:strRef>
              <c:f>'type str code'!$AD$1:$AD$2</c:f>
              <c:strCache>
                <c:ptCount val="1"/>
                <c:pt idx="0">
                  <c:v>Total</c:v>
                </c:pt>
              </c:strCache>
            </c:strRef>
          </c:tx>
          <c:spPr>
            <a:ln w="28575" cap="rnd">
              <a:solidFill>
                <a:schemeClr val="accent4"/>
              </a:solidFill>
              <a:round/>
            </a:ln>
            <a:effectLst/>
          </c:spPr>
          <c:marker>
            <c:symbol val="none"/>
          </c:marker>
          <c:cat>
            <c:strRef>
              <c:f>'type str code'!$Z$3:$Z$7</c:f>
              <c:strCache>
                <c:ptCount val="4"/>
                <c:pt idx="0">
                  <c:v>2020Q2</c:v>
                </c:pt>
                <c:pt idx="1">
                  <c:v>2020Q3</c:v>
                </c:pt>
                <c:pt idx="2">
                  <c:v>2020Q4</c:v>
                </c:pt>
                <c:pt idx="3">
                  <c:v>2021Q1</c:v>
                </c:pt>
              </c:strCache>
            </c:strRef>
          </c:cat>
          <c:val>
            <c:numRef>
              <c:f>'type str code'!$AD$3:$AD$7</c:f>
              <c:numCache>
                <c:formatCode>General</c:formatCode>
                <c:ptCount val="4"/>
                <c:pt idx="0">
                  <c:v>3402</c:v>
                </c:pt>
                <c:pt idx="1">
                  <c:v>6756</c:v>
                </c:pt>
                <c:pt idx="2">
                  <c:v>8824</c:v>
                </c:pt>
                <c:pt idx="3">
                  <c:v>9465</c:v>
                </c:pt>
              </c:numCache>
            </c:numRef>
          </c:val>
          <c:smooth val="0"/>
          <c:extLst>
            <c:ext xmlns:c16="http://schemas.microsoft.com/office/drawing/2014/chart" uri="{C3380CC4-5D6E-409C-BE32-E72D297353CC}">
              <c16:uniqueId val="{00000003-4AD4-409B-9E3B-A042FFE28667}"/>
            </c:ext>
          </c:extLst>
        </c:ser>
        <c:ser>
          <c:idx val="4"/>
          <c:order val="4"/>
          <c:tx>
            <c:strRef>
              <c:f>'type str code'!$AE$1:$AE$2</c:f>
              <c:strCache>
                <c:ptCount val="1"/>
                <c:pt idx="0">
                  <c:v>Blank</c:v>
                </c:pt>
              </c:strCache>
            </c:strRef>
          </c:tx>
          <c:spPr>
            <a:ln w="28575" cap="rnd">
              <a:solidFill>
                <a:schemeClr val="accent5"/>
              </a:solidFill>
              <a:round/>
            </a:ln>
            <a:effectLst/>
          </c:spPr>
          <c:marker>
            <c:symbol val="none"/>
          </c:marker>
          <c:cat>
            <c:strRef>
              <c:f>'type str code'!$Z$3:$Z$7</c:f>
              <c:strCache>
                <c:ptCount val="4"/>
                <c:pt idx="0">
                  <c:v>2020Q2</c:v>
                </c:pt>
                <c:pt idx="1">
                  <c:v>2020Q3</c:v>
                </c:pt>
                <c:pt idx="2">
                  <c:v>2020Q4</c:v>
                </c:pt>
                <c:pt idx="3">
                  <c:v>2021Q1</c:v>
                </c:pt>
              </c:strCache>
            </c:strRef>
          </c:cat>
          <c:val>
            <c:numRef>
              <c:f>'type str code'!$AE$3:$AE$7</c:f>
              <c:numCache>
                <c:formatCode>General</c:formatCode>
                <c:ptCount val="4"/>
                <c:pt idx="0">
                  <c:v>3067</c:v>
                </c:pt>
                <c:pt idx="1">
                  <c:v>4871</c:v>
                </c:pt>
                <c:pt idx="2">
                  <c:v>4783</c:v>
                </c:pt>
                <c:pt idx="3">
                  <c:v>4042</c:v>
                </c:pt>
              </c:numCache>
            </c:numRef>
          </c:val>
          <c:smooth val="0"/>
          <c:extLst>
            <c:ext xmlns:c16="http://schemas.microsoft.com/office/drawing/2014/chart" uri="{C3380CC4-5D6E-409C-BE32-E72D297353CC}">
              <c16:uniqueId val="{00000004-4AD4-409B-9E3B-A042FFE28667}"/>
            </c:ext>
          </c:extLst>
        </c:ser>
        <c:dLbls>
          <c:showLegendKey val="0"/>
          <c:showVal val="0"/>
          <c:showCatName val="0"/>
          <c:showSerName val="0"/>
          <c:showPercent val="0"/>
          <c:showBubbleSize val="0"/>
        </c:dLbls>
        <c:smooth val="0"/>
        <c:axId val="868749992"/>
        <c:axId val="868750648"/>
      </c:lineChart>
      <c:catAx>
        <c:axId val="868749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750648"/>
        <c:crosses val="autoZero"/>
        <c:auto val="1"/>
        <c:lblAlgn val="ctr"/>
        <c:lblOffset val="100"/>
        <c:noMultiLvlLbl val="0"/>
      </c:catAx>
      <c:valAx>
        <c:axId val="868750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749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[D1309 - Evolocumab data.xlsx]type by authority!PivotTable5</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'type by authority'!$Z$1:$Z$2</c:f>
              <c:strCache>
                <c:ptCount val="1"/>
                <c:pt idx="0">
                  <c:v>Homozygous</c:v>
                </c:pt>
              </c:strCache>
            </c:strRef>
          </c:tx>
          <c:spPr>
            <a:ln w="28575" cap="rnd">
              <a:solidFill>
                <a:schemeClr val="accent1"/>
              </a:solidFill>
              <a:round/>
            </a:ln>
            <a:effectLst/>
          </c:spPr>
          <c:marker>
            <c:symbol val="none"/>
          </c:marker>
          <c:cat>
            <c:strRef>
              <c:f>'type by authority'!$Y$3:$Y$21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 by authority'!$Z$3:$Z$21</c:f>
              <c:numCache>
                <c:formatCode>General</c:formatCode>
                <c:ptCount val="18"/>
                <c:pt idx="0">
                  <c:v>10</c:v>
                </c:pt>
                <c:pt idx="1">
                  <c:v>117</c:v>
                </c:pt>
                <c:pt idx="2">
                  <c:v>412</c:v>
                </c:pt>
                <c:pt idx="3">
                  <c:v>758</c:v>
                </c:pt>
                <c:pt idx="4">
                  <c:v>1059</c:v>
                </c:pt>
                <c:pt idx="5">
                  <c:v>1339</c:v>
                </c:pt>
                <c:pt idx="6">
                  <c:v>1743</c:v>
                </c:pt>
                <c:pt idx="7">
                  <c:v>1922</c:v>
                </c:pt>
                <c:pt idx="8">
                  <c:v>2132</c:v>
                </c:pt>
                <c:pt idx="9">
                  <c:v>2102</c:v>
                </c:pt>
                <c:pt idx="10">
                  <c:v>2312</c:v>
                </c:pt>
                <c:pt idx="11">
                  <c:v>2362</c:v>
                </c:pt>
                <c:pt idx="12">
                  <c:v>2546</c:v>
                </c:pt>
                <c:pt idx="13">
                  <c:v>2706</c:v>
                </c:pt>
                <c:pt idx="14">
                  <c:v>2582</c:v>
                </c:pt>
                <c:pt idx="15">
                  <c:v>2846</c:v>
                </c:pt>
                <c:pt idx="16">
                  <c:v>3166</c:v>
                </c:pt>
                <c:pt idx="17">
                  <c:v>3103</c:v>
                </c:pt>
              </c:numCache>
            </c:numRef>
          </c:val>
          <c:smooth val="0"/>
          <c:extLst>
            <c:ext xmlns:c16="http://schemas.microsoft.com/office/drawing/2014/chart" uri="{C3380CC4-5D6E-409C-BE32-E72D297353CC}">
              <c16:uniqueId val="{00000000-B0CE-4B53-896A-E7C8D6F3FB7F}"/>
            </c:ext>
          </c:extLst>
        </c:ser>
        <c:ser>
          <c:idx val="1"/>
          <c:order val="1"/>
          <c:tx>
            <c:strRef>
              <c:f>'type by authority'!$AA$1:$AA$2</c:f>
              <c:strCache>
                <c:ptCount val="1"/>
                <c:pt idx="0">
                  <c:v>Heterozygous</c:v>
                </c:pt>
              </c:strCache>
            </c:strRef>
          </c:tx>
          <c:spPr>
            <a:ln w="28575" cap="rnd">
              <a:solidFill>
                <a:schemeClr val="accent2"/>
              </a:solidFill>
              <a:round/>
            </a:ln>
            <a:effectLst/>
          </c:spPr>
          <c:marker>
            <c:symbol val="none"/>
          </c:marker>
          <c:cat>
            <c:strRef>
              <c:f>'type by authority'!$Y$3:$Y$21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 by authority'!$AA$3:$AA$21</c:f>
              <c:numCache>
                <c:formatCode>General</c:formatCode>
                <c:ptCount val="18"/>
                <c:pt idx="8">
                  <c:v>58</c:v>
                </c:pt>
                <c:pt idx="9">
                  <c:v>343</c:v>
                </c:pt>
                <c:pt idx="10">
                  <c:v>597</c:v>
                </c:pt>
                <c:pt idx="11">
                  <c:v>897</c:v>
                </c:pt>
                <c:pt idx="12">
                  <c:v>1253</c:v>
                </c:pt>
                <c:pt idx="13">
                  <c:v>1598</c:v>
                </c:pt>
                <c:pt idx="14">
                  <c:v>1711</c:v>
                </c:pt>
                <c:pt idx="15">
                  <c:v>2240</c:v>
                </c:pt>
                <c:pt idx="16">
                  <c:v>2600</c:v>
                </c:pt>
                <c:pt idx="17">
                  <c:v>2664</c:v>
                </c:pt>
              </c:numCache>
            </c:numRef>
          </c:val>
          <c:smooth val="0"/>
          <c:extLst>
            <c:ext xmlns:c16="http://schemas.microsoft.com/office/drawing/2014/chart" uri="{C3380CC4-5D6E-409C-BE32-E72D297353CC}">
              <c16:uniqueId val="{00000001-B0CE-4B53-896A-E7C8D6F3FB7F}"/>
            </c:ext>
          </c:extLst>
        </c:ser>
        <c:ser>
          <c:idx val="2"/>
          <c:order val="2"/>
          <c:tx>
            <c:strRef>
              <c:f>'type by authority'!$AB$1:$AB$2</c:f>
              <c:strCache>
                <c:ptCount val="1"/>
                <c:pt idx="0">
                  <c:v>Non-familial</c:v>
                </c:pt>
              </c:strCache>
            </c:strRef>
          </c:tx>
          <c:spPr>
            <a:ln w="28575" cap="rnd">
              <a:solidFill>
                <a:schemeClr val="accent3"/>
              </a:solidFill>
              <a:round/>
            </a:ln>
            <a:effectLst/>
          </c:spPr>
          <c:marker>
            <c:symbol val="none"/>
          </c:marker>
          <c:cat>
            <c:strRef>
              <c:f>'type by authority'!$Y$3:$Y$21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 by authority'!$AB$3:$AB$21</c:f>
              <c:numCache>
                <c:formatCode>General</c:formatCode>
                <c:ptCount val="18"/>
                <c:pt idx="14">
                  <c:v>342</c:v>
                </c:pt>
                <c:pt idx="15">
                  <c:v>1575</c:v>
                </c:pt>
                <c:pt idx="16">
                  <c:v>2939</c:v>
                </c:pt>
                <c:pt idx="17">
                  <c:v>3584</c:v>
                </c:pt>
              </c:numCache>
            </c:numRef>
          </c:val>
          <c:smooth val="0"/>
          <c:extLst>
            <c:ext xmlns:c16="http://schemas.microsoft.com/office/drawing/2014/chart" uri="{C3380CC4-5D6E-409C-BE32-E72D297353CC}">
              <c16:uniqueId val="{00000002-B0CE-4B53-896A-E7C8D6F3FB7F}"/>
            </c:ext>
          </c:extLst>
        </c:ser>
        <c:ser>
          <c:idx val="3"/>
          <c:order val="3"/>
          <c:tx>
            <c:strRef>
              <c:f>'type by authority'!$AC$1:$AC$2</c:f>
              <c:strCache>
                <c:ptCount val="1"/>
                <c:pt idx="0">
                  <c:v>Total</c:v>
                </c:pt>
              </c:strCache>
            </c:strRef>
          </c:tx>
          <c:spPr>
            <a:ln w="28575" cap="rnd">
              <a:solidFill>
                <a:schemeClr val="accent4"/>
              </a:solidFill>
              <a:round/>
            </a:ln>
            <a:effectLst/>
          </c:spPr>
          <c:marker>
            <c:symbol val="none"/>
          </c:marker>
          <c:cat>
            <c:strRef>
              <c:f>'type by authority'!$Y$3:$Y$21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 by authority'!$AC$3:$AC$21</c:f>
              <c:numCache>
                <c:formatCode>General</c:formatCode>
                <c:ptCount val="18"/>
                <c:pt idx="0">
                  <c:v>11</c:v>
                </c:pt>
                <c:pt idx="1">
                  <c:v>120</c:v>
                </c:pt>
                <c:pt idx="2">
                  <c:v>433</c:v>
                </c:pt>
                <c:pt idx="3">
                  <c:v>780</c:v>
                </c:pt>
                <c:pt idx="4">
                  <c:v>1074</c:v>
                </c:pt>
                <c:pt idx="5">
                  <c:v>1360</c:v>
                </c:pt>
                <c:pt idx="6">
                  <c:v>1775</c:v>
                </c:pt>
                <c:pt idx="7">
                  <c:v>1963</c:v>
                </c:pt>
                <c:pt idx="8">
                  <c:v>2231</c:v>
                </c:pt>
                <c:pt idx="9">
                  <c:v>2496</c:v>
                </c:pt>
                <c:pt idx="10">
                  <c:v>2979</c:v>
                </c:pt>
                <c:pt idx="11">
                  <c:v>3313</c:v>
                </c:pt>
                <c:pt idx="12">
                  <c:v>3846</c:v>
                </c:pt>
                <c:pt idx="13">
                  <c:v>4337</c:v>
                </c:pt>
                <c:pt idx="14">
                  <c:v>4689</c:v>
                </c:pt>
                <c:pt idx="15">
                  <c:v>6756</c:v>
                </c:pt>
                <c:pt idx="16">
                  <c:v>8824</c:v>
                </c:pt>
                <c:pt idx="17">
                  <c:v>9465</c:v>
                </c:pt>
              </c:numCache>
            </c:numRef>
          </c:val>
          <c:smooth val="0"/>
          <c:extLst>
            <c:ext xmlns:c16="http://schemas.microsoft.com/office/drawing/2014/chart" uri="{C3380CC4-5D6E-409C-BE32-E72D297353CC}">
              <c16:uniqueId val="{00000003-B0CE-4B53-896A-E7C8D6F3FB7F}"/>
            </c:ext>
          </c:extLst>
        </c:ser>
        <c:ser>
          <c:idx val="4"/>
          <c:order val="4"/>
          <c:tx>
            <c:strRef>
              <c:f>'type by authority'!$AD$1:$AD$2</c:f>
              <c:strCache>
                <c:ptCount val="1"/>
                <c:pt idx="0">
                  <c:v>Unknown</c:v>
                </c:pt>
              </c:strCache>
            </c:strRef>
          </c:tx>
          <c:spPr>
            <a:ln w="28575" cap="rnd">
              <a:solidFill>
                <a:schemeClr val="accent5"/>
              </a:solidFill>
              <a:round/>
            </a:ln>
            <a:effectLst/>
          </c:spPr>
          <c:marker>
            <c:symbol val="none"/>
          </c:marker>
          <c:cat>
            <c:strRef>
              <c:f>'type by authority'!$Y$3:$Y$21</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'type by authority'!$AD$3:$AD$21</c:f>
              <c:numCache>
                <c:formatCode>General</c:formatCode>
                <c:ptCount val="18"/>
                <c:pt idx="0">
                  <c:v>1</c:v>
                </c:pt>
                <c:pt idx="1">
                  <c:v>3</c:v>
                </c:pt>
                <c:pt idx="2">
                  <c:v>21</c:v>
                </c:pt>
                <c:pt idx="3">
                  <c:v>22</c:v>
                </c:pt>
                <c:pt idx="4">
                  <c:v>15</c:v>
                </c:pt>
                <c:pt idx="5">
                  <c:v>21</c:v>
                </c:pt>
                <c:pt idx="6">
                  <c:v>32</c:v>
                </c:pt>
                <c:pt idx="7">
                  <c:v>41</c:v>
                </c:pt>
                <c:pt idx="8">
                  <c:v>41</c:v>
                </c:pt>
                <c:pt idx="9">
                  <c:v>51</c:v>
                </c:pt>
                <c:pt idx="10">
                  <c:v>70</c:v>
                </c:pt>
                <c:pt idx="11">
                  <c:v>54</c:v>
                </c:pt>
                <c:pt idx="12">
                  <c:v>47</c:v>
                </c:pt>
                <c:pt idx="13">
                  <c:v>33</c:v>
                </c:pt>
                <c:pt idx="14">
                  <c:v>54</c:v>
                </c:pt>
                <c:pt idx="15">
                  <c:v>95</c:v>
                </c:pt>
                <c:pt idx="16">
                  <c:v>119</c:v>
                </c:pt>
                <c:pt idx="17">
                  <c:v>114</c:v>
                </c:pt>
              </c:numCache>
            </c:numRef>
          </c:val>
          <c:smooth val="0"/>
          <c:extLst>
            <c:ext xmlns:c16="http://schemas.microsoft.com/office/drawing/2014/chart" uri="{C3380CC4-5D6E-409C-BE32-E72D297353CC}">
              <c16:uniqueId val="{00000004-B0CE-4B53-896A-E7C8D6F3FB7F}"/>
            </c:ext>
          </c:extLst>
        </c:ser>
        <c:dLbls>
          <c:showLegendKey val="0"/>
          <c:showVal val="0"/>
          <c:showCatName val="0"/>
          <c:showSerName val="0"/>
          <c:showPercent val="0"/>
          <c:showBubbleSize val="0"/>
        </c:dLbls>
        <c:smooth val="0"/>
        <c:axId val="863945280"/>
        <c:axId val="863946264"/>
      </c:lineChart>
      <c:catAx>
        <c:axId val="86394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946264"/>
        <c:crosses val="autoZero"/>
        <c:auto val="1"/>
        <c:lblAlgn val="ctr"/>
        <c:lblOffset val="100"/>
        <c:noMultiLvlLbl val="0"/>
      </c:catAx>
      <c:valAx>
        <c:axId val="863946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94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[D1309 - Evolocumab data.xlsx]Patients!PivotTable6</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Patients!$AA$1:$AA$3</c:f>
              <c:strCache>
                <c:ptCount val="1"/>
                <c:pt idx="0">
                  <c:v>Heterozygous - Initiating patients</c:v>
                </c:pt>
              </c:strCache>
            </c:strRef>
          </c:tx>
          <c:spPr>
            <a:ln w="28575" cap="rnd">
              <a:solidFill>
                <a:schemeClr val="accent1"/>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Patients!$AA$4:$AA$22</c:f>
              <c:numCache>
                <c:formatCode>General</c:formatCode>
                <c:ptCount val="18"/>
                <c:pt idx="8">
                  <c:v>46</c:v>
                </c:pt>
                <c:pt idx="9">
                  <c:v>93</c:v>
                </c:pt>
                <c:pt idx="10">
                  <c:v>89</c:v>
                </c:pt>
                <c:pt idx="11">
                  <c:v>105</c:v>
                </c:pt>
                <c:pt idx="12">
                  <c:v>119</c:v>
                </c:pt>
                <c:pt idx="13">
                  <c:v>109</c:v>
                </c:pt>
                <c:pt idx="14">
                  <c:v>154</c:v>
                </c:pt>
                <c:pt idx="15">
                  <c:v>172</c:v>
                </c:pt>
                <c:pt idx="16">
                  <c:v>144</c:v>
                </c:pt>
                <c:pt idx="17">
                  <c:v>99</c:v>
                </c:pt>
              </c:numCache>
            </c:numRef>
          </c:val>
          <c:smooth val="0"/>
          <c:extLst>
            <c:ext xmlns:c16="http://schemas.microsoft.com/office/drawing/2014/chart" uri="{C3380CC4-5D6E-409C-BE32-E72D297353CC}">
              <c16:uniqueId val="{00000000-519C-44D6-880A-F1B2A265EF91}"/>
            </c:ext>
          </c:extLst>
        </c:ser>
        <c:ser>
          <c:idx val="1"/>
          <c:order val="1"/>
          <c:tx>
            <c:strRef>
              <c:f>Patients!$AB$1:$AB$3</c:f>
              <c:strCache>
                <c:ptCount val="1"/>
                <c:pt idx="0">
                  <c:v>Heterozygous - Treated patients</c:v>
                </c:pt>
              </c:strCache>
            </c:strRef>
          </c:tx>
          <c:spPr>
            <a:ln w="28575" cap="rnd">
              <a:solidFill>
                <a:schemeClr val="accent2"/>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Patients!$AB$4:$AB$22</c:f>
              <c:numCache>
                <c:formatCode>General</c:formatCode>
                <c:ptCount val="18"/>
                <c:pt idx="8">
                  <c:v>47</c:v>
                </c:pt>
                <c:pt idx="9">
                  <c:v>145</c:v>
                </c:pt>
                <c:pt idx="10">
                  <c:v>238</c:v>
                </c:pt>
                <c:pt idx="11">
                  <c:v>341</c:v>
                </c:pt>
                <c:pt idx="12">
                  <c:v>459</c:v>
                </c:pt>
                <c:pt idx="13">
                  <c:v>553</c:v>
                </c:pt>
                <c:pt idx="14">
                  <c:v>696</c:v>
                </c:pt>
                <c:pt idx="15">
                  <c:v>874</c:v>
                </c:pt>
                <c:pt idx="16">
                  <c:v>1006</c:v>
                </c:pt>
                <c:pt idx="17">
                  <c:v>1057</c:v>
                </c:pt>
              </c:numCache>
            </c:numRef>
          </c:val>
          <c:smooth val="0"/>
          <c:extLst>
            <c:ext xmlns:c16="http://schemas.microsoft.com/office/drawing/2014/chart" uri="{C3380CC4-5D6E-409C-BE32-E72D297353CC}">
              <c16:uniqueId val="{00000001-519C-44D6-880A-F1B2A265EF91}"/>
            </c:ext>
          </c:extLst>
        </c:ser>
        <c:ser>
          <c:idx val="2"/>
          <c:order val="2"/>
          <c:tx>
            <c:strRef>
              <c:f>Patients!$AC$1:$AC$3</c:f>
              <c:strCache>
                <c:ptCount val="1"/>
                <c:pt idx="0">
                  <c:v>Homozygous - Initiating patients</c:v>
                </c:pt>
              </c:strCache>
            </c:strRef>
          </c:tx>
          <c:spPr>
            <a:ln w="28575" cap="rnd">
              <a:solidFill>
                <a:schemeClr val="accent3"/>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Patients!$AC$4:$AC$22</c:f>
              <c:numCache>
                <c:formatCode>General</c:formatCode>
                <c:ptCount val="18"/>
                <c:pt idx="0">
                  <c:v>4</c:v>
                </c:pt>
                <c:pt idx="1">
                  <c:v>72</c:v>
                </c:pt>
                <c:pt idx="2">
                  <c:v>160</c:v>
                </c:pt>
                <c:pt idx="3">
                  <c:v>159</c:v>
                </c:pt>
                <c:pt idx="4">
                  <c:v>144</c:v>
                </c:pt>
                <c:pt idx="5">
                  <c:v>189</c:v>
                </c:pt>
                <c:pt idx="6">
                  <c:v>149</c:v>
                </c:pt>
                <c:pt idx="7">
                  <c:v>112</c:v>
                </c:pt>
                <c:pt idx="8">
                  <c:v>104</c:v>
                </c:pt>
                <c:pt idx="9">
                  <c:v>80</c:v>
                </c:pt>
                <c:pt idx="10">
                  <c:v>63</c:v>
                </c:pt>
                <c:pt idx="11">
                  <c:v>72</c:v>
                </c:pt>
                <c:pt idx="12">
                  <c:v>61</c:v>
                </c:pt>
                <c:pt idx="13">
                  <c:v>48</c:v>
                </c:pt>
                <c:pt idx="14">
                  <c:v>87</c:v>
                </c:pt>
                <c:pt idx="15">
                  <c:v>101</c:v>
                </c:pt>
                <c:pt idx="16">
                  <c:v>107</c:v>
                </c:pt>
                <c:pt idx="17">
                  <c:v>69</c:v>
                </c:pt>
              </c:numCache>
            </c:numRef>
          </c:val>
          <c:smooth val="0"/>
          <c:extLst>
            <c:ext xmlns:c16="http://schemas.microsoft.com/office/drawing/2014/chart" uri="{C3380CC4-5D6E-409C-BE32-E72D297353CC}">
              <c16:uniqueId val="{00000002-519C-44D6-880A-F1B2A265EF91}"/>
            </c:ext>
          </c:extLst>
        </c:ser>
        <c:ser>
          <c:idx val="3"/>
          <c:order val="3"/>
          <c:tx>
            <c:strRef>
              <c:f>Patients!$AD$1:$AD$3</c:f>
              <c:strCache>
                <c:ptCount val="1"/>
                <c:pt idx="0">
                  <c:v>Homozygous - Treated patients</c:v>
                </c:pt>
              </c:strCache>
            </c:strRef>
          </c:tx>
          <c:spPr>
            <a:ln w="28575" cap="rnd">
              <a:solidFill>
                <a:schemeClr val="accent4"/>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Patients!$AD$4:$AD$22</c:f>
              <c:numCache>
                <c:formatCode>General</c:formatCode>
                <c:ptCount val="18"/>
                <c:pt idx="0">
                  <c:v>4</c:v>
                </c:pt>
                <c:pt idx="1">
                  <c:v>75</c:v>
                </c:pt>
                <c:pt idx="2">
                  <c:v>229</c:v>
                </c:pt>
                <c:pt idx="3">
                  <c:v>375</c:v>
                </c:pt>
                <c:pt idx="4">
                  <c:v>510</c:v>
                </c:pt>
                <c:pt idx="5">
                  <c:v>674</c:v>
                </c:pt>
                <c:pt idx="6">
                  <c:v>801</c:v>
                </c:pt>
                <c:pt idx="7">
                  <c:v>889</c:v>
                </c:pt>
                <c:pt idx="8">
                  <c:v>971</c:v>
                </c:pt>
                <c:pt idx="9">
                  <c:v>1019</c:v>
                </c:pt>
                <c:pt idx="10">
                  <c:v>1063</c:v>
                </c:pt>
                <c:pt idx="11">
                  <c:v>1107</c:v>
                </c:pt>
                <c:pt idx="12">
                  <c:v>1146</c:v>
                </c:pt>
                <c:pt idx="13">
                  <c:v>1190</c:v>
                </c:pt>
                <c:pt idx="14">
                  <c:v>1255</c:v>
                </c:pt>
                <c:pt idx="15">
                  <c:v>1347</c:v>
                </c:pt>
                <c:pt idx="16">
                  <c:v>1430</c:v>
                </c:pt>
                <c:pt idx="17">
                  <c:v>1495</c:v>
                </c:pt>
              </c:numCache>
            </c:numRef>
          </c:val>
          <c:smooth val="0"/>
          <c:extLst>
            <c:ext xmlns:c16="http://schemas.microsoft.com/office/drawing/2014/chart" uri="{C3380CC4-5D6E-409C-BE32-E72D297353CC}">
              <c16:uniqueId val="{00000003-519C-44D6-880A-F1B2A265EF91}"/>
            </c:ext>
          </c:extLst>
        </c:ser>
        <c:ser>
          <c:idx val="4"/>
          <c:order val="4"/>
          <c:tx>
            <c:strRef>
              <c:f>Patients!$AE$1:$AE$3</c:f>
              <c:strCache>
                <c:ptCount val="1"/>
                <c:pt idx="0">
                  <c:v>Non-familial - Initiating patients</c:v>
                </c:pt>
              </c:strCache>
            </c:strRef>
          </c:tx>
          <c:spPr>
            <a:ln w="28575" cap="rnd">
              <a:solidFill>
                <a:schemeClr val="accent5"/>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Patients!$AE$4:$AE$22</c:f>
              <c:numCache>
                <c:formatCode>General</c:formatCode>
                <c:ptCount val="18"/>
                <c:pt idx="14">
                  <c:v>186</c:v>
                </c:pt>
                <c:pt idx="15">
                  <c:v>397</c:v>
                </c:pt>
                <c:pt idx="16">
                  <c:v>456</c:v>
                </c:pt>
                <c:pt idx="17">
                  <c:v>243</c:v>
                </c:pt>
              </c:numCache>
            </c:numRef>
          </c:val>
          <c:smooth val="0"/>
          <c:extLst>
            <c:ext xmlns:c16="http://schemas.microsoft.com/office/drawing/2014/chart" uri="{C3380CC4-5D6E-409C-BE32-E72D297353CC}">
              <c16:uniqueId val="{00000004-519C-44D6-880A-F1B2A265EF91}"/>
            </c:ext>
          </c:extLst>
        </c:ser>
        <c:ser>
          <c:idx val="5"/>
          <c:order val="5"/>
          <c:tx>
            <c:strRef>
              <c:f>Patients!$AF$1:$AF$3</c:f>
              <c:strCache>
                <c:ptCount val="1"/>
                <c:pt idx="0">
                  <c:v>Non-familial - Treated patients</c:v>
                </c:pt>
              </c:strCache>
            </c:strRef>
          </c:tx>
          <c:spPr>
            <a:ln w="28575" cap="rnd">
              <a:solidFill>
                <a:schemeClr val="accent6"/>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Patients!$AF$4:$AF$22</c:f>
              <c:numCache>
                <c:formatCode>General</c:formatCode>
                <c:ptCount val="18"/>
                <c:pt idx="14">
                  <c:v>216</c:v>
                </c:pt>
                <c:pt idx="15">
                  <c:v>689</c:v>
                </c:pt>
                <c:pt idx="16">
                  <c:v>1167</c:v>
                </c:pt>
                <c:pt idx="17">
                  <c:v>1364</c:v>
                </c:pt>
              </c:numCache>
            </c:numRef>
          </c:val>
          <c:smooth val="0"/>
          <c:extLst>
            <c:ext xmlns:c16="http://schemas.microsoft.com/office/drawing/2014/chart" uri="{C3380CC4-5D6E-409C-BE32-E72D297353CC}">
              <c16:uniqueId val="{00000005-519C-44D6-880A-F1B2A265EF91}"/>
            </c:ext>
          </c:extLst>
        </c:ser>
        <c:ser>
          <c:idx val="6"/>
          <c:order val="6"/>
          <c:tx>
            <c:strRef>
              <c:f>Patients!$AG$1:$AG$3</c:f>
              <c:strCache>
                <c:ptCount val="1"/>
                <c:pt idx="0">
                  <c:v>Unknown - Initiating patients</c:v>
                </c:pt>
              </c:strCache>
            </c:strRef>
          </c:tx>
          <c:spPr>
            <a:ln w="28575" cap="rnd">
              <a:solidFill>
                <a:schemeClr val="accent1">
                  <a:lumMod val="60000"/>
                </a:schemeClr>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Patients!$AG$4:$AG$22</c:f>
              <c:numCache>
                <c:formatCode>General</c:formatCode>
                <c:ptCount val="18"/>
                <c:pt idx="0">
                  <c:v>1</c:v>
                </c:pt>
                <c:pt idx="1">
                  <c:v>3</c:v>
                </c:pt>
                <c:pt idx="2">
                  <c:v>7</c:v>
                </c:pt>
                <c:pt idx="3">
                  <c:v>3</c:v>
                </c:pt>
                <c:pt idx="4">
                  <c:v>4</c:v>
                </c:pt>
                <c:pt idx="5">
                  <c:v>4</c:v>
                </c:pt>
                <c:pt idx="6">
                  <c:v>6</c:v>
                </c:pt>
                <c:pt idx="7">
                  <c:v>4</c:v>
                </c:pt>
                <c:pt idx="8">
                  <c:v>8</c:v>
                </c:pt>
                <c:pt idx="9">
                  <c:v>5</c:v>
                </c:pt>
                <c:pt idx="10">
                  <c:v>10</c:v>
                </c:pt>
                <c:pt idx="11">
                  <c:v>7</c:v>
                </c:pt>
                <c:pt idx="12">
                  <c:v>3</c:v>
                </c:pt>
                <c:pt idx="13">
                  <c:v>4</c:v>
                </c:pt>
                <c:pt idx="14">
                  <c:v>7</c:v>
                </c:pt>
                <c:pt idx="15">
                  <c:v>19</c:v>
                </c:pt>
                <c:pt idx="16">
                  <c:v>11</c:v>
                </c:pt>
                <c:pt idx="17">
                  <c:v>184</c:v>
                </c:pt>
              </c:numCache>
            </c:numRef>
          </c:val>
          <c:smooth val="0"/>
          <c:extLst>
            <c:ext xmlns:c16="http://schemas.microsoft.com/office/drawing/2014/chart" uri="{C3380CC4-5D6E-409C-BE32-E72D297353CC}">
              <c16:uniqueId val="{00000006-519C-44D6-880A-F1B2A265EF91}"/>
            </c:ext>
          </c:extLst>
        </c:ser>
        <c:ser>
          <c:idx val="7"/>
          <c:order val="7"/>
          <c:tx>
            <c:strRef>
              <c:f>Patients!$AH$1:$AH$3</c:f>
              <c:strCache>
                <c:ptCount val="1"/>
                <c:pt idx="0">
                  <c:v>Unknown - Treated patients</c:v>
                </c:pt>
              </c:strCache>
            </c:strRef>
          </c:tx>
          <c:spPr>
            <a:ln w="28575" cap="rnd">
              <a:solidFill>
                <a:schemeClr val="accent2">
                  <a:lumMod val="60000"/>
                </a:schemeClr>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Patients!$AH$4:$AH$22</c:f>
              <c:numCache>
                <c:formatCode>General</c:formatCode>
                <c:ptCount val="18"/>
                <c:pt idx="0">
                  <c:v>1</c:v>
                </c:pt>
                <c:pt idx="1">
                  <c:v>3</c:v>
                </c:pt>
                <c:pt idx="2">
                  <c:v>10</c:v>
                </c:pt>
                <c:pt idx="3">
                  <c:v>10</c:v>
                </c:pt>
                <c:pt idx="4">
                  <c:v>11</c:v>
                </c:pt>
                <c:pt idx="5">
                  <c:v>12</c:v>
                </c:pt>
                <c:pt idx="6">
                  <c:v>20</c:v>
                </c:pt>
                <c:pt idx="7">
                  <c:v>23</c:v>
                </c:pt>
                <c:pt idx="8">
                  <c:v>23</c:v>
                </c:pt>
                <c:pt idx="9">
                  <c:v>27</c:v>
                </c:pt>
                <c:pt idx="10">
                  <c:v>33</c:v>
                </c:pt>
                <c:pt idx="11">
                  <c:v>28</c:v>
                </c:pt>
                <c:pt idx="12">
                  <c:v>24</c:v>
                </c:pt>
                <c:pt idx="13">
                  <c:v>20</c:v>
                </c:pt>
                <c:pt idx="14">
                  <c:v>33</c:v>
                </c:pt>
                <c:pt idx="15">
                  <c:v>47</c:v>
                </c:pt>
                <c:pt idx="16">
                  <c:v>55</c:v>
                </c:pt>
                <c:pt idx="17">
                  <c:v>231</c:v>
                </c:pt>
              </c:numCache>
            </c:numRef>
          </c:val>
          <c:smooth val="0"/>
          <c:extLst>
            <c:ext xmlns:c16="http://schemas.microsoft.com/office/drawing/2014/chart" uri="{C3380CC4-5D6E-409C-BE32-E72D297353CC}">
              <c16:uniqueId val="{00000007-519C-44D6-880A-F1B2A265EF91}"/>
            </c:ext>
          </c:extLst>
        </c:ser>
        <c:ser>
          <c:idx val="8"/>
          <c:order val="8"/>
          <c:tx>
            <c:strRef>
              <c:f>Patients!$AI$1:$AI$3</c:f>
              <c:strCache>
                <c:ptCount val="1"/>
                <c:pt idx="0">
                  <c:v>Total - Initiating patients</c:v>
                </c:pt>
              </c:strCache>
            </c:strRef>
          </c:tx>
          <c:spPr>
            <a:ln w="28575" cap="rnd">
              <a:solidFill>
                <a:schemeClr val="accent3">
                  <a:lumMod val="60000"/>
                </a:schemeClr>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Patients!$AI$4:$AI$22</c:f>
              <c:numCache>
                <c:formatCode>General</c:formatCode>
                <c:ptCount val="18"/>
                <c:pt idx="0">
                  <c:v>5</c:v>
                </c:pt>
                <c:pt idx="1">
                  <c:v>75</c:v>
                </c:pt>
                <c:pt idx="2">
                  <c:v>167</c:v>
                </c:pt>
                <c:pt idx="3">
                  <c:v>162</c:v>
                </c:pt>
                <c:pt idx="4">
                  <c:v>148</c:v>
                </c:pt>
                <c:pt idx="5">
                  <c:v>193</c:v>
                </c:pt>
                <c:pt idx="6">
                  <c:v>155</c:v>
                </c:pt>
                <c:pt idx="7">
                  <c:v>116</c:v>
                </c:pt>
                <c:pt idx="8">
                  <c:v>158</c:v>
                </c:pt>
                <c:pt idx="9">
                  <c:v>178</c:v>
                </c:pt>
                <c:pt idx="10">
                  <c:v>162</c:v>
                </c:pt>
                <c:pt idx="11">
                  <c:v>184</c:v>
                </c:pt>
                <c:pt idx="12">
                  <c:v>183</c:v>
                </c:pt>
                <c:pt idx="13">
                  <c:v>161</c:v>
                </c:pt>
                <c:pt idx="14">
                  <c:v>434</c:v>
                </c:pt>
                <c:pt idx="15">
                  <c:v>689</c:v>
                </c:pt>
                <c:pt idx="16">
                  <c:v>718</c:v>
                </c:pt>
                <c:pt idx="17">
                  <c:v>595</c:v>
                </c:pt>
              </c:numCache>
            </c:numRef>
          </c:val>
          <c:smooth val="0"/>
          <c:extLst>
            <c:ext xmlns:c16="http://schemas.microsoft.com/office/drawing/2014/chart" uri="{C3380CC4-5D6E-409C-BE32-E72D297353CC}">
              <c16:uniqueId val="{00000008-519C-44D6-880A-F1B2A265EF91}"/>
            </c:ext>
          </c:extLst>
        </c:ser>
        <c:ser>
          <c:idx val="9"/>
          <c:order val="9"/>
          <c:tx>
            <c:strRef>
              <c:f>Patients!$AJ$1:$AJ$3</c:f>
              <c:strCache>
                <c:ptCount val="1"/>
                <c:pt idx="0">
                  <c:v>Total - Treated patients</c:v>
                </c:pt>
              </c:strCache>
            </c:strRef>
          </c:tx>
          <c:spPr>
            <a:ln w="28575" cap="rnd">
              <a:solidFill>
                <a:schemeClr val="accent4">
                  <a:lumMod val="60000"/>
                </a:schemeClr>
              </a:solidFill>
              <a:round/>
            </a:ln>
            <a:effectLst/>
          </c:spPr>
          <c:marker>
            <c:symbol val="none"/>
          </c:marker>
          <c:cat>
            <c:strRef>
              <c:f>Patients!$Z$4:$Z$22</c:f>
              <c:strCache>
                <c:ptCount val="18"/>
                <c:pt idx="0">
                  <c:v>2016Q4</c:v>
                </c:pt>
                <c:pt idx="1">
                  <c:v>2017Q1</c:v>
                </c:pt>
                <c:pt idx="2">
                  <c:v>2017Q2</c:v>
                </c:pt>
                <c:pt idx="3">
                  <c:v>2017Q3</c:v>
                </c:pt>
                <c:pt idx="4">
                  <c:v>2017Q4</c:v>
                </c:pt>
                <c:pt idx="5">
                  <c:v>2018Q1</c:v>
                </c:pt>
                <c:pt idx="6">
                  <c:v>2018Q2</c:v>
                </c:pt>
                <c:pt idx="7">
                  <c:v>2018Q3</c:v>
                </c:pt>
                <c:pt idx="8">
                  <c:v>2018Q4</c:v>
                </c:pt>
                <c:pt idx="9">
                  <c:v>2019Q1</c:v>
                </c:pt>
                <c:pt idx="10">
                  <c:v>2019Q2</c:v>
                </c:pt>
                <c:pt idx="11">
                  <c:v>2019Q3</c:v>
                </c:pt>
                <c:pt idx="12">
                  <c:v>2019Q4</c:v>
                </c:pt>
                <c:pt idx="13">
                  <c:v>2020Q1</c:v>
                </c:pt>
                <c:pt idx="14">
                  <c:v>2020Q2</c:v>
                </c:pt>
                <c:pt idx="15">
                  <c:v>2020Q3</c:v>
                </c:pt>
                <c:pt idx="16">
                  <c:v>2020Q4</c:v>
                </c:pt>
                <c:pt idx="17">
                  <c:v>2021Q1</c:v>
                </c:pt>
              </c:strCache>
            </c:strRef>
          </c:cat>
          <c:val>
            <c:numRef>
              <c:f>Patients!$AJ$4:$AJ$22</c:f>
              <c:numCache>
                <c:formatCode>General</c:formatCode>
                <c:ptCount val="18"/>
                <c:pt idx="0">
                  <c:v>5</c:v>
                </c:pt>
                <c:pt idx="1">
                  <c:v>78</c:v>
                </c:pt>
                <c:pt idx="2">
                  <c:v>239</c:v>
                </c:pt>
                <c:pt idx="3">
                  <c:v>385</c:v>
                </c:pt>
                <c:pt idx="4">
                  <c:v>519</c:v>
                </c:pt>
                <c:pt idx="5">
                  <c:v>685</c:v>
                </c:pt>
                <c:pt idx="6">
                  <c:v>820</c:v>
                </c:pt>
                <c:pt idx="7">
                  <c:v>908</c:v>
                </c:pt>
                <c:pt idx="8">
                  <c:v>1035</c:v>
                </c:pt>
                <c:pt idx="9">
                  <c:v>1181</c:v>
                </c:pt>
                <c:pt idx="10">
                  <c:v>1324</c:v>
                </c:pt>
                <c:pt idx="11">
                  <c:v>1461</c:v>
                </c:pt>
                <c:pt idx="12">
                  <c:v>1610</c:v>
                </c:pt>
                <c:pt idx="13">
                  <c:v>1747</c:v>
                </c:pt>
                <c:pt idx="14">
                  <c:v>2131</c:v>
                </c:pt>
                <c:pt idx="15">
                  <c:v>2804</c:v>
                </c:pt>
                <c:pt idx="16">
                  <c:v>3413</c:v>
                </c:pt>
                <c:pt idx="17">
                  <c:v>3870</c:v>
                </c:pt>
              </c:numCache>
            </c:numRef>
          </c:val>
          <c:smooth val="0"/>
          <c:extLst>
            <c:ext xmlns:c16="http://schemas.microsoft.com/office/drawing/2014/chart" uri="{C3380CC4-5D6E-409C-BE32-E72D297353CC}">
              <c16:uniqueId val="{00000009-519C-44D6-880A-F1B2A265EF91}"/>
            </c:ext>
          </c:extLst>
        </c:ser>
        <c:dLbls>
          <c:showLegendKey val="0"/>
          <c:showVal val="0"/>
          <c:showCatName val="0"/>
          <c:showSerName val="0"/>
          <c:showPercent val="0"/>
          <c:showBubbleSize val="0"/>
        </c:dLbls>
        <c:smooth val="0"/>
        <c:axId val="1020454528"/>
        <c:axId val="1020454200"/>
      </c:lineChart>
      <c:catAx>
        <c:axId val="102045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454200"/>
        <c:crosses val="autoZero"/>
        <c:auto val="1"/>
        <c:lblAlgn val="ctr"/>
        <c:lblOffset val="100"/>
        <c:noMultiLvlLbl val="0"/>
      </c:catAx>
      <c:valAx>
        <c:axId val="1020454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45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[D1309 - Evolocumab data.xlsx]age at init!PivotTable1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s>
    <c:plotArea>
      <c:layout/>
      <c:barChart>
        <c:barDir val="col"/>
        <c:grouping val="clustered"/>
        <c:varyColors val="0"/>
        <c:ser>
          <c:idx val="0"/>
          <c:order val="0"/>
          <c:tx>
            <c:strRef>
              <c:f>'age at init'!$AC$1:$AC$2</c:f>
              <c:strCache>
                <c:ptCount val="1"/>
                <c:pt idx="0">
                  <c:v>Female</c:v>
                </c:pt>
              </c:strCache>
            </c:strRef>
          </c:tx>
          <c:spPr>
            <a:solidFill>
              <a:schemeClr val="accent1"/>
            </a:solidFill>
            <a:ln>
              <a:noFill/>
            </a:ln>
            <a:effectLst/>
          </c:spPr>
          <c:invertIfNegative val="0"/>
          <c:cat>
            <c:strRef>
              <c:f>'age at init'!$AB$3:$AB$22</c:f>
              <c:strCache>
                <c:ptCount val="19"/>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strCache>
            </c:strRef>
          </c:cat>
          <c:val>
            <c:numRef>
              <c:f>'age at init'!$AC$3:$AC$22</c:f>
              <c:numCache>
                <c:formatCode>General</c:formatCode>
                <c:ptCount val="19"/>
                <c:pt idx="2">
                  <c:v>5</c:v>
                </c:pt>
                <c:pt idx="3">
                  <c:v>5</c:v>
                </c:pt>
                <c:pt idx="4">
                  <c:v>8</c:v>
                </c:pt>
                <c:pt idx="5">
                  <c:v>12</c:v>
                </c:pt>
                <c:pt idx="6">
                  <c:v>26</c:v>
                </c:pt>
                <c:pt idx="7">
                  <c:v>36</c:v>
                </c:pt>
                <c:pt idx="8">
                  <c:v>54</c:v>
                </c:pt>
                <c:pt idx="9">
                  <c:v>83</c:v>
                </c:pt>
                <c:pt idx="10">
                  <c:v>167</c:v>
                </c:pt>
                <c:pt idx="11">
                  <c:v>242</c:v>
                </c:pt>
                <c:pt idx="12">
                  <c:v>345</c:v>
                </c:pt>
                <c:pt idx="13">
                  <c:v>390</c:v>
                </c:pt>
                <c:pt idx="14">
                  <c:v>313</c:v>
                </c:pt>
                <c:pt idx="15">
                  <c:v>182</c:v>
                </c:pt>
                <c:pt idx="16">
                  <c:v>58</c:v>
                </c:pt>
                <c:pt idx="17">
                  <c:v>12</c:v>
                </c:pt>
                <c:pt idx="18">
                  <c:v>5</c:v>
                </c:pt>
              </c:numCache>
            </c:numRef>
          </c:val>
          <c:extLst>
            <c:ext xmlns:c16="http://schemas.microsoft.com/office/drawing/2014/chart" uri="{C3380CC4-5D6E-409C-BE32-E72D297353CC}">
              <c16:uniqueId val="{00000000-EF50-4FF6-B96B-BB4CB0A84BEE}"/>
            </c:ext>
          </c:extLst>
        </c:ser>
        <c:ser>
          <c:idx val="1"/>
          <c:order val="1"/>
          <c:tx>
            <c:strRef>
              <c:f>'age at init'!$AD$1:$AD$2</c:f>
              <c:strCache>
                <c:ptCount val="1"/>
                <c:pt idx="0">
                  <c:v>Male</c:v>
                </c:pt>
              </c:strCache>
            </c:strRef>
          </c:tx>
          <c:spPr>
            <a:solidFill>
              <a:schemeClr val="accent2"/>
            </a:solidFill>
            <a:ln>
              <a:noFill/>
            </a:ln>
            <a:effectLst/>
          </c:spPr>
          <c:invertIfNegative val="0"/>
          <c:cat>
            <c:strRef>
              <c:f>'age at init'!$AB$3:$AB$22</c:f>
              <c:strCache>
                <c:ptCount val="19"/>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strCache>
            </c:strRef>
          </c:cat>
          <c:val>
            <c:numRef>
              <c:f>'age at init'!$AD$3:$AD$22</c:f>
              <c:numCache>
                <c:formatCode>General</c:formatCode>
                <c:ptCount val="19"/>
                <c:pt idx="0">
                  <c:v>5</c:v>
                </c:pt>
                <c:pt idx="1">
                  <c:v>5</c:v>
                </c:pt>
                <c:pt idx="2">
                  <c:v>5</c:v>
                </c:pt>
                <c:pt idx="3">
                  <c:v>5</c:v>
                </c:pt>
                <c:pt idx="4">
                  <c:v>10</c:v>
                </c:pt>
                <c:pt idx="5">
                  <c:v>13</c:v>
                </c:pt>
                <c:pt idx="6">
                  <c:v>30</c:v>
                </c:pt>
                <c:pt idx="7">
                  <c:v>67</c:v>
                </c:pt>
                <c:pt idx="8">
                  <c:v>127</c:v>
                </c:pt>
                <c:pt idx="9">
                  <c:v>221</c:v>
                </c:pt>
                <c:pt idx="10">
                  <c:v>260</c:v>
                </c:pt>
                <c:pt idx="11">
                  <c:v>386</c:v>
                </c:pt>
                <c:pt idx="12">
                  <c:v>396</c:v>
                </c:pt>
                <c:pt idx="13">
                  <c:v>400</c:v>
                </c:pt>
                <c:pt idx="14">
                  <c:v>360</c:v>
                </c:pt>
                <c:pt idx="15">
                  <c:v>189</c:v>
                </c:pt>
                <c:pt idx="16">
                  <c:v>68</c:v>
                </c:pt>
                <c:pt idx="17">
                  <c:v>12</c:v>
                </c:pt>
              </c:numCache>
            </c:numRef>
          </c:val>
          <c:extLst>
            <c:ext xmlns:c16="http://schemas.microsoft.com/office/drawing/2014/chart" uri="{C3380CC4-5D6E-409C-BE32-E72D297353CC}">
              <c16:uniqueId val="{00000001-EF50-4FF6-B96B-BB4CB0A84BEE}"/>
            </c:ext>
          </c:extLst>
        </c:ser>
        <c:dLbls>
          <c:showLegendKey val="0"/>
          <c:showVal val="0"/>
          <c:showCatName val="0"/>
          <c:showSerName val="0"/>
          <c:showPercent val="0"/>
          <c:showBubbleSize val="0"/>
        </c:dLbls>
        <c:gapWidth val="219"/>
        <c:overlap val="-27"/>
        <c:axId val="740878520"/>
        <c:axId val="740880160"/>
      </c:barChart>
      <c:catAx>
        <c:axId val="740878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880160"/>
        <c:crosses val="autoZero"/>
        <c:auto val="1"/>
        <c:lblAlgn val="ctr"/>
        <c:lblOffset val="100"/>
        <c:noMultiLvlLbl val="0"/>
      </c:catAx>
      <c:valAx>
        <c:axId val="74088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878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[D1309 - Evolocumab data.xlsx]presc 2020!PivotTable1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s>
    <c:plotArea>
      <c:layout/>
      <c:barChart>
        <c:barDir val="bar"/>
        <c:grouping val="stacked"/>
        <c:varyColors val="0"/>
        <c:ser>
          <c:idx val="0"/>
          <c:order val="0"/>
          <c:tx>
            <c:strRef>
              <c:f>'presc 2020'!$V$1:$V$2</c:f>
              <c:strCache>
                <c:ptCount val="1"/>
                <c:pt idx="0">
                  <c:v>Cardiology</c:v>
                </c:pt>
              </c:strCache>
            </c:strRef>
          </c:tx>
          <c:spPr>
            <a:solidFill>
              <a:schemeClr val="accent1"/>
            </a:solidFill>
            <a:ln>
              <a:noFill/>
            </a:ln>
            <a:effectLst/>
          </c:spPr>
          <c:invertIfNegative val="0"/>
          <c:cat>
            <c:strRef>
              <c:f>'presc 2020'!$U$3</c:f>
              <c:strCache>
                <c:ptCount val="1"/>
                <c:pt idx="0">
                  <c:v>Total</c:v>
                </c:pt>
              </c:strCache>
            </c:strRef>
          </c:cat>
          <c:val>
            <c:numRef>
              <c:f>'presc 2020'!$V$3</c:f>
              <c:numCache>
                <c:formatCode>General</c:formatCode>
                <c:ptCount val="1"/>
                <c:pt idx="0">
                  <c:v>0.6648351648351648</c:v>
                </c:pt>
              </c:numCache>
            </c:numRef>
          </c:val>
          <c:extLst>
            <c:ext xmlns:c16="http://schemas.microsoft.com/office/drawing/2014/chart" uri="{C3380CC4-5D6E-409C-BE32-E72D297353CC}">
              <c16:uniqueId val="{00000000-0EDD-4FBC-95E1-940F613C2B1F}"/>
            </c:ext>
          </c:extLst>
        </c:ser>
        <c:ser>
          <c:idx val="1"/>
          <c:order val="1"/>
          <c:tx>
            <c:strRef>
              <c:f>'presc 2020'!$W$1:$W$2</c:f>
              <c:strCache>
                <c:ptCount val="1"/>
                <c:pt idx="0">
                  <c:v>Endocrinology</c:v>
                </c:pt>
              </c:strCache>
            </c:strRef>
          </c:tx>
          <c:spPr>
            <a:solidFill>
              <a:schemeClr val="accent2"/>
            </a:solidFill>
            <a:ln>
              <a:noFill/>
            </a:ln>
            <a:effectLst/>
          </c:spPr>
          <c:invertIfNegative val="0"/>
          <c:cat>
            <c:strRef>
              <c:f>'presc 2020'!$U$3</c:f>
              <c:strCache>
                <c:ptCount val="1"/>
                <c:pt idx="0">
                  <c:v>Total</c:v>
                </c:pt>
              </c:strCache>
            </c:strRef>
          </c:cat>
          <c:val>
            <c:numRef>
              <c:f>'presc 2020'!$W$3</c:f>
              <c:numCache>
                <c:formatCode>General</c:formatCode>
                <c:ptCount val="1"/>
                <c:pt idx="0">
                  <c:v>6.1938061938061936E-2</c:v>
                </c:pt>
              </c:numCache>
            </c:numRef>
          </c:val>
          <c:extLst>
            <c:ext xmlns:c16="http://schemas.microsoft.com/office/drawing/2014/chart" uri="{C3380CC4-5D6E-409C-BE32-E72D297353CC}">
              <c16:uniqueId val="{00000001-0EDD-4FBC-95E1-940F613C2B1F}"/>
            </c:ext>
          </c:extLst>
        </c:ser>
        <c:ser>
          <c:idx val="2"/>
          <c:order val="2"/>
          <c:tx>
            <c:strRef>
              <c:f>'presc 2020'!$X$1:$X$2</c:f>
              <c:strCache>
                <c:ptCount val="1"/>
                <c:pt idx="0">
                  <c:v>Internal Medicine</c:v>
                </c:pt>
              </c:strCache>
            </c:strRef>
          </c:tx>
          <c:spPr>
            <a:solidFill>
              <a:schemeClr val="accent3"/>
            </a:solidFill>
            <a:ln>
              <a:noFill/>
            </a:ln>
            <a:effectLst/>
          </c:spPr>
          <c:invertIfNegative val="0"/>
          <c:cat>
            <c:strRef>
              <c:f>'presc 2020'!$U$3</c:f>
              <c:strCache>
                <c:ptCount val="1"/>
                <c:pt idx="0">
                  <c:v>Total</c:v>
                </c:pt>
              </c:strCache>
            </c:strRef>
          </c:cat>
          <c:val>
            <c:numRef>
              <c:f>'presc 2020'!$X$3</c:f>
              <c:numCache>
                <c:formatCode>General</c:formatCode>
                <c:ptCount val="1"/>
                <c:pt idx="0">
                  <c:v>0.12537462537462538</c:v>
                </c:pt>
              </c:numCache>
            </c:numRef>
          </c:val>
          <c:extLst>
            <c:ext xmlns:c16="http://schemas.microsoft.com/office/drawing/2014/chart" uri="{C3380CC4-5D6E-409C-BE32-E72D297353CC}">
              <c16:uniqueId val="{00000002-0EDD-4FBC-95E1-940F613C2B1F}"/>
            </c:ext>
          </c:extLst>
        </c:ser>
        <c:ser>
          <c:idx val="3"/>
          <c:order val="3"/>
          <c:tx>
            <c:strRef>
              <c:f>'presc 2020'!$Y$1:$Y$2</c:f>
              <c:strCache>
                <c:ptCount val="1"/>
                <c:pt idx="0">
                  <c:v>Other</c:v>
                </c:pt>
              </c:strCache>
            </c:strRef>
          </c:tx>
          <c:spPr>
            <a:solidFill>
              <a:schemeClr val="accent4"/>
            </a:solidFill>
            <a:ln>
              <a:noFill/>
            </a:ln>
            <a:effectLst/>
          </c:spPr>
          <c:invertIfNegative val="0"/>
          <c:cat>
            <c:strRef>
              <c:f>'presc 2020'!$U$3</c:f>
              <c:strCache>
                <c:ptCount val="1"/>
                <c:pt idx="0">
                  <c:v>Total</c:v>
                </c:pt>
              </c:strCache>
            </c:strRef>
          </c:cat>
          <c:val>
            <c:numRef>
              <c:f>'presc 2020'!$Y$3</c:f>
              <c:numCache>
                <c:formatCode>General</c:formatCode>
                <c:ptCount val="1"/>
                <c:pt idx="0">
                  <c:v>3.2967032967032968E-2</c:v>
                </c:pt>
              </c:numCache>
            </c:numRef>
          </c:val>
          <c:extLst>
            <c:ext xmlns:c16="http://schemas.microsoft.com/office/drawing/2014/chart" uri="{C3380CC4-5D6E-409C-BE32-E72D297353CC}">
              <c16:uniqueId val="{00000003-0EDD-4FBC-95E1-940F613C2B1F}"/>
            </c:ext>
          </c:extLst>
        </c:ser>
        <c:ser>
          <c:idx val="4"/>
          <c:order val="4"/>
          <c:tx>
            <c:strRef>
              <c:f>'presc 2020'!$Z$1:$Z$2</c:f>
              <c:strCache>
                <c:ptCount val="1"/>
                <c:pt idx="0">
                  <c:v>Pathology</c:v>
                </c:pt>
              </c:strCache>
            </c:strRef>
          </c:tx>
          <c:spPr>
            <a:solidFill>
              <a:schemeClr val="accent5"/>
            </a:solidFill>
            <a:ln>
              <a:noFill/>
            </a:ln>
            <a:effectLst/>
          </c:spPr>
          <c:invertIfNegative val="0"/>
          <c:cat>
            <c:strRef>
              <c:f>'presc 2020'!$U$3</c:f>
              <c:strCache>
                <c:ptCount val="1"/>
                <c:pt idx="0">
                  <c:v>Total</c:v>
                </c:pt>
              </c:strCache>
            </c:strRef>
          </c:cat>
          <c:val>
            <c:numRef>
              <c:f>'presc 2020'!$Z$3</c:f>
              <c:numCache>
                <c:formatCode>General</c:formatCode>
                <c:ptCount val="1"/>
                <c:pt idx="0">
                  <c:v>2.2477522477522476E-2</c:v>
                </c:pt>
              </c:numCache>
            </c:numRef>
          </c:val>
          <c:extLst>
            <c:ext xmlns:c16="http://schemas.microsoft.com/office/drawing/2014/chart" uri="{C3380CC4-5D6E-409C-BE32-E72D297353CC}">
              <c16:uniqueId val="{00000004-0EDD-4FBC-95E1-940F613C2B1F}"/>
            </c:ext>
          </c:extLst>
        </c:ser>
        <c:ser>
          <c:idx val="5"/>
          <c:order val="5"/>
          <c:tx>
            <c:strRef>
              <c:f>'presc 2020'!$AA$1:$AA$2</c:f>
              <c:strCache>
                <c:ptCount val="1"/>
                <c:pt idx="0">
                  <c:v>Unknown</c:v>
                </c:pt>
              </c:strCache>
            </c:strRef>
          </c:tx>
          <c:spPr>
            <a:solidFill>
              <a:schemeClr val="accent6"/>
            </a:solidFill>
            <a:ln>
              <a:noFill/>
            </a:ln>
            <a:effectLst/>
          </c:spPr>
          <c:invertIfNegative val="0"/>
          <c:cat>
            <c:strRef>
              <c:f>'presc 2020'!$U$3</c:f>
              <c:strCache>
                <c:ptCount val="1"/>
                <c:pt idx="0">
                  <c:v>Total</c:v>
                </c:pt>
              </c:strCache>
            </c:strRef>
          </c:cat>
          <c:val>
            <c:numRef>
              <c:f>'presc 2020'!$AA$3</c:f>
              <c:numCache>
                <c:formatCode>General</c:formatCode>
                <c:ptCount val="1"/>
                <c:pt idx="0">
                  <c:v>4.1458541458541456E-2</c:v>
                </c:pt>
              </c:numCache>
            </c:numRef>
          </c:val>
          <c:extLst>
            <c:ext xmlns:c16="http://schemas.microsoft.com/office/drawing/2014/chart" uri="{C3380CC4-5D6E-409C-BE32-E72D297353CC}">
              <c16:uniqueId val="{00000005-0EDD-4FBC-95E1-940F613C2B1F}"/>
            </c:ext>
          </c:extLst>
        </c:ser>
        <c:ser>
          <c:idx val="6"/>
          <c:order val="6"/>
          <c:tx>
            <c:strRef>
              <c:f>'presc 2020'!$AB$1:$AB$2</c:f>
              <c:strCache>
                <c:ptCount val="1"/>
                <c:pt idx="0">
                  <c:v>VRGP</c:v>
                </c:pt>
              </c:strCache>
            </c:strRef>
          </c:tx>
          <c:spPr>
            <a:solidFill>
              <a:schemeClr val="accent1">
                <a:lumMod val="60000"/>
              </a:schemeClr>
            </a:solidFill>
            <a:ln>
              <a:noFill/>
            </a:ln>
            <a:effectLst/>
          </c:spPr>
          <c:invertIfNegative val="0"/>
          <c:cat>
            <c:strRef>
              <c:f>'presc 2020'!$U$3</c:f>
              <c:strCache>
                <c:ptCount val="1"/>
                <c:pt idx="0">
                  <c:v>Total</c:v>
                </c:pt>
              </c:strCache>
            </c:strRef>
          </c:cat>
          <c:val>
            <c:numRef>
              <c:f>'presc 2020'!$AB$3</c:f>
              <c:numCache>
                <c:formatCode>General</c:formatCode>
                <c:ptCount val="1"/>
                <c:pt idx="0">
                  <c:v>5.0949050949050952E-2</c:v>
                </c:pt>
              </c:numCache>
            </c:numRef>
          </c:val>
          <c:extLst>
            <c:ext xmlns:c16="http://schemas.microsoft.com/office/drawing/2014/chart" uri="{C3380CC4-5D6E-409C-BE32-E72D297353CC}">
              <c16:uniqueId val="{00000006-0EDD-4FBC-95E1-940F613C2B1F}"/>
            </c:ext>
          </c:extLst>
        </c:ser>
        <c:dLbls>
          <c:showLegendKey val="0"/>
          <c:showVal val="0"/>
          <c:showCatName val="0"/>
          <c:showSerName val="0"/>
          <c:showPercent val="0"/>
          <c:showBubbleSize val="0"/>
        </c:dLbls>
        <c:gapWidth val="150"/>
        <c:overlap val="100"/>
        <c:axId val="945210432"/>
        <c:axId val="945210760"/>
      </c:barChart>
      <c:catAx>
        <c:axId val="945210432"/>
        <c:scaling>
          <c:orientation val="minMax"/>
        </c:scaling>
        <c:delete val="1"/>
        <c:axPos val="r"/>
        <c:numFmt formatCode="General" sourceLinked="1"/>
        <c:majorTickMark val="none"/>
        <c:minorTickMark val="none"/>
        <c:tickLblPos val="nextTo"/>
        <c:crossAx val="945210760"/>
        <c:crosses val="max"/>
        <c:auto val="1"/>
        <c:lblAlgn val="ctr"/>
        <c:lblOffset val="100"/>
        <c:noMultiLvlLbl val="0"/>
      </c:catAx>
      <c:valAx>
        <c:axId val="945210760"/>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Percentage</a:t>
                </a:r>
                <a:r>
                  <a:rPr lang="en-AU" baseline="0"/>
                  <a:t> initiating</a:t>
                </a:r>
                <a:r>
                  <a:rPr lang="en-AU"/>
                  <a:t> patients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21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[D1309 - Evolocumab data.xlsx]resupply dist (2)!PivotTable1</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'resupply dist (2)'!$U$1:$U$2</c:f>
              <c:strCache>
                <c:ptCount val="1"/>
                <c:pt idx="0">
                  <c:v>140 mg</c:v>
                </c:pt>
              </c:strCache>
            </c:strRef>
          </c:tx>
          <c:spPr>
            <a:ln w="28575" cap="rnd">
              <a:solidFill>
                <a:schemeClr val="accent1"/>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(2)'!$U$3:$U$131</c:f>
              <c:numCache>
                <c:formatCode>General</c:formatCode>
                <c:ptCount val="128"/>
                <c:pt idx="0">
                  <c:v>4</c:v>
                </c:pt>
                <c:pt idx="1">
                  <c:v>1</c:v>
                </c:pt>
                <c:pt idx="2">
                  <c:v>1</c:v>
                </c:pt>
                <c:pt idx="6">
                  <c:v>2</c:v>
                </c:pt>
                <c:pt idx="7">
                  <c:v>4</c:v>
                </c:pt>
                <c:pt idx="8">
                  <c:v>4</c:v>
                </c:pt>
                <c:pt idx="9">
                  <c:v>4</c:v>
                </c:pt>
                <c:pt idx="10">
                  <c:v>2</c:v>
                </c:pt>
                <c:pt idx="11">
                  <c:v>8</c:v>
                </c:pt>
                <c:pt idx="12">
                  <c:v>12</c:v>
                </c:pt>
                <c:pt idx="13">
                  <c:v>14</c:v>
                </c:pt>
                <c:pt idx="14">
                  <c:v>8</c:v>
                </c:pt>
                <c:pt idx="15">
                  <c:v>8</c:v>
                </c:pt>
                <c:pt idx="16">
                  <c:v>4</c:v>
                </c:pt>
                <c:pt idx="17">
                  <c:v>3</c:v>
                </c:pt>
                <c:pt idx="18">
                  <c:v>3</c:v>
                </c:pt>
                <c:pt idx="19">
                  <c:v>4</c:v>
                </c:pt>
                <c:pt idx="20">
                  <c:v>8</c:v>
                </c:pt>
                <c:pt idx="21">
                  <c:v>1</c:v>
                </c:pt>
                <c:pt idx="22">
                  <c:v>4</c:v>
                </c:pt>
                <c:pt idx="23">
                  <c:v>1</c:v>
                </c:pt>
                <c:pt idx="24">
                  <c:v>1</c:v>
                </c:pt>
                <c:pt idx="25">
                  <c:v>2</c:v>
                </c:pt>
                <c:pt idx="26">
                  <c:v>4</c:v>
                </c:pt>
                <c:pt idx="27">
                  <c:v>4</c:v>
                </c:pt>
                <c:pt idx="28">
                  <c:v>5</c:v>
                </c:pt>
                <c:pt idx="29">
                  <c:v>2</c:v>
                </c:pt>
                <c:pt idx="30">
                  <c:v>3</c:v>
                </c:pt>
                <c:pt idx="31">
                  <c:v>3</c:v>
                </c:pt>
                <c:pt idx="32">
                  <c:v>1</c:v>
                </c:pt>
                <c:pt idx="33">
                  <c:v>3</c:v>
                </c:pt>
                <c:pt idx="34">
                  <c:v>4</c:v>
                </c:pt>
                <c:pt idx="35">
                  <c:v>1</c:v>
                </c:pt>
                <c:pt idx="37">
                  <c:v>1</c:v>
                </c:pt>
                <c:pt idx="38">
                  <c:v>4</c:v>
                </c:pt>
                <c:pt idx="40">
                  <c:v>1</c:v>
                </c:pt>
                <c:pt idx="41">
                  <c:v>2</c:v>
                </c:pt>
                <c:pt idx="45">
                  <c:v>1</c:v>
                </c:pt>
                <c:pt idx="46">
                  <c:v>1</c:v>
                </c:pt>
                <c:pt idx="48">
                  <c:v>1</c:v>
                </c:pt>
                <c:pt idx="49">
                  <c:v>1</c:v>
                </c:pt>
                <c:pt idx="52">
                  <c:v>1</c:v>
                </c:pt>
                <c:pt idx="62">
                  <c:v>1</c:v>
                </c:pt>
                <c:pt idx="63">
                  <c:v>1</c:v>
                </c:pt>
                <c:pt idx="82">
                  <c:v>1</c:v>
                </c:pt>
                <c:pt idx="95">
                  <c:v>1</c:v>
                </c:pt>
              </c:numCache>
            </c:numRef>
          </c:val>
          <c:smooth val="0"/>
          <c:extLst>
            <c:ext xmlns:c16="http://schemas.microsoft.com/office/drawing/2014/chart" uri="{C3380CC4-5D6E-409C-BE32-E72D297353CC}">
              <c16:uniqueId val="{00000000-45B8-4773-AB1E-CEEA7E973AA0}"/>
            </c:ext>
          </c:extLst>
        </c:ser>
        <c:ser>
          <c:idx val="1"/>
          <c:order val="1"/>
          <c:tx>
            <c:strRef>
              <c:f>'resupply dist (2)'!$V$1:$V$2</c:f>
              <c:strCache>
                <c:ptCount val="1"/>
                <c:pt idx="0">
                  <c:v>280 mg</c:v>
                </c:pt>
              </c:strCache>
            </c:strRef>
          </c:tx>
          <c:spPr>
            <a:ln w="28575" cap="rnd">
              <a:solidFill>
                <a:schemeClr val="accent2"/>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(2)'!$V$3:$V$131</c:f>
              <c:numCache>
                <c:formatCode>General</c:formatCode>
                <c:ptCount val="128"/>
                <c:pt idx="0">
                  <c:v>37</c:v>
                </c:pt>
                <c:pt idx="1">
                  <c:v>34</c:v>
                </c:pt>
                <c:pt idx="2">
                  <c:v>26</c:v>
                </c:pt>
                <c:pt idx="3">
                  <c:v>23</c:v>
                </c:pt>
                <c:pt idx="4">
                  <c:v>30</c:v>
                </c:pt>
                <c:pt idx="5">
                  <c:v>29</c:v>
                </c:pt>
                <c:pt idx="6">
                  <c:v>45</c:v>
                </c:pt>
                <c:pt idx="7">
                  <c:v>39</c:v>
                </c:pt>
                <c:pt idx="8">
                  <c:v>61</c:v>
                </c:pt>
                <c:pt idx="9">
                  <c:v>48</c:v>
                </c:pt>
                <c:pt idx="10">
                  <c:v>55</c:v>
                </c:pt>
                <c:pt idx="11">
                  <c:v>75</c:v>
                </c:pt>
                <c:pt idx="12">
                  <c:v>99</c:v>
                </c:pt>
                <c:pt idx="13">
                  <c:v>174</c:v>
                </c:pt>
                <c:pt idx="14">
                  <c:v>162</c:v>
                </c:pt>
                <c:pt idx="15">
                  <c:v>165</c:v>
                </c:pt>
                <c:pt idx="16">
                  <c:v>163</c:v>
                </c:pt>
                <c:pt idx="17">
                  <c:v>203</c:v>
                </c:pt>
                <c:pt idx="18">
                  <c:v>217</c:v>
                </c:pt>
                <c:pt idx="19">
                  <c:v>233</c:v>
                </c:pt>
                <c:pt idx="20">
                  <c:v>1290</c:v>
                </c:pt>
                <c:pt idx="21">
                  <c:v>727</c:v>
                </c:pt>
                <c:pt idx="22">
                  <c:v>641</c:v>
                </c:pt>
                <c:pt idx="23">
                  <c:v>654</c:v>
                </c:pt>
                <c:pt idx="24">
                  <c:v>777</c:v>
                </c:pt>
                <c:pt idx="25">
                  <c:v>892</c:v>
                </c:pt>
                <c:pt idx="26">
                  <c:v>1201</c:v>
                </c:pt>
                <c:pt idx="27">
                  <c:v>1802</c:v>
                </c:pt>
                <c:pt idx="28">
                  <c:v>1225</c:v>
                </c:pt>
                <c:pt idx="29">
                  <c:v>842</c:v>
                </c:pt>
                <c:pt idx="30">
                  <c:v>764</c:v>
                </c:pt>
                <c:pt idx="31">
                  <c:v>647</c:v>
                </c:pt>
                <c:pt idx="32">
                  <c:v>569</c:v>
                </c:pt>
                <c:pt idx="33">
                  <c:v>473</c:v>
                </c:pt>
                <c:pt idx="34">
                  <c:v>572</c:v>
                </c:pt>
                <c:pt idx="35">
                  <c:v>367</c:v>
                </c:pt>
                <c:pt idx="36">
                  <c:v>266</c:v>
                </c:pt>
                <c:pt idx="37">
                  <c:v>242</c:v>
                </c:pt>
                <c:pt idx="38">
                  <c:v>222</c:v>
                </c:pt>
                <c:pt idx="39">
                  <c:v>175</c:v>
                </c:pt>
                <c:pt idx="40">
                  <c:v>213</c:v>
                </c:pt>
                <c:pt idx="41">
                  <c:v>232</c:v>
                </c:pt>
                <c:pt idx="42">
                  <c:v>138</c:v>
                </c:pt>
                <c:pt idx="43">
                  <c:v>146</c:v>
                </c:pt>
                <c:pt idx="44">
                  <c:v>100</c:v>
                </c:pt>
                <c:pt idx="45">
                  <c:v>83</c:v>
                </c:pt>
                <c:pt idx="46">
                  <c:v>88</c:v>
                </c:pt>
                <c:pt idx="47">
                  <c:v>82</c:v>
                </c:pt>
                <c:pt idx="48">
                  <c:v>88</c:v>
                </c:pt>
                <c:pt idx="49">
                  <c:v>66</c:v>
                </c:pt>
                <c:pt idx="50">
                  <c:v>68</c:v>
                </c:pt>
                <c:pt idx="51">
                  <c:v>56</c:v>
                </c:pt>
                <c:pt idx="52">
                  <c:v>55</c:v>
                </c:pt>
                <c:pt idx="53">
                  <c:v>48</c:v>
                </c:pt>
                <c:pt idx="54">
                  <c:v>66</c:v>
                </c:pt>
                <c:pt idx="55">
                  <c:v>80</c:v>
                </c:pt>
                <c:pt idx="56">
                  <c:v>40</c:v>
                </c:pt>
                <c:pt idx="57">
                  <c:v>36</c:v>
                </c:pt>
                <c:pt idx="58">
                  <c:v>33</c:v>
                </c:pt>
                <c:pt idx="59">
                  <c:v>29</c:v>
                </c:pt>
                <c:pt idx="60">
                  <c:v>40</c:v>
                </c:pt>
                <c:pt idx="61">
                  <c:v>37</c:v>
                </c:pt>
                <c:pt idx="62">
                  <c:v>40</c:v>
                </c:pt>
                <c:pt idx="63">
                  <c:v>28</c:v>
                </c:pt>
                <c:pt idx="64">
                  <c:v>25</c:v>
                </c:pt>
                <c:pt idx="65">
                  <c:v>22</c:v>
                </c:pt>
                <c:pt idx="66">
                  <c:v>17</c:v>
                </c:pt>
                <c:pt idx="67">
                  <c:v>16</c:v>
                </c:pt>
                <c:pt idx="68">
                  <c:v>22</c:v>
                </c:pt>
                <c:pt idx="69">
                  <c:v>16</c:v>
                </c:pt>
                <c:pt idx="70">
                  <c:v>14</c:v>
                </c:pt>
                <c:pt idx="71">
                  <c:v>8</c:v>
                </c:pt>
                <c:pt idx="72">
                  <c:v>17</c:v>
                </c:pt>
                <c:pt idx="73">
                  <c:v>9</c:v>
                </c:pt>
                <c:pt idx="74">
                  <c:v>9</c:v>
                </c:pt>
                <c:pt idx="75">
                  <c:v>13</c:v>
                </c:pt>
                <c:pt idx="76">
                  <c:v>10</c:v>
                </c:pt>
                <c:pt idx="77">
                  <c:v>10</c:v>
                </c:pt>
                <c:pt idx="78">
                  <c:v>4</c:v>
                </c:pt>
                <c:pt idx="79">
                  <c:v>6</c:v>
                </c:pt>
                <c:pt idx="80">
                  <c:v>9</c:v>
                </c:pt>
                <c:pt idx="81">
                  <c:v>6</c:v>
                </c:pt>
                <c:pt idx="82">
                  <c:v>9</c:v>
                </c:pt>
                <c:pt idx="83">
                  <c:v>5</c:v>
                </c:pt>
                <c:pt idx="84">
                  <c:v>4</c:v>
                </c:pt>
                <c:pt idx="85">
                  <c:v>8</c:v>
                </c:pt>
                <c:pt idx="86">
                  <c:v>9</c:v>
                </c:pt>
                <c:pt idx="87">
                  <c:v>4</c:v>
                </c:pt>
                <c:pt idx="88">
                  <c:v>3</c:v>
                </c:pt>
                <c:pt idx="89">
                  <c:v>6</c:v>
                </c:pt>
                <c:pt idx="90">
                  <c:v>6</c:v>
                </c:pt>
                <c:pt idx="91">
                  <c:v>5</c:v>
                </c:pt>
                <c:pt idx="92">
                  <c:v>7</c:v>
                </c:pt>
                <c:pt idx="93">
                  <c:v>4</c:v>
                </c:pt>
                <c:pt idx="94">
                  <c:v>7</c:v>
                </c:pt>
                <c:pt idx="95">
                  <c:v>5</c:v>
                </c:pt>
                <c:pt idx="96">
                  <c:v>1</c:v>
                </c:pt>
                <c:pt idx="97">
                  <c:v>3</c:v>
                </c:pt>
                <c:pt idx="98">
                  <c:v>4</c:v>
                </c:pt>
                <c:pt idx="99">
                  <c:v>2</c:v>
                </c:pt>
                <c:pt idx="100">
                  <c:v>2</c:v>
                </c:pt>
                <c:pt idx="101">
                  <c:v>4</c:v>
                </c:pt>
                <c:pt idx="102">
                  <c:v>2</c:v>
                </c:pt>
                <c:pt idx="103">
                  <c:v>3</c:v>
                </c:pt>
                <c:pt idx="104">
                  <c:v>5</c:v>
                </c:pt>
                <c:pt idx="105">
                  <c:v>3</c:v>
                </c:pt>
                <c:pt idx="106">
                  <c:v>4</c:v>
                </c:pt>
                <c:pt idx="107">
                  <c:v>2</c:v>
                </c:pt>
                <c:pt idx="108">
                  <c:v>1</c:v>
                </c:pt>
                <c:pt idx="109">
                  <c:v>2</c:v>
                </c:pt>
                <c:pt idx="110">
                  <c:v>2</c:v>
                </c:pt>
                <c:pt idx="111">
                  <c:v>5</c:v>
                </c:pt>
                <c:pt idx="112">
                  <c:v>1</c:v>
                </c:pt>
                <c:pt idx="113">
                  <c:v>1</c:v>
                </c:pt>
                <c:pt idx="114">
                  <c:v>2</c:v>
                </c:pt>
                <c:pt idx="115">
                  <c:v>1</c:v>
                </c:pt>
                <c:pt idx="116">
                  <c:v>2</c:v>
                </c:pt>
                <c:pt idx="117">
                  <c:v>2</c:v>
                </c:pt>
                <c:pt idx="118">
                  <c:v>3</c:v>
                </c:pt>
                <c:pt idx="119">
                  <c:v>2</c:v>
                </c:pt>
                <c:pt idx="120">
                  <c:v>2</c:v>
                </c:pt>
                <c:pt idx="123">
                  <c:v>3</c:v>
                </c:pt>
                <c:pt idx="124">
                  <c:v>3</c:v>
                </c:pt>
                <c:pt idx="125">
                  <c:v>3</c:v>
                </c:pt>
                <c:pt idx="126">
                  <c:v>1</c:v>
                </c:pt>
                <c:pt idx="127">
                  <c:v>1</c:v>
                </c:pt>
              </c:numCache>
            </c:numRef>
          </c:val>
          <c:smooth val="0"/>
          <c:extLst>
            <c:ext xmlns:c16="http://schemas.microsoft.com/office/drawing/2014/chart" uri="{C3380CC4-5D6E-409C-BE32-E72D297353CC}">
              <c16:uniqueId val="{00000001-45B8-4773-AB1E-CEEA7E973AA0}"/>
            </c:ext>
          </c:extLst>
        </c:ser>
        <c:ser>
          <c:idx val="2"/>
          <c:order val="2"/>
          <c:tx>
            <c:strRef>
              <c:f>'resupply dist (2)'!$W$1:$W$2</c:f>
              <c:strCache>
                <c:ptCount val="1"/>
                <c:pt idx="0">
                  <c:v>420 mg</c:v>
                </c:pt>
              </c:strCache>
            </c:strRef>
          </c:tx>
          <c:spPr>
            <a:ln w="28575" cap="rnd">
              <a:solidFill>
                <a:schemeClr val="accent3"/>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(2)'!$W$3:$W$131</c:f>
              <c:numCache>
                <c:formatCode>General</c:formatCode>
                <c:ptCount val="128"/>
                <c:pt idx="0">
                  <c:v>54</c:v>
                </c:pt>
                <c:pt idx="1">
                  <c:v>39</c:v>
                </c:pt>
                <c:pt idx="2">
                  <c:v>30</c:v>
                </c:pt>
                <c:pt idx="3">
                  <c:v>39</c:v>
                </c:pt>
                <c:pt idx="4">
                  <c:v>35</c:v>
                </c:pt>
                <c:pt idx="5">
                  <c:v>38</c:v>
                </c:pt>
                <c:pt idx="6">
                  <c:v>62</c:v>
                </c:pt>
                <c:pt idx="7">
                  <c:v>51</c:v>
                </c:pt>
                <c:pt idx="8">
                  <c:v>33</c:v>
                </c:pt>
                <c:pt idx="9">
                  <c:v>42</c:v>
                </c:pt>
                <c:pt idx="10">
                  <c:v>56</c:v>
                </c:pt>
                <c:pt idx="11">
                  <c:v>61</c:v>
                </c:pt>
                <c:pt idx="12">
                  <c:v>56</c:v>
                </c:pt>
                <c:pt idx="13">
                  <c:v>134</c:v>
                </c:pt>
                <c:pt idx="14">
                  <c:v>78</c:v>
                </c:pt>
                <c:pt idx="15">
                  <c:v>89</c:v>
                </c:pt>
                <c:pt idx="16">
                  <c:v>91</c:v>
                </c:pt>
                <c:pt idx="17">
                  <c:v>99</c:v>
                </c:pt>
                <c:pt idx="18">
                  <c:v>93</c:v>
                </c:pt>
                <c:pt idx="19">
                  <c:v>149</c:v>
                </c:pt>
                <c:pt idx="20">
                  <c:v>1002</c:v>
                </c:pt>
                <c:pt idx="21">
                  <c:v>470</c:v>
                </c:pt>
                <c:pt idx="22">
                  <c:v>448</c:v>
                </c:pt>
                <c:pt idx="23">
                  <c:v>445</c:v>
                </c:pt>
                <c:pt idx="24">
                  <c:v>511</c:v>
                </c:pt>
                <c:pt idx="25">
                  <c:v>600</c:v>
                </c:pt>
                <c:pt idx="26">
                  <c:v>823</c:v>
                </c:pt>
                <c:pt idx="27">
                  <c:v>1311</c:v>
                </c:pt>
                <c:pt idx="28">
                  <c:v>1018</c:v>
                </c:pt>
                <c:pt idx="29">
                  <c:v>888</c:v>
                </c:pt>
                <c:pt idx="30">
                  <c:v>907</c:v>
                </c:pt>
                <c:pt idx="31">
                  <c:v>885</c:v>
                </c:pt>
                <c:pt idx="32">
                  <c:v>720</c:v>
                </c:pt>
                <c:pt idx="33">
                  <c:v>752</c:v>
                </c:pt>
                <c:pt idx="34">
                  <c:v>994</c:v>
                </c:pt>
                <c:pt idx="35">
                  <c:v>776</c:v>
                </c:pt>
                <c:pt idx="36">
                  <c:v>661</c:v>
                </c:pt>
                <c:pt idx="37">
                  <c:v>643</c:v>
                </c:pt>
                <c:pt idx="38">
                  <c:v>689</c:v>
                </c:pt>
                <c:pt idx="39">
                  <c:v>725</c:v>
                </c:pt>
                <c:pt idx="40">
                  <c:v>872</c:v>
                </c:pt>
                <c:pt idx="41">
                  <c:v>1258</c:v>
                </c:pt>
                <c:pt idx="42">
                  <c:v>828</c:v>
                </c:pt>
                <c:pt idx="43">
                  <c:v>649</c:v>
                </c:pt>
                <c:pt idx="44">
                  <c:v>613</c:v>
                </c:pt>
                <c:pt idx="45">
                  <c:v>544</c:v>
                </c:pt>
                <c:pt idx="46">
                  <c:v>463</c:v>
                </c:pt>
                <c:pt idx="47">
                  <c:v>569</c:v>
                </c:pt>
                <c:pt idx="48">
                  <c:v>586</c:v>
                </c:pt>
                <c:pt idx="49">
                  <c:v>453</c:v>
                </c:pt>
                <c:pt idx="50">
                  <c:v>384</c:v>
                </c:pt>
                <c:pt idx="51">
                  <c:v>348</c:v>
                </c:pt>
                <c:pt idx="52">
                  <c:v>316</c:v>
                </c:pt>
                <c:pt idx="53">
                  <c:v>324</c:v>
                </c:pt>
                <c:pt idx="54">
                  <c:v>350</c:v>
                </c:pt>
                <c:pt idx="55">
                  <c:v>379</c:v>
                </c:pt>
                <c:pt idx="56">
                  <c:v>259</c:v>
                </c:pt>
                <c:pt idx="57">
                  <c:v>258</c:v>
                </c:pt>
                <c:pt idx="58">
                  <c:v>196</c:v>
                </c:pt>
                <c:pt idx="59">
                  <c:v>204</c:v>
                </c:pt>
                <c:pt idx="60">
                  <c:v>200</c:v>
                </c:pt>
                <c:pt idx="61">
                  <c:v>202</c:v>
                </c:pt>
                <c:pt idx="62">
                  <c:v>221</c:v>
                </c:pt>
                <c:pt idx="63">
                  <c:v>166</c:v>
                </c:pt>
                <c:pt idx="64">
                  <c:v>115</c:v>
                </c:pt>
                <c:pt idx="65">
                  <c:v>124</c:v>
                </c:pt>
                <c:pt idx="66">
                  <c:v>96</c:v>
                </c:pt>
                <c:pt idx="67">
                  <c:v>128</c:v>
                </c:pt>
                <c:pt idx="68">
                  <c:v>115</c:v>
                </c:pt>
                <c:pt idx="69">
                  <c:v>116</c:v>
                </c:pt>
                <c:pt idx="70">
                  <c:v>103</c:v>
                </c:pt>
                <c:pt idx="71">
                  <c:v>82</c:v>
                </c:pt>
                <c:pt idx="72">
                  <c:v>61</c:v>
                </c:pt>
                <c:pt idx="73">
                  <c:v>66</c:v>
                </c:pt>
                <c:pt idx="74">
                  <c:v>68</c:v>
                </c:pt>
                <c:pt idx="75">
                  <c:v>85</c:v>
                </c:pt>
                <c:pt idx="76">
                  <c:v>86</c:v>
                </c:pt>
                <c:pt idx="77">
                  <c:v>74</c:v>
                </c:pt>
                <c:pt idx="78">
                  <c:v>53</c:v>
                </c:pt>
                <c:pt idx="79">
                  <c:v>63</c:v>
                </c:pt>
                <c:pt idx="80">
                  <c:v>60</c:v>
                </c:pt>
                <c:pt idx="81">
                  <c:v>54</c:v>
                </c:pt>
                <c:pt idx="82">
                  <c:v>56</c:v>
                </c:pt>
                <c:pt idx="83">
                  <c:v>53</c:v>
                </c:pt>
                <c:pt idx="84">
                  <c:v>49</c:v>
                </c:pt>
                <c:pt idx="85">
                  <c:v>61</c:v>
                </c:pt>
                <c:pt idx="86">
                  <c:v>40</c:v>
                </c:pt>
                <c:pt idx="87">
                  <c:v>46</c:v>
                </c:pt>
                <c:pt idx="88">
                  <c:v>43</c:v>
                </c:pt>
                <c:pt idx="89">
                  <c:v>39</c:v>
                </c:pt>
                <c:pt idx="90">
                  <c:v>58</c:v>
                </c:pt>
                <c:pt idx="91">
                  <c:v>37</c:v>
                </c:pt>
                <c:pt idx="92">
                  <c:v>27</c:v>
                </c:pt>
                <c:pt idx="93">
                  <c:v>23</c:v>
                </c:pt>
                <c:pt idx="94">
                  <c:v>35</c:v>
                </c:pt>
                <c:pt idx="95">
                  <c:v>30</c:v>
                </c:pt>
                <c:pt idx="96">
                  <c:v>27</c:v>
                </c:pt>
                <c:pt idx="97">
                  <c:v>35</c:v>
                </c:pt>
                <c:pt idx="98">
                  <c:v>20</c:v>
                </c:pt>
                <c:pt idx="99">
                  <c:v>19</c:v>
                </c:pt>
                <c:pt idx="100">
                  <c:v>18</c:v>
                </c:pt>
                <c:pt idx="101">
                  <c:v>30</c:v>
                </c:pt>
                <c:pt idx="102">
                  <c:v>9</c:v>
                </c:pt>
                <c:pt idx="103">
                  <c:v>13</c:v>
                </c:pt>
                <c:pt idx="104">
                  <c:v>20</c:v>
                </c:pt>
                <c:pt idx="105">
                  <c:v>14</c:v>
                </c:pt>
                <c:pt idx="106">
                  <c:v>18</c:v>
                </c:pt>
                <c:pt idx="107">
                  <c:v>15</c:v>
                </c:pt>
                <c:pt idx="108">
                  <c:v>9</c:v>
                </c:pt>
                <c:pt idx="109">
                  <c:v>16</c:v>
                </c:pt>
                <c:pt idx="110">
                  <c:v>22</c:v>
                </c:pt>
                <c:pt idx="111">
                  <c:v>18</c:v>
                </c:pt>
                <c:pt idx="112">
                  <c:v>11</c:v>
                </c:pt>
                <c:pt idx="113">
                  <c:v>9</c:v>
                </c:pt>
                <c:pt idx="114">
                  <c:v>9</c:v>
                </c:pt>
                <c:pt idx="115">
                  <c:v>8</c:v>
                </c:pt>
                <c:pt idx="116">
                  <c:v>8</c:v>
                </c:pt>
                <c:pt idx="117">
                  <c:v>11</c:v>
                </c:pt>
                <c:pt idx="118">
                  <c:v>17</c:v>
                </c:pt>
                <c:pt idx="119">
                  <c:v>7</c:v>
                </c:pt>
                <c:pt idx="120">
                  <c:v>6</c:v>
                </c:pt>
                <c:pt idx="121">
                  <c:v>7</c:v>
                </c:pt>
                <c:pt idx="122">
                  <c:v>11</c:v>
                </c:pt>
                <c:pt idx="123">
                  <c:v>9</c:v>
                </c:pt>
                <c:pt idx="124">
                  <c:v>12</c:v>
                </c:pt>
                <c:pt idx="125">
                  <c:v>6</c:v>
                </c:pt>
                <c:pt idx="126">
                  <c:v>11</c:v>
                </c:pt>
                <c:pt idx="127">
                  <c:v>6</c:v>
                </c:pt>
              </c:numCache>
            </c:numRef>
          </c:val>
          <c:smooth val="0"/>
          <c:extLst>
            <c:ext xmlns:c16="http://schemas.microsoft.com/office/drawing/2014/chart" uri="{C3380CC4-5D6E-409C-BE32-E72D297353CC}">
              <c16:uniqueId val="{00000002-45B8-4773-AB1E-CEEA7E973AA0}"/>
            </c:ext>
          </c:extLst>
        </c:ser>
        <c:ser>
          <c:idx val="3"/>
          <c:order val="3"/>
          <c:tx>
            <c:strRef>
              <c:f>'resupply dist (2)'!$X$1:$X$2</c:f>
              <c:strCache>
                <c:ptCount val="1"/>
                <c:pt idx="0">
                  <c:v>560 mg</c:v>
                </c:pt>
              </c:strCache>
            </c:strRef>
          </c:tx>
          <c:spPr>
            <a:ln w="28575" cap="rnd">
              <a:solidFill>
                <a:schemeClr val="accent4"/>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(2)'!$X$3:$X$131</c:f>
              <c:numCache>
                <c:formatCode>General</c:formatCode>
                <c:ptCount val="128"/>
                <c:pt idx="0">
                  <c:v>1</c:v>
                </c:pt>
                <c:pt idx="1">
                  <c:v>1</c:v>
                </c:pt>
                <c:pt idx="2">
                  <c:v>2</c:v>
                </c:pt>
                <c:pt idx="5">
                  <c:v>1</c:v>
                </c:pt>
                <c:pt idx="7">
                  <c:v>3</c:v>
                </c:pt>
                <c:pt idx="8">
                  <c:v>2</c:v>
                </c:pt>
                <c:pt idx="9">
                  <c:v>1</c:v>
                </c:pt>
                <c:pt idx="10">
                  <c:v>1</c:v>
                </c:pt>
                <c:pt idx="12">
                  <c:v>2</c:v>
                </c:pt>
                <c:pt idx="13">
                  <c:v>3</c:v>
                </c:pt>
                <c:pt idx="14">
                  <c:v>1</c:v>
                </c:pt>
                <c:pt idx="15">
                  <c:v>1</c:v>
                </c:pt>
                <c:pt idx="16">
                  <c:v>2</c:v>
                </c:pt>
                <c:pt idx="17">
                  <c:v>1</c:v>
                </c:pt>
                <c:pt idx="18">
                  <c:v>1</c:v>
                </c:pt>
                <c:pt idx="19">
                  <c:v>6</c:v>
                </c:pt>
                <c:pt idx="20">
                  <c:v>3</c:v>
                </c:pt>
                <c:pt idx="22">
                  <c:v>6</c:v>
                </c:pt>
                <c:pt idx="23">
                  <c:v>3</c:v>
                </c:pt>
                <c:pt idx="24">
                  <c:v>2</c:v>
                </c:pt>
                <c:pt idx="25">
                  <c:v>1</c:v>
                </c:pt>
                <c:pt idx="26">
                  <c:v>6</c:v>
                </c:pt>
                <c:pt idx="27">
                  <c:v>5</c:v>
                </c:pt>
                <c:pt idx="28">
                  <c:v>3</c:v>
                </c:pt>
                <c:pt idx="29">
                  <c:v>5</c:v>
                </c:pt>
                <c:pt idx="30">
                  <c:v>3</c:v>
                </c:pt>
                <c:pt idx="31">
                  <c:v>2</c:v>
                </c:pt>
                <c:pt idx="32">
                  <c:v>5</c:v>
                </c:pt>
                <c:pt idx="33">
                  <c:v>6</c:v>
                </c:pt>
                <c:pt idx="34">
                  <c:v>2</c:v>
                </c:pt>
                <c:pt idx="35">
                  <c:v>4</c:v>
                </c:pt>
                <c:pt idx="36">
                  <c:v>2</c:v>
                </c:pt>
                <c:pt idx="37">
                  <c:v>1</c:v>
                </c:pt>
                <c:pt idx="38">
                  <c:v>3</c:v>
                </c:pt>
                <c:pt idx="39">
                  <c:v>5</c:v>
                </c:pt>
                <c:pt idx="40">
                  <c:v>3</c:v>
                </c:pt>
                <c:pt idx="41">
                  <c:v>6</c:v>
                </c:pt>
                <c:pt idx="42">
                  <c:v>6</c:v>
                </c:pt>
                <c:pt idx="43">
                  <c:v>2</c:v>
                </c:pt>
                <c:pt idx="44">
                  <c:v>10</c:v>
                </c:pt>
                <c:pt idx="45">
                  <c:v>8</c:v>
                </c:pt>
                <c:pt idx="46">
                  <c:v>3</c:v>
                </c:pt>
                <c:pt idx="48">
                  <c:v>4</c:v>
                </c:pt>
                <c:pt idx="49">
                  <c:v>10</c:v>
                </c:pt>
                <c:pt idx="50">
                  <c:v>2</c:v>
                </c:pt>
                <c:pt idx="51">
                  <c:v>7</c:v>
                </c:pt>
                <c:pt idx="52">
                  <c:v>7</c:v>
                </c:pt>
                <c:pt idx="53">
                  <c:v>10</c:v>
                </c:pt>
                <c:pt idx="54">
                  <c:v>9</c:v>
                </c:pt>
                <c:pt idx="55">
                  <c:v>9</c:v>
                </c:pt>
                <c:pt idx="56">
                  <c:v>9</c:v>
                </c:pt>
                <c:pt idx="57">
                  <c:v>2</c:v>
                </c:pt>
                <c:pt idx="58">
                  <c:v>3</c:v>
                </c:pt>
                <c:pt idx="59">
                  <c:v>10</c:v>
                </c:pt>
                <c:pt idx="60">
                  <c:v>6</c:v>
                </c:pt>
                <c:pt idx="61">
                  <c:v>3</c:v>
                </c:pt>
                <c:pt idx="62">
                  <c:v>12</c:v>
                </c:pt>
                <c:pt idx="63">
                  <c:v>9</c:v>
                </c:pt>
                <c:pt idx="64">
                  <c:v>6</c:v>
                </c:pt>
                <c:pt idx="65">
                  <c:v>2</c:v>
                </c:pt>
                <c:pt idx="66">
                  <c:v>2</c:v>
                </c:pt>
                <c:pt idx="67">
                  <c:v>5</c:v>
                </c:pt>
                <c:pt idx="68">
                  <c:v>7</c:v>
                </c:pt>
                <c:pt idx="69">
                  <c:v>4</c:v>
                </c:pt>
                <c:pt idx="70">
                  <c:v>5</c:v>
                </c:pt>
                <c:pt idx="71">
                  <c:v>3</c:v>
                </c:pt>
                <c:pt idx="73">
                  <c:v>2</c:v>
                </c:pt>
                <c:pt idx="74">
                  <c:v>1</c:v>
                </c:pt>
                <c:pt idx="76">
                  <c:v>5</c:v>
                </c:pt>
                <c:pt idx="77">
                  <c:v>2</c:v>
                </c:pt>
                <c:pt idx="78">
                  <c:v>1</c:v>
                </c:pt>
                <c:pt idx="79">
                  <c:v>5</c:v>
                </c:pt>
                <c:pt idx="81">
                  <c:v>3</c:v>
                </c:pt>
                <c:pt idx="82">
                  <c:v>1</c:v>
                </c:pt>
                <c:pt idx="84">
                  <c:v>1</c:v>
                </c:pt>
                <c:pt idx="87">
                  <c:v>1</c:v>
                </c:pt>
                <c:pt idx="89">
                  <c:v>1</c:v>
                </c:pt>
                <c:pt idx="91">
                  <c:v>1</c:v>
                </c:pt>
                <c:pt idx="92">
                  <c:v>3</c:v>
                </c:pt>
                <c:pt idx="95">
                  <c:v>1</c:v>
                </c:pt>
                <c:pt idx="97">
                  <c:v>1</c:v>
                </c:pt>
                <c:pt idx="101">
                  <c:v>1</c:v>
                </c:pt>
                <c:pt idx="103">
                  <c:v>1</c:v>
                </c:pt>
                <c:pt idx="104">
                  <c:v>1</c:v>
                </c:pt>
                <c:pt idx="105">
                  <c:v>2</c:v>
                </c:pt>
                <c:pt idx="106">
                  <c:v>1</c:v>
                </c:pt>
                <c:pt idx="111">
                  <c:v>1</c:v>
                </c:pt>
                <c:pt idx="113">
                  <c:v>1</c:v>
                </c:pt>
                <c:pt idx="117">
                  <c:v>1</c:v>
                </c:pt>
                <c:pt idx="120">
                  <c:v>1</c:v>
                </c:pt>
                <c:pt idx="121">
                  <c:v>1</c:v>
                </c:pt>
                <c:pt idx="122">
                  <c:v>1</c:v>
                </c:pt>
                <c:pt idx="123">
                  <c:v>2</c:v>
                </c:pt>
                <c:pt idx="125">
                  <c:v>1</c:v>
                </c:pt>
              </c:numCache>
            </c:numRef>
          </c:val>
          <c:smooth val="0"/>
          <c:extLst>
            <c:ext xmlns:c16="http://schemas.microsoft.com/office/drawing/2014/chart" uri="{C3380CC4-5D6E-409C-BE32-E72D297353CC}">
              <c16:uniqueId val="{00000003-45B8-4773-AB1E-CEEA7E973AA0}"/>
            </c:ext>
          </c:extLst>
        </c:ser>
        <c:ser>
          <c:idx val="4"/>
          <c:order val="4"/>
          <c:tx>
            <c:strRef>
              <c:f>'resupply dist (2)'!$Y$1:$Y$2</c:f>
              <c:strCache>
                <c:ptCount val="1"/>
                <c:pt idx="0">
                  <c:v>700 mg</c:v>
                </c:pt>
              </c:strCache>
            </c:strRef>
          </c:tx>
          <c:spPr>
            <a:ln w="28575" cap="rnd">
              <a:solidFill>
                <a:schemeClr val="accent5"/>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(2)'!$Y$3:$Y$131</c:f>
              <c:numCache>
                <c:formatCode>General</c:formatCode>
                <c:ptCount val="128"/>
                <c:pt idx="12">
                  <c:v>1</c:v>
                </c:pt>
                <c:pt idx="20">
                  <c:v>1</c:v>
                </c:pt>
                <c:pt idx="23">
                  <c:v>2</c:v>
                </c:pt>
                <c:pt idx="26">
                  <c:v>1</c:v>
                </c:pt>
                <c:pt idx="27">
                  <c:v>1</c:v>
                </c:pt>
                <c:pt idx="28">
                  <c:v>2</c:v>
                </c:pt>
                <c:pt idx="30">
                  <c:v>1</c:v>
                </c:pt>
                <c:pt idx="31">
                  <c:v>2</c:v>
                </c:pt>
                <c:pt idx="37">
                  <c:v>1</c:v>
                </c:pt>
                <c:pt idx="40">
                  <c:v>1</c:v>
                </c:pt>
                <c:pt idx="44">
                  <c:v>1</c:v>
                </c:pt>
                <c:pt idx="51">
                  <c:v>1</c:v>
                </c:pt>
                <c:pt idx="59">
                  <c:v>2</c:v>
                </c:pt>
                <c:pt idx="67">
                  <c:v>1</c:v>
                </c:pt>
              </c:numCache>
            </c:numRef>
          </c:val>
          <c:smooth val="0"/>
          <c:extLst>
            <c:ext xmlns:c16="http://schemas.microsoft.com/office/drawing/2014/chart" uri="{C3380CC4-5D6E-409C-BE32-E72D297353CC}">
              <c16:uniqueId val="{00000004-45B8-4773-AB1E-CEEA7E973AA0}"/>
            </c:ext>
          </c:extLst>
        </c:ser>
        <c:ser>
          <c:idx val="5"/>
          <c:order val="5"/>
          <c:tx>
            <c:strRef>
              <c:f>'resupply dist (2)'!$Z$1:$Z$2</c:f>
              <c:strCache>
                <c:ptCount val="1"/>
                <c:pt idx="0">
                  <c:v>840 mg</c:v>
                </c:pt>
              </c:strCache>
            </c:strRef>
          </c:tx>
          <c:spPr>
            <a:ln w="28575" cap="rnd">
              <a:solidFill>
                <a:schemeClr val="accent6"/>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(2)'!$Z$3:$Z$131</c:f>
              <c:numCache>
                <c:formatCode>General</c:formatCode>
                <c:ptCount val="128"/>
                <c:pt idx="0">
                  <c:v>3</c:v>
                </c:pt>
                <c:pt idx="1">
                  <c:v>2</c:v>
                </c:pt>
                <c:pt idx="4">
                  <c:v>1</c:v>
                </c:pt>
                <c:pt idx="5">
                  <c:v>2</c:v>
                </c:pt>
                <c:pt idx="6">
                  <c:v>1</c:v>
                </c:pt>
                <c:pt idx="7">
                  <c:v>4</c:v>
                </c:pt>
                <c:pt idx="8">
                  <c:v>2</c:v>
                </c:pt>
                <c:pt idx="9">
                  <c:v>3</c:v>
                </c:pt>
                <c:pt idx="11">
                  <c:v>3</c:v>
                </c:pt>
                <c:pt idx="12">
                  <c:v>3</c:v>
                </c:pt>
                <c:pt idx="13">
                  <c:v>3</c:v>
                </c:pt>
                <c:pt idx="14">
                  <c:v>4</c:v>
                </c:pt>
                <c:pt idx="15">
                  <c:v>8</c:v>
                </c:pt>
                <c:pt idx="16">
                  <c:v>3</c:v>
                </c:pt>
                <c:pt idx="17">
                  <c:v>7</c:v>
                </c:pt>
                <c:pt idx="18">
                  <c:v>6</c:v>
                </c:pt>
                <c:pt idx="19">
                  <c:v>9</c:v>
                </c:pt>
                <c:pt idx="20">
                  <c:v>34</c:v>
                </c:pt>
                <c:pt idx="21">
                  <c:v>18</c:v>
                </c:pt>
                <c:pt idx="22">
                  <c:v>14</c:v>
                </c:pt>
                <c:pt idx="23">
                  <c:v>24</c:v>
                </c:pt>
                <c:pt idx="24">
                  <c:v>32</c:v>
                </c:pt>
                <c:pt idx="25">
                  <c:v>20</c:v>
                </c:pt>
                <c:pt idx="26">
                  <c:v>37</c:v>
                </c:pt>
                <c:pt idx="27">
                  <c:v>46</c:v>
                </c:pt>
                <c:pt idx="28">
                  <c:v>35</c:v>
                </c:pt>
                <c:pt idx="29">
                  <c:v>31</c:v>
                </c:pt>
                <c:pt idx="30">
                  <c:v>24</c:v>
                </c:pt>
                <c:pt idx="31">
                  <c:v>20</c:v>
                </c:pt>
                <c:pt idx="32">
                  <c:v>21</c:v>
                </c:pt>
                <c:pt idx="33">
                  <c:v>14</c:v>
                </c:pt>
                <c:pt idx="34">
                  <c:v>24</c:v>
                </c:pt>
                <c:pt idx="35">
                  <c:v>15</c:v>
                </c:pt>
                <c:pt idx="36">
                  <c:v>7</c:v>
                </c:pt>
                <c:pt idx="37">
                  <c:v>15</c:v>
                </c:pt>
                <c:pt idx="38">
                  <c:v>7</c:v>
                </c:pt>
                <c:pt idx="39">
                  <c:v>13</c:v>
                </c:pt>
                <c:pt idx="40">
                  <c:v>9</c:v>
                </c:pt>
                <c:pt idx="41">
                  <c:v>9</c:v>
                </c:pt>
                <c:pt idx="42">
                  <c:v>10</c:v>
                </c:pt>
                <c:pt idx="43">
                  <c:v>12</c:v>
                </c:pt>
                <c:pt idx="44">
                  <c:v>8</c:v>
                </c:pt>
                <c:pt idx="45">
                  <c:v>12</c:v>
                </c:pt>
                <c:pt idx="46">
                  <c:v>7</c:v>
                </c:pt>
                <c:pt idx="47">
                  <c:v>10</c:v>
                </c:pt>
                <c:pt idx="48">
                  <c:v>8</c:v>
                </c:pt>
                <c:pt idx="49">
                  <c:v>7</c:v>
                </c:pt>
                <c:pt idx="50">
                  <c:v>4</c:v>
                </c:pt>
                <c:pt idx="51">
                  <c:v>3</c:v>
                </c:pt>
                <c:pt idx="52">
                  <c:v>5</c:v>
                </c:pt>
                <c:pt idx="53">
                  <c:v>5</c:v>
                </c:pt>
                <c:pt idx="54">
                  <c:v>8</c:v>
                </c:pt>
                <c:pt idx="55">
                  <c:v>9</c:v>
                </c:pt>
                <c:pt idx="56">
                  <c:v>8</c:v>
                </c:pt>
                <c:pt idx="57">
                  <c:v>5</c:v>
                </c:pt>
                <c:pt idx="58">
                  <c:v>11</c:v>
                </c:pt>
                <c:pt idx="59">
                  <c:v>5</c:v>
                </c:pt>
                <c:pt idx="60">
                  <c:v>7</c:v>
                </c:pt>
                <c:pt idx="61">
                  <c:v>8</c:v>
                </c:pt>
                <c:pt idx="62">
                  <c:v>8</c:v>
                </c:pt>
                <c:pt idx="63">
                  <c:v>8</c:v>
                </c:pt>
                <c:pt idx="64">
                  <c:v>6</c:v>
                </c:pt>
                <c:pt idx="65">
                  <c:v>7</c:v>
                </c:pt>
                <c:pt idx="66">
                  <c:v>5</c:v>
                </c:pt>
                <c:pt idx="67">
                  <c:v>4</c:v>
                </c:pt>
                <c:pt idx="68">
                  <c:v>4</c:v>
                </c:pt>
                <c:pt idx="69">
                  <c:v>2</c:v>
                </c:pt>
                <c:pt idx="70">
                  <c:v>5</c:v>
                </c:pt>
                <c:pt idx="71">
                  <c:v>6</c:v>
                </c:pt>
                <c:pt idx="72">
                  <c:v>3</c:v>
                </c:pt>
                <c:pt idx="73">
                  <c:v>4</c:v>
                </c:pt>
                <c:pt idx="74">
                  <c:v>3</c:v>
                </c:pt>
                <c:pt idx="75">
                  <c:v>1</c:v>
                </c:pt>
                <c:pt idx="76">
                  <c:v>6</c:v>
                </c:pt>
                <c:pt idx="77">
                  <c:v>8</c:v>
                </c:pt>
                <c:pt idx="78">
                  <c:v>4</c:v>
                </c:pt>
                <c:pt idx="79">
                  <c:v>2</c:v>
                </c:pt>
                <c:pt idx="80">
                  <c:v>4</c:v>
                </c:pt>
                <c:pt idx="81">
                  <c:v>6</c:v>
                </c:pt>
                <c:pt idx="82">
                  <c:v>9</c:v>
                </c:pt>
                <c:pt idx="83">
                  <c:v>6</c:v>
                </c:pt>
                <c:pt idx="84">
                  <c:v>2</c:v>
                </c:pt>
                <c:pt idx="85">
                  <c:v>1</c:v>
                </c:pt>
                <c:pt idx="86">
                  <c:v>4</c:v>
                </c:pt>
                <c:pt idx="87">
                  <c:v>6</c:v>
                </c:pt>
                <c:pt idx="88">
                  <c:v>1</c:v>
                </c:pt>
                <c:pt idx="89">
                  <c:v>2</c:v>
                </c:pt>
                <c:pt idx="90">
                  <c:v>10</c:v>
                </c:pt>
                <c:pt idx="91">
                  <c:v>2</c:v>
                </c:pt>
                <c:pt idx="92">
                  <c:v>2</c:v>
                </c:pt>
                <c:pt idx="93">
                  <c:v>4</c:v>
                </c:pt>
                <c:pt idx="95">
                  <c:v>2</c:v>
                </c:pt>
                <c:pt idx="96">
                  <c:v>6</c:v>
                </c:pt>
                <c:pt idx="97">
                  <c:v>6</c:v>
                </c:pt>
                <c:pt idx="98">
                  <c:v>5</c:v>
                </c:pt>
                <c:pt idx="99">
                  <c:v>2</c:v>
                </c:pt>
                <c:pt idx="100">
                  <c:v>1</c:v>
                </c:pt>
                <c:pt idx="101">
                  <c:v>2</c:v>
                </c:pt>
                <c:pt idx="102">
                  <c:v>4</c:v>
                </c:pt>
                <c:pt idx="103">
                  <c:v>2</c:v>
                </c:pt>
                <c:pt idx="104">
                  <c:v>4</c:v>
                </c:pt>
                <c:pt idx="105">
                  <c:v>4</c:v>
                </c:pt>
                <c:pt idx="106">
                  <c:v>1</c:v>
                </c:pt>
                <c:pt idx="107">
                  <c:v>2</c:v>
                </c:pt>
                <c:pt idx="108">
                  <c:v>1</c:v>
                </c:pt>
                <c:pt idx="110">
                  <c:v>1</c:v>
                </c:pt>
                <c:pt idx="111">
                  <c:v>2</c:v>
                </c:pt>
                <c:pt idx="112">
                  <c:v>3</c:v>
                </c:pt>
                <c:pt idx="113">
                  <c:v>4</c:v>
                </c:pt>
                <c:pt idx="114">
                  <c:v>1</c:v>
                </c:pt>
                <c:pt idx="115">
                  <c:v>2</c:v>
                </c:pt>
                <c:pt idx="116">
                  <c:v>1</c:v>
                </c:pt>
                <c:pt idx="117">
                  <c:v>1</c:v>
                </c:pt>
                <c:pt idx="118">
                  <c:v>2</c:v>
                </c:pt>
                <c:pt idx="119">
                  <c:v>6</c:v>
                </c:pt>
                <c:pt idx="120">
                  <c:v>1</c:v>
                </c:pt>
                <c:pt idx="121">
                  <c:v>3</c:v>
                </c:pt>
                <c:pt idx="123">
                  <c:v>1</c:v>
                </c:pt>
                <c:pt idx="124">
                  <c:v>2</c:v>
                </c:pt>
                <c:pt idx="125">
                  <c:v>2</c:v>
                </c:pt>
              </c:numCache>
            </c:numRef>
          </c:val>
          <c:smooth val="0"/>
          <c:extLst>
            <c:ext xmlns:c16="http://schemas.microsoft.com/office/drawing/2014/chart" uri="{C3380CC4-5D6E-409C-BE32-E72D297353CC}">
              <c16:uniqueId val="{00000005-45B8-4773-AB1E-CEEA7E973AA0}"/>
            </c:ext>
          </c:extLst>
        </c:ser>
        <c:ser>
          <c:idx val="6"/>
          <c:order val="6"/>
          <c:tx>
            <c:strRef>
              <c:f>'resupply dist (2)'!$AA$1:$AA$2</c:f>
              <c:strCache>
                <c:ptCount val="1"/>
                <c:pt idx="0">
                  <c:v>1120 mg</c:v>
                </c:pt>
              </c:strCache>
            </c:strRef>
          </c:tx>
          <c:spPr>
            <a:ln w="28575" cap="rnd">
              <a:solidFill>
                <a:schemeClr val="accent1">
                  <a:lumMod val="60000"/>
                </a:schemeClr>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(2)'!$AA$3:$AA$131</c:f>
              <c:numCache>
                <c:formatCode>General</c:formatCode>
                <c:ptCount val="128"/>
                <c:pt idx="4">
                  <c:v>1</c:v>
                </c:pt>
                <c:pt idx="89">
                  <c:v>1</c:v>
                </c:pt>
                <c:pt idx="102">
                  <c:v>1</c:v>
                </c:pt>
                <c:pt idx="103">
                  <c:v>1</c:v>
                </c:pt>
                <c:pt idx="108">
                  <c:v>1</c:v>
                </c:pt>
                <c:pt idx="114">
                  <c:v>1</c:v>
                </c:pt>
              </c:numCache>
            </c:numRef>
          </c:val>
          <c:smooth val="0"/>
          <c:extLst>
            <c:ext xmlns:c16="http://schemas.microsoft.com/office/drawing/2014/chart" uri="{C3380CC4-5D6E-409C-BE32-E72D297353CC}">
              <c16:uniqueId val="{00000006-45B8-4773-AB1E-CEEA7E973AA0}"/>
            </c:ext>
          </c:extLst>
        </c:ser>
        <c:ser>
          <c:idx val="7"/>
          <c:order val="7"/>
          <c:tx>
            <c:strRef>
              <c:f>'resupply dist (2)'!$AB$1:$AB$2</c:f>
              <c:strCache>
                <c:ptCount val="1"/>
                <c:pt idx="0">
                  <c:v>1260 mg</c:v>
                </c:pt>
              </c:strCache>
            </c:strRef>
          </c:tx>
          <c:spPr>
            <a:ln w="28575" cap="rnd">
              <a:solidFill>
                <a:schemeClr val="accent2">
                  <a:lumMod val="60000"/>
                </a:schemeClr>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(2)'!$AB$3:$AB$131</c:f>
              <c:numCache>
                <c:formatCode>General</c:formatCode>
                <c:ptCount val="128"/>
                <c:pt idx="1">
                  <c:v>1</c:v>
                </c:pt>
                <c:pt idx="2">
                  <c:v>1</c:v>
                </c:pt>
                <c:pt idx="14">
                  <c:v>2</c:v>
                </c:pt>
                <c:pt idx="20">
                  <c:v>2</c:v>
                </c:pt>
                <c:pt idx="21">
                  <c:v>1</c:v>
                </c:pt>
                <c:pt idx="22">
                  <c:v>2</c:v>
                </c:pt>
                <c:pt idx="25">
                  <c:v>1</c:v>
                </c:pt>
                <c:pt idx="26">
                  <c:v>1</c:v>
                </c:pt>
                <c:pt idx="28">
                  <c:v>1</c:v>
                </c:pt>
                <c:pt idx="29">
                  <c:v>1</c:v>
                </c:pt>
                <c:pt idx="36">
                  <c:v>1</c:v>
                </c:pt>
                <c:pt idx="37">
                  <c:v>2</c:v>
                </c:pt>
                <c:pt idx="38">
                  <c:v>1</c:v>
                </c:pt>
                <c:pt idx="40">
                  <c:v>1</c:v>
                </c:pt>
                <c:pt idx="49">
                  <c:v>1</c:v>
                </c:pt>
                <c:pt idx="55">
                  <c:v>3</c:v>
                </c:pt>
                <c:pt idx="56">
                  <c:v>2</c:v>
                </c:pt>
                <c:pt idx="63">
                  <c:v>1</c:v>
                </c:pt>
                <c:pt idx="69">
                  <c:v>1</c:v>
                </c:pt>
                <c:pt idx="73">
                  <c:v>1</c:v>
                </c:pt>
                <c:pt idx="77">
                  <c:v>1</c:v>
                </c:pt>
                <c:pt idx="78">
                  <c:v>1</c:v>
                </c:pt>
                <c:pt idx="84">
                  <c:v>2</c:v>
                </c:pt>
                <c:pt idx="90">
                  <c:v>3</c:v>
                </c:pt>
                <c:pt idx="94">
                  <c:v>1</c:v>
                </c:pt>
                <c:pt idx="103">
                  <c:v>2</c:v>
                </c:pt>
                <c:pt idx="106">
                  <c:v>1</c:v>
                </c:pt>
                <c:pt idx="107">
                  <c:v>1</c:v>
                </c:pt>
                <c:pt idx="108">
                  <c:v>2</c:v>
                </c:pt>
                <c:pt idx="109">
                  <c:v>1</c:v>
                </c:pt>
                <c:pt idx="110">
                  <c:v>1</c:v>
                </c:pt>
                <c:pt idx="114">
                  <c:v>2</c:v>
                </c:pt>
                <c:pt idx="117">
                  <c:v>3</c:v>
                </c:pt>
                <c:pt idx="119">
                  <c:v>1</c:v>
                </c:pt>
                <c:pt idx="122">
                  <c:v>1</c:v>
                </c:pt>
                <c:pt idx="125">
                  <c:v>1</c:v>
                </c:pt>
              </c:numCache>
            </c:numRef>
          </c:val>
          <c:smooth val="0"/>
          <c:extLst>
            <c:ext xmlns:c16="http://schemas.microsoft.com/office/drawing/2014/chart" uri="{C3380CC4-5D6E-409C-BE32-E72D297353CC}">
              <c16:uniqueId val="{00000007-45B8-4773-AB1E-CEEA7E973AA0}"/>
            </c:ext>
          </c:extLst>
        </c:ser>
        <c:ser>
          <c:idx val="8"/>
          <c:order val="8"/>
          <c:tx>
            <c:strRef>
              <c:f>'resupply dist (2)'!$AC$1:$AC$2</c:f>
              <c:strCache>
                <c:ptCount val="1"/>
                <c:pt idx="0">
                  <c:v>1400 mg</c:v>
                </c:pt>
              </c:strCache>
            </c:strRef>
          </c:tx>
          <c:spPr>
            <a:ln w="28575" cap="rnd">
              <a:solidFill>
                <a:schemeClr val="accent3">
                  <a:lumMod val="60000"/>
                </a:schemeClr>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(2)'!$AC$3:$AC$131</c:f>
              <c:numCache>
                <c:formatCode>General</c:formatCode>
                <c:ptCount val="128"/>
                <c:pt idx="24">
                  <c:v>1</c:v>
                </c:pt>
                <c:pt idx="100">
                  <c:v>1</c:v>
                </c:pt>
              </c:numCache>
            </c:numRef>
          </c:val>
          <c:smooth val="0"/>
          <c:extLst>
            <c:ext xmlns:c16="http://schemas.microsoft.com/office/drawing/2014/chart" uri="{C3380CC4-5D6E-409C-BE32-E72D297353CC}">
              <c16:uniqueId val="{00000008-45B8-4773-AB1E-CEEA7E973AA0}"/>
            </c:ext>
          </c:extLst>
        </c:ser>
        <c:ser>
          <c:idx val="9"/>
          <c:order val="9"/>
          <c:tx>
            <c:strRef>
              <c:f>'resupply dist (2)'!$AD$1:$AD$2</c:f>
              <c:strCache>
                <c:ptCount val="1"/>
                <c:pt idx="0">
                  <c:v>1680 mg</c:v>
                </c:pt>
              </c:strCache>
            </c:strRef>
          </c:tx>
          <c:spPr>
            <a:ln w="28575" cap="rnd">
              <a:solidFill>
                <a:schemeClr val="accent4">
                  <a:lumMod val="60000"/>
                </a:schemeClr>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(2)'!$AD$3:$AD$131</c:f>
              <c:numCache>
                <c:formatCode>General</c:formatCode>
                <c:ptCount val="128"/>
                <c:pt idx="21">
                  <c:v>1</c:v>
                </c:pt>
                <c:pt idx="46">
                  <c:v>1</c:v>
                </c:pt>
                <c:pt idx="50">
                  <c:v>2</c:v>
                </c:pt>
                <c:pt idx="52">
                  <c:v>1</c:v>
                </c:pt>
                <c:pt idx="65">
                  <c:v>1</c:v>
                </c:pt>
                <c:pt idx="67">
                  <c:v>1</c:v>
                </c:pt>
                <c:pt idx="73">
                  <c:v>1</c:v>
                </c:pt>
                <c:pt idx="75">
                  <c:v>1</c:v>
                </c:pt>
                <c:pt idx="78">
                  <c:v>1</c:v>
                </c:pt>
                <c:pt idx="79">
                  <c:v>1</c:v>
                </c:pt>
                <c:pt idx="83">
                  <c:v>1</c:v>
                </c:pt>
                <c:pt idx="90">
                  <c:v>1</c:v>
                </c:pt>
                <c:pt idx="93">
                  <c:v>1</c:v>
                </c:pt>
                <c:pt idx="119">
                  <c:v>1</c:v>
                </c:pt>
                <c:pt idx="125">
                  <c:v>2</c:v>
                </c:pt>
                <c:pt idx="126">
                  <c:v>1</c:v>
                </c:pt>
              </c:numCache>
            </c:numRef>
          </c:val>
          <c:smooth val="0"/>
          <c:extLst>
            <c:ext xmlns:c16="http://schemas.microsoft.com/office/drawing/2014/chart" uri="{C3380CC4-5D6E-409C-BE32-E72D297353CC}">
              <c16:uniqueId val="{00000009-45B8-4773-AB1E-CEEA7E973AA0}"/>
            </c:ext>
          </c:extLst>
        </c:ser>
        <c:ser>
          <c:idx val="10"/>
          <c:order val="10"/>
          <c:tx>
            <c:strRef>
              <c:f>'resupply dist (2)'!$AE$1:$AE$2</c:f>
              <c:strCache>
                <c:ptCount val="1"/>
                <c:pt idx="0">
                  <c:v>2520 mg</c:v>
                </c:pt>
              </c:strCache>
            </c:strRef>
          </c:tx>
          <c:spPr>
            <a:ln w="28575" cap="rnd">
              <a:solidFill>
                <a:schemeClr val="accent5">
                  <a:lumMod val="60000"/>
                </a:schemeClr>
              </a:solidFill>
              <a:round/>
            </a:ln>
            <a:effectLst/>
          </c:spPr>
          <c:marker>
            <c:symbol val="none"/>
          </c:marker>
          <c:cat>
            <c:strRef>
              <c:f>'resupply dist (2)'!$T$3:$T$131</c:f>
              <c:strCache>
                <c:ptCount val="1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strCache>
            </c:strRef>
          </c:cat>
          <c:val>
            <c:numRef>
              <c:f>'resupply dist (2)'!$AE$3:$AE$131</c:f>
              <c:numCache>
                <c:formatCode>General</c:formatCode>
                <c:ptCount val="128"/>
                <c:pt idx="7">
                  <c:v>1</c:v>
                </c:pt>
                <c:pt idx="51">
                  <c:v>1</c:v>
                </c:pt>
                <c:pt idx="69">
                  <c:v>1</c:v>
                </c:pt>
                <c:pt idx="77">
                  <c:v>1</c:v>
                </c:pt>
                <c:pt idx="98">
                  <c:v>1</c:v>
                </c:pt>
                <c:pt idx="111">
                  <c:v>1</c:v>
                </c:pt>
              </c:numCache>
            </c:numRef>
          </c:val>
          <c:smooth val="0"/>
          <c:extLst>
            <c:ext xmlns:c16="http://schemas.microsoft.com/office/drawing/2014/chart" uri="{C3380CC4-5D6E-409C-BE32-E72D297353CC}">
              <c16:uniqueId val="{0000000A-45B8-4773-AB1E-CEEA7E973AA0}"/>
            </c:ext>
          </c:extLst>
        </c:ser>
        <c:dLbls>
          <c:showLegendKey val="0"/>
          <c:showVal val="0"/>
          <c:showCatName val="0"/>
          <c:showSerName val="0"/>
          <c:showPercent val="0"/>
          <c:showBubbleSize val="0"/>
        </c:dLbls>
        <c:smooth val="0"/>
        <c:axId val="1027513424"/>
        <c:axId val="1027512440"/>
      </c:lineChart>
      <c:catAx>
        <c:axId val="102751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512440"/>
        <c:crosses val="autoZero"/>
        <c:auto val="1"/>
        <c:lblAlgn val="ctr"/>
        <c:lblOffset val="100"/>
        <c:noMultiLvlLbl val="0"/>
      </c:catAx>
      <c:valAx>
        <c:axId val="1027512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5134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CFB21-01CC-4C6C-9A99-F37DF4A9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7238</Words>
  <Characters>41260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48402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Olivia</dc:creator>
  <cp:lastModifiedBy>ATKINS, Kerry</cp:lastModifiedBy>
  <cp:revision>3</cp:revision>
  <cp:lastPrinted>2021-10-26T04:48:00Z</cp:lastPrinted>
  <dcterms:created xsi:type="dcterms:W3CDTF">2021-10-27T22:29:00Z</dcterms:created>
  <dcterms:modified xsi:type="dcterms:W3CDTF">2021-10-27T22:31:00Z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