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F09178" w14:textId="77777777" w:rsidR="00832324" w:rsidRDefault="00011594" w:rsidP="00F73113">
      <w:pPr>
        <w:pStyle w:val="Title"/>
      </w:pPr>
      <w:r>
        <w:t xml:space="preserve">Nusinersen for </w:t>
      </w:r>
      <w:r w:rsidR="00DD3AB0">
        <w:t>s</w:t>
      </w:r>
      <w:r>
        <w:t xml:space="preserve">pinal </w:t>
      </w:r>
      <w:r w:rsidR="00DD3AB0">
        <w:t>m</w:t>
      </w:r>
      <w:r>
        <w:t xml:space="preserve">uscular </w:t>
      </w:r>
      <w:r w:rsidR="00DD3AB0">
        <w:t>atrophy: 24 month predicted versus actual analysis</w:t>
      </w:r>
    </w:p>
    <w:p w14:paraId="1D09989D" w14:textId="77777777" w:rsidR="00736041" w:rsidRDefault="009053D3" w:rsidP="00F73113">
      <w:pPr>
        <w:pStyle w:val="Title2"/>
      </w:pPr>
      <w:r>
        <w:t>D</w:t>
      </w:r>
      <w:r w:rsidR="00832324" w:rsidRPr="0063631C">
        <w:t xml:space="preserve">rug utilisation sub-committee </w:t>
      </w:r>
      <w:r w:rsidR="00832324">
        <w:t>(DUSC)</w:t>
      </w:r>
    </w:p>
    <w:p w14:paraId="143087CB" w14:textId="77777777" w:rsidR="009053D3" w:rsidRPr="00F73113" w:rsidRDefault="00011594" w:rsidP="00F73113">
      <w:pPr>
        <w:pStyle w:val="Meetingdate"/>
      </w:pPr>
      <w:r>
        <w:t>February 2021</w:t>
      </w:r>
    </w:p>
    <w:p w14:paraId="24D63889" w14:textId="77777777" w:rsidR="005C6661" w:rsidRPr="00CF5E22" w:rsidRDefault="005C6661" w:rsidP="00CF5E22">
      <w:pPr>
        <w:pStyle w:val="Heading2"/>
      </w:pPr>
      <w:r w:rsidRPr="00CF5E22">
        <w:t>Abstract</w:t>
      </w:r>
    </w:p>
    <w:p w14:paraId="4943A5AD" w14:textId="77777777" w:rsidR="005C6661" w:rsidRPr="00CF5E22" w:rsidRDefault="005C6661" w:rsidP="00CF5E22">
      <w:pPr>
        <w:pStyle w:val="Heading3"/>
      </w:pPr>
      <w:r w:rsidRPr="00CF5E22">
        <w:t>Purpose</w:t>
      </w:r>
    </w:p>
    <w:p w14:paraId="4337C9BF" w14:textId="77777777" w:rsidR="003E61A7" w:rsidRPr="00526DB6" w:rsidRDefault="003E61A7" w:rsidP="003E61A7">
      <w:r>
        <w:t xml:space="preserve">To compare predicted and actual utilisation of nusinersen in </w:t>
      </w:r>
      <w:r w:rsidR="007C01E4">
        <w:t>T</w:t>
      </w:r>
      <w:r w:rsidR="00FE1B92">
        <w:t xml:space="preserve">ype I, II, and IIIa </w:t>
      </w:r>
      <w:r>
        <w:t>spinal muscular atrop</w:t>
      </w:r>
      <w:r w:rsidR="003E5428">
        <w:t>hy</w:t>
      </w:r>
      <w:r w:rsidR="00CB7535">
        <w:t xml:space="preserve"> (SMA)</w:t>
      </w:r>
      <w:r w:rsidR="006F7CC2">
        <w:t>, as requested by DUSC a</w:t>
      </w:r>
      <w:r w:rsidR="003E5428">
        <w:t>t its October 2020 meeting</w:t>
      </w:r>
      <w:r w:rsidR="006F7CC2">
        <w:t>.</w:t>
      </w:r>
      <w:r>
        <w:t xml:space="preserve"> </w:t>
      </w:r>
    </w:p>
    <w:p w14:paraId="4E436D71" w14:textId="77777777" w:rsidR="002D144A" w:rsidRDefault="002D144A" w:rsidP="00CF5E22">
      <w:pPr>
        <w:pStyle w:val="Heading3"/>
      </w:pPr>
      <w:r>
        <w:t>Date of listing on the P</w:t>
      </w:r>
      <w:r w:rsidR="00A95FA5">
        <w:t xml:space="preserve">harmaceutical </w:t>
      </w:r>
      <w:r>
        <w:t>B</w:t>
      </w:r>
      <w:r w:rsidR="00A95FA5">
        <w:t xml:space="preserve">enefits </w:t>
      </w:r>
      <w:r>
        <w:t>S</w:t>
      </w:r>
      <w:r w:rsidR="00A95FA5">
        <w:t>cheme (PBS)</w:t>
      </w:r>
    </w:p>
    <w:p w14:paraId="0BCA65B7" w14:textId="77777777" w:rsidR="002D144A" w:rsidRPr="002D144A" w:rsidRDefault="003E61A7" w:rsidP="002D144A">
      <w:r>
        <w:t xml:space="preserve">Nusinersen was PBS listed on 1 June 2018. </w:t>
      </w:r>
    </w:p>
    <w:p w14:paraId="6EACD2E7" w14:textId="77777777" w:rsidR="005C6661" w:rsidRDefault="005C6661" w:rsidP="00CF5E22">
      <w:pPr>
        <w:pStyle w:val="Heading3"/>
      </w:pPr>
      <w:r>
        <w:t>Data Source / methodology</w:t>
      </w:r>
    </w:p>
    <w:p w14:paraId="7723D54F" w14:textId="77777777" w:rsidR="008457A1" w:rsidRPr="008457A1" w:rsidRDefault="008457A1" w:rsidP="008457A1">
      <w:pPr>
        <w:pStyle w:val="Heading3"/>
        <w:rPr>
          <w:b w:val="0"/>
          <w:i w:val="0"/>
        </w:rPr>
      </w:pPr>
      <w:r>
        <w:rPr>
          <w:b w:val="0"/>
          <w:i w:val="0"/>
        </w:rPr>
        <w:t>D</w:t>
      </w:r>
      <w:r w:rsidR="009A64AB">
        <w:rPr>
          <w:b w:val="0"/>
          <w:i w:val="0"/>
        </w:rPr>
        <w:t>ata extracted from the PBS and A</w:t>
      </w:r>
      <w:r>
        <w:rPr>
          <w:b w:val="0"/>
          <w:i w:val="0"/>
        </w:rPr>
        <w:t>uthorities data</w:t>
      </w:r>
      <w:r w:rsidR="003E61A7">
        <w:rPr>
          <w:b w:val="0"/>
          <w:i w:val="0"/>
        </w:rPr>
        <w:t xml:space="preserve"> maintained by Department of Health, processed by Services Australia was used for analyses. </w:t>
      </w:r>
    </w:p>
    <w:p w14:paraId="34BB3F65" w14:textId="77777777" w:rsidR="00C67E6A" w:rsidRDefault="005C6661" w:rsidP="00C67E6A">
      <w:pPr>
        <w:pStyle w:val="Heading3"/>
      </w:pPr>
      <w:r>
        <w:t>Key Findings</w:t>
      </w:r>
    </w:p>
    <w:p w14:paraId="0E7BDDBC" w14:textId="77777777" w:rsidR="003C54B9" w:rsidRPr="00C67E6A" w:rsidRDefault="003C54B9" w:rsidP="0029174E">
      <w:pPr>
        <w:pStyle w:val="ListParagraph"/>
        <w:numPr>
          <w:ilvl w:val="0"/>
          <w:numId w:val="46"/>
        </w:numPr>
        <w:ind w:left="714" w:hanging="357"/>
      </w:pPr>
      <w:r>
        <w:t xml:space="preserve">There were </w:t>
      </w:r>
      <w:r w:rsidR="00386C2F">
        <w:t>140 and 160</w:t>
      </w:r>
      <w:r>
        <w:t xml:space="preserve"> patients treated with nusinersen during the first and second year of listing respectively, which was </w:t>
      </w:r>
      <w:r w:rsidR="00386C2F">
        <w:t>higher</w:t>
      </w:r>
      <w:r>
        <w:t xml:space="preserve"> than estimated. </w:t>
      </w:r>
    </w:p>
    <w:p w14:paraId="40F6392F" w14:textId="77777777" w:rsidR="003C54B9" w:rsidRDefault="003C54B9" w:rsidP="0029174E">
      <w:pPr>
        <w:pStyle w:val="ListParagraph"/>
        <w:numPr>
          <w:ilvl w:val="0"/>
          <w:numId w:val="46"/>
        </w:numPr>
        <w:spacing w:before="120"/>
        <w:ind w:left="714" w:hanging="357"/>
      </w:pPr>
      <w:r>
        <w:t xml:space="preserve">There were </w:t>
      </w:r>
      <w:r w:rsidR="00386C2F">
        <w:t>591</w:t>
      </w:r>
      <w:r>
        <w:t xml:space="preserve"> and </w:t>
      </w:r>
      <w:r w:rsidR="00386C2F">
        <w:t>514</w:t>
      </w:r>
      <w:r>
        <w:t xml:space="preserve"> nusinersen prescriptions dispensed during the first and second year of listing respectively, which was </w:t>
      </w:r>
      <w:r w:rsidR="00273608">
        <w:t>higher</w:t>
      </w:r>
      <w:r>
        <w:t xml:space="preserve"> than estimated. </w:t>
      </w:r>
    </w:p>
    <w:p w14:paraId="40FC8948" w14:textId="77777777" w:rsidR="00687B1F" w:rsidRDefault="003C54B9" w:rsidP="0029174E">
      <w:pPr>
        <w:pStyle w:val="ListParagraph"/>
        <w:numPr>
          <w:ilvl w:val="0"/>
          <w:numId w:val="46"/>
        </w:numPr>
        <w:spacing w:before="120"/>
        <w:ind w:left="714" w:hanging="357"/>
      </w:pPr>
      <w:r>
        <w:t xml:space="preserve">The most common age group in patients initiating nusinersen treatment were those aged between </w:t>
      </w:r>
      <w:r w:rsidR="00386C2F">
        <w:t>0-4</w:t>
      </w:r>
      <w:r>
        <w:t xml:space="preserve"> years old </w:t>
      </w:r>
      <w:r w:rsidR="002C3D0C">
        <w:t>(39.9% of patients) and</w:t>
      </w:r>
      <w:r w:rsidR="000C0D59">
        <w:t xml:space="preserve"> </w:t>
      </w:r>
      <w:r w:rsidR="00920348">
        <w:t xml:space="preserve">overall, </w:t>
      </w:r>
      <w:r w:rsidR="000841C3">
        <w:t xml:space="preserve">there was a similar gender ratio of female and male initiating patients. </w:t>
      </w:r>
      <w:r w:rsidR="00920348">
        <w:t xml:space="preserve"> </w:t>
      </w:r>
    </w:p>
    <w:p w14:paraId="332B5464" w14:textId="77777777" w:rsidR="00C67E6A" w:rsidRPr="008F5B43" w:rsidRDefault="00994E53" w:rsidP="0029174E">
      <w:pPr>
        <w:pStyle w:val="ListParagraph"/>
        <w:numPr>
          <w:ilvl w:val="0"/>
          <w:numId w:val="46"/>
        </w:numPr>
        <w:spacing w:before="120"/>
        <w:ind w:left="714" w:hanging="357"/>
      </w:pPr>
      <w:r w:rsidRPr="008F5B43">
        <w:t xml:space="preserve">The data was too immature to analyse the time on nusinersen treatment, </w:t>
      </w:r>
      <w:r w:rsidR="008F5B43">
        <w:t>the</w:t>
      </w:r>
      <w:r w:rsidRPr="008F5B43">
        <w:t xml:space="preserve"> median treatment duration </w:t>
      </w:r>
      <w:r w:rsidR="000F63B4">
        <w:t xml:space="preserve">was </w:t>
      </w:r>
      <w:r w:rsidRPr="008F5B43">
        <w:t xml:space="preserve">not reached by 30 September 2020. </w:t>
      </w:r>
    </w:p>
    <w:p w14:paraId="205153E0" w14:textId="77777777" w:rsidR="00C67E6A" w:rsidRDefault="00C67E6A" w:rsidP="0029174E">
      <w:pPr>
        <w:pStyle w:val="ListParagraph"/>
        <w:numPr>
          <w:ilvl w:val="0"/>
          <w:numId w:val="46"/>
        </w:numPr>
        <w:spacing w:before="120"/>
        <w:ind w:left="714" w:hanging="357"/>
      </w:pPr>
      <w:r>
        <w:t xml:space="preserve">After </w:t>
      </w:r>
      <w:r w:rsidR="000E5B67">
        <w:t xml:space="preserve">age </w:t>
      </w:r>
      <w:r>
        <w:t>standardisation</w:t>
      </w:r>
      <w:r w:rsidR="000E5B67">
        <w:t xml:space="preserve"> (0-18 years)</w:t>
      </w:r>
      <w:r>
        <w:t xml:space="preserve">, the </w:t>
      </w:r>
      <w:r w:rsidR="00F477C8">
        <w:t>Australian Capital Territory (</w:t>
      </w:r>
      <w:r>
        <w:t>ACT</w:t>
      </w:r>
      <w:r w:rsidR="00F477C8">
        <w:t>)</w:t>
      </w:r>
      <w:r>
        <w:t xml:space="preserve"> had the highest number of patients initiating nusinersen treatment relative to its population</w:t>
      </w:r>
      <w:r w:rsidR="00FE1B92">
        <w:t xml:space="preserve"> size</w:t>
      </w:r>
      <w:r>
        <w:t xml:space="preserve">. </w:t>
      </w:r>
    </w:p>
    <w:p w14:paraId="6B0B8027" w14:textId="77777777" w:rsidR="00CB7535" w:rsidRDefault="00CB7535" w:rsidP="0029174E">
      <w:pPr>
        <w:pStyle w:val="ListParagraph"/>
        <w:numPr>
          <w:ilvl w:val="0"/>
          <w:numId w:val="46"/>
        </w:numPr>
        <w:spacing w:before="120"/>
        <w:ind w:left="714" w:hanging="357"/>
      </w:pPr>
      <w:r>
        <w:t xml:space="preserve">Type II SMA was the most common type </w:t>
      </w:r>
      <w:r w:rsidR="007A7B56">
        <w:t xml:space="preserve">of </w:t>
      </w:r>
      <w:r>
        <w:t xml:space="preserve">SMA </w:t>
      </w:r>
      <w:r w:rsidR="007A7B56">
        <w:t>in</w:t>
      </w:r>
      <w:r>
        <w:t xml:space="preserve"> patients receiving nusinersen treatment. Similar patient numbers were observed for Type I and Type IIIa SMA. </w:t>
      </w:r>
    </w:p>
    <w:p w14:paraId="334058D2" w14:textId="77777777" w:rsidR="00687B1F" w:rsidRPr="00687B1F" w:rsidRDefault="00687B1F" w:rsidP="0029174E">
      <w:pPr>
        <w:pStyle w:val="ListParagraph"/>
        <w:spacing w:after="0"/>
      </w:pPr>
    </w:p>
    <w:p w14:paraId="469C457C" w14:textId="77777777" w:rsidR="00BB0D1A" w:rsidRPr="003C54B9" w:rsidRDefault="00BB0D1A" w:rsidP="003C54B9">
      <w:pPr>
        <w:pStyle w:val="Heading3"/>
      </w:pPr>
      <w:r>
        <w:br w:type="page"/>
      </w:r>
    </w:p>
    <w:p w14:paraId="74226DAD" w14:textId="77777777" w:rsidR="00E677DD" w:rsidRPr="00CF5E22" w:rsidRDefault="00E677DD" w:rsidP="00CF5E22">
      <w:pPr>
        <w:pStyle w:val="Heading1"/>
      </w:pPr>
      <w:r w:rsidRPr="00CF5E22">
        <w:lastRenderedPageBreak/>
        <w:t xml:space="preserve">Purpose of </w:t>
      </w:r>
      <w:r w:rsidR="00D151EB" w:rsidRPr="00CF5E22">
        <w:t>analysis</w:t>
      </w:r>
    </w:p>
    <w:p w14:paraId="67D67890" w14:textId="77777777" w:rsidR="00990DCF" w:rsidRPr="00526DB6" w:rsidRDefault="00526DB6" w:rsidP="00990DCF">
      <w:r>
        <w:t xml:space="preserve">To compare predicted and actual utilisation of nusinersen </w:t>
      </w:r>
      <w:r w:rsidR="00605032">
        <w:t>for Type I, II and IIIa</w:t>
      </w:r>
      <w:r>
        <w:t xml:space="preserve"> spinal muscular atrophy</w:t>
      </w:r>
      <w:r w:rsidR="006F7CC2">
        <w:t>, as requested by DUSC a</w:t>
      </w:r>
      <w:r>
        <w:t>t its October 2020 m</w:t>
      </w:r>
      <w:r w:rsidR="003E5428">
        <w:t>eeting</w:t>
      </w:r>
      <w:r w:rsidR="006F7CC2">
        <w:t>.</w:t>
      </w:r>
      <w:r w:rsidR="003318F1">
        <w:t xml:space="preserve"> DUSC</w:t>
      </w:r>
      <w:r w:rsidR="006F7CC2">
        <w:t xml:space="preserve"> </w:t>
      </w:r>
      <w:r w:rsidR="003318F1">
        <w:t>commented</w:t>
      </w:r>
      <w:r w:rsidR="006F7CC2">
        <w:t xml:space="preserve"> that </w:t>
      </w:r>
      <w:r w:rsidR="003318F1">
        <w:t>nusinersen treats a rare disease with small patient numbers</w:t>
      </w:r>
      <w:r w:rsidR="006F7CC2">
        <w:t xml:space="preserve"> and</w:t>
      </w:r>
      <w:r w:rsidR="003318F1">
        <w:t xml:space="preserve"> the results of </w:t>
      </w:r>
      <w:r w:rsidR="006F7CC2">
        <w:t>the</w:t>
      </w:r>
      <w:r w:rsidR="003318F1">
        <w:t xml:space="preserve"> review could </w:t>
      </w:r>
      <w:r w:rsidR="00E86F9C">
        <w:t>inform</w:t>
      </w:r>
      <w:r w:rsidR="003318F1">
        <w:t xml:space="preserve"> future submission</w:t>
      </w:r>
      <w:r w:rsidR="009815B8">
        <w:t>s</w:t>
      </w:r>
      <w:r w:rsidR="003318F1">
        <w:t xml:space="preserve"> </w:t>
      </w:r>
      <w:r w:rsidR="00E86F9C">
        <w:t>for this disease</w:t>
      </w:r>
      <w:r w:rsidR="003318F1">
        <w:t xml:space="preserve">. </w:t>
      </w:r>
    </w:p>
    <w:p w14:paraId="29DC09C0" w14:textId="77777777" w:rsidR="006537D9" w:rsidRPr="005E22C2" w:rsidRDefault="00736041" w:rsidP="00CF5E22">
      <w:pPr>
        <w:pStyle w:val="Heading1"/>
      </w:pPr>
      <w:r w:rsidRPr="005E22C2">
        <w:t>Background</w:t>
      </w:r>
    </w:p>
    <w:p w14:paraId="796ED1A1" w14:textId="77777777" w:rsidR="00C922BB" w:rsidRPr="00C922BB" w:rsidRDefault="00EE2BBB" w:rsidP="00C922BB">
      <w:pPr>
        <w:pStyle w:val="Heading2"/>
      </w:pPr>
      <w:r w:rsidRPr="007247B9">
        <w:t>Clinical situation</w:t>
      </w:r>
    </w:p>
    <w:p w14:paraId="2B6D0740" w14:textId="77777777" w:rsidR="008C11BA" w:rsidRDefault="00F96BDC" w:rsidP="00EE2BBB">
      <w:r>
        <w:t>Spinal muscular a</w:t>
      </w:r>
      <w:r w:rsidR="00C922BB">
        <w:t>trophy (SMA) is</w:t>
      </w:r>
      <w:r>
        <w:t xml:space="preserve"> a genetic condition </w:t>
      </w:r>
      <w:r w:rsidR="0008148B">
        <w:t>affecting</w:t>
      </w:r>
      <w:r>
        <w:t xml:space="preserve"> </w:t>
      </w:r>
      <w:r w:rsidR="0008148B">
        <w:t xml:space="preserve">skeletal </w:t>
      </w:r>
      <w:r>
        <w:t>motor neurons responsible for controlling muscle movement</w:t>
      </w:r>
      <w:r w:rsidR="006F7CC2">
        <w:t xml:space="preserve">. </w:t>
      </w:r>
      <w:r w:rsidR="008C11BA">
        <w:t>The</w:t>
      </w:r>
      <w:r w:rsidR="0008148B">
        <w:t>se</w:t>
      </w:r>
      <w:r w:rsidR="008C11BA">
        <w:t xml:space="preserve"> motor neurons </w:t>
      </w:r>
      <w:r w:rsidR="0008148B">
        <w:t>degenerate,</w:t>
      </w:r>
      <w:r w:rsidR="008C11BA">
        <w:t xml:space="preserve"> leading to </w:t>
      </w:r>
      <w:r w:rsidR="00526DB6">
        <w:t xml:space="preserve">muscle weakness, hypotonia and </w:t>
      </w:r>
      <w:r w:rsidR="008C11BA">
        <w:t>atrophy of skeletal muscles.</w:t>
      </w:r>
      <w:r w:rsidR="008C11BA">
        <w:rPr>
          <w:rStyle w:val="FootnoteReference"/>
        </w:rPr>
        <w:footnoteReference w:id="1"/>
      </w:r>
      <w:r w:rsidR="008C11BA">
        <w:t xml:space="preserve"> </w:t>
      </w:r>
      <w:r w:rsidR="003E5428">
        <w:t xml:space="preserve">SMA </w:t>
      </w:r>
      <w:r w:rsidR="006E73F0">
        <w:t xml:space="preserve">is an autosomal recessive </w:t>
      </w:r>
      <w:r w:rsidR="006C59AF">
        <w:t>progressive neuromuscul</w:t>
      </w:r>
      <w:r w:rsidR="003E40F9">
        <w:t xml:space="preserve">ar disease due to mutations in </w:t>
      </w:r>
      <w:r w:rsidR="006C59AF">
        <w:t xml:space="preserve">chromosome 5q. It has </w:t>
      </w:r>
      <w:r w:rsidR="006E73F0">
        <w:t xml:space="preserve">a carrier frequency of one in 35 and an </w:t>
      </w:r>
      <w:r w:rsidR="0008148B">
        <w:t>incidence of one in 10,000 live births</w:t>
      </w:r>
      <w:r w:rsidR="006E73F0">
        <w:t xml:space="preserve"> in Australia.</w:t>
      </w:r>
      <w:bookmarkStart w:id="0" w:name="_Ref58402544"/>
      <w:r w:rsidR="006E73F0">
        <w:rPr>
          <w:rStyle w:val="FootnoteReference"/>
        </w:rPr>
        <w:footnoteReference w:id="2"/>
      </w:r>
      <w:bookmarkEnd w:id="0"/>
      <w:r w:rsidR="004A79FE">
        <w:rPr>
          <w:vertAlign w:val="superscript"/>
        </w:rPr>
        <w:t>,</w:t>
      </w:r>
      <w:r w:rsidR="004A79FE">
        <w:rPr>
          <w:rStyle w:val="FootnoteReference"/>
        </w:rPr>
        <w:footnoteReference w:id="3"/>
      </w:r>
    </w:p>
    <w:p w14:paraId="10BBDC2C" w14:textId="77777777" w:rsidR="00854518" w:rsidRDefault="008A089C" w:rsidP="00854518">
      <w:r>
        <w:t>Most p</w:t>
      </w:r>
      <w:r w:rsidR="00E73074">
        <w:t>atients with SMA have</w:t>
      </w:r>
      <w:r w:rsidR="00C87382">
        <w:t xml:space="preserve"> low levels of survival-of-motor-neuron (SMN) protein</w:t>
      </w:r>
      <w:r w:rsidR="0008148B">
        <w:t xml:space="preserve"> in the</w:t>
      </w:r>
      <w:r w:rsidR="00E73074">
        <w:t>ir</w:t>
      </w:r>
      <w:r w:rsidR="0008148B">
        <w:t xml:space="preserve"> spinal cord motor neurons.</w:t>
      </w:r>
      <w:bookmarkStart w:id="1" w:name="_Ref57130206"/>
      <w:r>
        <w:rPr>
          <w:rStyle w:val="FootnoteReference"/>
        </w:rPr>
        <w:footnoteReference w:id="4"/>
      </w:r>
      <w:bookmarkEnd w:id="1"/>
      <w:r w:rsidR="0008148B">
        <w:t xml:space="preserve"> </w:t>
      </w:r>
      <w:r w:rsidR="00E73074">
        <w:t xml:space="preserve">The SMN protein is produced by survival motor neuron 1 (SMN1) and survival motor neuron 2 (SMN2) genes. SMA patients </w:t>
      </w:r>
      <w:r w:rsidR="00342DD2">
        <w:t xml:space="preserve">have no functioning copies of the SMN1 gene, </w:t>
      </w:r>
      <w:r w:rsidR="00C211E1">
        <w:t xml:space="preserve">due to </w:t>
      </w:r>
      <w:r w:rsidR="003E5428">
        <w:t xml:space="preserve">a </w:t>
      </w:r>
      <w:r w:rsidR="00E73074">
        <w:t>homozygous deletion o</w:t>
      </w:r>
      <w:r w:rsidR="00342DD2">
        <w:t xml:space="preserve">f </w:t>
      </w:r>
      <w:r w:rsidR="00C211E1">
        <w:t xml:space="preserve">the </w:t>
      </w:r>
      <w:r w:rsidR="00342DD2">
        <w:t>SMN1</w:t>
      </w:r>
      <w:r w:rsidR="00E73074">
        <w:t xml:space="preserve"> gene on chromosome 5</w:t>
      </w:r>
      <w:r w:rsidR="006C59AF">
        <w:t>q</w:t>
      </w:r>
      <w:r w:rsidR="00E73074">
        <w:t xml:space="preserve">. </w:t>
      </w:r>
      <w:r w:rsidR="00342DD2">
        <w:t xml:space="preserve">Therefore, SMA patients </w:t>
      </w:r>
      <w:r w:rsidR="003E5428">
        <w:t>are dependent</w:t>
      </w:r>
      <w:r w:rsidR="00342DD2">
        <w:t xml:space="preserve"> on the SMN2 gene</w:t>
      </w:r>
      <w:r w:rsidR="006E73F0">
        <w:t xml:space="preserve"> </w:t>
      </w:r>
      <w:r w:rsidR="003E5428">
        <w:t xml:space="preserve">for </w:t>
      </w:r>
      <w:r w:rsidR="006E73F0">
        <w:t>production of SMN protein</w:t>
      </w:r>
      <w:r w:rsidR="00342DD2">
        <w:t xml:space="preserve">. </w:t>
      </w:r>
      <w:r w:rsidR="00854518">
        <w:t xml:space="preserve">The SMN2 gene is a pseudogene of SMN1, </w:t>
      </w:r>
      <w:r w:rsidR="00342DD2">
        <w:t>but</w:t>
      </w:r>
      <w:r w:rsidR="00854518">
        <w:t xml:space="preserve"> differs in exon 7 where the 840</w:t>
      </w:r>
      <w:r w:rsidR="00854518" w:rsidRPr="00854518">
        <w:rPr>
          <w:vertAlign w:val="superscript"/>
        </w:rPr>
        <w:t>th</w:t>
      </w:r>
      <w:r w:rsidR="00854518">
        <w:t xml:space="preserve"> nucleotide is a C in SMN1 </w:t>
      </w:r>
      <w:r w:rsidR="00526DB6">
        <w:t>and</w:t>
      </w:r>
      <w:r w:rsidR="00854518">
        <w:t xml:space="preserve"> T in SMN2. </w:t>
      </w:r>
      <w:r w:rsidR="006E73F0">
        <w:t xml:space="preserve">This difference results in splicing out of exon 7 </w:t>
      </w:r>
      <w:r w:rsidR="00854518">
        <w:t xml:space="preserve">in SMN2 </w:t>
      </w:r>
      <w:r w:rsidR="00AB3A7A">
        <w:t>messenger ribonucleic acid (</w:t>
      </w:r>
      <w:r w:rsidR="00854518">
        <w:t>mRNA</w:t>
      </w:r>
      <w:r w:rsidR="00AB3A7A">
        <w:t>)</w:t>
      </w:r>
      <w:r w:rsidR="006E73F0">
        <w:t xml:space="preserve"> and the production of</w:t>
      </w:r>
      <w:r w:rsidR="00854518">
        <w:t xml:space="preserve"> </w:t>
      </w:r>
      <w:r w:rsidR="00342DD2">
        <w:t xml:space="preserve">rapidly degrading </w:t>
      </w:r>
      <w:r w:rsidR="00854518">
        <w:t>S</w:t>
      </w:r>
      <w:r w:rsidR="00342DD2">
        <w:t>MN proteins</w:t>
      </w:r>
      <w:r w:rsidR="00854518">
        <w:t>.</w:t>
      </w:r>
      <w:r w:rsidR="003E5428">
        <w:rPr>
          <w:rStyle w:val="FootnoteReference"/>
        </w:rPr>
        <w:footnoteReference w:id="5"/>
      </w:r>
      <w:r w:rsidR="00854518">
        <w:t xml:space="preserve"> </w:t>
      </w:r>
      <w:r w:rsidR="00A13576">
        <w:t xml:space="preserve">Consequently, SMA </w:t>
      </w:r>
      <w:r w:rsidR="00810081">
        <w:t>patients have</w:t>
      </w:r>
      <w:r w:rsidR="00A13576">
        <w:t xml:space="preserve"> limited </w:t>
      </w:r>
      <w:r w:rsidR="00810081">
        <w:t>quantities</w:t>
      </w:r>
      <w:r w:rsidR="00A13576">
        <w:t xml:space="preserve"> of SMN protein. </w:t>
      </w:r>
      <w:r w:rsidR="00854518">
        <w:t>The phenotypic severity of SMA</w:t>
      </w:r>
      <w:r w:rsidR="003E40F9">
        <w:t xml:space="preserve"> is </w:t>
      </w:r>
      <w:r w:rsidR="005A5C8A">
        <w:t xml:space="preserve">associated with </w:t>
      </w:r>
      <w:r w:rsidR="00854518">
        <w:t xml:space="preserve">the </w:t>
      </w:r>
      <w:r w:rsidR="00B375BB">
        <w:t xml:space="preserve">number </w:t>
      </w:r>
      <w:r w:rsidR="00854518">
        <w:t xml:space="preserve">of SMN2 genes available. </w:t>
      </w:r>
      <w:r w:rsidR="00AB3A7A">
        <w:t xml:space="preserve">Fewer SMN2 gene copies are </w:t>
      </w:r>
      <w:r w:rsidR="006E73F0">
        <w:t xml:space="preserve">generally </w:t>
      </w:r>
      <w:r w:rsidR="00AB3A7A">
        <w:t>associated with an earlier age of onset and increased severity of symptoms.</w:t>
      </w:r>
      <w:r w:rsidR="008A699E">
        <w:rPr>
          <w:rStyle w:val="FootnoteReference"/>
        </w:rPr>
        <w:footnoteReference w:id="6"/>
      </w:r>
    </w:p>
    <w:p w14:paraId="11FA4720" w14:textId="77777777" w:rsidR="00854518" w:rsidRPr="007B0BB1" w:rsidRDefault="00854518" w:rsidP="009A703F">
      <w:pPr>
        <w:keepNext/>
        <w:rPr>
          <w:vertAlign w:val="superscript"/>
        </w:rPr>
      </w:pPr>
      <w:r>
        <w:lastRenderedPageBreak/>
        <w:t xml:space="preserve">There are several types of </w:t>
      </w:r>
      <w:r w:rsidR="00F40D99">
        <w:t>SMA</w:t>
      </w:r>
      <w:r>
        <w:t>:</w:t>
      </w:r>
      <w:r w:rsidR="00C862A9">
        <w:t xml:space="preserve"> </w:t>
      </w:r>
      <w:r w:rsidR="00C862A9" w:rsidRPr="00C862A9">
        <w:rPr>
          <w:rStyle w:val="FootnoteReference"/>
        </w:rPr>
        <w:t>4</w:t>
      </w:r>
      <w:r w:rsidR="00C862A9">
        <w:rPr>
          <w:vertAlign w:val="superscript"/>
        </w:rPr>
        <w:t>,</w:t>
      </w:r>
      <w:r w:rsidR="00F40D99">
        <w:rPr>
          <w:rStyle w:val="FootnoteReference"/>
        </w:rPr>
        <w:footnoteReference w:id="7"/>
      </w:r>
    </w:p>
    <w:p w14:paraId="49874082" w14:textId="77777777" w:rsidR="0035664D" w:rsidRPr="001420B3" w:rsidDel="00EE2BBB" w:rsidRDefault="00AB1856" w:rsidP="009A703F">
      <w:pPr>
        <w:pStyle w:val="Tabletitle"/>
        <w:keepNext/>
      </w:pPr>
      <w:r>
        <w:t>Table 1</w:t>
      </w:r>
      <w:r w:rsidR="0035664D" w:rsidRPr="001420B3" w:rsidDel="00EE2BBB">
        <w:t xml:space="preserve">: </w:t>
      </w:r>
      <w:r w:rsidR="0035664D">
        <w:t xml:space="preserve">Types of SMA </w:t>
      </w:r>
    </w:p>
    <w:tbl>
      <w:tblPr>
        <w:tblStyle w:val="TableGrid"/>
        <w:tblW w:w="8752" w:type="dxa"/>
        <w:tblLayout w:type="fixed"/>
        <w:tblLook w:val="04A0" w:firstRow="1" w:lastRow="0" w:firstColumn="1" w:lastColumn="0" w:noHBand="0" w:noVBand="1"/>
        <w:tblCaption w:val="Table 1: Types of SMA"/>
      </w:tblPr>
      <w:tblGrid>
        <w:gridCol w:w="1980"/>
        <w:gridCol w:w="1701"/>
        <w:gridCol w:w="3402"/>
        <w:gridCol w:w="1669"/>
      </w:tblGrid>
      <w:tr w:rsidR="0035664D" w:rsidRPr="00A35800" w:rsidDel="00EE2BBB" w14:paraId="0E91330E" w14:textId="77777777" w:rsidTr="00C76CD2">
        <w:trPr>
          <w:trHeight w:val="54"/>
          <w:tblHeader/>
        </w:trPr>
        <w:tc>
          <w:tcPr>
            <w:tcW w:w="1980" w:type="dxa"/>
            <w:shd w:val="clear" w:color="auto" w:fill="BFBFBF" w:themeFill="background1" w:themeFillShade="BF"/>
          </w:tcPr>
          <w:p w14:paraId="64C2A9AB" w14:textId="77777777" w:rsidR="0035664D" w:rsidRPr="00A35800" w:rsidDel="00EE2BBB" w:rsidRDefault="0035664D" w:rsidP="0035664D">
            <w:pPr>
              <w:pStyle w:val="Tableheading"/>
              <w:jc w:val="left"/>
              <w:rPr>
                <w:sz w:val="20"/>
                <w:szCs w:val="20"/>
              </w:rPr>
            </w:pPr>
            <w:r>
              <w:rPr>
                <w:sz w:val="20"/>
                <w:szCs w:val="20"/>
              </w:rPr>
              <w:t>Type</w:t>
            </w:r>
          </w:p>
        </w:tc>
        <w:tc>
          <w:tcPr>
            <w:tcW w:w="1701" w:type="dxa"/>
            <w:shd w:val="clear" w:color="auto" w:fill="BFBFBF" w:themeFill="background1" w:themeFillShade="BF"/>
          </w:tcPr>
          <w:p w14:paraId="1AF3FB49" w14:textId="77777777" w:rsidR="0035664D" w:rsidRPr="0035664D" w:rsidDel="00EE2BBB" w:rsidRDefault="0035664D" w:rsidP="0035664D">
            <w:pPr>
              <w:pStyle w:val="Tableheading"/>
              <w:jc w:val="left"/>
              <w:rPr>
                <w:sz w:val="20"/>
                <w:szCs w:val="20"/>
              </w:rPr>
            </w:pPr>
            <w:r w:rsidRPr="0035664D">
              <w:rPr>
                <w:rFonts w:cstheme="minorHAnsi"/>
                <w:sz w:val="20"/>
                <w:szCs w:val="20"/>
              </w:rPr>
              <w:t>Age of onset</w:t>
            </w:r>
          </w:p>
        </w:tc>
        <w:tc>
          <w:tcPr>
            <w:tcW w:w="3402" w:type="dxa"/>
            <w:shd w:val="clear" w:color="auto" w:fill="BFBFBF" w:themeFill="background1" w:themeFillShade="BF"/>
          </w:tcPr>
          <w:p w14:paraId="1CFBE428" w14:textId="77777777" w:rsidR="0035664D" w:rsidRPr="0035664D" w:rsidDel="00EE2BBB" w:rsidRDefault="0035664D" w:rsidP="0035664D">
            <w:pPr>
              <w:pStyle w:val="Tableheading"/>
              <w:jc w:val="left"/>
              <w:rPr>
                <w:sz w:val="20"/>
                <w:szCs w:val="20"/>
              </w:rPr>
            </w:pPr>
            <w:r w:rsidRPr="0035664D">
              <w:rPr>
                <w:rFonts w:cstheme="minorHAnsi"/>
                <w:sz w:val="20"/>
                <w:szCs w:val="20"/>
              </w:rPr>
              <w:t>Symptoms</w:t>
            </w:r>
          </w:p>
        </w:tc>
        <w:tc>
          <w:tcPr>
            <w:tcW w:w="1669" w:type="dxa"/>
            <w:shd w:val="clear" w:color="auto" w:fill="BFBFBF" w:themeFill="background1" w:themeFillShade="BF"/>
          </w:tcPr>
          <w:p w14:paraId="066C94B2" w14:textId="77777777" w:rsidR="0035664D" w:rsidRPr="0035664D" w:rsidDel="00EE2BBB" w:rsidRDefault="0035664D" w:rsidP="00D20B78">
            <w:pPr>
              <w:pStyle w:val="Tableheading"/>
              <w:jc w:val="left"/>
              <w:rPr>
                <w:sz w:val="20"/>
                <w:szCs w:val="20"/>
              </w:rPr>
            </w:pPr>
            <w:r w:rsidRPr="0035664D">
              <w:rPr>
                <w:rFonts w:cstheme="minorHAnsi"/>
                <w:sz w:val="20"/>
                <w:szCs w:val="20"/>
              </w:rPr>
              <w:t>Li</w:t>
            </w:r>
            <w:r w:rsidR="00D20B78">
              <w:rPr>
                <w:rFonts w:cstheme="minorHAnsi"/>
                <w:sz w:val="20"/>
                <w:szCs w:val="20"/>
              </w:rPr>
              <w:t>fe span</w:t>
            </w:r>
          </w:p>
        </w:tc>
      </w:tr>
      <w:tr w:rsidR="0035664D" w:rsidRPr="00A35800" w:rsidDel="00EE2BBB" w14:paraId="6A8B80D5" w14:textId="77777777" w:rsidTr="00C76CD2">
        <w:trPr>
          <w:trHeight w:val="612"/>
          <w:tblHeader/>
        </w:trPr>
        <w:tc>
          <w:tcPr>
            <w:tcW w:w="1980" w:type="dxa"/>
            <w:shd w:val="clear" w:color="auto" w:fill="auto"/>
          </w:tcPr>
          <w:p w14:paraId="73605103" w14:textId="77777777" w:rsidR="0035664D" w:rsidRPr="00F40D99" w:rsidRDefault="00F6572F" w:rsidP="0035664D">
            <w:pPr>
              <w:rPr>
                <w:rFonts w:cstheme="minorHAnsi"/>
                <w:sz w:val="20"/>
                <w:szCs w:val="20"/>
              </w:rPr>
            </w:pPr>
            <w:r>
              <w:rPr>
                <w:rFonts w:cstheme="minorHAnsi"/>
                <w:sz w:val="20"/>
                <w:szCs w:val="20"/>
              </w:rPr>
              <w:t>Type I</w:t>
            </w:r>
          </w:p>
          <w:p w14:paraId="5110D161" w14:textId="77777777" w:rsidR="0035664D" w:rsidRPr="00A35800" w:rsidDel="00EE2BBB" w:rsidRDefault="0035664D" w:rsidP="0035664D">
            <w:pPr>
              <w:pStyle w:val="Tablewriting"/>
            </w:pPr>
            <w:r w:rsidRPr="00F40D99">
              <w:rPr>
                <w:rFonts w:cstheme="minorHAnsi"/>
              </w:rPr>
              <w:t>Infantile onset or Werdnig-Hoffmann disease)</w:t>
            </w:r>
          </w:p>
        </w:tc>
        <w:tc>
          <w:tcPr>
            <w:tcW w:w="1701" w:type="dxa"/>
            <w:shd w:val="clear" w:color="auto" w:fill="auto"/>
          </w:tcPr>
          <w:p w14:paraId="0D3D68A8" w14:textId="77777777" w:rsidR="0035664D" w:rsidRPr="00A35800" w:rsidDel="00EE2BBB" w:rsidRDefault="0035664D" w:rsidP="00086A76">
            <w:pPr>
              <w:pStyle w:val="Tablewriting"/>
            </w:pPr>
            <w:r>
              <w:rPr>
                <w:rFonts w:cstheme="minorHAnsi"/>
              </w:rPr>
              <w:t>Birth to 6 months</w:t>
            </w:r>
          </w:p>
        </w:tc>
        <w:tc>
          <w:tcPr>
            <w:tcW w:w="3402" w:type="dxa"/>
            <w:shd w:val="clear" w:color="auto" w:fill="auto"/>
          </w:tcPr>
          <w:p w14:paraId="07E4B686" w14:textId="77777777" w:rsidR="0035664D" w:rsidRDefault="0035664D" w:rsidP="00CA2D63">
            <w:pPr>
              <w:pStyle w:val="Tablewriting"/>
              <w:numPr>
                <w:ilvl w:val="0"/>
                <w:numId w:val="18"/>
              </w:numPr>
              <w:ind w:left="459"/>
            </w:pPr>
            <w:r>
              <w:t xml:space="preserve">Generalised muscle weakness </w:t>
            </w:r>
          </w:p>
          <w:p w14:paraId="6C3ADCB6" w14:textId="77777777" w:rsidR="0035664D" w:rsidRDefault="0035664D" w:rsidP="00CA2D63">
            <w:pPr>
              <w:pStyle w:val="Tablewriting"/>
              <w:numPr>
                <w:ilvl w:val="0"/>
                <w:numId w:val="18"/>
              </w:numPr>
              <w:ind w:left="459"/>
            </w:pPr>
            <w:r>
              <w:t xml:space="preserve">Weak cry </w:t>
            </w:r>
          </w:p>
          <w:p w14:paraId="29322E80" w14:textId="77777777" w:rsidR="0035664D" w:rsidRPr="00A35800" w:rsidDel="00EE2BBB" w:rsidRDefault="0035664D" w:rsidP="00CA2D63">
            <w:pPr>
              <w:pStyle w:val="Tablewriting"/>
              <w:numPr>
                <w:ilvl w:val="0"/>
                <w:numId w:val="18"/>
              </w:numPr>
              <w:ind w:left="459"/>
            </w:pPr>
            <w:r>
              <w:t xml:space="preserve">Trouble breathing, swallowing and sucking </w:t>
            </w:r>
          </w:p>
        </w:tc>
        <w:tc>
          <w:tcPr>
            <w:tcW w:w="1669" w:type="dxa"/>
            <w:shd w:val="clear" w:color="auto" w:fill="auto"/>
          </w:tcPr>
          <w:p w14:paraId="052EAC0F" w14:textId="77777777" w:rsidR="0035664D" w:rsidRPr="00A35800" w:rsidDel="00EE2BBB" w:rsidRDefault="0035664D" w:rsidP="005921C2">
            <w:pPr>
              <w:pStyle w:val="Tablewriting"/>
            </w:pPr>
            <w:r>
              <w:t xml:space="preserve">Rarely </w:t>
            </w:r>
            <w:r w:rsidR="005921C2">
              <w:t xml:space="preserve">survive beyond </w:t>
            </w:r>
            <w:r>
              <w:t>2</w:t>
            </w:r>
            <w:r w:rsidR="005921C2">
              <w:t xml:space="preserve"> years</w:t>
            </w:r>
            <w:r>
              <w:t xml:space="preserve"> </w:t>
            </w:r>
            <w:r w:rsidR="005921C2">
              <w:t>of age</w:t>
            </w:r>
          </w:p>
        </w:tc>
      </w:tr>
      <w:tr w:rsidR="0035664D" w:rsidRPr="00A35800" w:rsidDel="00EE2BBB" w14:paraId="62371690" w14:textId="77777777" w:rsidTr="00C76CD2">
        <w:trPr>
          <w:trHeight w:val="612"/>
          <w:tblHeader/>
        </w:trPr>
        <w:tc>
          <w:tcPr>
            <w:tcW w:w="1980" w:type="dxa"/>
            <w:shd w:val="clear" w:color="auto" w:fill="auto"/>
          </w:tcPr>
          <w:p w14:paraId="04DA4CDD" w14:textId="77777777" w:rsidR="0035664D" w:rsidRPr="00F40D99" w:rsidRDefault="00F6572F" w:rsidP="0035664D">
            <w:pPr>
              <w:rPr>
                <w:rFonts w:cstheme="minorHAnsi"/>
                <w:sz w:val="20"/>
                <w:szCs w:val="20"/>
              </w:rPr>
            </w:pPr>
            <w:r>
              <w:rPr>
                <w:rFonts w:cstheme="minorHAnsi"/>
                <w:sz w:val="20"/>
                <w:szCs w:val="20"/>
              </w:rPr>
              <w:t>Type II</w:t>
            </w:r>
          </w:p>
          <w:p w14:paraId="45C379D3" w14:textId="77777777" w:rsidR="00F86171" w:rsidRDefault="00F86171" w:rsidP="0035664D">
            <w:pPr>
              <w:rPr>
                <w:rFonts w:cstheme="minorHAnsi"/>
                <w:sz w:val="20"/>
                <w:szCs w:val="20"/>
              </w:rPr>
            </w:pPr>
            <w:r>
              <w:rPr>
                <w:rFonts w:cstheme="minorHAnsi"/>
                <w:sz w:val="20"/>
                <w:szCs w:val="20"/>
              </w:rPr>
              <w:t xml:space="preserve">Childhood onset or </w:t>
            </w:r>
          </w:p>
          <w:p w14:paraId="77256EB0" w14:textId="77777777" w:rsidR="0035664D" w:rsidRDefault="0035664D" w:rsidP="0035664D">
            <w:pPr>
              <w:rPr>
                <w:rFonts w:cstheme="minorHAnsi"/>
                <w:sz w:val="20"/>
                <w:szCs w:val="20"/>
              </w:rPr>
            </w:pPr>
            <w:r w:rsidRPr="00F40D99">
              <w:rPr>
                <w:rFonts w:cstheme="minorHAnsi"/>
                <w:sz w:val="20"/>
                <w:szCs w:val="20"/>
              </w:rPr>
              <w:t>Intermediate SMA</w:t>
            </w:r>
          </w:p>
          <w:p w14:paraId="72144A60" w14:textId="77777777" w:rsidR="00F86171" w:rsidRPr="00F40D99" w:rsidRDefault="00F86171" w:rsidP="0035664D">
            <w:pPr>
              <w:rPr>
                <w:rFonts w:cstheme="minorHAnsi"/>
                <w:sz w:val="20"/>
                <w:szCs w:val="20"/>
              </w:rPr>
            </w:pPr>
          </w:p>
        </w:tc>
        <w:tc>
          <w:tcPr>
            <w:tcW w:w="1701" w:type="dxa"/>
            <w:shd w:val="clear" w:color="auto" w:fill="auto"/>
          </w:tcPr>
          <w:p w14:paraId="0F762935" w14:textId="77777777" w:rsidR="0035664D" w:rsidRDefault="0035664D" w:rsidP="00086A76">
            <w:pPr>
              <w:pStyle w:val="Tablewriting"/>
              <w:rPr>
                <w:rFonts w:cstheme="minorHAnsi"/>
              </w:rPr>
            </w:pPr>
            <w:r>
              <w:rPr>
                <w:rFonts w:cstheme="minorHAnsi"/>
              </w:rPr>
              <w:t>7 to 18 months</w:t>
            </w:r>
          </w:p>
        </w:tc>
        <w:tc>
          <w:tcPr>
            <w:tcW w:w="3402" w:type="dxa"/>
            <w:shd w:val="clear" w:color="auto" w:fill="auto"/>
          </w:tcPr>
          <w:p w14:paraId="4317921F" w14:textId="77777777" w:rsidR="0035664D" w:rsidRDefault="0035664D" w:rsidP="00CA2D63">
            <w:pPr>
              <w:pStyle w:val="Tablewriting"/>
              <w:numPr>
                <w:ilvl w:val="0"/>
                <w:numId w:val="19"/>
              </w:numPr>
              <w:ind w:left="459"/>
            </w:pPr>
            <w:r>
              <w:t>Weakness in arms, legs, torso and respiratory muscles</w:t>
            </w:r>
          </w:p>
          <w:p w14:paraId="7A4D8E1E" w14:textId="77777777" w:rsidR="0035664D" w:rsidRDefault="0035664D" w:rsidP="00CA2D63">
            <w:pPr>
              <w:pStyle w:val="Tablewriting"/>
              <w:numPr>
                <w:ilvl w:val="0"/>
                <w:numId w:val="19"/>
              </w:numPr>
              <w:ind w:left="459"/>
            </w:pPr>
            <w:r>
              <w:t xml:space="preserve">Scoliosis </w:t>
            </w:r>
          </w:p>
          <w:p w14:paraId="0C521375" w14:textId="77777777" w:rsidR="00D20B78" w:rsidRPr="00A35800" w:rsidDel="00EE2BBB" w:rsidRDefault="00D20B78" w:rsidP="00CA2D63">
            <w:pPr>
              <w:pStyle w:val="Tablewriting"/>
              <w:numPr>
                <w:ilvl w:val="0"/>
                <w:numId w:val="19"/>
              </w:numPr>
              <w:ind w:left="459"/>
            </w:pPr>
            <w:r>
              <w:t xml:space="preserve">Can learn to sit unassisted but do not stand or walk independently </w:t>
            </w:r>
          </w:p>
        </w:tc>
        <w:tc>
          <w:tcPr>
            <w:tcW w:w="1669" w:type="dxa"/>
            <w:shd w:val="clear" w:color="auto" w:fill="auto"/>
          </w:tcPr>
          <w:p w14:paraId="43C11B0A" w14:textId="77777777" w:rsidR="0035664D" w:rsidRPr="00A35800" w:rsidDel="00EE2BBB" w:rsidRDefault="0035664D" w:rsidP="00086A76">
            <w:pPr>
              <w:pStyle w:val="Tablewriting"/>
            </w:pPr>
            <w:r>
              <w:t>Young adulthood and longer</w:t>
            </w:r>
          </w:p>
        </w:tc>
      </w:tr>
      <w:tr w:rsidR="00F86171" w:rsidRPr="00A35800" w:rsidDel="00EE2BBB" w14:paraId="0B55D837" w14:textId="77777777" w:rsidTr="00C76CD2">
        <w:trPr>
          <w:trHeight w:val="123"/>
          <w:tblHeader/>
        </w:trPr>
        <w:tc>
          <w:tcPr>
            <w:tcW w:w="1980" w:type="dxa"/>
            <w:vMerge w:val="restart"/>
            <w:shd w:val="clear" w:color="auto" w:fill="auto"/>
          </w:tcPr>
          <w:p w14:paraId="76697A89" w14:textId="77777777" w:rsidR="00F86171" w:rsidRDefault="00F86171" w:rsidP="00AD202D">
            <w:pPr>
              <w:rPr>
                <w:rFonts w:cstheme="minorHAnsi"/>
                <w:sz w:val="20"/>
                <w:szCs w:val="20"/>
              </w:rPr>
            </w:pPr>
            <w:r>
              <w:rPr>
                <w:rFonts w:cstheme="minorHAnsi"/>
                <w:sz w:val="20"/>
                <w:szCs w:val="20"/>
              </w:rPr>
              <w:t>Type III</w:t>
            </w:r>
          </w:p>
          <w:p w14:paraId="478ECD02" w14:textId="77777777" w:rsidR="00F86171" w:rsidRDefault="00F86171" w:rsidP="00AD202D">
            <w:pPr>
              <w:rPr>
                <w:rFonts w:cstheme="minorHAnsi"/>
                <w:sz w:val="20"/>
                <w:szCs w:val="20"/>
              </w:rPr>
            </w:pPr>
            <w:r>
              <w:rPr>
                <w:rFonts w:cstheme="minorHAnsi"/>
                <w:sz w:val="20"/>
                <w:szCs w:val="20"/>
              </w:rPr>
              <w:t xml:space="preserve">Childhood onset or </w:t>
            </w:r>
          </w:p>
          <w:p w14:paraId="4C5BADA7" w14:textId="77777777" w:rsidR="00F86171" w:rsidRPr="00F40D99" w:rsidRDefault="00F86171" w:rsidP="00AD202D">
            <w:pPr>
              <w:rPr>
                <w:rFonts w:cstheme="minorHAnsi"/>
                <w:sz w:val="20"/>
                <w:szCs w:val="20"/>
              </w:rPr>
            </w:pPr>
            <w:r>
              <w:rPr>
                <w:rFonts w:cstheme="minorHAnsi"/>
                <w:sz w:val="20"/>
                <w:szCs w:val="20"/>
              </w:rPr>
              <w:t xml:space="preserve">Kugelberg-Welander </w:t>
            </w:r>
          </w:p>
          <w:p w14:paraId="7421B708" w14:textId="77777777" w:rsidR="00F86171" w:rsidRPr="00F40D99" w:rsidRDefault="00F86171" w:rsidP="00F6572F">
            <w:pPr>
              <w:jc w:val="center"/>
              <w:rPr>
                <w:rFonts w:cstheme="minorHAnsi"/>
                <w:sz w:val="20"/>
                <w:szCs w:val="20"/>
              </w:rPr>
            </w:pPr>
          </w:p>
        </w:tc>
        <w:tc>
          <w:tcPr>
            <w:tcW w:w="1701" w:type="dxa"/>
            <w:shd w:val="clear" w:color="auto" w:fill="auto"/>
          </w:tcPr>
          <w:p w14:paraId="4C77A62A" w14:textId="77777777" w:rsidR="00F86171" w:rsidRDefault="00F86171" w:rsidP="00086A76">
            <w:pPr>
              <w:pStyle w:val="Tablewriting"/>
              <w:rPr>
                <w:rFonts w:cstheme="minorHAnsi"/>
              </w:rPr>
            </w:pPr>
            <w:r>
              <w:rPr>
                <w:rFonts w:cstheme="minorHAnsi"/>
              </w:rPr>
              <w:t xml:space="preserve">&lt;3 years </w:t>
            </w:r>
          </w:p>
          <w:p w14:paraId="252E87A1" w14:textId="77777777" w:rsidR="00F86171" w:rsidRDefault="00F86171" w:rsidP="00086A76">
            <w:pPr>
              <w:pStyle w:val="Tablewriting"/>
              <w:rPr>
                <w:rFonts w:cstheme="minorHAnsi"/>
              </w:rPr>
            </w:pPr>
            <w:r>
              <w:rPr>
                <w:rFonts w:cstheme="minorHAnsi"/>
              </w:rPr>
              <w:t>(Type IIIa)</w:t>
            </w:r>
          </w:p>
        </w:tc>
        <w:tc>
          <w:tcPr>
            <w:tcW w:w="3402" w:type="dxa"/>
            <w:vMerge w:val="restart"/>
            <w:shd w:val="clear" w:color="auto" w:fill="auto"/>
          </w:tcPr>
          <w:p w14:paraId="0515F453" w14:textId="77777777" w:rsidR="00F86171" w:rsidRDefault="00F86171" w:rsidP="00CA2D63">
            <w:pPr>
              <w:pStyle w:val="Tablewriting"/>
              <w:numPr>
                <w:ilvl w:val="0"/>
                <w:numId w:val="20"/>
              </w:numPr>
              <w:ind w:left="459"/>
            </w:pPr>
            <w:r>
              <w:t xml:space="preserve">Weakness in arms, legs, hips, shoulders and respiratory muscles </w:t>
            </w:r>
          </w:p>
          <w:p w14:paraId="364AB68C" w14:textId="77777777" w:rsidR="00F86171" w:rsidRPr="00A35800" w:rsidDel="00EE2BBB" w:rsidRDefault="00F86171" w:rsidP="00CA2D63">
            <w:pPr>
              <w:pStyle w:val="Tablewriting"/>
              <w:numPr>
                <w:ilvl w:val="0"/>
                <w:numId w:val="20"/>
              </w:numPr>
              <w:ind w:left="459"/>
            </w:pPr>
            <w:r>
              <w:t xml:space="preserve">Can learn to stand and walk but some lose the ability to walk in adolescence </w:t>
            </w:r>
          </w:p>
        </w:tc>
        <w:tc>
          <w:tcPr>
            <w:tcW w:w="1669" w:type="dxa"/>
            <w:vMerge w:val="restart"/>
            <w:shd w:val="clear" w:color="auto" w:fill="auto"/>
          </w:tcPr>
          <w:p w14:paraId="6B49DAA5" w14:textId="77777777" w:rsidR="00F86171" w:rsidRPr="00A35800" w:rsidDel="00EE2BBB" w:rsidRDefault="00F86171" w:rsidP="00086A76">
            <w:pPr>
              <w:pStyle w:val="Tablewriting"/>
            </w:pPr>
            <w:r>
              <w:t>Normal</w:t>
            </w:r>
          </w:p>
        </w:tc>
      </w:tr>
      <w:tr w:rsidR="00F86171" w:rsidRPr="00A35800" w:rsidDel="00EE2BBB" w14:paraId="156B2B93" w14:textId="77777777" w:rsidTr="00C76CD2">
        <w:trPr>
          <w:trHeight w:val="54"/>
          <w:tblHeader/>
        </w:trPr>
        <w:tc>
          <w:tcPr>
            <w:tcW w:w="1980" w:type="dxa"/>
            <w:vMerge/>
            <w:shd w:val="clear" w:color="auto" w:fill="auto"/>
          </w:tcPr>
          <w:p w14:paraId="77547B96" w14:textId="77777777" w:rsidR="00F86171" w:rsidRDefault="00F86171" w:rsidP="00F6572F">
            <w:pPr>
              <w:jc w:val="center"/>
              <w:rPr>
                <w:rFonts w:cstheme="minorHAnsi"/>
                <w:sz w:val="20"/>
                <w:szCs w:val="20"/>
              </w:rPr>
            </w:pPr>
          </w:p>
        </w:tc>
        <w:tc>
          <w:tcPr>
            <w:tcW w:w="1701" w:type="dxa"/>
            <w:shd w:val="clear" w:color="auto" w:fill="auto"/>
          </w:tcPr>
          <w:p w14:paraId="7F161FE0" w14:textId="77777777" w:rsidR="00F86171" w:rsidRDefault="00F86171" w:rsidP="00086A76">
            <w:pPr>
              <w:pStyle w:val="Tablewriting"/>
              <w:rPr>
                <w:rFonts w:cstheme="minorHAnsi"/>
              </w:rPr>
            </w:pPr>
            <w:r>
              <w:rPr>
                <w:rFonts w:cstheme="minorHAnsi"/>
              </w:rPr>
              <w:t xml:space="preserve">&gt;3 years </w:t>
            </w:r>
          </w:p>
          <w:p w14:paraId="0ED1D448" w14:textId="77777777" w:rsidR="00F86171" w:rsidRDefault="00F86171" w:rsidP="00086A76">
            <w:pPr>
              <w:pStyle w:val="Tablewriting"/>
              <w:rPr>
                <w:rFonts w:cstheme="minorHAnsi"/>
              </w:rPr>
            </w:pPr>
            <w:r>
              <w:rPr>
                <w:rFonts w:cstheme="minorHAnsi"/>
              </w:rPr>
              <w:t>(Type IIIb)</w:t>
            </w:r>
          </w:p>
        </w:tc>
        <w:tc>
          <w:tcPr>
            <w:tcW w:w="3402" w:type="dxa"/>
            <w:vMerge/>
            <w:shd w:val="clear" w:color="auto" w:fill="auto"/>
          </w:tcPr>
          <w:p w14:paraId="22C98408" w14:textId="77777777" w:rsidR="00F86171" w:rsidRDefault="00F86171" w:rsidP="009A703F">
            <w:pPr>
              <w:pStyle w:val="Tablewriting"/>
            </w:pPr>
          </w:p>
        </w:tc>
        <w:tc>
          <w:tcPr>
            <w:tcW w:w="1669" w:type="dxa"/>
            <w:vMerge/>
            <w:shd w:val="clear" w:color="auto" w:fill="auto"/>
          </w:tcPr>
          <w:p w14:paraId="27DAF163" w14:textId="77777777" w:rsidR="00F86171" w:rsidRDefault="00F86171" w:rsidP="00086A76">
            <w:pPr>
              <w:pStyle w:val="Tablewriting"/>
            </w:pPr>
          </w:p>
        </w:tc>
      </w:tr>
      <w:tr w:rsidR="00F86171" w:rsidRPr="00A35800" w:rsidDel="00EE2BBB" w14:paraId="086E6B3D" w14:textId="77777777" w:rsidTr="00C76CD2">
        <w:trPr>
          <w:trHeight w:val="612"/>
          <w:tblHeader/>
        </w:trPr>
        <w:tc>
          <w:tcPr>
            <w:tcW w:w="1980" w:type="dxa"/>
            <w:vMerge/>
            <w:shd w:val="clear" w:color="auto" w:fill="auto"/>
          </w:tcPr>
          <w:p w14:paraId="4B735A41" w14:textId="77777777" w:rsidR="00F86171" w:rsidRDefault="00F86171" w:rsidP="00F6572F">
            <w:pPr>
              <w:jc w:val="center"/>
              <w:rPr>
                <w:rFonts w:cstheme="minorHAnsi"/>
                <w:sz w:val="20"/>
                <w:szCs w:val="20"/>
              </w:rPr>
            </w:pPr>
          </w:p>
        </w:tc>
        <w:tc>
          <w:tcPr>
            <w:tcW w:w="1701" w:type="dxa"/>
            <w:shd w:val="clear" w:color="auto" w:fill="auto"/>
          </w:tcPr>
          <w:p w14:paraId="235A3DC4" w14:textId="77777777" w:rsidR="00F86171" w:rsidRDefault="00F86171" w:rsidP="00086A76">
            <w:pPr>
              <w:pStyle w:val="Tablewriting"/>
              <w:rPr>
                <w:rFonts w:cstheme="minorHAnsi"/>
              </w:rPr>
            </w:pPr>
            <w:r>
              <w:rPr>
                <w:rFonts w:cstheme="minorHAnsi"/>
              </w:rPr>
              <w:t>&gt;12 to ≤18 years (Type IIIc)</w:t>
            </w:r>
          </w:p>
        </w:tc>
        <w:tc>
          <w:tcPr>
            <w:tcW w:w="3402" w:type="dxa"/>
            <w:vMerge/>
            <w:shd w:val="clear" w:color="auto" w:fill="auto"/>
          </w:tcPr>
          <w:p w14:paraId="58004CFC" w14:textId="77777777" w:rsidR="00F86171" w:rsidRDefault="00F86171" w:rsidP="009A703F">
            <w:pPr>
              <w:pStyle w:val="Tablewriting"/>
            </w:pPr>
          </w:p>
        </w:tc>
        <w:tc>
          <w:tcPr>
            <w:tcW w:w="1669" w:type="dxa"/>
            <w:vMerge/>
            <w:shd w:val="clear" w:color="auto" w:fill="auto"/>
          </w:tcPr>
          <w:p w14:paraId="1E965603" w14:textId="77777777" w:rsidR="00F86171" w:rsidRDefault="00F86171" w:rsidP="00086A76">
            <w:pPr>
              <w:pStyle w:val="Tablewriting"/>
            </w:pPr>
          </w:p>
        </w:tc>
      </w:tr>
      <w:tr w:rsidR="0035664D" w:rsidRPr="00A35800" w:rsidDel="00EE2BBB" w14:paraId="5E073F9F" w14:textId="77777777" w:rsidTr="00C76CD2">
        <w:trPr>
          <w:trHeight w:val="548"/>
          <w:tblHeader/>
        </w:trPr>
        <w:tc>
          <w:tcPr>
            <w:tcW w:w="1980" w:type="dxa"/>
            <w:shd w:val="clear" w:color="auto" w:fill="auto"/>
          </w:tcPr>
          <w:p w14:paraId="0F14B4D7" w14:textId="77777777" w:rsidR="0035664D" w:rsidRDefault="0035664D" w:rsidP="0035664D">
            <w:pPr>
              <w:rPr>
                <w:rFonts w:cstheme="minorHAnsi"/>
                <w:sz w:val="20"/>
                <w:szCs w:val="20"/>
              </w:rPr>
            </w:pPr>
            <w:r>
              <w:rPr>
                <w:rFonts w:cstheme="minorHAnsi"/>
                <w:sz w:val="20"/>
                <w:szCs w:val="20"/>
              </w:rPr>
              <w:t xml:space="preserve">Type </w:t>
            </w:r>
            <w:r w:rsidR="00F86171">
              <w:rPr>
                <w:rFonts w:cstheme="minorHAnsi"/>
                <w:sz w:val="20"/>
                <w:szCs w:val="20"/>
              </w:rPr>
              <w:t xml:space="preserve">IV </w:t>
            </w:r>
          </w:p>
          <w:p w14:paraId="286A5FFE" w14:textId="77777777" w:rsidR="0035664D" w:rsidRDefault="00F86171" w:rsidP="0035664D">
            <w:pPr>
              <w:rPr>
                <w:rFonts w:cstheme="minorHAnsi"/>
                <w:sz w:val="20"/>
                <w:szCs w:val="20"/>
              </w:rPr>
            </w:pPr>
            <w:r>
              <w:rPr>
                <w:rFonts w:cstheme="minorHAnsi"/>
                <w:sz w:val="20"/>
                <w:szCs w:val="20"/>
              </w:rPr>
              <w:t xml:space="preserve">Adult </w:t>
            </w:r>
            <w:r w:rsidR="0035664D">
              <w:rPr>
                <w:rFonts w:cstheme="minorHAnsi"/>
                <w:sz w:val="20"/>
                <w:szCs w:val="20"/>
              </w:rPr>
              <w:t>onset SMA</w:t>
            </w:r>
          </w:p>
        </w:tc>
        <w:tc>
          <w:tcPr>
            <w:tcW w:w="1701" w:type="dxa"/>
            <w:shd w:val="clear" w:color="auto" w:fill="auto"/>
          </w:tcPr>
          <w:p w14:paraId="13F15C7B" w14:textId="77777777" w:rsidR="0035664D" w:rsidRDefault="0035664D" w:rsidP="00086A76">
            <w:pPr>
              <w:pStyle w:val="Tablewriting"/>
              <w:rPr>
                <w:rFonts w:cstheme="minorHAnsi"/>
              </w:rPr>
            </w:pPr>
            <w:r>
              <w:rPr>
                <w:rFonts w:cstheme="minorHAnsi"/>
              </w:rPr>
              <w:t>18 to 50 years</w:t>
            </w:r>
          </w:p>
        </w:tc>
        <w:tc>
          <w:tcPr>
            <w:tcW w:w="3402" w:type="dxa"/>
            <w:shd w:val="clear" w:color="auto" w:fill="auto"/>
          </w:tcPr>
          <w:p w14:paraId="2D759FEB" w14:textId="77777777" w:rsidR="0035664D" w:rsidRDefault="00D20B78" w:rsidP="00CA2D63">
            <w:pPr>
              <w:pStyle w:val="Tablewriting"/>
              <w:numPr>
                <w:ilvl w:val="0"/>
                <w:numId w:val="21"/>
              </w:numPr>
              <w:ind w:left="459"/>
            </w:pPr>
            <w:r>
              <w:t>Mild muscle weakness</w:t>
            </w:r>
          </w:p>
          <w:p w14:paraId="1484CDEB" w14:textId="77777777" w:rsidR="00D20B78" w:rsidRDefault="00D20B78" w:rsidP="00CA2D63">
            <w:pPr>
              <w:pStyle w:val="Tablewriting"/>
              <w:numPr>
                <w:ilvl w:val="0"/>
                <w:numId w:val="21"/>
              </w:numPr>
              <w:ind w:left="459"/>
            </w:pPr>
            <w:r>
              <w:t>Tremors</w:t>
            </w:r>
          </w:p>
          <w:p w14:paraId="45DC7827" w14:textId="77777777" w:rsidR="00D20B78" w:rsidRPr="00A35800" w:rsidDel="00EE2BBB" w:rsidRDefault="00D20B78" w:rsidP="00CA2D63">
            <w:pPr>
              <w:pStyle w:val="Tablewriting"/>
              <w:numPr>
                <w:ilvl w:val="0"/>
                <w:numId w:val="21"/>
              </w:numPr>
              <w:ind w:left="459"/>
            </w:pPr>
            <w:r>
              <w:t xml:space="preserve">Twitching </w:t>
            </w:r>
          </w:p>
        </w:tc>
        <w:tc>
          <w:tcPr>
            <w:tcW w:w="1669" w:type="dxa"/>
            <w:shd w:val="clear" w:color="auto" w:fill="auto"/>
          </w:tcPr>
          <w:p w14:paraId="35FA4A75" w14:textId="77777777" w:rsidR="0035664D" w:rsidRPr="00A35800" w:rsidDel="00EE2BBB" w:rsidRDefault="00D20B78" w:rsidP="00086A76">
            <w:pPr>
              <w:pStyle w:val="Tablewriting"/>
            </w:pPr>
            <w:r>
              <w:t xml:space="preserve">Normal </w:t>
            </w:r>
          </w:p>
        </w:tc>
      </w:tr>
    </w:tbl>
    <w:p w14:paraId="57209DC9" w14:textId="77777777" w:rsidR="007247B9" w:rsidRDefault="007247B9" w:rsidP="00CF5E22">
      <w:pPr>
        <w:pStyle w:val="Heading2"/>
      </w:pPr>
      <w:r>
        <w:t>Pharmacology</w:t>
      </w:r>
    </w:p>
    <w:p w14:paraId="19521EDC" w14:textId="77777777" w:rsidR="00AB3A7A" w:rsidRDefault="00854518" w:rsidP="00AE4BAC">
      <w:r>
        <w:t>Nusinersen</w:t>
      </w:r>
      <w:r w:rsidR="00AB3A7A">
        <w:t xml:space="preserve"> is an antisense oligonucleotide (ASO) which increases the proportion of exon 7 inclusion in SMN2 mRNA </w:t>
      </w:r>
      <w:r w:rsidR="00D76D95">
        <w:t>transcripts</w:t>
      </w:r>
      <w:r w:rsidR="00AB3A7A">
        <w:t xml:space="preserve"> by binding to an intronic splice silencing site (ISS-N1) in intron 7 or </w:t>
      </w:r>
      <w:r>
        <w:t>b</w:t>
      </w:r>
      <w:r w:rsidR="00841087">
        <w:t>inding to</w:t>
      </w:r>
      <w:r>
        <w:t xml:space="preserve"> </w:t>
      </w:r>
      <w:r w:rsidRPr="00AB3A7A">
        <w:t>SMN2 pre-mRNA</w:t>
      </w:r>
      <w:r w:rsidR="00AB3A7A" w:rsidRPr="00AB3A7A">
        <w:t>. Exon 7 remains in SMN2 mRNA and can be translated to functional full length SMN protein.</w:t>
      </w:r>
      <w:r w:rsidR="00AB3A7A" w:rsidRPr="00AB3A7A">
        <w:rPr>
          <w:rStyle w:val="FootnoteReference"/>
        </w:rPr>
        <w:footnoteReference w:id="8"/>
      </w:r>
    </w:p>
    <w:p w14:paraId="7E76948B" w14:textId="77777777" w:rsidR="001420B3" w:rsidRPr="005E22C2" w:rsidRDefault="00A52918" w:rsidP="00C862A9">
      <w:pPr>
        <w:pStyle w:val="Heading2"/>
        <w:widowControl w:val="0"/>
      </w:pPr>
      <w:r w:rsidRPr="00A52918">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14:paraId="262D824C" w14:textId="77777777" w:rsidR="00C07ADC" w:rsidRDefault="00F43AE6" w:rsidP="00C862A9">
      <w:pPr>
        <w:widowControl w:val="0"/>
      </w:pPr>
      <w:r>
        <w:t>Nusinersen</w:t>
      </w:r>
      <w:r w:rsidR="004A79FE">
        <w:t xml:space="preserve"> was ARTG approved 2 November 2017. Nusinersen</w:t>
      </w:r>
      <w:r>
        <w:t xml:space="preserve"> is only indicated for the</w:t>
      </w:r>
      <w:r w:rsidR="00C862A9">
        <w:t xml:space="preserve"> </w:t>
      </w:r>
      <w:r>
        <w:t xml:space="preserve">treatment of </w:t>
      </w:r>
      <w:r w:rsidR="004A79FE">
        <w:t xml:space="preserve">5q </w:t>
      </w:r>
      <w:r w:rsidR="00C07ADC">
        <w:t xml:space="preserve">Spinal Muscular Atrophy. </w:t>
      </w:r>
    </w:p>
    <w:p w14:paraId="3AEC635E" w14:textId="77777777" w:rsidR="00D816D6" w:rsidRPr="00D816D6" w:rsidRDefault="006B709B" w:rsidP="005716AD">
      <w:pPr>
        <w:pStyle w:val="Heading2"/>
        <w:keepNext/>
      </w:pPr>
      <w:r>
        <w:t>Dosage and administration</w:t>
      </w:r>
    </w:p>
    <w:p w14:paraId="19ACEB1C" w14:textId="77777777" w:rsidR="00D816D6" w:rsidRPr="00D816D6" w:rsidRDefault="00D816D6" w:rsidP="00A35800">
      <w:r w:rsidRPr="00D816D6">
        <w:t>The recommended dosage of nusinersen is 12 mg (5 mL) per administration. Four loa</w:t>
      </w:r>
      <w:r w:rsidR="00841087">
        <w:t>ding doses are administered on d</w:t>
      </w:r>
      <w:r w:rsidRPr="00D816D6">
        <w:t>ay</w:t>
      </w:r>
      <w:r w:rsidR="00A12310">
        <w:t>s</w:t>
      </w:r>
      <w:r w:rsidRPr="00D816D6">
        <w:t xml:space="preserve"> 0, 14, 28 and 63. </w:t>
      </w:r>
      <w:r w:rsidR="00F43AE6">
        <w:t xml:space="preserve">A </w:t>
      </w:r>
      <w:r w:rsidR="00B375BB">
        <w:t>maintenance</w:t>
      </w:r>
      <w:r w:rsidR="00F43AE6">
        <w:t xml:space="preserve"> dose is administered once every four months thereafter. </w:t>
      </w:r>
    </w:p>
    <w:p w14:paraId="19C46279" w14:textId="77777777" w:rsidR="00F43AE6" w:rsidRDefault="00F43AE6" w:rsidP="00F17D4B">
      <w:r>
        <w:lastRenderedPageBreak/>
        <w:t>If a loading dose is delayed or missed, nusinersen should be administered as soon as possible with at least 14 days between doses, and dosing continued at th</w:t>
      </w:r>
      <w:r w:rsidR="00DF7D1F">
        <w:t xml:space="preserve">e prescribed dosing frequency. </w:t>
      </w:r>
      <w:r>
        <w:t xml:space="preserve">If a maintenance dose is delayed or missed, nusinersen should be administered as soon as possible and dosing continued at the prescribed dosing frequency. </w:t>
      </w:r>
    </w:p>
    <w:p w14:paraId="1E027282" w14:textId="77777777" w:rsidR="00F43AE6" w:rsidRDefault="00F43AE6" w:rsidP="00F17D4B">
      <w:r>
        <w:t>Nusinersen is administered intrathecal</w:t>
      </w:r>
      <w:r w:rsidR="001D3964">
        <w:t>ly</w:t>
      </w:r>
      <w:r>
        <w:t xml:space="preserve"> by l</w:t>
      </w:r>
      <w:r w:rsidR="00AC69FF">
        <w:t xml:space="preserve">umbar puncture. </w:t>
      </w:r>
      <w:r w:rsidR="00D36ADC">
        <w:t>It should be</w:t>
      </w:r>
      <w:r>
        <w:t xml:space="preserve"> administered by health care professionals experienced in performing lumbar punctures. </w:t>
      </w:r>
    </w:p>
    <w:p w14:paraId="5EEFA1B1" w14:textId="77777777" w:rsidR="00F17D4B" w:rsidRPr="002F61CA" w:rsidRDefault="00F17D4B" w:rsidP="00F17D4B">
      <w:r w:rsidRPr="002F61CA">
        <w:t xml:space="preserve">The current Product Information (PI) and Consumer Medicine Information (CMI) are available from </w:t>
      </w:r>
      <w:r w:rsidRPr="004E7661">
        <w:t>the TGA (Product Information)</w:t>
      </w:r>
      <w:r>
        <w:t xml:space="preserve"> and </w:t>
      </w:r>
      <w:r w:rsidRPr="004E7661">
        <w:t>the TGA (Consumer Medicines Information)</w:t>
      </w:r>
      <w:r>
        <w:t>.</w:t>
      </w:r>
    </w:p>
    <w:p w14:paraId="2A1AF38C" w14:textId="77777777" w:rsidR="00DF0B13" w:rsidRDefault="00DF0B13" w:rsidP="00CF5E22">
      <w:pPr>
        <w:pStyle w:val="Heading2"/>
      </w:pPr>
      <w:r w:rsidRPr="007247B9" w:rsidDel="00EE2BBB">
        <w:t>PBS listing details</w:t>
      </w:r>
      <w:r w:rsidR="00D151EB" w:rsidDel="00EE2BBB">
        <w:t xml:space="preserve"> (as at </w:t>
      </w:r>
      <w:r w:rsidR="0072584F">
        <w:t xml:space="preserve">December </w:t>
      </w:r>
      <w:r w:rsidR="00D816D6">
        <w:t>2020</w:t>
      </w:r>
      <w:r w:rsidR="00D151EB" w:rsidDel="00EE2BBB">
        <w:t>)</w:t>
      </w:r>
    </w:p>
    <w:p w14:paraId="66FDF914" w14:textId="77777777" w:rsidR="009168E4" w:rsidRPr="003519A2" w:rsidRDefault="00234F52" w:rsidP="00234F52">
      <w:pPr>
        <w:rPr>
          <w:rFonts w:cstheme="minorHAnsi"/>
        </w:rPr>
      </w:pPr>
      <w:r w:rsidRPr="003519A2">
        <w:rPr>
          <w:rFonts w:cstheme="minorHAnsi"/>
        </w:rPr>
        <w:t xml:space="preserve">Nusinersen has Authority Required listings. </w:t>
      </w:r>
      <w:r w:rsidR="009168E4" w:rsidRPr="003519A2">
        <w:rPr>
          <w:rFonts w:cstheme="minorHAnsi"/>
        </w:rPr>
        <w:t xml:space="preserve">Applications for authorisation of initial treatment must be </w:t>
      </w:r>
      <w:r w:rsidR="00715CEE">
        <w:rPr>
          <w:rFonts w:cstheme="minorHAnsi"/>
        </w:rPr>
        <w:t xml:space="preserve">made </w:t>
      </w:r>
      <w:r w:rsidR="009168E4" w:rsidRPr="003519A2">
        <w:rPr>
          <w:rFonts w:cstheme="minorHAnsi"/>
        </w:rPr>
        <w:t xml:space="preserve">in writing and can be submitted online to Services Australia through the Health Professional Online Services (HPOS). Applications for authorisation of </w:t>
      </w:r>
      <w:r w:rsidR="00622220" w:rsidRPr="003519A2">
        <w:rPr>
          <w:rFonts w:cstheme="minorHAnsi"/>
        </w:rPr>
        <w:t>continuing</w:t>
      </w:r>
      <w:r w:rsidR="009168E4" w:rsidRPr="003519A2">
        <w:rPr>
          <w:rFonts w:cstheme="minorHAnsi"/>
        </w:rPr>
        <w:t xml:space="preserve"> or maintenance treatment can be made via the Online PBS Authorities system or by telephone.</w:t>
      </w:r>
    </w:p>
    <w:p w14:paraId="38496F73" w14:textId="77777777" w:rsidR="00843805" w:rsidRPr="003519A2" w:rsidDel="00EE2BBB" w:rsidRDefault="003D689F" w:rsidP="00234F52">
      <w:pPr>
        <w:rPr>
          <w:rFonts w:cstheme="minorHAnsi"/>
        </w:rPr>
      </w:pPr>
      <w:r w:rsidRPr="003519A2">
        <w:rPr>
          <w:rFonts w:cstheme="minorHAnsi"/>
        </w:rPr>
        <w:t>No increase in the maximum quantity or number of units, or number of repeats, may be authorised.</w:t>
      </w:r>
    </w:p>
    <w:p w14:paraId="744559ED" w14:textId="77777777" w:rsidR="001420B3" w:rsidRPr="001420B3" w:rsidDel="00EE2BBB" w:rsidRDefault="00B13542" w:rsidP="00CF5E22">
      <w:pPr>
        <w:pStyle w:val="Tabletitle"/>
      </w:pPr>
      <w:r>
        <w:t>Table 2</w:t>
      </w:r>
      <w:r w:rsidR="001420B3" w:rsidRPr="001420B3" w:rsidDel="00EE2BBB">
        <w:t xml:space="preserve">: </w:t>
      </w:r>
      <w:r w:rsidR="009663B6" w:rsidDel="00EE2BBB">
        <w:t>PB</w:t>
      </w:r>
      <w:r w:rsidR="00D151EB" w:rsidDel="00EE2BBB">
        <w:t xml:space="preserve">S listing of </w:t>
      </w:r>
      <w:r w:rsidR="00EB4017">
        <w:t>nusinersen</w:t>
      </w:r>
    </w:p>
    <w:tbl>
      <w:tblPr>
        <w:tblStyle w:val="TableGrid"/>
        <w:tblW w:w="9064" w:type="dxa"/>
        <w:tblLayout w:type="fixed"/>
        <w:tblLook w:val="04A0" w:firstRow="1" w:lastRow="0" w:firstColumn="1" w:lastColumn="0" w:noHBand="0" w:noVBand="1"/>
        <w:tblCaption w:val="Table 2: PBS listing of nusinersen"/>
      </w:tblPr>
      <w:tblGrid>
        <w:gridCol w:w="1129"/>
        <w:gridCol w:w="3119"/>
        <w:gridCol w:w="992"/>
        <w:gridCol w:w="851"/>
        <w:gridCol w:w="1275"/>
        <w:gridCol w:w="1698"/>
      </w:tblGrid>
      <w:tr w:rsidR="0093111F" w:rsidRPr="00A35800" w:rsidDel="00EE2BBB" w14:paraId="72FFEF03" w14:textId="77777777" w:rsidTr="00B375BB">
        <w:trPr>
          <w:trHeight w:val="373"/>
          <w:tblHeader/>
        </w:trPr>
        <w:tc>
          <w:tcPr>
            <w:tcW w:w="1129" w:type="dxa"/>
            <w:shd w:val="clear" w:color="auto" w:fill="BFBFBF" w:themeFill="background1" w:themeFillShade="BF"/>
          </w:tcPr>
          <w:p w14:paraId="2397E06C" w14:textId="77777777" w:rsidR="0093111F" w:rsidRPr="00A35800" w:rsidDel="00EE2BBB" w:rsidRDefault="0093111F" w:rsidP="00A35800">
            <w:pPr>
              <w:pStyle w:val="Tableheading"/>
              <w:rPr>
                <w:sz w:val="20"/>
                <w:szCs w:val="20"/>
              </w:rPr>
            </w:pPr>
            <w:r w:rsidRPr="00A35800" w:rsidDel="00EE2BBB">
              <w:rPr>
                <w:sz w:val="20"/>
                <w:szCs w:val="20"/>
              </w:rPr>
              <w:t>Item</w:t>
            </w:r>
          </w:p>
        </w:tc>
        <w:tc>
          <w:tcPr>
            <w:tcW w:w="3119" w:type="dxa"/>
            <w:shd w:val="clear" w:color="auto" w:fill="BFBFBF" w:themeFill="background1" w:themeFillShade="BF"/>
          </w:tcPr>
          <w:p w14:paraId="14894483" w14:textId="77777777" w:rsidR="0093111F" w:rsidRPr="00A35800" w:rsidDel="00EE2BBB" w:rsidRDefault="0093111F" w:rsidP="00A35800">
            <w:pPr>
              <w:pStyle w:val="Tableheading"/>
              <w:rPr>
                <w:sz w:val="20"/>
                <w:szCs w:val="20"/>
              </w:rPr>
            </w:pPr>
            <w:r w:rsidRPr="00A35800" w:rsidDel="00EE2BBB">
              <w:rPr>
                <w:sz w:val="20"/>
                <w:szCs w:val="20"/>
              </w:rPr>
              <w:t>Name, form &amp; strength, pack size</w:t>
            </w:r>
          </w:p>
        </w:tc>
        <w:tc>
          <w:tcPr>
            <w:tcW w:w="992" w:type="dxa"/>
            <w:shd w:val="clear" w:color="auto" w:fill="BFBFBF" w:themeFill="background1" w:themeFillShade="BF"/>
          </w:tcPr>
          <w:p w14:paraId="71160EAF" w14:textId="77777777" w:rsidR="0093111F" w:rsidRPr="00A35800" w:rsidDel="00EE2BBB" w:rsidRDefault="0093111F" w:rsidP="00A35800">
            <w:pPr>
              <w:pStyle w:val="Tableheading"/>
              <w:rPr>
                <w:sz w:val="20"/>
                <w:szCs w:val="20"/>
              </w:rPr>
            </w:pPr>
            <w:r w:rsidRPr="00A35800" w:rsidDel="00EE2BBB">
              <w:rPr>
                <w:sz w:val="20"/>
                <w:szCs w:val="20"/>
              </w:rPr>
              <w:t>Max</w:t>
            </w:r>
            <w:r w:rsidR="00A13C60" w:rsidRPr="00A35800" w:rsidDel="00EE2BBB">
              <w:rPr>
                <w:sz w:val="20"/>
                <w:szCs w:val="20"/>
              </w:rPr>
              <w:t xml:space="preserve">. </w:t>
            </w:r>
            <w:r w:rsidRPr="00A35800" w:rsidDel="00EE2BBB">
              <w:rPr>
                <w:sz w:val="20"/>
                <w:szCs w:val="20"/>
              </w:rPr>
              <w:t xml:space="preserve">quant. </w:t>
            </w:r>
          </w:p>
        </w:tc>
        <w:tc>
          <w:tcPr>
            <w:tcW w:w="851" w:type="dxa"/>
            <w:shd w:val="clear" w:color="auto" w:fill="BFBFBF" w:themeFill="background1" w:themeFillShade="BF"/>
          </w:tcPr>
          <w:p w14:paraId="763E3925" w14:textId="77777777" w:rsidR="0093111F" w:rsidRPr="00A35800" w:rsidDel="00EE2BBB" w:rsidRDefault="0093111F" w:rsidP="00A35800">
            <w:pPr>
              <w:pStyle w:val="Tableheading"/>
              <w:rPr>
                <w:sz w:val="20"/>
                <w:szCs w:val="20"/>
              </w:rPr>
            </w:pPr>
            <w:r w:rsidRPr="00A35800" w:rsidDel="00EE2BBB">
              <w:rPr>
                <w:sz w:val="20"/>
                <w:szCs w:val="20"/>
              </w:rPr>
              <w:t xml:space="preserve">Rpts </w:t>
            </w:r>
          </w:p>
        </w:tc>
        <w:tc>
          <w:tcPr>
            <w:tcW w:w="1275" w:type="dxa"/>
            <w:shd w:val="clear" w:color="auto" w:fill="BFBFBF" w:themeFill="background1" w:themeFillShade="BF"/>
          </w:tcPr>
          <w:p w14:paraId="4C233E19" w14:textId="77777777" w:rsidR="0093111F" w:rsidRPr="00A35800" w:rsidDel="00EE2BBB" w:rsidRDefault="0093111F" w:rsidP="00A35800">
            <w:pPr>
              <w:pStyle w:val="Tableheading"/>
              <w:rPr>
                <w:sz w:val="20"/>
                <w:szCs w:val="20"/>
              </w:rPr>
            </w:pPr>
            <w:r w:rsidRPr="00A35800" w:rsidDel="00EE2BBB">
              <w:rPr>
                <w:sz w:val="20"/>
                <w:szCs w:val="20"/>
              </w:rPr>
              <w:t>DPMQ</w:t>
            </w:r>
          </w:p>
        </w:tc>
        <w:tc>
          <w:tcPr>
            <w:tcW w:w="1698" w:type="dxa"/>
            <w:shd w:val="clear" w:color="auto" w:fill="BFBFBF" w:themeFill="background1" w:themeFillShade="BF"/>
          </w:tcPr>
          <w:p w14:paraId="7F121015" w14:textId="77777777" w:rsidR="0093111F" w:rsidRPr="00A35800" w:rsidDel="00EE2BBB" w:rsidRDefault="0093111F" w:rsidP="00A35800">
            <w:pPr>
              <w:pStyle w:val="Tableheading"/>
              <w:rPr>
                <w:sz w:val="20"/>
                <w:szCs w:val="20"/>
              </w:rPr>
            </w:pPr>
            <w:r w:rsidRPr="00A35800" w:rsidDel="00EE2BBB">
              <w:rPr>
                <w:sz w:val="20"/>
                <w:szCs w:val="20"/>
              </w:rPr>
              <w:t>Brand name and manufacturer</w:t>
            </w:r>
          </w:p>
        </w:tc>
      </w:tr>
      <w:tr w:rsidR="0072584F" w:rsidRPr="00A35800" w:rsidDel="00EE2BBB" w14:paraId="0D62BD8C" w14:textId="77777777" w:rsidTr="00B375BB">
        <w:trPr>
          <w:trHeight w:val="552"/>
          <w:tblHeader/>
        </w:trPr>
        <w:tc>
          <w:tcPr>
            <w:tcW w:w="1129" w:type="dxa"/>
            <w:shd w:val="clear" w:color="auto" w:fill="auto"/>
          </w:tcPr>
          <w:p w14:paraId="5F8129D1" w14:textId="77777777" w:rsidR="0072584F" w:rsidRDefault="0072584F" w:rsidP="00A35800">
            <w:pPr>
              <w:pStyle w:val="Tablewriting"/>
            </w:pPr>
            <w:r>
              <w:t>11363C</w:t>
            </w:r>
          </w:p>
          <w:p w14:paraId="792E2E22" w14:textId="77777777" w:rsidR="0072584F" w:rsidRPr="00A35800" w:rsidDel="00EE2BBB" w:rsidRDefault="0072584F" w:rsidP="00A35800">
            <w:pPr>
              <w:pStyle w:val="Tablewriting"/>
            </w:pPr>
            <w:r>
              <w:t>S100 HSD Public</w:t>
            </w:r>
          </w:p>
        </w:tc>
        <w:tc>
          <w:tcPr>
            <w:tcW w:w="3119" w:type="dxa"/>
            <w:shd w:val="clear" w:color="auto" w:fill="auto"/>
          </w:tcPr>
          <w:p w14:paraId="7BACCE2D" w14:textId="77777777" w:rsidR="0072584F" w:rsidRPr="00A35800" w:rsidDel="00EE2BBB" w:rsidRDefault="0072584F" w:rsidP="00A35800">
            <w:pPr>
              <w:pStyle w:val="Tablewriting"/>
            </w:pPr>
            <w:r>
              <w:t>Nusinersen 12 mg/5 mL vial</w:t>
            </w:r>
          </w:p>
        </w:tc>
        <w:tc>
          <w:tcPr>
            <w:tcW w:w="992" w:type="dxa"/>
            <w:shd w:val="clear" w:color="auto" w:fill="auto"/>
          </w:tcPr>
          <w:p w14:paraId="2F6E900E" w14:textId="77777777" w:rsidR="0072584F" w:rsidRPr="00A35800" w:rsidDel="00EE2BBB" w:rsidRDefault="0072584F" w:rsidP="0072584F">
            <w:pPr>
              <w:pStyle w:val="Tablewriting"/>
              <w:jc w:val="center"/>
            </w:pPr>
            <w:r>
              <w:t>1</w:t>
            </w:r>
          </w:p>
        </w:tc>
        <w:tc>
          <w:tcPr>
            <w:tcW w:w="851" w:type="dxa"/>
            <w:shd w:val="clear" w:color="auto" w:fill="auto"/>
          </w:tcPr>
          <w:p w14:paraId="3F993EBB" w14:textId="77777777" w:rsidR="0072584F" w:rsidRPr="00A35800" w:rsidDel="00EE2BBB" w:rsidRDefault="0072584F" w:rsidP="0072584F">
            <w:pPr>
              <w:pStyle w:val="Tablewriting"/>
              <w:jc w:val="center"/>
            </w:pPr>
            <w:r>
              <w:t>3</w:t>
            </w:r>
          </w:p>
        </w:tc>
        <w:tc>
          <w:tcPr>
            <w:tcW w:w="1275" w:type="dxa"/>
            <w:shd w:val="clear" w:color="auto" w:fill="auto"/>
          </w:tcPr>
          <w:p w14:paraId="75085702" w14:textId="77777777" w:rsidR="0072584F" w:rsidRPr="00EB4017" w:rsidDel="00EE2BBB" w:rsidRDefault="0072584F" w:rsidP="00A35800">
            <w:pPr>
              <w:pStyle w:val="Tablewriting"/>
              <w:rPr>
                <w:rFonts w:cstheme="minorHAnsi"/>
              </w:rPr>
            </w:pPr>
            <w:r w:rsidRPr="00EB4017">
              <w:rPr>
                <w:rFonts w:cstheme="minorHAnsi"/>
                <w:color w:val="222222"/>
                <w:shd w:val="clear" w:color="auto" w:fill="FFFFFF"/>
              </w:rPr>
              <w:t>$110,000.00</w:t>
            </w:r>
          </w:p>
        </w:tc>
        <w:tc>
          <w:tcPr>
            <w:tcW w:w="1698" w:type="dxa"/>
            <w:vMerge w:val="restart"/>
            <w:shd w:val="clear" w:color="auto" w:fill="auto"/>
          </w:tcPr>
          <w:p w14:paraId="5BFEE814" w14:textId="77777777" w:rsidR="0072584F" w:rsidRDefault="0072584F" w:rsidP="00A35800">
            <w:pPr>
              <w:pStyle w:val="Tablewriting"/>
            </w:pPr>
            <w:r>
              <w:t xml:space="preserve">Spinraza </w:t>
            </w:r>
          </w:p>
          <w:p w14:paraId="5D1A26F3" w14:textId="77777777" w:rsidR="0072584F" w:rsidRPr="00A35800" w:rsidDel="00EE2BBB" w:rsidRDefault="0072584F" w:rsidP="00A35800">
            <w:pPr>
              <w:pStyle w:val="Tablewriting"/>
            </w:pPr>
            <w:r>
              <w:t xml:space="preserve">Biogen Australia Pty Ltd </w:t>
            </w:r>
          </w:p>
          <w:p w14:paraId="4F551064" w14:textId="77777777" w:rsidR="0072584F" w:rsidRPr="00A35800" w:rsidDel="00EE2BBB" w:rsidRDefault="0072584F" w:rsidP="00A32D94">
            <w:pPr>
              <w:pStyle w:val="Tablewriting"/>
            </w:pPr>
          </w:p>
        </w:tc>
      </w:tr>
      <w:tr w:rsidR="0072584F" w:rsidRPr="00A35800" w:rsidDel="00EE2BBB" w14:paraId="40749E64" w14:textId="77777777" w:rsidTr="00B375BB">
        <w:trPr>
          <w:trHeight w:val="546"/>
          <w:tblHeader/>
        </w:trPr>
        <w:tc>
          <w:tcPr>
            <w:tcW w:w="1129" w:type="dxa"/>
            <w:shd w:val="clear" w:color="auto" w:fill="auto"/>
          </w:tcPr>
          <w:p w14:paraId="200E68F2" w14:textId="77777777" w:rsidR="0072584F" w:rsidRDefault="0072584F" w:rsidP="00A35800">
            <w:pPr>
              <w:pStyle w:val="Tablewriting"/>
            </w:pPr>
            <w:r>
              <w:t>11378W</w:t>
            </w:r>
          </w:p>
          <w:p w14:paraId="63DCD185" w14:textId="77777777" w:rsidR="0072584F" w:rsidRDefault="0072584F" w:rsidP="00A35800">
            <w:pPr>
              <w:pStyle w:val="Tablewriting"/>
            </w:pPr>
            <w:r>
              <w:t>S100 HSD Public</w:t>
            </w:r>
          </w:p>
        </w:tc>
        <w:tc>
          <w:tcPr>
            <w:tcW w:w="3119" w:type="dxa"/>
            <w:shd w:val="clear" w:color="auto" w:fill="auto"/>
          </w:tcPr>
          <w:p w14:paraId="295ED1B4" w14:textId="77777777" w:rsidR="0072584F" w:rsidRPr="00A35800" w:rsidDel="00EE2BBB" w:rsidRDefault="0072584F" w:rsidP="00A35800">
            <w:pPr>
              <w:pStyle w:val="Tablewriting"/>
            </w:pPr>
            <w:r>
              <w:t>Nusinersen 12 mg/5 mL vial</w:t>
            </w:r>
          </w:p>
        </w:tc>
        <w:tc>
          <w:tcPr>
            <w:tcW w:w="992" w:type="dxa"/>
            <w:shd w:val="clear" w:color="auto" w:fill="auto"/>
          </w:tcPr>
          <w:p w14:paraId="359FBFEE" w14:textId="77777777" w:rsidR="0072584F" w:rsidRPr="00A35800" w:rsidDel="00EE2BBB" w:rsidRDefault="0072584F" w:rsidP="0072584F">
            <w:pPr>
              <w:pStyle w:val="Tablewriting"/>
              <w:jc w:val="center"/>
            </w:pPr>
            <w:r>
              <w:t>1</w:t>
            </w:r>
          </w:p>
        </w:tc>
        <w:tc>
          <w:tcPr>
            <w:tcW w:w="851" w:type="dxa"/>
            <w:shd w:val="clear" w:color="auto" w:fill="auto"/>
          </w:tcPr>
          <w:p w14:paraId="4C92E99F" w14:textId="77777777" w:rsidR="0072584F" w:rsidRPr="00A35800" w:rsidDel="00EE2BBB" w:rsidRDefault="0072584F" w:rsidP="0072584F">
            <w:pPr>
              <w:pStyle w:val="Tablewriting"/>
              <w:jc w:val="center"/>
            </w:pPr>
            <w:r>
              <w:t>0</w:t>
            </w:r>
          </w:p>
        </w:tc>
        <w:tc>
          <w:tcPr>
            <w:tcW w:w="1275" w:type="dxa"/>
            <w:shd w:val="clear" w:color="auto" w:fill="auto"/>
          </w:tcPr>
          <w:p w14:paraId="3B1962A3" w14:textId="77777777" w:rsidR="0072584F" w:rsidRPr="00EB4017" w:rsidDel="00EE2BBB" w:rsidRDefault="0072584F" w:rsidP="00A35800">
            <w:pPr>
              <w:pStyle w:val="Tablewriting"/>
              <w:rPr>
                <w:rFonts w:cstheme="minorHAnsi"/>
              </w:rPr>
            </w:pPr>
            <w:r w:rsidRPr="00EB4017">
              <w:rPr>
                <w:rFonts w:cstheme="minorHAnsi"/>
                <w:color w:val="222222"/>
                <w:shd w:val="clear" w:color="auto" w:fill="FFFFFF"/>
              </w:rPr>
              <w:t>$110,000.00</w:t>
            </w:r>
          </w:p>
        </w:tc>
        <w:tc>
          <w:tcPr>
            <w:tcW w:w="1698" w:type="dxa"/>
            <w:vMerge/>
            <w:shd w:val="clear" w:color="auto" w:fill="auto"/>
          </w:tcPr>
          <w:p w14:paraId="57E9D3F1" w14:textId="77777777" w:rsidR="0072584F" w:rsidRPr="00A35800" w:rsidDel="00EE2BBB" w:rsidRDefault="0072584F" w:rsidP="00A32D94">
            <w:pPr>
              <w:pStyle w:val="Tablewriting"/>
            </w:pPr>
          </w:p>
        </w:tc>
      </w:tr>
      <w:tr w:rsidR="0072584F" w:rsidRPr="00A35800" w:rsidDel="00EE2BBB" w14:paraId="0D171185" w14:textId="77777777" w:rsidTr="00B375BB">
        <w:trPr>
          <w:trHeight w:val="546"/>
          <w:tblHeader/>
        </w:trPr>
        <w:tc>
          <w:tcPr>
            <w:tcW w:w="1129" w:type="dxa"/>
            <w:shd w:val="clear" w:color="auto" w:fill="auto"/>
          </w:tcPr>
          <w:p w14:paraId="54ED3400" w14:textId="77777777" w:rsidR="0072584F" w:rsidRDefault="0072584F" w:rsidP="00A35800">
            <w:pPr>
              <w:pStyle w:val="Tablewriting"/>
            </w:pPr>
            <w:r>
              <w:t>11472T</w:t>
            </w:r>
          </w:p>
          <w:p w14:paraId="2AF0BD64" w14:textId="77777777" w:rsidR="0072584F" w:rsidRDefault="0072584F" w:rsidP="00A35800">
            <w:pPr>
              <w:pStyle w:val="Tablewriting"/>
            </w:pPr>
            <w:r>
              <w:t xml:space="preserve">S100 HSD Private </w:t>
            </w:r>
          </w:p>
        </w:tc>
        <w:tc>
          <w:tcPr>
            <w:tcW w:w="3119" w:type="dxa"/>
            <w:shd w:val="clear" w:color="auto" w:fill="auto"/>
          </w:tcPr>
          <w:p w14:paraId="709E738D" w14:textId="77777777" w:rsidR="0072584F" w:rsidRDefault="0072584F" w:rsidP="00A35800">
            <w:pPr>
              <w:pStyle w:val="Tablewriting"/>
            </w:pPr>
            <w:r>
              <w:t xml:space="preserve">Nusinersen 12 mg/5mL vial </w:t>
            </w:r>
          </w:p>
        </w:tc>
        <w:tc>
          <w:tcPr>
            <w:tcW w:w="992" w:type="dxa"/>
            <w:shd w:val="clear" w:color="auto" w:fill="auto"/>
          </w:tcPr>
          <w:p w14:paraId="09C3DA58" w14:textId="77777777" w:rsidR="0072584F" w:rsidRDefault="0072584F" w:rsidP="0072584F">
            <w:pPr>
              <w:pStyle w:val="Tablewriting"/>
              <w:jc w:val="center"/>
            </w:pPr>
            <w:r>
              <w:t>1</w:t>
            </w:r>
          </w:p>
        </w:tc>
        <w:tc>
          <w:tcPr>
            <w:tcW w:w="851" w:type="dxa"/>
            <w:shd w:val="clear" w:color="auto" w:fill="auto"/>
          </w:tcPr>
          <w:p w14:paraId="399C07A9" w14:textId="77777777" w:rsidR="0072584F" w:rsidRDefault="0072584F" w:rsidP="0072584F">
            <w:pPr>
              <w:pStyle w:val="Tablewriting"/>
              <w:jc w:val="center"/>
            </w:pPr>
            <w:r>
              <w:t>3</w:t>
            </w:r>
          </w:p>
        </w:tc>
        <w:tc>
          <w:tcPr>
            <w:tcW w:w="1275" w:type="dxa"/>
            <w:shd w:val="clear" w:color="auto" w:fill="auto"/>
          </w:tcPr>
          <w:p w14:paraId="31DE9FE2" w14:textId="77777777" w:rsidR="0072584F" w:rsidRPr="00A32D94" w:rsidRDefault="0072584F" w:rsidP="00A35800">
            <w:pPr>
              <w:pStyle w:val="Tablewriting"/>
              <w:rPr>
                <w:rFonts w:cstheme="minorHAnsi"/>
                <w:color w:val="222222"/>
                <w:shd w:val="clear" w:color="auto" w:fill="FFFFFF"/>
              </w:rPr>
            </w:pPr>
            <w:r w:rsidRPr="00A32D94">
              <w:rPr>
                <w:rFonts w:cstheme="minorHAnsi"/>
                <w:color w:val="222222"/>
                <w:shd w:val="clear" w:color="auto" w:fill="FFFFFF"/>
              </w:rPr>
              <w:t>$110</w:t>
            </w:r>
            <w:r>
              <w:rPr>
                <w:rFonts w:cstheme="minorHAnsi"/>
                <w:color w:val="222222"/>
                <w:shd w:val="clear" w:color="auto" w:fill="FFFFFF"/>
              </w:rPr>
              <w:t>,</w:t>
            </w:r>
            <w:r w:rsidRPr="00A32D94">
              <w:rPr>
                <w:rFonts w:cstheme="minorHAnsi"/>
                <w:color w:val="222222"/>
                <w:shd w:val="clear" w:color="auto" w:fill="FFFFFF"/>
              </w:rPr>
              <w:t>047.74</w:t>
            </w:r>
          </w:p>
        </w:tc>
        <w:tc>
          <w:tcPr>
            <w:tcW w:w="1698" w:type="dxa"/>
            <w:vMerge/>
            <w:shd w:val="clear" w:color="auto" w:fill="auto"/>
          </w:tcPr>
          <w:p w14:paraId="44A87180" w14:textId="77777777" w:rsidR="0072584F" w:rsidRDefault="0072584F" w:rsidP="00A32D94">
            <w:pPr>
              <w:pStyle w:val="Tablewriting"/>
            </w:pPr>
          </w:p>
        </w:tc>
      </w:tr>
      <w:tr w:rsidR="0072584F" w:rsidRPr="00A35800" w:rsidDel="00EE2BBB" w14:paraId="3D4DD073" w14:textId="77777777" w:rsidTr="00B375BB">
        <w:trPr>
          <w:trHeight w:val="546"/>
          <w:tblHeader/>
        </w:trPr>
        <w:tc>
          <w:tcPr>
            <w:tcW w:w="1129" w:type="dxa"/>
            <w:shd w:val="clear" w:color="auto" w:fill="auto"/>
          </w:tcPr>
          <w:p w14:paraId="4907E2DF" w14:textId="77777777" w:rsidR="0072584F" w:rsidRDefault="0072584F" w:rsidP="00A32D94">
            <w:pPr>
              <w:pStyle w:val="Tablewriting"/>
            </w:pPr>
            <w:r>
              <w:t>11476B</w:t>
            </w:r>
          </w:p>
          <w:p w14:paraId="4E9770C2" w14:textId="77777777" w:rsidR="0072584F" w:rsidRDefault="0072584F" w:rsidP="00A32D94">
            <w:pPr>
              <w:pStyle w:val="Tablewriting"/>
            </w:pPr>
            <w:r>
              <w:t xml:space="preserve">S100 HSD Private </w:t>
            </w:r>
          </w:p>
        </w:tc>
        <w:tc>
          <w:tcPr>
            <w:tcW w:w="3119" w:type="dxa"/>
            <w:shd w:val="clear" w:color="auto" w:fill="auto"/>
          </w:tcPr>
          <w:p w14:paraId="22CDA3F6" w14:textId="77777777" w:rsidR="0072584F" w:rsidRDefault="0072584F" w:rsidP="00A32D94">
            <w:pPr>
              <w:pStyle w:val="Tablewriting"/>
            </w:pPr>
            <w:r>
              <w:t>Nusinersen 12 mg/5 mL vial</w:t>
            </w:r>
          </w:p>
        </w:tc>
        <w:tc>
          <w:tcPr>
            <w:tcW w:w="992" w:type="dxa"/>
            <w:shd w:val="clear" w:color="auto" w:fill="auto"/>
          </w:tcPr>
          <w:p w14:paraId="4617D3E8" w14:textId="77777777" w:rsidR="0072584F" w:rsidRDefault="0072584F" w:rsidP="0072584F">
            <w:pPr>
              <w:pStyle w:val="Tablewriting"/>
              <w:jc w:val="center"/>
            </w:pPr>
            <w:r>
              <w:t>1</w:t>
            </w:r>
          </w:p>
        </w:tc>
        <w:tc>
          <w:tcPr>
            <w:tcW w:w="851" w:type="dxa"/>
            <w:shd w:val="clear" w:color="auto" w:fill="auto"/>
          </w:tcPr>
          <w:p w14:paraId="1B294652" w14:textId="77777777" w:rsidR="0072584F" w:rsidRDefault="0072584F" w:rsidP="0072584F">
            <w:pPr>
              <w:pStyle w:val="Tablewriting"/>
              <w:jc w:val="center"/>
            </w:pPr>
            <w:r>
              <w:t>0</w:t>
            </w:r>
          </w:p>
        </w:tc>
        <w:tc>
          <w:tcPr>
            <w:tcW w:w="1275" w:type="dxa"/>
            <w:shd w:val="clear" w:color="auto" w:fill="auto"/>
          </w:tcPr>
          <w:p w14:paraId="197B85DE" w14:textId="77777777" w:rsidR="0072584F" w:rsidRPr="00A32D94" w:rsidRDefault="0072584F" w:rsidP="00A32D94">
            <w:pPr>
              <w:pStyle w:val="Tablewriting"/>
              <w:rPr>
                <w:rFonts w:cstheme="minorHAnsi"/>
                <w:color w:val="222222"/>
                <w:shd w:val="clear" w:color="auto" w:fill="FFFFFF"/>
              </w:rPr>
            </w:pPr>
            <w:r w:rsidRPr="00A32D94">
              <w:rPr>
                <w:rFonts w:cstheme="minorHAnsi"/>
                <w:color w:val="222222"/>
                <w:shd w:val="clear" w:color="auto" w:fill="FFFFFF"/>
              </w:rPr>
              <w:t>$110</w:t>
            </w:r>
            <w:r>
              <w:rPr>
                <w:rFonts w:cstheme="minorHAnsi"/>
                <w:color w:val="222222"/>
                <w:shd w:val="clear" w:color="auto" w:fill="FFFFFF"/>
              </w:rPr>
              <w:t>,</w:t>
            </w:r>
            <w:r w:rsidRPr="00A32D94">
              <w:rPr>
                <w:rFonts w:cstheme="minorHAnsi"/>
                <w:color w:val="222222"/>
                <w:shd w:val="clear" w:color="auto" w:fill="FFFFFF"/>
              </w:rPr>
              <w:t>047.74</w:t>
            </w:r>
          </w:p>
        </w:tc>
        <w:tc>
          <w:tcPr>
            <w:tcW w:w="1698" w:type="dxa"/>
            <w:vMerge/>
            <w:shd w:val="clear" w:color="auto" w:fill="auto"/>
          </w:tcPr>
          <w:p w14:paraId="32CB5377" w14:textId="77777777" w:rsidR="0072584F" w:rsidRDefault="0072584F" w:rsidP="00A32D94">
            <w:pPr>
              <w:pStyle w:val="Tablewriting"/>
            </w:pPr>
          </w:p>
        </w:tc>
      </w:tr>
      <w:tr w:rsidR="0072584F" w:rsidRPr="00A35800" w:rsidDel="00EE2BBB" w14:paraId="0D02B013" w14:textId="77777777" w:rsidTr="00B375BB">
        <w:trPr>
          <w:trHeight w:val="546"/>
          <w:tblHeader/>
        </w:trPr>
        <w:tc>
          <w:tcPr>
            <w:tcW w:w="1129" w:type="dxa"/>
            <w:shd w:val="clear" w:color="auto" w:fill="auto"/>
          </w:tcPr>
          <w:p w14:paraId="6D42ABE8" w14:textId="77777777" w:rsidR="0072584F" w:rsidRDefault="0072584F" w:rsidP="00A32D94">
            <w:pPr>
              <w:pStyle w:val="Tablewriting"/>
            </w:pPr>
            <w:r>
              <w:t>12176W</w:t>
            </w:r>
          </w:p>
          <w:p w14:paraId="31C9E535" w14:textId="77777777" w:rsidR="0072584F" w:rsidRDefault="0072584F" w:rsidP="00A32D94">
            <w:pPr>
              <w:pStyle w:val="Tablewriting"/>
            </w:pPr>
            <w:r>
              <w:t xml:space="preserve">S100 HSD </w:t>
            </w:r>
          </w:p>
          <w:p w14:paraId="296AFAE5" w14:textId="77777777" w:rsidR="0072584F" w:rsidRDefault="0072584F" w:rsidP="00A32D94">
            <w:pPr>
              <w:pStyle w:val="Tablewriting"/>
            </w:pPr>
            <w:r>
              <w:t xml:space="preserve">Private </w:t>
            </w:r>
          </w:p>
        </w:tc>
        <w:tc>
          <w:tcPr>
            <w:tcW w:w="3119" w:type="dxa"/>
            <w:shd w:val="clear" w:color="auto" w:fill="auto"/>
          </w:tcPr>
          <w:p w14:paraId="0827F877" w14:textId="77777777" w:rsidR="0072584F" w:rsidRDefault="0072584F" w:rsidP="00A32D94">
            <w:pPr>
              <w:pStyle w:val="Tablewriting"/>
            </w:pPr>
            <w:r>
              <w:t xml:space="preserve">Nusinersen 12 mg/ 5 mL vial </w:t>
            </w:r>
          </w:p>
        </w:tc>
        <w:tc>
          <w:tcPr>
            <w:tcW w:w="992" w:type="dxa"/>
            <w:shd w:val="clear" w:color="auto" w:fill="auto"/>
          </w:tcPr>
          <w:p w14:paraId="00739579" w14:textId="77777777" w:rsidR="0072584F" w:rsidRDefault="0072584F" w:rsidP="0072584F">
            <w:pPr>
              <w:pStyle w:val="Tablewriting"/>
              <w:jc w:val="center"/>
            </w:pPr>
            <w:r>
              <w:t>1</w:t>
            </w:r>
          </w:p>
        </w:tc>
        <w:tc>
          <w:tcPr>
            <w:tcW w:w="851" w:type="dxa"/>
            <w:shd w:val="clear" w:color="auto" w:fill="auto"/>
          </w:tcPr>
          <w:p w14:paraId="6D39E4D2" w14:textId="77777777" w:rsidR="0072584F" w:rsidRDefault="0072584F" w:rsidP="0072584F">
            <w:pPr>
              <w:pStyle w:val="Tablewriting"/>
              <w:jc w:val="center"/>
            </w:pPr>
            <w:r>
              <w:t>3</w:t>
            </w:r>
          </w:p>
        </w:tc>
        <w:tc>
          <w:tcPr>
            <w:tcW w:w="1275" w:type="dxa"/>
            <w:shd w:val="clear" w:color="auto" w:fill="auto"/>
          </w:tcPr>
          <w:p w14:paraId="610C5063" w14:textId="77777777" w:rsidR="0072584F" w:rsidRPr="00A32D94" w:rsidRDefault="0072584F" w:rsidP="00A32D94">
            <w:pPr>
              <w:pStyle w:val="Tablewriting"/>
              <w:rPr>
                <w:rFonts w:cstheme="minorHAnsi"/>
                <w:color w:val="222222"/>
                <w:shd w:val="clear" w:color="auto" w:fill="FFFFFF"/>
              </w:rPr>
            </w:pPr>
            <w:r w:rsidRPr="00A32D94">
              <w:rPr>
                <w:rFonts w:cstheme="minorHAnsi"/>
                <w:color w:val="222222"/>
                <w:shd w:val="clear" w:color="auto" w:fill="FFFFFF"/>
              </w:rPr>
              <w:t>$110</w:t>
            </w:r>
            <w:r>
              <w:rPr>
                <w:rFonts w:cstheme="minorHAnsi"/>
                <w:color w:val="222222"/>
                <w:shd w:val="clear" w:color="auto" w:fill="FFFFFF"/>
              </w:rPr>
              <w:t>,</w:t>
            </w:r>
            <w:r w:rsidRPr="00A32D94">
              <w:rPr>
                <w:rFonts w:cstheme="minorHAnsi"/>
                <w:color w:val="222222"/>
                <w:shd w:val="clear" w:color="auto" w:fill="FFFFFF"/>
              </w:rPr>
              <w:t>047.74</w:t>
            </w:r>
          </w:p>
        </w:tc>
        <w:tc>
          <w:tcPr>
            <w:tcW w:w="1698" w:type="dxa"/>
            <w:vMerge/>
            <w:shd w:val="clear" w:color="auto" w:fill="auto"/>
          </w:tcPr>
          <w:p w14:paraId="3074D456" w14:textId="77777777" w:rsidR="0072584F" w:rsidRDefault="0072584F" w:rsidP="00A32D94">
            <w:pPr>
              <w:pStyle w:val="Tablewriting"/>
            </w:pPr>
          </w:p>
        </w:tc>
      </w:tr>
      <w:tr w:rsidR="0072584F" w:rsidRPr="00A35800" w:rsidDel="00EE2BBB" w14:paraId="009D2687" w14:textId="77777777" w:rsidTr="00B375BB">
        <w:trPr>
          <w:trHeight w:val="546"/>
          <w:tblHeader/>
        </w:trPr>
        <w:tc>
          <w:tcPr>
            <w:tcW w:w="1129" w:type="dxa"/>
            <w:shd w:val="clear" w:color="auto" w:fill="auto"/>
          </w:tcPr>
          <w:p w14:paraId="3B2991A9" w14:textId="77777777" w:rsidR="0072584F" w:rsidRDefault="0072584F" w:rsidP="00A32D94">
            <w:pPr>
              <w:pStyle w:val="Tablewriting"/>
            </w:pPr>
            <w:r>
              <w:t>12177X</w:t>
            </w:r>
          </w:p>
          <w:p w14:paraId="44C5C22E" w14:textId="77777777" w:rsidR="0072584F" w:rsidRDefault="0072584F" w:rsidP="0072584F">
            <w:pPr>
              <w:pStyle w:val="Tablewriting"/>
            </w:pPr>
            <w:r>
              <w:t xml:space="preserve">S100 HSD Public  </w:t>
            </w:r>
          </w:p>
        </w:tc>
        <w:tc>
          <w:tcPr>
            <w:tcW w:w="3119" w:type="dxa"/>
            <w:shd w:val="clear" w:color="auto" w:fill="auto"/>
          </w:tcPr>
          <w:p w14:paraId="71B74AFB" w14:textId="77777777" w:rsidR="0072584F" w:rsidRDefault="0072584F" w:rsidP="00A32D94">
            <w:pPr>
              <w:pStyle w:val="Tablewriting"/>
            </w:pPr>
            <w:r>
              <w:t xml:space="preserve">Nusinersen 12 mg/5 mL vial </w:t>
            </w:r>
          </w:p>
        </w:tc>
        <w:tc>
          <w:tcPr>
            <w:tcW w:w="992" w:type="dxa"/>
            <w:shd w:val="clear" w:color="auto" w:fill="auto"/>
          </w:tcPr>
          <w:p w14:paraId="1FC46B15" w14:textId="77777777" w:rsidR="0072584F" w:rsidRDefault="0072584F" w:rsidP="0072584F">
            <w:pPr>
              <w:pStyle w:val="Tablewriting"/>
              <w:jc w:val="center"/>
            </w:pPr>
            <w:r>
              <w:t>1</w:t>
            </w:r>
          </w:p>
        </w:tc>
        <w:tc>
          <w:tcPr>
            <w:tcW w:w="851" w:type="dxa"/>
            <w:shd w:val="clear" w:color="auto" w:fill="auto"/>
          </w:tcPr>
          <w:p w14:paraId="4D4CCDAF" w14:textId="77777777" w:rsidR="0072584F" w:rsidRDefault="0072584F" w:rsidP="0072584F">
            <w:pPr>
              <w:pStyle w:val="Tablewriting"/>
              <w:jc w:val="center"/>
            </w:pPr>
            <w:r>
              <w:t>3</w:t>
            </w:r>
          </w:p>
        </w:tc>
        <w:tc>
          <w:tcPr>
            <w:tcW w:w="1275" w:type="dxa"/>
            <w:shd w:val="clear" w:color="auto" w:fill="auto"/>
          </w:tcPr>
          <w:p w14:paraId="167B903D" w14:textId="77777777" w:rsidR="0072584F" w:rsidRPr="00A32D94" w:rsidRDefault="0072584F" w:rsidP="00A32D94">
            <w:pPr>
              <w:pStyle w:val="Tablewriting"/>
              <w:rPr>
                <w:rFonts w:cstheme="minorHAnsi"/>
                <w:color w:val="222222"/>
                <w:shd w:val="clear" w:color="auto" w:fill="FFFFFF"/>
              </w:rPr>
            </w:pPr>
            <w:r w:rsidRPr="00EB4017">
              <w:rPr>
                <w:rFonts w:cstheme="minorHAnsi"/>
                <w:color w:val="222222"/>
                <w:shd w:val="clear" w:color="auto" w:fill="FFFFFF"/>
              </w:rPr>
              <w:t>$110,000.00</w:t>
            </w:r>
          </w:p>
        </w:tc>
        <w:tc>
          <w:tcPr>
            <w:tcW w:w="1698" w:type="dxa"/>
            <w:vMerge/>
            <w:shd w:val="clear" w:color="auto" w:fill="auto"/>
          </w:tcPr>
          <w:p w14:paraId="1D592996" w14:textId="77777777" w:rsidR="0072584F" w:rsidRDefault="0072584F" w:rsidP="00A32D94">
            <w:pPr>
              <w:pStyle w:val="Tablewriting"/>
            </w:pPr>
          </w:p>
        </w:tc>
      </w:tr>
    </w:tbl>
    <w:p w14:paraId="27DBC403" w14:textId="77777777" w:rsidR="00234F52" w:rsidRDefault="003D689F" w:rsidP="00B47873">
      <w:pPr>
        <w:pStyle w:val="Notes"/>
        <w:spacing w:after="0"/>
      </w:pPr>
      <w:r w:rsidRPr="00A35800" w:rsidDel="00EE2BBB">
        <w:t xml:space="preserve">Source: </w:t>
      </w:r>
      <w:r w:rsidDel="00EE2BBB">
        <w:t xml:space="preserve">the </w:t>
      </w:r>
      <w:r w:rsidRPr="004E7661" w:rsidDel="00EE2BBB">
        <w:t>PBS website</w:t>
      </w:r>
      <w:r>
        <w:t xml:space="preserve">. </w:t>
      </w:r>
    </w:p>
    <w:p w14:paraId="34FB7F0F" w14:textId="77777777" w:rsidR="00234F52" w:rsidRDefault="003D689F" w:rsidP="00B47873">
      <w:pPr>
        <w:pStyle w:val="Notes"/>
        <w:spacing w:after="0"/>
      </w:pPr>
      <w:r>
        <w:t xml:space="preserve">Note: Special Pricing Arrangements apply. </w:t>
      </w:r>
    </w:p>
    <w:p w14:paraId="2F462ADE" w14:textId="77777777" w:rsidR="00757049" w:rsidRPr="00757049" w:rsidRDefault="004C3186" w:rsidP="00DD6B6D">
      <w:pPr>
        <w:pStyle w:val="Heading3"/>
        <w:keepNext/>
        <w:widowControl w:val="0"/>
      </w:pPr>
      <w:r w:rsidDel="00EE2BBB">
        <w:lastRenderedPageBreak/>
        <w:t>Restriction</w:t>
      </w:r>
      <w:r w:rsidR="00343290">
        <w:t xml:space="preserve"> </w:t>
      </w:r>
      <w:r w:rsidR="006C3067">
        <w:t>(Abridged)</w:t>
      </w:r>
    </w:p>
    <w:p w14:paraId="31E762A0" w14:textId="77777777" w:rsidR="000815BB" w:rsidRPr="000815BB" w:rsidRDefault="000815BB" w:rsidP="00DD6B6D">
      <w:pPr>
        <w:pStyle w:val="NormalWeb"/>
        <w:keepNext/>
        <w:widowControl w:val="0"/>
        <w:shd w:val="clear" w:color="auto" w:fill="FFFFFF"/>
        <w:spacing w:before="240" w:beforeAutospacing="0" w:after="0" w:afterAutospacing="0" w:line="300" w:lineRule="atLeast"/>
        <w:rPr>
          <w:rFonts w:asciiTheme="minorHAnsi" w:hAnsiTheme="minorHAnsi" w:cstheme="minorHAnsi"/>
          <w:color w:val="222222"/>
          <w:szCs w:val="20"/>
        </w:rPr>
      </w:pPr>
      <w:r>
        <w:rPr>
          <w:rFonts w:asciiTheme="minorHAnsi" w:hAnsiTheme="minorHAnsi" w:cstheme="minorHAnsi"/>
          <w:color w:val="222222"/>
          <w:szCs w:val="20"/>
        </w:rPr>
        <w:t xml:space="preserve">The full restriction can be found in Appendix A. </w:t>
      </w:r>
    </w:p>
    <w:tbl>
      <w:tblPr>
        <w:tblStyle w:val="TableGrid"/>
        <w:tblW w:w="0" w:type="auto"/>
        <w:tblLook w:val="04A0" w:firstRow="1" w:lastRow="0" w:firstColumn="1" w:lastColumn="0" w:noHBand="0" w:noVBand="1"/>
        <w:tblCaption w:val="Restriction (Abridged)"/>
      </w:tblPr>
      <w:tblGrid>
        <w:gridCol w:w="3114"/>
        <w:gridCol w:w="3260"/>
        <w:gridCol w:w="2542"/>
      </w:tblGrid>
      <w:tr w:rsidR="00383DAE" w:rsidRPr="00383DAE" w14:paraId="391459C4" w14:textId="77777777" w:rsidTr="00F91DF0">
        <w:trPr>
          <w:trHeight w:val="220"/>
          <w:tblHeader/>
        </w:trPr>
        <w:tc>
          <w:tcPr>
            <w:tcW w:w="3114" w:type="dxa"/>
            <w:shd w:val="clear" w:color="auto" w:fill="BFBFBF" w:themeFill="background1" w:themeFillShade="BF"/>
          </w:tcPr>
          <w:p w14:paraId="14BF5966" w14:textId="77777777" w:rsidR="00383DAE" w:rsidRPr="00527D4F" w:rsidRDefault="00383DAE" w:rsidP="00DD6B6D">
            <w:pPr>
              <w:keepNext/>
              <w:widowControl w:val="0"/>
              <w:rPr>
                <w:b/>
                <w:sz w:val="20"/>
                <w:szCs w:val="20"/>
              </w:rPr>
            </w:pPr>
            <w:r w:rsidRPr="00527D4F">
              <w:rPr>
                <w:b/>
                <w:sz w:val="20"/>
                <w:szCs w:val="20"/>
              </w:rPr>
              <w:t xml:space="preserve">Treatment criteria </w:t>
            </w:r>
          </w:p>
        </w:tc>
        <w:tc>
          <w:tcPr>
            <w:tcW w:w="3260" w:type="dxa"/>
            <w:shd w:val="clear" w:color="auto" w:fill="BFBFBF" w:themeFill="background1" w:themeFillShade="BF"/>
          </w:tcPr>
          <w:p w14:paraId="0BD561E8" w14:textId="77777777" w:rsidR="00383DAE" w:rsidRPr="00527D4F" w:rsidRDefault="00383DAE" w:rsidP="00DD6B6D">
            <w:pPr>
              <w:keepNext/>
              <w:widowControl w:val="0"/>
              <w:rPr>
                <w:b/>
                <w:sz w:val="20"/>
                <w:szCs w:val="20"/>
              </w:rPr>
            </w:pPr>
            <w:r w:rsidRPr="00527D4F">
              <w:rPr>
                <w:b/>
                <w:sz w:val="20"/>
                <w:szCs w:val="20"/>
              </w:rPr>
              <w:t xml:space="preserve">Clinical criteria </w:t>
            </w:r>
          </w:p>
        </w:tc>
        <w:tc>
          <w:tcPr>
            <w:tcW w:w="2542" w:type="dxa"/>
            <w:shd w:val="clear" w:color="auto" w:fill="BFBFBF" w:themeFill="background1" w:themeFillShade="BF"/>
          </w:tcPr>
          <w:p w14:paraId="1419B3D3" w14:textId="77777777" w:rsidR="00383DAE" w:rsidRPr="00527D4F" w:rsidRDefault="00383DAE" w:rsidP="00DD6B6D">
            <w:pPr>
              <w:keepNext/>
              <w:widowControl w:val="0"/>
              <w:rPr>
                <w:b/>
                <w:sz w:val="20"/>
                <w:szCs w:val="20"/>
              </w:rPr>
            </w:pPr>
            <w:r w:rsidRPr="00527D4F">
              <w:rPr>
                <w:b/>
                <w:sz w:val="20"/>
                <w:szCs w:val="20"/>
              </w:rPr>
              <w:t xml:space="preserve">Population criteria </w:t>
            </w:r>
          </w:p>
        </w:tc>
      </w:tr>
      <w:tr w:rsidR="00383DAE" w:rsidRPr="00383DAE" w14:paraId="7A9168E4" w14:textId="77777777" w:rsidTr="00E93E7C">
        <w:trPr>
          <w:trHeight w:val="54"/>
        </w:trPr>
        <w:tc>
          <w:tcPr>
            <w:tcW w:w="8916" w:type="dxa"/>
            <w:gridSpan w:val="3"/>
          </w:tcPr>
          <w:p w14:paraId="5CC4878F" w14:textId="77777777" w:rsidR="00383DAE" w:rsidRPr="00527D4F" w:rsidRDefault="009E0620" w:rsidP="00DD6B6D">
            <w:pPr>
              <w:keepNext/>
              <w:widowControl w:val="0"/>
              <w:rPr>
                <w:b/>
                <w:sz w:val="20"/>
                <w:szCs w:val="20"/>
              </w:rPr>
            </w:pPr>
            <w:r>
              <w:rPr>
                <w:b/>
                <w:sz w:val="20"/>
                <w:szCs w:val="20"/>
              </w:rPr>
              <w:t>Initial treatment: L</w:t>
            </w:r>
            <w:r w:rsidR="00383DAE" w:rsidRPr="00527D4F">
              <w:rPr>
                <w:b/>
                <w:sz w:val="20"/>
                <w:szCs w:val="20"/>
              </w:rPr>
              <w:t xml:space="preserve">oading dose </w:t>
            </w:r>
          </w:p>
        </w:tc>
      </w:tr>
      <w:tr w:rsidR="00383DAE" w:rsidRPr="00383DAE" w14:paraId="396B7022" w14:textId="77777777" w:rsidTr="000B2F78">
        <w:trPr>
          <w:trHeight w:val="4466"/>
        </w:trPr>
        <w:tc>
          <w:tcPr>
            <w:tcW w:w="3114" w:type="dxa"/>
          </w:tcPr>
          <w:p w14:paraId="3771DAE8" w14:textId="77777777" w:rsidR="00383DAE" w:rsidRPr="00383DAE" w:rsidRDefault="00383DAE" w:rsidP="000B2F78">
            <w:pPr>
              <w:pStyle w:val="NormalWeb"/>
              <w:keepNext/>
              <w:widowControl w:val="0"/>
              <w:shd w:val="clear" w:color="auto" w:fill="FFFFFF"/>
              <w:spacing w:before="60" w:beforeAutospacing="0" w:after="0" w:afterAutospacing="0"/>
              <w:rPr>
                <w:rFonts w:asciiTheme="minorHAnsi" w:hAnsiTheme="minorHAnsi" w:cstheme="minorHAnsi"/>
                <w:color w:val="222222"/>
                <w:sz w:val="20"/>
                <w:szCs w:val="20"/>
              </w:rPr>
            </w:pPr>
            <w:r w:rsidRPr="00383DAE">
              <w:rPr>
                <w:rFonts w:asciiTheme="minorHAnsi" w:hAnsiTheme="minorHAnsi" w:cstheme="minorHAnsi"/>
                <w:color w:val="222222"/>
                <w:sz w:val="20"/>
                <w:szCs w:val="20"/>
              </w:rPr>
              <w:t>Must be treated by a specialist medical practitioner experienced in the diagnosis and management of SMA associated with a neuromuscular clinic of a recognised hospital in the management of SMA; or in consultation with a specialist medical practitioner experienced in the diagnosis and management of SMA associated with a neuromuscular clinic of a recognised hospital in the management of SMA.</w:t>
            </w:r>
          </w:p>
          <w:p w14:paraId="25E7B54C" w14:textId="77777777" w:rsidR="00383DAE" w:rsidRPr="00383DAE" w:rsidRDefault="00383DAE" w:rsidP="000B2F78">
            <w:pPr>
              <w:keepNext/>
              <w:widowControl w:val="0"/>
              <w:spacing w:before="60"/>
              <w:rPr>
                <w:sz w:val="20"/>
                <w:szCs w:val="20"/>
                <w:highlight w:val="yellow"/>
              </w:rPr>
            </w:pPr>
          </w:p>
        </w:tc>
        <w:tc>
          <w:tcPr>
            <w:tcW w:w="3260" w:type="dxa"/>
          </w:tcPr>
          <w:p w14:paraId="4522F53B" w14:textId="77777777" w:rsidR="00383DAE" w:rsidRPr="00383DAE" w:rsidRDefault="00383DAE" w:rsidP="000B2F78">
            <w:pPr>
              <w:pStyle w:val="NormalWeb"/>
              <w:keepNext/>
              <w:widowControl w:val="0"/>
              <w:numPr>
                <w:ilvl w:val="0"/>
                <w:numId w:val="5"/>
              </w:numPr>
              <w:shd w:val="clear" w:color="auto" w:fill="FFFFFF"/>
              <w:spacing w:before="60" w:beforeAutospacing="0" w:after="0" w:afterAutospacing="0"/>
              <w:ind w:left="0"/>
              <w:rPr>
                <w:rFonts w:asciiTheme="minorHAnsi" w:hAnsiTheme="minorHAnsi" w:cstheme="minorHAnsi"/>
                <w:color w:val="222222"/>
                <w:sz w:val="20"/>
                <w:szCs w:val="20"/>
              </w:rPr>
            </w:pPr>
            <w:r w:rsidRPr="00383DAE">
              <w:rPr>
                <w:rFonts w:asciiTheme="minorHAnsi" w:hAnsiTheme="minorHAnsi" w:cstheme="minorHAnsi"/>
                <w:color w:val="222222"/>
                <w:sz w:val="20"/>
                <w:szCs w:val="20"/>
              </w:rPr>
              <w:t>The condition must 5q homozygous deletion, mutation of, or compound heterozygous mutation in the SMN1 gene of type I, II or IIIa,</w:t>
            </w:r>
          </w:p>
          <w:p w14:paraId="6926C35B" w14:textId="77777777" w:rsidR="00383DAE" w:rsidRPr="00383DAE" w:rsidRDefault="00383DAE" w:rsidP="000B2F78">
            <w:pPr>
              <w:pStyle w:val="NormalWeb"/>
              <w:keepNext/>
              <w:widowControl w:val="0"/>
              <w:shd w:val="clear" w:color="auto" w:fill="FFFFFF"/>
              <w:spacing w:before="60" w:beforeAutospacing="0" w:after="0" w:afterAutospacing="0"/>
              <w:rPr>
                <w:rFonts w:asciiTheme="minorHAnsi" w:hAnsiTheme="minorHAnsi" w:cstheme="minorHAnsi"/>
                <w:color w:val="222222"/>
                <w:sz w:val="20"/>
                <w:szCs w:val="20"/>
              </w:rPr>
            </w:pPr>
            <w:r w:rsidRPr="00383DAE">
              <w:rPr>
                <w:rFonts w:asciiTheme="minorHAnsi" w:hAnsiTheme="minorHAnsi" w:cstheme="minorHAnsi"/>
                <w:b/>
                <w:bCs/>
                <w:color w:val="222222"/>
                <w:sz w:val="20"/>
                <w:szCs w:val="20"/>
                <w:bdr w:val="none" w:sz="0" w:space="0" w:color="auto" w:frame="1"/>
              </w:rPr>
              <w:t>AND</w:t>
            </w:r>
          </w:p>
          <w:p w14:paraId="0F215B9E" w14:textId="77777777" w:rsidR="00383DAE" w:rsidRPr="00383DAE" w:rsidRDefault="00383DAE" w:rsidP="000B2F78">
            <w:pPr>
              <w:pStyle w:val="NormalWeb"/>
              <w:keepNext/>
              <w:widowControl w:val="0"/>
              <w:numPr>
                <w:ilvl w:val="0"/>
                <w:numId w:val="6"/>
              </w:numPr>
              <w:shd w:val="clear" w:color="auto" w:fill="FFFFFF"/>
              <w:spacing w:before="60" w:beforeAutospacing="0" w:after="0" w:afterAutospacing="0"/>
              <w:ind w:left="0"/>
              <w:rPr>
                <w:rFonts w:asciiTheme="minorHAnsi" w:hAnsiTheme="minorHAnsi" w:cstheme="minorHAnsi"/>
                <w:color w:val="222222"/>
                <w:sz w:val="20"/>
                <w:szCs w:val="20"/>
              </w:rPr>
            </w:pPr>
            <w:r w:rsidRPr="00383DAE">
              <w:rPr>
                <w:rFonts w:asciiTheme="minorHAnsi" w:hAnsiTheme="minorHAnsi" w:cstheme="minorHAnsi"/>
                <w:color w:val="222222"/>
                <w:sz w:val="20"/>
                <w:szCs w:val="20"/>
              </w:rPr>
              <w:t>Patient must have experienced at least two of the defined signs and symptoms of SMA type I, II or IIIa prior to 3 years of age,</w:t>
            </w:r>
          </w:p>
          <w:p w14:paraId="0DC482E9" w14:textId="77777777" w:rsidR="00383DAE" w:rsidRPr="00383DAE" w:rsidRDefault="00383DAE" w:rsidP="000B2F78">
            <w:pPr>
              <w:pStyle w:val="NormalWeb"/>
              <w:keepNext/>
              <w:widowControl w:val="0"/>
              <w:shd w:val="clear" w:color="auto" w:fill="FFFFFF"/>
              <w:spacing w:before="60" w:beforeAutospacing="0" w:after="0" w:afterAutospacing="0"/>
              <w:rPr>
                <w:rFonts w:asciiTheme="minorHAnsi" w:hAnsiTheme="minorHAnsi" w:cstheme="minorHAnsi"/>
                <w:color w:val="222222"/>
                <w:sz w:val="20"/>
                <w:szCs w:val="20"/>
              </w:rPr>
            </w:pPr>
            <w:r w:rsidRPr="00383DAE">
              <w:rPr>
                <w:rFonts w:asciiTheme="minorHAnsi" w:hAnsiTheme="minorHAnsi" w:cstheme="minorHAnsi"/>
                <w:b/>
                <w:bCs/>
                <w:color w:val="222222"/>
                <w:sz w:val="20"/>
                <w:szCs w:val="20"/>
                <w:bdr w:val="none" w:sz="0" w:space="0" w:color="auto" w:frame="1"/>
              </w:rPr>
              <w:t>AND</w:t>
            </w:r>
          </w:p>
          <w:p w14:paraId="46DED533" w14:textId="77777777" w:rsidR="00383DAE" w:rsidRPr="00383DAE" w:rsidRDefault="00383DAE" w:rsidP="000B2F78">
            <w:pPr>
              <w:pStyle w:val="NormalWeb"/>
              <w:keepNext/>
              <w:widowControl w:val="0"/>
              <w:numPr>
                <w:ilvl w:val="0"/>
                <w:numId w:val="7"/>
              </w:numPr>
              <w:shd w:val="clear" w:color="auto" w:fill="FFFFFF"/>
              <w:spacing w:before="60" w:beforeAutospacing="0" w:after="0" w:afterAutospacing="0"/>
              <w:ind w:left="0"/>
              <w:rPr>
                <w:rFonts w:asciiTheme="minorHAnsi" w:hAnsiTheme="minorHAnsi" w:cstheme="minorHAnsi"/>
                <w:color w:val="222222"/>
                <w:sz w:val="20"/>
                <w:szCs w:val="20"/>
              </w:rPr>
            </w:pPr>
            <w:r w:rsidRPr="00383DAE">
              <w:rPr>
                <w:rFonts w:asciiTheme="minorHAnsi" w:hAnsiTheme="minorHAnsi" w:cstheme="minorHAnsi"/>
                <w:color w:val="222222"/>
                <w:sz w:val="20"/>
                <w:szCs w:val="20"/>
              </w:rPr>
              <w:t>The treatment must be given concomitantly with standard of care for this condition,</w:t>
            </w:r>
          </w:p>
          <w:p w14:paraId="6DA5D3FA" w14:textId="77777777" w:rsidR="00383DAE" w:rsidRPr="00383DAE" w:rsidRDefault="00383DAE" w:rsidP="000B2F78">
            <w:pPr>
              <w:pStyle w:val="NormalWeb"/>
              <w:keepNext/>
              <w:widowControl w:val="0"/>
              <w:shd w:val="clear" w:color="auto" w:fill="FFFFFF"/>
              <w:spacing w:before="60" w:beforeAutospacing="0" w:after="0" w:afterAutospacing="0"/>
              <w:rPr>
                <w:rFonts w:asciiTheme="minorHAnsi" w:hAnsiTheme="minorHAnsi" w:cstheme="minorHAnsi"/>
                <w:color w:val="222222"/>
                <w:sz w:val="20"/>
                <w:szCs w:val="20"/>
              </w:rPr>
            </w:pPr>
            <w:r w:rsidRPr="00383DAE">
              <w:rPr>
                <w:rFonts w:asciiTheme="minorHAnsi" w:hAnsiTheme="minorHAnsi" w:cstheme="minorHAnsi"/>
                <w:b/>
                <w:bCs/>
                <w:color w:val="222222"/>
                <w:sz w:val="20"/>
                <w:szCs w:val="20"/>
                <w:bdr w:val="none" w:sz="0" w:space="0" w:color="auto" w:frame="1"/>
              </w:rPr>
              <w:t>AND</w:t>
            </w:r>
          </w:p>
          <w:p w14:paraId="0DC1FE7B" w14:textId="77777777" w:rsidR="00383DAE" w:rsidRPr="00383DAE" w:rsidRDefault="00383DAE" w:rsidP="000B2F78">
            <w:pPr>
              <w:pStyle w:val="NormalWeb"/>
              <w:keepNext/>
              <w:widowControl w:val="0"/>
              <w:numPr>
                <w:ilvl w:val="0"/>
                <w:numId w:val="8"/>
              </w:numPr>
              <w:shd w:val="clear" w:color="auto" w:fill="FFFFFF"/>
              <w:spacing w:before="60" w:beforeAutospacing="0" w:after="0" w:afterAutospacing="0"/>
              <w:ind w:left="0"/>
              <w:rPr>
                <w:rFonts w:asciiTheme="minorHAnsi" w:hAnsiTheme="minorHAnsi" w:cstheme="minorHAnsi"/>
                <w:color w:val="222222"/>
                <w:sz w:val="20"/>
                <w:szCs w:val="20"/>
              </w:rPr>
            </w:pPr>
            <w:r w:rsidRPr="00383DAE">
              <w:rPr>
                <w:rFonts w:asciiTheme="minorHAnsi" w:hAnsiTheme="minorHAnsi" w:cstheme="minorHAnsi"/>
                <w:color w:val="222222"/>
                <w:sz w:val="20"/>
                <w:szCs w:val="20"/>
              </w:rPr>
              <w:t>The treatment must not exceed four loading doses (at days 0, 14, 28 and 63) under this restriction.</w:t>
            </w:r>
          </w:p>
        </w:tc>
        <w:tc>
          <w:tcPr>
            <w:tcW w:w="2542" w:type="dxa"/>
          </w:tcPr>
          <w:p w14:paraId="664C7472" w14:textId="77777777" w:rsidR="00383DAE" w:rsidRPr="00383DAE" w:rsidRDefault="00383DAE" w:rsidP="000B2F78">
            <w:pPr>
              <w:pStyle w:val="NormalWeb"/>
              <w:keepNext/>
              <w:widowControl w:val="0"/>
              <w:numPr>
                <w:ilvl w:val="0"/>
                <w:numId w:val="9"/>
              </w:numPr>
              <w:shd w:val="clear" w:color="auto" w:fill="FFFFFF"/>
              <w:spacing w:before="60" w:beforeAutospacing="0" w:after="0" w:afterAutospacing="0"/>
              <w:ind w:left="0"/>
              <w:rPr>
                <w:rFonts w:asciiTheme="minorHAnsi" w:hAnsiTheme="minorHAnsi" w:cstheme="minorHAnsi"/>
                <w:color w:val="222222"/>
                <w:sz w:val="20"/>
                <w:szCs w:val="20"/>
              </w:rPr>
            </w:pPr>
            <w:r w:rsidRPr="00383DAE">
              <w:rPr>
                <w:rFonts w:asciiTheme="minorHAnsi" w:hAnsiTheme="minorHAnsi" w:cstheme="minorHAnsi"/>
                <w:color w:val="222222"/>
                <w:sz w:val="20"/>
                <w:szCs w:val="20"/>
              </w:rPr>
              <w:t>Patient must be 18 years of age or under.</w:t>
            </w:r>
          </w:p>
          <w:p w14:paraId="1E1C295C" w14:textId="77777777" w:rsidR="00383DAE" w:rsidRPr="00383DAE" w:rsidRDefault="00383DAE" w:rsidP="000B2F78">
            <w:pPr>
              <w:keepNext/>
              <w:widowControl w:val="0"/>
              <w:spacing w:before="60"/>
              <w:rPr>
                <w:sz w:val="20"/>
                <w:szCs w:val="20"/>
                <w:highlight w:val="yellow"/>
              </w:rPr>
            </w:pPr>
            <w:r w:rsidRPr="00383DAE">
              <w:rPr>
                <w:rFonts w:cstheme="minorHAnsi"/>
                <w:color w:val="222222"/>
                <w:sz w:val="20"/>
                <w:szCs w:val="20"/>
              </w:rPr>
              <w:t>Defined sign</w:t>
            </w:r>
            <w:r>
              <w:rPr>
                <w:rFonts w:cstheme="minorHAnsi"/>
                <w:color w:val="222222"/>
                <w:sz w:val="20"/>
                <w:szCs w:val="20"/>
              </w:rPr>
              <w:t xml:space="preserve">s and symptoms of type I, type II, type IIIa SMA can be found </w:t>
            </w:r>
            <w:r w:rsidR="00527D4F">
              <w:rPr>
                <w:rFonts w:cstheme="minorHAnsi"/>
                <w:color w:val="222222"/>
                <w:sz w:val="20"/>
                <w:szCs w:val="20"/>
              </w:rPr>
              <w:t>in Appendix A</w:t>
            </w:r>
            <w:r w:rsidR="00B94BC4">
              <w:rPr>
                <w:rFonts w:cstheme="minorHAnsi"/>
                <w:color w:val="222222"/>
                <w:sz w:val="20"/>
                <w:szCs w:val="20"/>
              </w:rPr>
              <w:t xml:space="preserve">. </w:t>
            </w:r>
          </w:p>
        </w:tc>
      </w:tr>
      <w:tr w:rsidR="00383DAE" w:rsidRPr="00383DAE" w14:paraId="1347CFB0" w14:textId="77777777" w:rsidTr="00086A76">
        <w:trPr>
          <w:trHeight w:val="220"/>
        </w:trPr>
        <w:tc>
          <w:tcPr>
            <w:tcW w:w="8916" w:type="dxa"/>
            <w:gridSpan w:val="3"/>
          </w:tcPr>
          <w:p w14:paraId="69B9ADA7" w14:textId="77777777" w:rsidR="00383DAE" w:rsidRPr="00527D4F" w:rsidRDefault="009E0620" w:rsidP="00DD6B6D">
            <w:pPr>
              <w:keepNext/>
              <w:widowControl w:val="0"/>
              <w:rPr>
                <w:b/>
                <w:sz w:val="20"/>
                <w:szCs w:val="20"/>
                <w:highlight w:val="yellow"/>
              </w:rPr>
            </w:pPr>
            <w:r>
              <w:rPr>
                <w:rFonts w:eastAsia="Times New Roman" w:cstheme="minorHAnsi"/>
                <w:b/>
                <w:color w:val="222222"/>
                <w:sz w:val="20"/>
              </w:rPr>
              <w:t>Continuing treatment - M</w:t>
            </w:r>
            <w:r w:rsidR="00383DAE" w:rsidRPr="00527D4F">
              <w:rPr>
                <w:rFonts w:eastAsia="Times New Roman" w:cstheme="minorHAnsi"/>
                <w:b/>
                <w:color w:val="222222"/>
                <w:sz w:val="20"/>
              </w:rPr>
              <w:t>aintenance</w:t>
            </w:r>
          </w:p>
        </w:tc>
      </w:tr>
      <w:tr w:rsidR="00383DAE" w:rsidRPr="00383DAE" w14:paraId="40B690EC" w14:textId="77777777" w:rsidTr="000B2F78">
        <w:trPr>
          <w:trHeight w:val="5462"/>
        </w:trPr>
        <w:tc>
          <w:tcPr>
            <w:tcW w:w="3114" w:type="dxa"/>
          </w:tcPr>
          <w:p w14:paraId="44F75B9E" w14:textId="77777777" w:rsidR="00383DAE" w:rsidRPr="00383DAE" w:rsidRDefault="00383DAE" w:rsidP="000B2F78">
            <w:pPr>
              <w:keepNext/>
              <w:widowControl w:val="0"/>
              <w:spacing w:before="60"/>
              <w:rPr>
                <w:rFonts w:eastAsia="Times New Roman" w:cstheme="minorHAnsi"/>
                <w:color w:val="222222"/>
                <w:sz w:val="20"/>
              </w:rPr>
            </w:pPr>
            <w:r w:rsidRPr="00383DAE">
              <w:rPr>
                <w:rFonts w:eastAsia="Times New Roman" w:cstheme="minorHAnsi"/>
                <w:color w:val="222222"/>
                <w:sz w:val="20"/>
              </w:rPr>
              <w:t>Must be treated by a specialist medical practitioner experienced in the diagnosis and management of SMA associated with a neuromuscular clinic of a recognised hospital in the management of SMA; or in consultation with a specialist medical practitioner experienced in the diagnosis and management of SMA associated with a neuromuscular clinic of a recognised hospital in the management of SMA; or initiated by a specialist medical practitioner experienced in the diagnosis and management of SMA associated with a neuromuscular clinic of a recognised hospital in the management of SMA.</w:t>
            </w:r>
          </w:p>
          <w:p w14:paraId="60829D94" w14:textId="77777777" w:rsidR="00383DAE" w:rsidRPr="00383DAE" w:rsidRDefault="00383DAE" w:rsidP="000B2F78">
            <w:pPr>
              <w:keepNext/>
              <w:widowControl w:val="0"/>
              <w:spacing w:before="60"/>
              <w:rPr>
                <w:rFonts w:eastAsia="Times New Roman" w:cstheme="minorHAnsi"/>
                <w:color w:val="222222"/>
                <w:sz w:val="20"/>
              </w:rPr>
            </w:pPr>
          </w:p>
        </w:tc>
        <w:tc>
          <w:tcPr>
            <w:tcW w:w="3260" w:type="dxa"/>
          </w:tcPr>
          <w:p w14:paraId="0DE42729" w14:textId="77777777" w:rsidR="00383DAE" w:rsidRPr="00383DAE" w:rsidRDefault="00383DAE" w:rsidP="000B2F78">
            <w:pPr>
              <w:keepNext/>
              <w:widowControl w:val="0"/>
              <w:numPr>
                <w:ilvl w:val="0"/>
                <w:numId w:val="11"/>
              </w:numPr>
              <w:spacing w:before="60"/>
              <w:ind w:left="0"/>
              <w:rPr>
                <w:rFonts w:eastAsia="Times New Roman" w:cstheme="minorHAnsi"/>
                <w:color w:val="222222"/>
                <w:sz w:val="20"/>
              </w:rPr>
            </w:pPr>
            <w:r w:rsidRPr="00383DAE">
              <w:rPr>
                <w:rFonts w:eastAsia="Times New Roman" w:cstheme="minorHAnsi"/>
                <w:color w:val="222222"/>
                <w:sz w:val="20"/>
              </w:rPr>
              <w:t>Patient must have previously received PBS-subsidised treatment with this drug for this condition,</w:t>
            </w:r>
          </w:p>
          <w:p w14:paraId="04BF150F" w14:textId="77777777" w:rsidR="00383DAE" w:rsidRPr="00383DAE" w:rsidRDefault="00383DAE" w:rsidP="000B2F78">
            <w:pPr>
              <w:keepNext/>
              <w:widowControl w:val="0"/>
              <w:spacing w:before="60"/>
              <w:rPr>
                <w:rFonts w:eastAsia="Times New Roman" w:cstheme="minorHAnsi"/>
                <w:color w:val="222222"/>
                <w:sz w:val="20"/>
              </w:rPr>
            </w:pPr>
            <w:r w:rsidRPr="00383DAE">
              <w:rPr>
                <w:rFonts w:eastAsia="Times New Roman" w:cstheme="minorHAnsi"/>
                <w:b/>
                <w:bCs/>
                <w:color w:val="222222"/>
                <w:sz w:val="20"/>
                <w:bdr w:val="none" w:sz="0" w:space="0" w:color="auto" w:frame="1"/>
              </w:rPr>
              <w:t>AND</w:t>
            </w:r>
          </w:p>
          <w:p w14:paraId="319786AA" w14:textId="77777777" w:rsidR="00383DAE" w:rsidRPr="00383DAE" w:rsidRDefault="00383DAE" w:rsidP="000B2F78">
            <w:pPr>
              <w:keepNext/>
              <w:widowControl w:val="0"/>
              <w:numPr>
                <w:ilvl w:val="0"/>
                <w:numId w:val="12"/>
              </w:numPr>
              <w:spacing w:before="60"/>
              <w:ind w:left="0"/>
              <w:rPr>
                <w:rFonts w:eastAsia="Times New Roman" w:cstheme="minorHAnsi"/>
                <w:color w:val="222222"/>
                <w:sz w:val="20"/>
              </w:rPr>
            </w:pPr>
            <w:r w:rsidRPr="00383DAE">
              <w:rPr>
                <w:rFonts w:eastAsia="Times New Roman" w:cstheme="minorHAnsi"/>
                <w:color w:val="222222"/>
                <w:sz w:val="20"/>
              </w:rPr>
              <w:t>The treatment must be given concomitantly with standard of care for this condition,</w:t>
            </w:r>
          </w:p>
          <w:p w14:paraId="1D15F3AA" w14:textId="77777777" w:rsidR="00383DAE" w:rsidRPr="00383DAE" w:rsidRDefault="00383DAE" w:rsidP="000B2F78">
            <w:pPr>
              <w:keepNext/>
              <w:widowControl w:val="0"/>
              <w:spacing w:before="60"/>
              <w:rPr>
                <w:rFonts w:eastAsia="Times New Roman" w:cstheme="minorHAnsi"/>
                <w:color w:val="222222"/>
                <w:sz w:val="20"/>
              </w:rPr>
            </w:pPr>
            <w:r w:rsidRPr="00383DAE">
              <w:rPr>
                <w:rFonts w:eastAsia="Times New Roman" w:cstheme="minorHAnsi"/>
                <w:b/>
                <w:bCs/>
                <w:color w:val="222222"/>
                <w:sz w:val="20"/>
                <w:bdr w:val="none" w:sz="0" w:space="0" w:color="auto" w:frame="1"/>
              </w:rPr>
              <w:t>AND</w:t>
            </w:r>
          </w:p>
          <w:p w14:paraId="6E31744E" w14:textId="77777777" w:rsidR="00383DAE" w:rsidRPr="00383DAE" w:rsidRDefault="00383DAE" w:rsidP="000B2F78">
            <w:pPr>
              <w:keepNext/>
              <w:widowControl w:val="0"/>
              <w:numPr>
                <w:ilvl w:val="0"/>
                <w:numId w:val="13"/>
              </w:numPr>
              <w:spacing w:before="60"/>
              <w:ind w:left="0"/>
              <w:rPr>
                <w:rFonts w:eastAsia="Times New Roman" w:cstheme="minorHAnsi"/>
                <w:color w:val="222222"/>
                <w:sz w:val="20"/>
              </w:rPr>
            </w:pPr>
            <w:r w:rsidRPr="00383DAE">
              <w:rPr>
                <w:rFonts w:eastAsia="Times New Roman" w:cstheme="minorHAnsi"/>
                <w:color w:val="222222"/>
                <w:sz w:val="20"/>
              </w:rPr>
              <w:t>The treatment must be ceased when invasive permanent assisted ventilation is required in the absence of a potentially reversible cause while being treated with this drug.</w:t>
            </w:r>
          </w:p>
          <w:p w14:paraId="7A47D356" w14:textId="77777777" w:rsidR="00383DAE" w:rsidRPr="00527D4F" w:rsidRDefault="00383DAE" w:rsidP="000B2F78">
            <w:pPr>
              <w:keepNext/>
              <w:widowControl w:val="0"/>
              <w:spacing w:before="60"/>
              <w:rPr>
                <w:rFonts w:eastAsia="Times New Roman" w:cstheme="minorHAnsi"/>
                <w:color w:val="222222"/>
                <w:sz w:val="20"/>
              </w:rPr>
            </w:pPr>
            <w:r w:rsidRPr="00383DAE">
              <w:rPr>
                <w:rFonts w:eastAsia="Times New Roman" w:cstheme="minorHAnsi"/>
                <w:color w:val="222222"/>
                <w:sz w:val="20"/>
              </w:rPr>
              <w:t>Invasive permanent assisted ventilation means ventilation via tracheostomy tube for greater than or equal to 16 hours per day.</w:t>
            </w:r>
          </w:p>
        </w:tc>
        <w:tc>
          <w:tcPr>
            <w:tcW w:w="2542" w:type="dxa"/>
          </w:tcPr>
          <w:p w14:paraId="308385F3" w14:textId="77777777" w:rsidR="00383DAE" w:rsidRPr="00383DAE" w:rsidRDefault="00383DAE" w:rsidP="000B2F78">
            <w:pPr>
              <w:keepNext/>
              <w:widowControl w:val="0"/>
              <w:spacing w:before="60"/>
              <w:rPr>
                <w:sz w:val="20"/>
                <w:szCs w:val="20"/>
                <w:highlight w:val="yellow"/>
              </w:rPr>
            </w:pPr>
          </w:p>
        </w:tc>
      </w:tr>
    </w:tbl>
    <w:p w14:paraId="36E278D0" w14:textId="77777777" w:rsidR="006775F1" w:rsidRPr="006775F1" w:rsidDel="00EE2BBB" w:rsidRDefault="006775F1" w:rsidP="00DD6B6D">
      <w:pPr>
        <w:keepNext/>
        <w:widowControl w:val="0"/>
      </w:pPr>
      <w:r w:rsidRPr="006775F1" w:rsidDel="00EE2BBB">
        <w:t xml:space="preserve">For </w:t>
      </w:r>
      <w:r w:rsidR="00835337" w:rsidDel="00EE2BBB">
        <w:t xml:space="preserve">details of the current PBS listing refer to the </w:t>
      </w:r>
      <w:r w:rsidR="00835337" w:rsidRPr="004E7661" w:rsidDel="00EE2BBB">
        <w:t>PBS website</w:t>
      </w:r>
      <w:r w:rsidR="00835337" w:rsidDel="00EE2BBB">
        <w:rPr>
          <w:rStyle w:val="Hyperlink"/>
        </w:rPr>
        <w:t>.</w:t>
      </w:r>
    </w:p>
    <w:p w14:paraId="29419D8E" w14:textId="77777777" w:rsidR="009C35F2" w:rsidRDefault="009C35F2" w:rsidP="009A703F">
      <w:pPr>
        <w:pStyle w:val="Heading3"/>
        <w:keepNext/>
        <w:widowControl w:val="0"/>
      </w:pPr>
      <w:r w:rsidRPr="00675BB1" w:rsidDel="00EE2BBB">
        <w:t>Date of listing on PBS</w:t>
      </w:r>
    </w:p>
    <w:p w14:paraId="554609D5" w14:textId="77777777" w:rsidR="00824845" w:rsidRPr="00824845" w:rsidRDefault="00824845" w:rsidP="009A703F">
      <w:pPr>
        <w:pStyle w:val="Heading3"/>
        <w:keepNext/>
        <w:widowControl w:val="0"/>
        <w:rPr>
          <w:b w:val="0"/>
          <w:i w:val="0"/>
        </w:rPr>
      </w:pPr>
      <w:r>
        <w:rPr>
          <w:b w:val="0"/>
          <w:i w:val="0"/>
        </w:rPr>
        <w:t xml:space="preserve">Nusinersen was PBS listed in </w:t>
      </w:r>
      <w:r w:rsidR="0071493B">
        <w:rPr>
          <w:b w:val="0"/>
          <w:i w:val="0"/>
        </w:rPr>
        <w:t xml:space="preserve">1 </w:t>
      </w:r>
      <w:r w:rsidR="004D0D55">
        <w:rPr>
          <w:b w:val="0"/>
          <w:i w:val="0"/>
        </w:rPr>
        <w:t>June 2018.</w:t>
      </w:r>
    </w:p>
    <w:p w14:paraId="7AF40186" w14:textId="77777777" w:rsidR="00675BB1" w:rsidRPr="00675BB1" w:rsidDel="00EE2BBB" w:rsidRDefault="00675BB1" w:rsidP="00CF5E22">
      <w:pPr>
        <w:pStyle w:val="Heading3"/>
      </w:pPr>
      <w:r w:rsidRPr="00675BB1" w:rsidDel="00EE2BBB">
        <w:lastRenderedPageBreak/>
        <w:t>Changes to listing</w:t>
      </w:r>
    </w:p>
    <w:p w14:paraId="7DEB6704" w14:textId="77777777" w:rsidR="00B375BB" w:rsidRPr="00B375BB" w:rsidRDefault="00B375BB" w:rsidP="00A35800">
      <w:pPr>
        <w:rPr>
          <w:b/>
          <w:i/>
        </w:rPr>
      </w:pPr>
      <w:r w:rsidRPr="00B375BB">
        <w:rPr>
          <w:b/>
          <w:i/>
        </w:rPr>
        <w:t xml:space="preserve">November 2018 </w:t>
      </w:r>
    </w:p>
    <w:p w14:paraId="4ADBEFAD" w14:textId="77777777" w:rsidR="001D66E8" w:rsidRDefault="001D66E8" w:rsidP="00A35800">
      <w:r>
        <w:t xml:space="preserve">The listing </w:t>
      </w:r>
      <w:r w:rsidR="002935DA">
        <w:t xml:space="preserve">of nusinersen was extended from Section 100 </w:t>
      </w:r>
      <w:r w:rsidR="004D0D55">
        <w:t>(</w:t>
      </w:r>
      <w:r>
        <w:t>H</w:t>
      </w:r>
      <w:r w:rsidR="00441496">
        <w:t xml:space="preserve">ighly </w:t>
      </w:r>
      <w:r>
        <w:t>S</w:t>
      </w:r>
      <w:r w:rsidR="00441496">
        <w:t xml:space="preserve">pecialised </w:t>
      </w:r>
      <w:r>
        <w:t>D</w:t>
      </w:r>
      <w:r w:rsidR="00441496">
        <w:t>rugs Program</w:t>
      </w:r>
      <w:r w:rsidR="004D0D55">
        <w:t>)</w:t>
      </w:r>
      <w:r w:rsidR="00441496">
        <w:t xml:space="preserve"> </w:t>
      </w:r>
      <w:r>
        <w:t>Public</w:t>
      </w:r>
      <w:r w:rsidR="00441496">
        <w:t xml:space="preserve"> Hospitals</w:t>
      </w:r>
      <w:r>
        <w:t xml:space="preserve"> to </w:t>
      </w:r>
      <w:r w:rsidR="002935DA">
        <w:t xml:space="preserve">include Section 100 </w:t>
      </w:r>
      <w:r w:rsidR="004D0D55">
        <w:t>(</w:t>
      </w:r>
      <w:r w:rsidR="002935DA">
        <w:t>H</w:t>
      </w:r>
      <w:r w:rsidR="00441496">
        <w:t xml:space="preserve">ighly </w:t>
      </w:r>
      <w:r w:rsidR="002935DA">
        <w:t>S</w:t>
      </w:r>
      <w:r w:rsidR="00441496">
        <w:t xml:space="preserve">pecialised </w:t>
      </w:r>
      <w:r w:rsidR="002935DA">
        <w:t>D</w:t>
      </w:r>
      <w:r w:rsidR="00441496">
        <w:t>rugs Program</w:t>
      </w:r>
      <w:r w:rsidR="004D0D55">
        <w:t>)</w:t>
      </w:r>
      <w:r w:rsidR="002935DA">
        <w:t xml:space="preserve"> </w:t>
      </w:r>
      <w:r>
        <w:t>Private</w:t>
      </w:r>
      <w:r w:rsidR="00441496">
        <w:t xml:space="preserve"> Hospitals. The PBAC recommended this change in </w:t>
      </w:r>
      <w:r w:rsidR="004D0D55">
        <w:t xml:space="preserve">July 2018 following a request outlining </w:t>
      </w:r>
      <w:r w:rsidR="00C211E1">
        <w:t xml:space="preserve">a </w:t>
      </w:r>
      <w:r w:rsidR="004D0D55">
        <w:t xml:space="preserve">concern </w:t>
      </w:r>
      <w:r w:rsidR="00C211E1">
        <w:t xml:space="preserve">where </w:t>
      </w:r>
      <w:r w:rsidR="00D36ADC">
        <w:t xml:space="preserve">private hospital patients </w:t>
      </w:r>
      <w:r w:rsidR="004D0D55">
        <w:t>would be placed at a higher risk as they would require an additional dose of general anaesthetic in order</w:t>
      </w:r>
      <w:r w:rsidR="00D36ADC">
        <w:t xml:space="preserve"> to</w:t>
      </w:r>
      <w:r w:rsidR="004D0D55">
        <w:t xml:space="preserve"> receive nusinersen </w:t>
      </w:r>
      <w:r w:rsidR="00D36ADC">
        <w:t xml:space="preserve">which was only </w:t>
      </w:r>
      <w:r w:rsidR="004D0D55">
        <w:t>listed on Section 100 (Highly Specialised Drugs Program)</w:t>
      </w:r>
      <w:r w:rsidR="00B94BC4">
        <w:t xml:space="preserve"> Public Hospitals</w:t>
      </w:r>
      <w:r w:rsidR="004D0D55">
        <w:t xml:space="preserve">.  </w:t>
      </w:r>
    </w:p>
    <w:p w14:paraId="728696FD" w14:textId="77777777" w:rsidR="00B375BB" w:rsidRPr="00B375BB" w:rsidRDefault="00B375BB" w:rsidP="00A35800">
      <w:pPr>
        <w:rPr>
          <w:b/>
          <w:i/>
        </w:rPr>
      </w:pPr>
      <w:r w:rsidRPr="00B375BB">
        <w:rPr>
          <w:b/>
          <w:i/>
        </w:rPr>
        <w:t xml:space="preserve">December 2020 </w:t>
      </w:r>
    </w:p>
    <w:p w14:paraId="305B4B44" w14:textId="77777777" w:rsidR="00B375BB" w:rsidRDefault="00B375BB" w:rsidP="00A35800">
      <w:r>
        <w:t xml:space="preserve">The </w:t>
      </w:r>
      <w:r w:rsidR="007660CA">
        <w:t xml:space="preserve">listing of nusinersen was extended to include the pre-symptomatic initiation treatment of patients genetically diagnosed with SMA who have an SMN2 copy number of </w:t>
      </w:r>
      <w:r w:rsidR="007660CA">
        <w:rPr>
          <w:rFonts w:cstheme="minorHAnsi"/>
        </w:rPr>
        <w:t>≤</w:t>
      </w:r>
      <w:r w:rsidR="007660CA">
        <w:t xml:space="preserve">2. In July 2020, </w:t>
      </w:r>
      <w:r w:rsidR="00C211E1">
        <w:t>t</w:t>
      </w:r>
      <w:r w:rsidR="007660CA">
        <w:t xml:space="preserve">he PBAC considered the pre-symptomatic initiation of treatment would provide an additional benefit for some patients compared with initiation upon development of symptoms. </w:t>
      </w:r>
    </w:p>
    <w:p w14:paraId="39634426" w14:textId="77777777" w:rsidR="00BF544D" w:rsidRDefault="00BF544D" w:rsidP="00BF544D">
      <w:r w:rsidRPr="002F61CA" w:rsidDel="00EE2BBB">
        <w:t xml:space="preserve">Current PBS listing details are available from </w:t>
      </w:r>
      <w:r w:rsidDel="00EE2BBB">
        <w:t xml:space="preserve">the </w:t>
      </w:r>
      <w:r w:rsidRPr="004E7661" w:rsidDel="00EE2BBB">
        <w:t>PBS website</w:t>
      </w:r>
      <w:r w:rsidDel="00EE2BBB">
        <w:t>.</w:t>
      </w:r>
    </w:p>
    <w:p w14:paraId="303A347B" w14:textId="77777777" w:rsidR="007E4237" w:rsidRPr="007E4237" w:rsidRDefault="007E4237" w:rsidP="007E4237">
      <w:pPr>
        <w:pStyle w:val="Heading2"/>
      </w:pPr>
      <w:r w:rsidRPr="007E4237">
        <w:t>Approach taken to estimate utilisation</w:t>
      </w:r>
    </w:p>
    <w:p w14:paraId="43FC21E2" w14:textId="77777777" w:rsidR="007E4237" w:rsidRPr="009A703F" w:rsidRDefault="007E4237" w:rsidP="007E4237">
      <w:pPr>
        <w:rPr>
          <w:b/>
          <w:i/>
        </w:rPr>
      </w:pPr>
      <w:r w:rsidRPr="009A703F">
        <w:rPr>
          <w:b/>
          <w:i/>
        </w:rPr>
        <w:t xml:space="preserve">November 2017 major submission </w:t>
      </w:r>
    </w:p>
    <w:p w14:paraId="3AACB4B7" w14:textId="77777777" w:rsidR="007E4237" w:rsidRPr="007E4237" w:rsidRDefault="007E4237" w:rsidP="007E4237">
      <w:r w:rsidRPr="007E4237">
        <w:t xml:space="preserve">An epidemiological approach was used as nusinersen was the first treatment for SMA on the PBS. The submission undertook separate analyses for the three subtypes of SMA: </w:t>
      </w:r>
      <w:r w:rsidR="00622220" w:rsidRPr="007E4237">
        <w:t>infantile</w:t>
      </w:r>
      <w:r w:rsidRPr="007E4237">
        <w:t xml:space="preserve">-onset SMA (Type I) and child-hood onset SMA (Type II and Type III). The incidence rate of each SMA subtype was applied to the number of live births each year in Australia. </w:t>
      </w:r>
      <w:r w:rsidRPr="00902754">
        <w:t>The patient survival of each SMA subtype was then applied to capture the number of prevalent patients of each SMA type at the time of nusinersen listing on the PBAC.</w:t>
      </w:r>
      <w:r w:rsidRPr="007E4237">
        <w:t xml:space="preserve"> </w:t>
      </w:r>
    </w:p>
    <w:p w14:paraId="0E9DB39D" w14:textId="77777777" w:rsidR="00273608" w:rsidRDefault="007E4237" w:rsidP="00273608">
      <w:r w:rsidRPr="007E4237">
        <w:t xml:space="preserve">The PBAC considered the incidence of Type I SMA estimated based on Australian data to be reasonable. The PBAC considered the estimated number of patients with Type II and II SMA to be uncertain and likely underestimated as they were based on overseas data due to the lack of Australian data. The PBAC noted although the submission used the best available evidence to estimate the prevalence of SMA Type I-III, it was likely underestimated particularly </w:t>
      </w:r>
      <w:r w:rsidR="00813BFC">
        <w:t>regarding</w:t>
      </w:r>
      <w:r w:rsidRPr="007E4237">
        <w:t xml:space="preserve"> the number of patients over the age of 18 years. </w:t>
      </w:r>
    </w:p>
    <w:p w14:paraId="53004D6C" w14:textId="77777777" w:rsidR="0087299F" w:rsidRPr="0087299F" w:rsidRDefault="0087299F" w:rsidP="000B2F78">
      <w:pPr>
        <w:pStyle w:val="Tabletitle"/>
        <w:keepNext/>
        <w:rPr>
          <w:u w:val="single"/>
        </w:rPr>
      </w:pPr>
      <w:r>
        <w:rPr>
          <w:u w:val="single"/>
        </w:rPr>
        <w:lastRenderedPageBreak/>
        <w:t>Committee-in-confidence</w:t>
      </w:r>
    </w:p>
    <w:p w14:paraId="4DA71BB3" w14:textId="77777777" w:rsidR="007E4237" w:rsidRPr="004E7661" w:rsidRDefault="004E7661" w:rsidP="000B2F78">
      <w:pPr>
        <w:pStyle w:val="Tabletitle"/>
        <w:keepNext/>
        <w:rPr>
          <w:highlight w:val="black"/>
        </w:rPr>
      </w:pPr>
      <w:r>
        <w:rPr>
          <w:noProof/>
          <w:color w:val="000000"/>
          <w:highlight w:val="black"/>
        </w:rPr>
        <w:t xml:space="preserve">''''''''' '''' ''''''''''''''''''' ''''''''''''''''''' ''''''''''''''''''' '''' ''''''' '''''''''''''''''' '''''''' '''''''''' ''''''''''''''''''''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963"/>
        <w:gridCol w:w="709"/>
        <w:gridCol w:w="852"/>
        <w:gridCol w:w="850"/>
        <w:gridCol w:w="850"/>
        <w:gridCol w:w="852"/>
        <w:gridCol w:w="871"/>
      </w:tblGrid>
      <w:tr w:rsidR="00A22FBF" w:rsidRPr="00436929" w14:paraId="3F89193B" w14:textId="77777777" w:rsidTr="00A22FBF">
        <w:trPr>
          <w:trHeight w:val="150"/>
          <w:tblHeader/>
        </w:trPr>
        <w:tc>
          <w:tcPr>
            <w:tcW w:w="221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DE7859" w14:textId="77777777" w:rsidR="007E4237" w:rsidRPr="004E7661" w:rsidRDefault="007E4237" w:rsidP="00E93E7C">
            <w:pPr>
              <w:pStyle w:val="TableText"/>
              <w:spacing w:line="256" w:lineRule="auto"/>
              <w:rPr>
                <w:rFonts w:asciiTheme="minorHAnsi" w:hAnsiTheme="minorHAnsi" w:cstheme="minorHAnsi"/>
                <w:szCs w:val="20"/>
                <w:highlight w:val="lightGray"/>
              </w:rPr>
            </w:pPr>
          </w:p>
        </w:tc>
        <w:tc>
          <w:tcPr>
            <w:tcW w:w="39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7BBAB66" w14:textId="77777777" w:rsidR="007E4237" w:rsidRPr="004E7661" w:rsidRDefault="004E7661" w:rsidP="00E93E7C">
            <w:pPr>
              <w:pStyle w:val="TableText"/>
              <w:spacing w:line="256" w:lineRule="auto"/>
              <w:jc w:val="center"/>
              <w:rPr>
                <w:rFonts w:asciiTheme="minorHAnsi" w:hAnsiTheme="minorHAnsi" w:cstheme="minorHAnsi"/>
                <w:b/>
                <w:szCs w:val="20"/>
                <w:highlight w:val="black"/>
              </w:rPr>
            </w:pPr>
            <w:r>
              <w:rPr>
                <w:rFonts w:asciiTheme="minorHAnsi" w:hAnsiTheme="minorHAnsi" w:cstheme="minorHAnsi"/>
                <w:b/>
                <w:noProof/>
                <w:color w:val="000000"/>
                <w:szCs w:val="20"/>
                <w:highlight w:val="black"/>
              </w:rPr>
              <w:t>'''''''' '''</w:t>
            </w:r>
          </w:p>
        </w:tc>
        <w:tc>
          <w:tcPr>
            <w:tcW w:w="47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5AB4351" w14:textId="77777777" w:rsidR="007E4237" w:rsidRPr="004E7661" w:rsidRDefault="004E7661" w:rsidP="00E93E7C">
            <w:pPr>
              <w:pStyle w:val="TableText"/>
              <w:spacing w:line="256" w:lineRule="auto"/>
              <w:jc w:val="center"/>
              <w:rPr>
                <w:rFonts w:asciiTheme="minorHAnsi" w:hAnsiTheme="minorHAnsi" w:cstheme="minorHAnsi"/>
                <w:b/>
                <w:szCs w:val="20"/>
                <w:highlight w:val="black"/>
              </w:rPr>
            </w:pPr>
            <w:r>
              <w:rPr>
                <w:rFonts w:asciiTheme="minorHAnsi" w:hAnsiTheme="minorHAnsi" w:cstheme="minorHAnsi"/>
                <w:b/>
                <w:noProof/>
                <w:color w:val="000000"/>
                <w:szCs w:val="20"/>
                <w:highlight w:val="black"/>
              </w:rPr>
              <w:t>''''''''' '''</w:t>
            </w:r>
          </w:p>
        </w:tc>
        <w:tc>
          <w:tcPr>
            <w:tcW w:w="47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6425D68" w14:textId="77777777" w:rsidR="007E4237" w:rsidRPr="004E7661" w:rsidRDefault="004E7661" w:rsidP="00E93E7C">
            <w:pPr>
              <w:pStyle w:val="TableText"/>
              <w:spacing w:line="256" w:lineRule="auto"/>
              <w:jc w:val="center"/>
              <w:rPr>
                <w:rFonts w:asciiTheme="minorHAnsi" w:hAnsiTheme="minorHAnsi" w:cstheme="minorHAnsi"/>
                <w:b/>
                <w:szCs w:val="20"/>
                <w:highlight w:val="black"/>
              </w:rPr>
            </w:pPr>
            <w:r>
              <w:rPr>
                <w:rFonts w:asciiTheme="minorHAnsi" w:hAnsiTheme="minorHAnsi" w:cstheme="minorHAnsi"/>
                <w:b/>
                <w:noProof/>
                <w:color w:val="000000"/>
                <w:szCs w:val="20"/>
                <w:highlight w:val="black"/>
              </w:rPr>
              <w:t>'''''''' '''</w:t>
            </w:r>
          </w:p>
        </w:tc>
        <w:tc>
          <w:tcPr>
            <w:tcW w:w="47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063699" w14:textId="77777777" w:rsidR="007E4237" w:rsidRPr="004E7661" w:rsidRDefault="004E7661" w:rsidP="00E93E7C">
            <w:pPr>
              <w:pStyle w:val="TableText"/>
              <w:spacing w:line="256" w:lineRule="auto"/>
              <w:jc w:val="center"/>
              <w:rPr>
                <w:rFonts w:asciiTheme="minorHAnsi" w:hAnsiTheme="minorHAnsi" w:cstheme="minorHAnsi"/>
                <w:b/>
                <w:szCs w:val="20"/>
                <w:highlight w:val="black"/>
              </w:rPr>
            </w:pPr>
            <w:r>
              <w:rPr>
                <w:rFonts w:asciiTheme="minorHAnsi" w:hAnsiTheme="minorHAnsi" w:cstheme="minorHAnsi"/>
                <w:b/>
                <w:noProof/>
                <w:color w:val="000000"/>
                <w:szCs w:val="20"/>
                <w:highlight w:val="black"/>
              </w:rPr>
              <w:t>''''''''' '''</w:t>
            </w:r>
          </w:p>
        </w:tc>
        <w:tc>
          <w:tcPr>
            <w:tcW w:w="47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86960EE" w14:textId="77777777" w:rsidR="007E4237" w:rsidRPr="004E7661" w:rsidRDefault="004E7661" w:rsidP="00E93E7C">
            <w:pPr>
              <w:pStyle w:val="TableText"/>
              <w:spacing w:line="256" w:lineRule="auto"/>
              <w:jc w:val="center"/>
              <w:rPr>
                <w:rFonts w:asciiTheme="minorHAnsi" w:hAnsiTheme="minorHAnsi" w:cstheme="minorHAnsi"/>
                <w:b/>
                <w:szCs w:val="20"/>
                <w:highlight w:val="black"/>
              </w:rPr>
            </w:pPr>
            <w:r>
              <w:rPr>
                <w:rFonts w:asciiTheme="minorHAnsi" w:hAnsiTheme="minorHAnsi" w:cstheme="minorHAnsi"/>
                <w:b/>
                <w:noProof/>
                <w:color w:val="000000"/>
                <w:szCs w:val="20"/>
                <w:highlight w:val="black"/>
              </w:rPr>
              <w:t>'''''''' '''</w:t>
            </w:r>
          </w:p>
        </w:tc>
        <w:tc>
          <w:tcPr>
            <w:tcW w:w="48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DB839AB" w14:textId="77777777" w:rsidR="007E4237" w:rsidRPr="004E7661" w:rsidRDefault="004E7661" w:rsidP="00E93E7C">
            <w:pPr>
              <w:pStyle w:val="TableText"/>
              <w:spacing w:line="256" w:lineRule="auto"/>
              <w:jc w:val="center"/>
              <w:rPr>
                <w:rFonts w:asciiTheme="minorHAnsi" w:hAnsiTheme="minorHAnsi" w:cstheme="minorHAnsi"/>
                <w:b/>
                <w:szCs w:val="20"/>
                <w:highlight w:val="black"/>
              </w:rPr>
            </w:pPr>
            <w:r>
              <w:rPr>
                <w:rFonts w:asciiTheme="minorHAnsi" w:hAnsiTheme="minorHAnsi" w:cstheme="minorHAnsi"/>
                <w:b/>
                <w:noProof/>
                <w:color w:val="000000"/>
                <w:szCs w:val="20"/>
                <w:highlight w:val="black"/>
              </w:rPr>
              <w:t>''''''''' '''</w:t>
            </w:r>
          </w:p>
        </w:tc>
      </w:tr>
      <w:tr w:rsidR="00A22FBF" w:rsidRPr="00436929" w14:paraId="347C3A81" w14:textId="77777777" w:rsidTr="00A22FBF">
        <w:trPr>
          <w:trHeight w:val="331"/>
        </w:trPr>
        <w:tc>
          <w:tcPr>
            <w:tcW w:w="2215" w:type="pct"/>
            <w:tcBorders>
              <w:top w:val="single" w:sz="4" w:space="0" w:color="auto"/>
              <w:left w:val="single" w:sz="4" w:space="0" w:color="auto"/>
              <w:bottom w:val="single" w:sz="4" w:space="0" w:color="auto"/>
              <w:right w:val="single" w:sz="4" w:space="0" w:color="auto"/>
            </w:tcBorders>
            <w:vAlign w:val="center"/>
            <w:hideMark/>
          </w:tcPr>
          <w:p w14:paraId="0999CA8C" w14:textId="77777777" w:rsidR="007E4237" w:rsidRPr="004E7661" w:rsidRDefault="004E7661" w:rsidP="00E93E7C">
            <w:pPr>
              <w:pStyle w:val="TableText"/>
              <w:spacing w:line="256" w:lineRule="auto"/>
              <w:rPr>
                <w:rFonts w:asciiTheme="minorHAnsi" w:hAnsiTheme="minorHAnsi" w:cstheme="minorHAnsi"/>
                <w:szCs w:val="20"/>
                <w:highlight w:val="black"/>
              </w:rPr>
            </w:pPr>
            <w:r>
              <w:rPr>
                <w:rFonts w:asciiTheme="minorHAnsi" w:hAnsiTheme="minorHAnsi" w:cstheme="minorHAnsi"/>
                <w:noProof/>
                <w:color w:val="000000"/>
                <w:szCs w:val="20"/>
                <w:highlight w:val="black"/>
              </w:rPr>
              <w:t>''''''''''''''' '''' ''''''''' ' ''''''''' '''''''''''''' ''''''''''''''''' ''''''' '''''''''''''''''''' '''''' ''''''''</w:t>
            </w:r>
          </w:p>
        </w:tc>
        <w:tc>
          <w:tcPr>
            <w:tcW w:w="396" w:type="pct"/>
            <w:tcBorders>
              <w:top w:val="single" w:sz="4" w:space="0" w:color="auto"/>
              <w:left w:val="single" w:sz="4" w:space="0" w:color="auto"/>
              <w:bottom w:val="single" w:sz="4" w:space="0" w:color="auto"/>
              <w:right w:val="single" w:sz="4" w:space="0" w:color="auto"/>
            </w:tcBorders>
            <w:vAlign w:val="center"/>
            <w:hideMark/>
          </w:tcPr>
          <w:p w14:paraId="6BFC15BA" w14:textId="77777777" w:rsidR="007E4237" w:rsidRPr="004E7661" w:rsidRDefault="004E7661" w:rsidP="00E93E7C">
            <w:pPr>
              <w:pStyle w:val="TableText"/>
              <w:spacing w:line="256" w:lineRule="auto"/>
              <w:jc w:val="center"/>
              <w:rPr>
                <w:rFonts w:asciiTheme="minorHAnsi" w:hAnsiTheme="minorHAnsi" w:cstheme="minorHAnsi"/>
                <w:szCs w:val="20"/>
                <w:highlight w:val="black"/>
              </w:rPr>
            </w:pPr>
            <w:r>
              <w:rPr>
                <w:rFonts w:asciiTheme="minorHAnsi" w:hAnsiTheme="minorHAnsi" w:cstheme="minorHAnsi"/>
                <w:noProof/>
                <w:color w:val="000000"/>
                <w:szCs w:val="20"/>
                <w:highlight w:val="black"/>
              </w:rPr>
              <w:t>'''''</w:t>
            </w:r>
          </w:p>
        </w:tc>
        <w:tc>
          <w:tcPr>
            <w:tcW w:w="476" w:type="pct"/>
            <w:tcBorders>
              <w:top w:val="single" w:sz="4" w:space="0" w:color="auto"/>
              <w:left w:val="single" w:sz="4" w:space="0" w:color="auto"/>
              <w:bottom w:val="single" w:sz="4" w:space="0" w:color="auto"/>
              <w:right w:val="single" w:sz="4" w:space="0" w:color="auto"/>
            </w:tcBorders>
            <w:vAlign w:val="center"/>
            <w:hideMark/>
          </w:tcPr>
          <w:p w14:paraId="40DA7B9A" w14:textId="77777777" w:rsidR="007E4237" w:rsidRPr="004E7661" w:rsidRDefault="004E7661" w:rsidP="00E93E7C">
            <w:pPr>
              <w:pStyle w:val="TableText"/>
              <w:spacing w:line="256" w:lineRule="auto"/>
              <w:jc w:val="center"/>
              <w:rPr>
                <w:rFonts w:asciiTheme="minorHAnsi" w:hAnsiTheme="minorHAnsi" w:cstheme="minorHAnsi"/>
                <w:szCs w:val="20"/>
                <w:highlight w:val="black"/>
              </w:rPr>
            </w:pPr>
            <w:r>
              <w:rPr>
                <w:rFonts w:asciiTheme="minorHAnsi" w:hAnsiTheme="minorHAnsi" w:cstheme="minorHAnsi"/>
                <w:noProof/>
                <w:color w:val="000000"/>
                <w:szCs w:val="20"/>
                <w:highlight w:val="black"/>
              </w:rPr>
              <w:t>''''''</w:t>
            </w:r>
          </w:p>
        </w:tc>
        <w:tc>
          <w:tcPr>
            <w:tcW w:w="475" w:type="pct"/>
            <w:tcBorders>
              <w:top w:val="single" w:sz="4" w:space="0" w:color="auto"/>
              <w:left w:val="single" w:sz="4" w:space="0" w:color="auto"/>
              <w:bottom w:val="single" w:sz="4" w:space="0" w:color="auto"/>
              <w:right w:val="single" w:sz="4" w:space="0" w:color="auto"/>
            </w:tcBorders>
            <w:vAlign w:val="center"/>
            <w:hideMark/>
          </w:tcPr>
          <w:p w14:paraId="18C4A6AD" w14:textId="77777777" w:rsidR="007E4237" w:rsidRPr="004E7661" w:rsidRDefault="004E7661" w:rsidP="00E93E7C">
            <w:pPr>
              <w:pStyle w:val="TableText"/>
              <w:spacing w:line="256" w:lineRule="auto"/>
              <w:jc w:val="center"/>
              <w:rPr>
                <w:rFonts w:asciiTheme="minorHAnsi" w:hAnsiTheme="minorHAnsi" w:cstheme="minorHAnsi"/>
                <w:szCs w:val="20"/>
                <w:highlight w:val="black"/>
              </w:rPr>
            </w:pPr>
            <w:r>
              <w:rPr>
                <w:rFonts w:asciiTheme="minorHAnsi" w:hAnsiTheme="minorHAnsi" w:cstheme="minorHAnsi"/>
                <w:noProof/>
                <w:color w:val="000000"/>
                <w:szCs w:val="20"/>
                <w:highlight w:val="black"/>
              </w:rPr>
              <w:t>'''''</w:t>
            </w:r>
          </w:p>
        </w:tc>
        <w:tc>
          <w:tcPr>
            <w:tcW w:w="475" w:type="pct"/>
            <w:tcBorders>
              <w:top w:val="single" w:sz="4" w:space="0" w:color="auto"/>
              <w:left w:val="single" w:sz="4" w:space="0" w:color="auto"/>
              <w:bottom w:val="single" w:sz="4" w:space="0" w:color="auto"/>
              <w:right w:val="single" w:sz="4" w:space="0" w:color="auto"/>
            </w:tcBorders>
            <w:vAlign w:val="center"/>
            <w:hideMark/>
          </w:tcPr>
          <w:p w14:paraId="4B3B0B9F" w14:textId="77777777" w:rsidR="007E4237" w:rsidRPr="004E7661" w:rsidRDefault="004E7661" w:rsidP="00E93E7C">
            <w:pPr>
              <w:pStyle w:val="TableText"/>
              <w:spacing w:line="256" w:lineRule="auto"/>
              <w:jc w:val="center"/>
              <w:rPr>
                <w:rFonts w:asciiTheme="minorHAnsi" w:hAnsiTheme="minorHAnsi" w:cstheme="minorHAnsi"/>
                <w:szCs w:val="20"/>
                <w:highlight w:val="black"/>
              </w:rPr>
            </w:pPr>
            <w:r>
              <w:rPr>
                <w:rFonts w:asciiTheme="minorHAnsi" w:hAnsiTheme="minorHAnsi" w:cstheme="minorHAnsi"/>
                <w:noProof/>
                <w:color w:val="000000"/>
                <w:szCs w:val="20"/>
                <w:highlight w:val="black"/>
              </w:rPr>
              <w:t>''''''</w:t>
            </w:r>
          </w:p>
        </w:tc>
        <w:tc>
          <w:tcPr>
            <w:tcW w:w="476" w:type="pct"/>
            <w:tcBorders>
              <w:top w:val="single" w:sz="4" w:space="0" w:color="auto"/>
              <w:left w:val="single" w:sz="4" w:space="0" w:color="auto"/>
              <w:bottom w:val="single" w:sz="4" w:space="0" w:color="auto"/>
              <w:right w:val="single" w:sz="4" w:space="0" w:color="auto"/>
            </w:tcBorders>
            <w:vAlign w:val="center"/>
            <w:hideMark/>
          </w:tcPr>
          <w:p w14:paraId="3339A542" w14:textId="77777777" w:rsidR="007E4237" w:rsidRPr="004E7661" w:rsidRDefault="004E7661" w:rsidP="00E93E7C">
            <w:pPr>
              <w:pStyle w:val="TableText"/>
              <w:spacing w:line="256" w:lineRule="auto"/>
              <w:jc w:val="center"/>
              <w:rPr>
                <w:rFonts w:asciiTheme="minorHAnsi" w:hAnsiTheme="minorHAnsi" w:cstheme="minorHAnsi"/>
                <w:szCs w:val="20"/>
                <w:highlight w:val="black"/>
              </w:rPr>
            </w:pPr>
            <w:r>
              <w:rPr>
                <w:rFonts w:asciiTheme="minorHAnsi" w:hAnsiTheme="minorHAnsi" w:cstheme="minorHAnsi"/>
                <w:noProof/>
                <w:color w:val="000000"/>
                <w:szCs w:val="20"/>
                <w:highlight w:val="black"/>
              </w:rPr>
              <w:t>''''''</w:t>
            </w:r>
          </w:p>
        </w:tc>
        <w:tc>
          <w:tcPr>
            <w:tcW w:w="487" w:type="pct"/>
            <w:tcBorders>
              <w:top w:val="single" w:sz="4" w:space="0" w:color="auto"/>
              <w:left w:val="single" w:sz="4" w:space="0" w:color="auto"/>
              <w:bottom w:val="single" w:sz="4" w:space="0" w:color="auto"/>
              <w:right w:val="single" w:sz="4" w:space="0" w:color="auto"/>
            </w:tcBorders>
            <w:vAlign w:val="center"/>
            <w:hideMark/>
          </w:tcPr>
          <w:p w14:paraId="4585AE4B" w14:textId="77777777" w:rsidR="007E4237" w:rsidRPr="004E7661" w:rsidRDefault="004E7661" w:rsidP="00E93E7C">
            <w:pPr>
              <w:pStyle w:val="TableText"/>
              <w:spacing w:line="256" w:lineRule="auto"/>
              <w:jc w:val="center"/>
              <w:rPr>
                <w:rFonts w:asciiTheme="minorHAnsi" w:hAnsiTheme="minorHAnsi" w:cstheme="minorHAnsi"/>
                <w:szCs w:val="20"/>
                <w:highlight w:val="black"/>
              </w:rPr>
            </w:pPr>
            <w:r>
              <w:rPr>
                <w:rFonts w:asciiTheme="minorHAnsi" w:hAnsiTheme="minorHAnsi" w:cstheme="minorHAnsi"/>
                <w:noProof/>
                <w:color w:val="000000"/>
                <w:szCs w:val="20"/>
                <w:highlight w:val="black"/>
              </w:rPr>
              <w:t>'''''</w:t>
            </w:r>
          </w:p>
        </w:tc>
      </w:tr>
      <w:tr w:rsidR="00A22FBF" w:rsidRPr="00436929" w14:paraId="2DE93166" w14:textId="77777777" w:rsidTr="00A22FBF">
        <w:trPr>
          <w:trHeight w:val="169"/>
        </w:trPr>
        <w:tc>
          <w:tcPr>
            <w:tcW w:w="2215" w:type="pct"/>
            <w:tcBorders>
              <w:top w:val="single" w:sz="4" w:space="0" w:color="auto"/>
              <w:left w:val="single" w:sz="4" w:space="0" w:color="auto"/>
              <w:bottom w:val="single" w:sz="4" w:space="0" w:color="auto"/>
              <w:right w:val="single" w:sz="4" w:space="0" w:color="auto"/>
            </w:tcBorders>
            <w:vAlign w:val="center"/>
            <w:hideMark/>
          </w:tcPr>
          <w:p w14:paraId="1CDD36BD" w14:textId="77777777" w:rsidR="007E4237" w:rsidRPr="004E7661" w:rsidRDefault="004E7661" w:rsidP="00E93E7C">
            <w:pPr>
              <w:pStyle w:val="TableText"/>
              <w:spacing w:line="256" w:lineRule="auto"/>
              <w:rPr>
                <w:rFonts w:asciiTheme="minorHAnsi" w:hAnsiTheme="minorHAnsi" w:cstheme="minorHAnsi"/>
                <w:szCs w:val="20"/>
                <w:highlight w:val="black"/>
              </w:rPr>
            </w:pPr>
            <w:r>
              <w:rPr>
                <w:rFonts w:asciiTheme="minorHAnsi" w:hAnsiTheme="minorHAnsi" w:cstheme="minorHAnsi"/>
                <w:noProof/>
                <w:color w:val="000000"/>
                <w:szCs w:val="20"/>
                <w:highlight w:val="black"/>
              </w:rPr>
              <w:t>''''''''''''''''' '''' '''''''''' ''' ''''''''' '''''''''''''''' '''''''''''''''''' '''''''' '''''''''''''''''''''' '''''' '''''''''</w:t>
            </w:r>
          </w:p>
        </w:tc>
        <w:tc>
          <w:tcPr>
            <w:tcW w:w="396" w:type="pct"/>
            <w:tcBorders>
              <w:top w:val="single" w:sz="4" w:space="0" w:color="auto"/>
              <w:left w:val="single" w:sz="4" w:space="0" w:color="auto"/>
              <w:bottom w:val="single" w:sz="4" w:space="0" w:color="auto"/>
              <w:right w:val="single" w:sz="4" w:space="0" w:color="auto"/>
            </w:tcBorders>
            <w:vAlign w:val="center"/>
            <w:hideMark/>
          </w:tcPr>
          <w:p w14:paraId="6D89BC43" w14:textId="77777777" w:rsidR="007E4237" w:rsidRPr="004E7661" w:rsidRDefault="004E7661" w:rsidP="00E93E7C">
            <w:pPr>
              <w:pStyle w:val="TableText"/>
              <w:spacing w:line="256" w:lineRule="auto"/>
              <w:jc w:val="center"/>
              <w:rPr>
                <w:rFonts w:asciiTheme="minorHAnsi" w:hAnsiTheme="minorHAnsi" w:cstheme="minorHAnsi"/>
                <w:szCs w:val="20"/>
                <w:highlight w:val="black"/>
              </w:rPr>
            </w:pPr>
            <w:r>
              <w:rPr>
                <w:rFonts w:asciiTheme="minorHAnsi" w:hAnsiTheme="minorHAnsi" w:cstheme="minorHAnsi"/>
                <w:noProof/>
                <w:color w:val="000000"/>
                <w:szCs w:val="20"/>
                <w:highlight w:val="black"/>
              </w:rPr>
              <w:t>'''''</w:t>
            </w:r>
          </w:p>
        </w:tc>
        <w:tc>
          <w:tcPr>
            <w:tcW w:w="476" w:type="pct"/>
            <w:tcBorders>
              <w:top w:val="single" w:sz="4" w:space="0" w:color="auto"/>
              <w:left w:val="single" w:sz="4" w:space="0" w:color="auto"/>
              <w:bottom w:val="single" w:sz="4" w:space="0" w:color="auto"/>
              <w:right w:val="single" w:sz="4" w:space="0" w:color="auto"/>
            </w:tcBorders>
            <w:vAlign w:val="center"/>
            <w:hideMark/>
          </w:tcPr>
          <w:p w14:paraId="58083ABE" w14:textId="77777777" w:rsidR="007E4237" w:rsidRPr="004E7661" w:rsidRDefault="004E7661" w:rsidP="00E93E7C">
            <w:pPr>
              <w:pStyle w:val="TableText"/>
              <w:spacing w:line="256" w:lineRule="auto"/>
              <w:jc w:val="center"/>
              <w:rPr>
                <w:rFonts w:asciiTheme="minorHAnsi" w:hAnsiTheme="minorHAnsi" w:cstheme="minorHAnsi"/>
                <w:szCs w:val="20"/>
                <w:highlight w:val="black"/>
              </w:rPr>
            </w:pPr>
            <w:r>
              <w:rPr>
                <w:rFonts w:asciiTheme="minorHAnsi" w:hAnsiTheme="minorHAnsi" w:cstheme="minorHAnsi"/>
                <w:noProof/>
                <w:color w:val="000000"/>
                <w:szCs w:val="20"/>
                <w:highlight w:val="black"/>
              </w:rPr>
              <w:t>'''''</w:t>
            </w:r>
          </w:p>
        </w:tc>
        <w:tc>
          <w:tcPr>
            <w:tcW w:w="475" w:type="pct"/>
            <w:tcBorders>
              <w:top w:val="single" w:sz="4" w:space="0" w:color="auto"/>
              <w:left w:val="single" w:sz="4" w:space="0" w:color="auto"/>
              <w:bottom w:val="single" w:sz="4" w:space="0" w:color="auto"/>
              <w:right w:val="single" w:sz="4" w:space="0" w:color="auto"/>
            </w:tcBorders>
            <w:vAlign w:val="center"/>
            <w:hideMark/>
          </w:tcPr>
          <w:p w14:paraId="4EC27426" w14:textId="77777777" w:rsidR="007E4237" w:rsidRPr="004E7661" w:rsidRDefault="004E7661" w:rsidP="00E93E7C">
            <w:pPr>
              <w:pStyle w:val="TableText"/>
              <w:spacing w:line="256" w:lineRule="auto"/>
              <w:jc w:val="center"/>
              <w:rPr>
                <w:rFonts w:asciiTheme="minorHAnsi" w:hAnsiTheme="minorHAnsi" w:cstheme="minorHAnsi"/>
                <w:szCs w:val="20"/>
                <w:highlight w:val="black"/>
              </w:rPr>
            </w:pPr>
            <w:r>
              <w:rPr>
                <w:rFonts w:asciiTheme="minorHAnsi" w:hAnsiTheme="minorHAnsi" w:cstheme="minorHAnsi"/>
                <w:noProof/>
                <w:color w:val="000000"/>
                <w:szCs w:val="20"/>
                <w:highlight w:val="black"/>
              </w:rPr>
              <w:t>'''''</w:t>
            </w:r>
          </w:p>
        </w:tc>
        <w:tc>
          <w:tcPr>
            <w:tcW w:w="475" w:type="pct"/>
            <w:tcBorders>
              <w:top w:val="single" w:sz="4" w:space="0" w:color="auto"/>
              <w:left w:val="single" w:sz="4" w:space="0" w:color="auto"/>
              <w:bottom w:val="single" w:sz="4" w:space="0" w:color="auto"/>
              <w:right w:val="single" w:sz="4" w:space="0" w:color="auto"/>
            </w:tcBorders>
            <w:vAlign w:val="center"/>
            <w:hideMark/>
          </w:tcPr>
          <w:p w14:paraId="14EEA994" w14:textId="77777777" w:rsidR="007E4237" w:rsidRPr="004E7661" w:rsidRDefault="004E7661" w:rsidP="00E93E7C">
            <w:pPr>
              <w:pStyle w:val="TableText"/>
              <w:spacing w:line="256" w:lineRule="auto"/>
              <w:jc w:val="center"/>
              <w:rPr>
                <w:rFonts w:asciiTheme="minorHAnsi" w:hAnsiTheme="minorHAnsi" w:cstheme="minorHAnsi"/>
                <w:szCs w:val="20"/>
                <w:highlight w:val="black"/>
              </w:rPr>
            </w:pPr>
            <w:r>
              <w:rPr>
                <w:rFonts w:asciiTheme="minorHAnsi" w:hAnsiTheme="minorHAnsi" w:cstheme="minorHAnsi"/>
                <w:noProof/>
                <w:color w:val="000000"/>
                <w:szCs w:val="20"/>
                <w:highlight w:val="black"/>
              </w:rPr>
              <w:t>'''''</w:t>
            </w:r>
          </w:p>
        </w:tc>
        <w:tc>
          <w:tcPr>
            <w:tcW w:w="476" w:type="pct"/>
            <w:tcBorders>
              <w:top w:val="single" w:sz="4" w:space="0" w:color="auto"/>
              <w:left w:val="single" w:sz="4" w:space="0" w:color="auto"/>
              <w:bottom w:val="single" w:sz="4" w:space="0" w:color="auto"/>
              <w:right w:val="single" w:sz="4" w:space="0" w:color="auto"/>
            </w:tcBorders>
            <w:vAlign w:val="center"/>
            <w:hideMark/>
          </w:tcPr>
          <w:p w14:paraId="22EC4917" w14:textId="77777777" w:rsidR="007E4237" w:rsidRPr="004E7661" w:rsidRDefault="004E7661" w:rsidP="00E93E7C">
            <w:pPr>
              <w:pStyle w:val="TableText"/>
              <w:spacing w:line="256" w:lineRule="auto"/>
              <w:jc w:val="center"/>
              <w:rPr>
                <w:rFonts w:asciiTheme="minorHAnsi" w:hAnsiTheme="minorHAnsi" w:cstheme="minorHAnsi"/>
                <w:szCs w:val="20"/>
                <w:highlight w:val="black"/>
              </w:rPr>
            </w:pPr>
            <w:r>
              <w:rPr>
                <w:rFonts w:asciiTheme="minorHAnsi" w:hAnsiTheme="minorHAnsi" w:cstheme="minorHAnsi"/>
                <w:noProof/>
                <w:color w:val="000000"/>
                <w:szCs w:val="20"/>
                <w:highlight w:val="black"/>
              </w:rPr>
              <w:t>'''''</w:t>
            </w:r>
          </w:p>
        </w:tc>
        <w:tc>
          <w:tcPr>
            <w:tcW w:w="487" w:type="pct"/>
            <w:tcBorders>
              <w:top w:val="single" w:sz="4" w:space="0" w:color="auto"/>
              <w:left w:val="single" w:sz="4" w:space="0" w:color="auto"/>
              <w:bottom w:val="single" w:sz="4" w:space="0" w:color="auto"/>
              <w:right w:val="single" w:sz="4" w:space="0" w:color="auto"/>
            </w:tcBorders>
            <w:vAlign w:val="center"/>
            <w:hideMark/>
          </w:tcPr>
          <w:p w14:paraId="5DBCC548" w14:textId="77777777" w:rsidR="007E4237" w:rsidRPr="004E7661" w:rsidRDefault="004E7661" w:rsidP="00E93E7C">
            <w:pPr>
              <w:pStyle w:val="TableText"/>
              <w:spacing w:line="256" w:lineRule="auto"/>
              <w:jc w:val="center"/>
              <w:rPr>
                <w:rFonts w:asciiTheme="minorHAnsi" w:hAnsiTheme="minorHAnsi" w:cstheme="minorHAnsi"/>
                <w:szCs w:val="20"/>
                <w:highlight w:val="black"/>
              </w:rPr>
            </w:pPr>
            <w:r>
              <w:rPr>
                <w:rFonts w:asciiTheme="minorHAnsi" w:hAnsiTheme="minorHAnsi" w:cstheme="minorHAnsi"/>
                <w:noProof/>
                <w:color w:val="000000"/>
                <w:szCs w:val="20"/>
                <w:highlight w:val="black"/>
              </w:rPr>
              <w:t>'''''</w:t>
            </w:r>
          </w:p>
        </w:tc>
      </w:tr>
      <w:tr w:rsidR="00A22FBF" w:rsidRPr="00436929" w14:paraId="51F47AB4" w14:textId="77777777" w:rsidTr="00A22FBF">
        <w:trPr>
          <w:trHeight w:val="58"/>
        </w:trPr>
        <w:tc>
          <w:tcPr>
            <w:tcW w:w="2215" w:type="pct"/>
            <w:tcBorders>
              <w:top w:val="single" w:sz="4" w:space="0" w:color="auto"/>
              <w:left w:val="single" w:sz="4" w:space="0" w:color="auto"/>
              <w:bottom w:val="single" w:sz="4" w:space="0" w:color="auto"/>
              <w:right w:val="single" w:sz="4" w:space="0" w:color="auto"/>
            </w:tcBorders>
            <w:vAlign w:val="center"/>
            <w:hideMark/>
          </w:tcPr>
          <w:p w14:paraId="6618F284" w14:textId="77777777" w:rsidR="007E4237" w:rsidRPr="004E7661" w:rsidRDefault="004E7661" w:rsidP="00E93E7C">
            <w:pPr>
              <w:pStyle w:val="TableText"/>
              <w:spacing w:line="256" w:lineRule="auto"/>
              <w:rPr>
                <w:rFonts w:asciiTheme="minorHAnsi" w:hAnsiTheme="minorHAnsi" w:cstheme="minorHAnsi"/>
                <w:szCs w:val="20"/>
                <w:highlight w:val="black"/>
              </w:rPr>
            </w:pPr>
            <w:r>
              <w:rPr>
                <w:rFonts w:asciiTheme="minorHAnsi" w:hAnsiTheme="minorHAnsi" w:cstheme="minorHAnsi"/>
                <w:noProof/>
                <w:color w:val="000000"/>
                <w:szCs w:val="20"/>
                <w:highlight w:val="black"/>
              </w:rPr>
              <w:t>''''''''''''''' '''' '''''''''' ''' ''''''''' ''''''''''''''' ''''''''''''''''' ''''''' '''''''''''''''''''''' ''''''' '''''''''</w:t>
            </w:r>
          </w:p>
        </w:tc>
        <w:tc>
          <w:tcPr>
            <w:tcW w:w="396" w:type="pct"/>
            <w:tcBorders>
              <w:top w:val="single" w:sz="4" w:space="0" w:color="auto"/>
              <w:left w:val="single" w:sz="4" w:space="0" w:color="auto"/>
              <w:bottom w:val="single" w:sz="4" w:space="0" w:color="auto"/>
              <w:right w:val="single" w:sz="4" w:space="0" w:color="auto"/>
            </w:tcBorders>
            <w:vAlign w:val="center"/>
            <w:hideMark/>
          </w:tcPr>
          <w:p w14:paraId="661C9156" w14:textId="77777777" w:rsidR="007E4237" w:rsidRPr="004E7661" w:rsidRDefault="004E7661" w:rsidP="00E93E7C">
            <w:pPr>
              <w:pStyle w:val="TableText"/>
              <w:spacing w:line="256" w:lineRule="auto"/>
              <w:jc w:val="center"/>
              <w:rPr>
                <w:rFonts w:asciiTheme="minorHAnsi" w:hAnsiTheme="minorHAnsi" w:cstheme="minorHAnsi"/>
                <w:szCs w:val="20"/>
                <w:highlight w:val="black"/>
              </w:rPr>
            </w:pPr>
            <w:r>
              <w:rPr>
                <w:rFonts w:asciiTheme="minorHAnsi" w:hAnsiTheme="minorHAnsi" w:cstheme="minorHAnsi"/>
                <w:noProof/>
                <w:color w:val="000000"/>
                <w:szCs w:val="20"/>
                <w:highlight w:val="black"/>
              </w:rPr>
              <w:t>'''''</w:t>
            </w:r>
          </w:p>
        </w:tc>
        <w:tc>
          <w:tcPr>
            <w:tcW w:w="476" w:type="pct"/>
            <w:tcBorders>
              <w:top w:val="single" w:sz="4" w:space="0" w:color="auto"/>
              <w:left w:val="single" w:sz="4" w:space="0" w:color="auto"/>
              <w:bottom w:val="single" w:sz="4" w:space="0" w:color="auto"/>
              <w:right w:val="single" w:sz="4" w:space="0" w:color="auto"/>
            </w:tcBorders>
            <w:vAlign w:val="center"/>
            <w:hideMark/>
          </w:tcPr>
          <w:p w14:paraId="710072D8" w14:textId="77777777" w:rsidR="007E4237" w:rsidRPr="004E7661" w:rsidRDefault="004E7661" w:rsidP="00E93E7C">
            <w:pPr>
              <w:pStyle w:val="TableText"/>
              <w:spacing w:line="256" w:lineRule="auto"/>
              <w:jc w:val="center"/>
              <w:rPr>
                <w:rFonts w:asciiTheme="minorHAnsi" w:hAnsiTheme="minorHAnsi" w:cstheme="minorHAnsi"/>
                <w:szCs w:val="20"/>
                <w:highlight w:val="black"/>
              </w:rPr>
            </w:pPr>
            <w:r>
              <w:rPr>
                <w:rFonts w:asciiTheme="minorHAnsi" w:hAnsiTheme="minorHAnsi" w:cstheme="minorHAnsi"/>
                <w:noProof/>
                <w:color w:val="000000"/>
                <w:szCs w:val="20"/>
                <w:highlight w:val="black"/>
              </w:rPr>
              <w:t>'''''</w:t>
            </w:r>
          </w:p>
        </w:tc>
        <w:tc>
          <w:tcPr>
            <w:tcW w:w="475" w:type="pct"/>
            <w:tcBorders>
              <w:top w:val="single" w:sz="4" w:space="0" w:color="auto"/>
              <w:left w:val="single" w:sz="4" w:space="0" w:color="auto"/>
              <w:bottom w:val="single" w:sz="4" w:space="0" w:color="auto"/>
              <w:right w:val="single" w:sz="4" w:space="0" w:color="auto"/>
            </w:tcBorders>
            <w:vAlign w:val="center"/>
            <w:hideMark/>
          </w:tcPr>
          <w:p w14:paraId="3942CA2C" w14:textId="77777777" w:rsidR="007E4237" w:rsidRPr="004E7661" w:rsidRDefault="004E7661" w:rsidP="00E93E7C">
            <w:pPr>
              <w:pStyle w:val="TableText"/>
              <w:spacing w:line="256" w:lineRule="auto"/>
              <w:jc w:val="center"/>
              <w:rPr>
                <w:rFonts w:asciiTheme="minorHAnsi" w:hAnsiTheme="minorHAnsi" w:cstheme="minorHAnsi"/>
                <w:szCs w:val="20"/>
                <w:highlight w:val="black"/>
              </w:rPr>
            </w:pPr>
            <w:r>
              <w:rPr>
                <w:rFonts w:asciiTheme="minorHAnsi" w:hAnsiTheme="minorHAnsi" w:cstheme="minorHAnsi"/>
                <w:noProof/>
                <w:color w:val="000000"/>
                <w:szCs w:val="20"/>
                <w:highlight w:val="black"/>
              </w:rPr>
              <w:t>'''''</w:t>
            </w:r>
          </w:p>
        </w:tc>
        <w:tc>
          <w:tcPr>
            <w:tcW w:w="475" w:type="pct"/>
            <w:tcBorders>
              <w:top w:val="single" w:sz="4" w:space="0" w:color="auto"/>
              <w:left w:val="single" w:sz="4" w:space="0" w:color="auto"/>
              <w:bottom w:val="single" w:sz="4" w:space="0" w:color="auto"/>
              <w:right w:val="single" w:sz="4" w:space="0" w:color="auto"/>
            </w:tcBorders>
            <w:vAlign w:val="center"/>
            <w:hideMark/>
          </w:tcPr>
          <w:p w14:paraId="5252BDA5" w14:textId="77777777" w:rsidR="007E4237" w:rsidRPr="004E7661" w:rsidRDefault="004E7661" w:rsidP="00E93E7C">
            <w:pPr>
              <w:pStyle w:val="TableText"/>
              <w:spacing w:line="256" w:lineRule="auto"/>
              <w:jc w:val="center"/>
              <w:rPr>
                <w:rFonts w:asciiTheme="minorHAnsi" w:hAnsiTheme="minorHAnsi" w:cstheme="minorHAnsi"/>
                <w:szCs w:val="20"/>
                <w:highlight w:val="black"/>
              </w:rPr>
            </w:pPr>
            <w:r>
              <w:rPr>
                <w:rFonts w:asciiTheme="minorHAnsi" w:hAnsiTheme="minorHAnsi" w:cstheme="minorHAnsi"/>
                <w:noProof/>
                <w:color w:val="000000"/>
                <w:szCs w:val="20"/>
                <w:highlight w:val="black"/>
              </w:rPr>
              <w:t>'''''</w:t>
            </w:r>
          </w:p>
        </w:tc>
        <w:tc>
          <w:tcPr>
            <w:tcW w:w="476" w:type="pct"/>
            <w:tcBorders>
              <w:top w:val="single" w:sz="4" w:space="0" w:color="auto"/>
              <w:left w:val="single" w:sz="4" w:space="0" w:color="auto"/>
              <w:bottom w:val="single" w:sz="4" w:space="0" w:color="auto"/>
              <w:right w:val="single" w:sz="4" w:space="0" w:color="auto"/>
            </w:tcBorders>
            <w:vAlign w:val="center"/>
            <w:hideMark/>
          </w:tcPr>
          <w:p w14:paraId="4B423D9B" w14:textId="77777777" w:rsidR="007E4237" w:rsidRPr="004E7661" w:rsidRDefault="004E7661" w:rsidP="00E93E7C">
            <w:pPr>
              <w:pStyle w:val="TableText"/>
              <w:spacing w:line="256" w:lineRule="auto"/>
              <w:jc w:val="center"/>
              <w:rPr>
                <w:rFonts w:asciiTheme="minorHAnsi" w:hAnsiTheme="minorHAnsi" w:cstheme="minorHAnsi"/>
                <w:szCs w:val="20"/>
                <w:highlight w:val="black"/>
              </w:rPr>
            </w:pPr>
            <w:r>
              <w:rPr>
                <w:rFonts w:asciiTheme="minorHAnsi" w:hAnsiTheme="minorHAnsi" w:cstheme="minorHAnsi"/>
                <w:noProof/>
                <w:color w:val="000000"/>
                <w:szCs w:val="20"/>
                <w:highlight w:val="black"/>
              </w:rPr>
              <w:t>'''''</w:t>
            </w:r>
          </w:p>
        </w:tc>
        <w:tc>
          <w:tcPr>
            <w:tcW w:w="487" w:type="pct"/>
            <w:tcBorders>
              <w:top w:val="single" w:sz="4" w:space="0" w:color="auto"/>
              <w:left w:val="single" w:sz="4" w:space="0" w:color="auto"/>
              <w:bottom w:val="single" w:sz="4" w:space="0" w:color="auto"/>
              <w:right w:val="single" w:sz="4" w:space="0" w:color="auto"/>
            </w:tcBorders>
            <w:vAlign w:val="center"/>
            <w:hideMark/>
          </w:tcPr>
          <w:p w14:paraId="474234E8" w14:textId="77777777" w:rsidR="007E4237" w:rsidRPr="004E7661" w:rsidRDefault="004E7661" w:rsidP="00E93E7C">
            <w:pPr>
              <w:pStyle w:val="TableText"/>
              <w:spacing w:line="256" w:lineRule="auto"/>
              <w:jc w:val="center"/>
              <w:rPr>
                <w:rFonts w:asciiTheme="minorHAnsi" w:hAnsiTheme="minorHAnsi" w:cstheme="minorHAnsi"/>
                <w:szCs w:val="20"/>
                <w:highlight w:val="black"/>
              </w:rPr>
            </w:pPr>
            <w:r>
              <w:rPr>
                <w:rFonts w:asciiTheme="minorHAnsi" w:hAnsiTheme="minorHAnsi" w:cstheme="minorHAnsi"/>
                <w:noProof/>
                <w:color w:val="000000"/>
                <w:szCs w:val="20"/>
                <w:highlight w:val="black"/>
              </w:rPr>
              <w:t>'''''</w:t>
            </w:r>
          </w:p>
        </w:tc>
      </w:tr>
      <w:tr w:rsidR="00A22FBF" w:rsidRPr="00436929" w14:paraId="5874E3EF" w14:textId="77777777" w:rsidTr="00A22FBF">
        <w:trPr>
          <w:trHeight w:val="58"/>
        </w:trPr>
        <w:tc>
          <w:tcPr>
            <w:tcW w:w="2215" w:type="pct"/>
            <w:tcBorders>
              <w:top w:val="single" w:sz="4" w:space="0" w:color="auto"/>
              <w:left w:val="single" w:sz="4" w:space="0" w:color="auto"/>
              <w:bottom w:val="single" w:sz="4" w:space="0" w:color="auto"/>
              <w:right w:val="single" w:sz="4" w:space="0" w:color="auto"/>
            </w:tcBorders>
            <w:vAlign w:val="center"/>
            <w:hideMark/>
          </w:tcPr>
          <w:p w14:paraId="2B141DBD" w14:textId="77777777" w:rsidR="007E4237" w:rsidRPr="004E7661" w:rsidRDefault="004E7661" w:rsidP="00E93E7C">
            <w:pPr>
              <w:pStyle w:val="TableText"/>
              <w:spacing w:line="256" w:lineRule="auto"/>
              <w:rPr>
                <w:rFonts w:asciiTheme="minorHAnsi" w:hAnsiTheme="minorHAnsi" w:cstheme="minorHAnsi"/>
                <w:szCs w:val="20"/>
                <w:highlight w:val="black"/>
              </w:rPr>
            </w:pPr>
            <w:r>
              <w:rPr>
                <w:rFonts w:asciiTheme="minorHAnsi" w:hAnsiTheme="minorHAnsi" w:cstheme="minorHAnsi"/>
                <w:noProof/>
                <w:color w:val="000000"/>
                <w:szCs w:val="20"/>
                <w:highlight w:val="black"/>
              </w:rPr>
              <w:t>'''''''''' ''''''''''''''''' '''''''''''''' ''''''''' '''''''' '''''''''''''''' '''''''''''''''</w:t>
            </w:r>
          </w:p>
        </w:tc>
        <w:tc>
          <w:tcPr>
            <w:tcW w:w="396" w:type="pct"/>
            <w:tcBorders>
              <w:top w:val="single" w:sz="4" w:space="0" w:color="auto"/>
              <w:left w:val="single" w:sz="4" w:space="0" w:color="auto"/>
              <w:bottom w:val="single" w:sz="4" w:space="0" w:color="auto"/>
              <w:right w:val="single" w:sz="4" w:space="0" w:color="auto"/>
            </w:tcBorders>
            <w:vAlign w:val="center"/>
            <w:hideMark/>
          </w:tcPr>
          <w:p w14:paraId="3DC5A70A" w14:textId="77777777" w:rsidR="007E4237" w:rsidRPr="004E7661" w:rsidRDefault="004E7661" w:rsidP="00E93E7C">
            <w:pPr>
              <w:pStyle w:val="TableText"/>
              <w:spacing w:line="256" w:lineRule="auto"/>
              <w:jc w:val="center"/>
              <w:rPr>
                <w:rFonts w:asciiTheme="minorHAnsi" w:hAnsiTheme="minorHAnsi" w:cstheme="minorHAnsi"/>
                <w:bCs/>
                <w:color w:val="000000"/>
                <w:szCs w:val="20"/>
                <w:highlight w:val="black"/>
              </w:rPr>
            </w:pPr>
            <w:r>
              <w:rPr>
                <w:rFonts w:asciiTheme="minorHAnsi" w:hAnsiTheme="minorHAnsi" w:cstheme="minorHAnsi"/>
                <w:noProof/>
                <w:color w:val="000000"/>
                <w:szCs w:val="20"/>
                <w:highlight w:val="black"/>
              </w:rPr>
              <w:t>''''''''</w:t>
            </w:r>
          </w:p>
        </w:tc>
        <w:tc>
          <w:tcPr>
            <w:tcW w:w="476" w:type="pct"/>
            <w:tcBorders>
              <w:top w:val="single" w:sz="4" w:space="0" w:color="auto"/>
              <w:left w:val="single" w:sz="4" w:space="0" w:color="auto"/>
              <w:bottom w:val="single" w:sz="4" w:space="0" w:color="auto"/>
              <w:right w:val="single" w:sz="4" w:space="0" w:color="auto"/>
            </w:tcBorders>
            <w:vAlign w:val="center"/>
            <w:hideMark/>
          </w:tcPr>
          <w:p w14:paraId="62A5FA21" w14:textId="77777777" w:rsidR="007E4237" w:rsidRPr="004E7661" w:rsidRDefault="004E7661" w:rsidP="00E93E7C">
            <w:pPr>
              <w:pStyle w:val="TableText"/>
              <w:spacing w:line="256" w:lineRule="auto"/>
              <w:jc w:val="center"/>
              <w:rPr>
                <w:rFonts w:asciiTheme="minorHAnsi" w:hAnsiTheme="minorHAnsi" w:cstheme="minorHAnsi"/>
                <w:bCs/>
                <w:color w:val="000000"/>
                <w:szCs w:val="20"/>
                <w:highlight w:val="black"/>
              </w:rPr>
            </w:pPr>
            <w:r>
              <w:rPr>
                <w:rFonts w:asciiTheme="minorHAnsi" w:hAnsiTheme="minorHAnsi" w:cstheme="minorHAnsi"/>
                <w:noProof/>
                <w:color w:val="000000"/>
                <w:szCs w:val="20"/>
                <w:highlight w:val="black"/>
              </w:rPr>
              <w:t>''''''''</w:t>
            </w:r>
          </w:p>
        </w:tc>
        <w:tc>
          <w:tcPr>
            <w:tcW w:w="475" w:type="pct"/>
            <w:tcBorders>
              <w:top w:val="single" w:sz="4" w:space="0" w:color="auto"/>
              <w:left w:val="single" w:sz="4" w:space="0" w:color="auto"/>
              <w:bottom w:val="single" w:sz="4" w:space="0" w:color="auto"/>
              <w:right w:val="single" w:sz="4" w:space="0" w:color="auto"/>
            </w:tcBorders>
            <w:vAlign w:val="center"/>
            <w:hideMark/>
          </w:tcPr>
          <w:p w14:paraId="1479B97B" w14:textId="77777777" w:rsidR="007E4237" w:rsidRPr="004E7661" w:rsidRDefault="004E7661" w:rsidP="00E93E7C">
            <w:pPr>
              <w:pStyle w:val="TableText"/>
              <w:spacing w:line="256" w:lineRule="auto"/>
              <w:jc w:val="center"/>
              <w:rPr>
                <w:rFonts w:asciiTheme="minorHAnsi" w:hAnsiTheme="minorHAnsi" w:cstheme="minorHAnsi"/>
                <w:bCs/>
                <w:color w:val="000000"/>
                <w:szCs w:val="20"/>
                <w:highlight w:val="black"/>
              </w:rPr>
            </w:pPr>
            <w:r>
              <w:rPr>
                <w:rFonts w:asciiTheme="minorHAnsi" w:hAnsiTheme="minorHAnsi" w:cstheme="minorHAnsi"/>
                <w:noProof/>
                <w:color w:val="000000"/>
                <w:szCs w:val="20"/>
                <w:highlight w:val="black"/>
              </w:rPr>
              <w:t>'''''''</w:t>
            </w:r>
          </w:p>
        </w:tc>
        <w:tc>
          <w:tcPr>
            <w:tcW w:w="475" w:type="pct"/>
            <w:tcBorders>
              <w:top w:val="single" w:sz="4" w:space="0" w:color="auto"/>
              <w:left w:val="single" w:sz="4" w:space="0" w:color="auto"/>
              <w:bottom w:val="single" w:sz="4" w:space="0" w:color="auto"/>
              <w:right w:val="single" w:sz="4" w:space="0" w:color="auto"/>
            </w:tcBorders>
            <w:vAlign w:val="center"/>
            <w:hideMark/>
          </w:tcPr>
          <w:p w14:paraId="1CCD4FF8" w14:textId="77777777" w:rsidR="007E4237" w:rsidRPr="004E7661" w:rsidRDefault="004E7661" w:rsidP="00E93E7C">
            <w:pPr>
              <w:pStyle w:val="TableText"/>
              <w:spacing w:line="256" w:lineRule="auto"/>
              <w:jc w:val="center"/>
              <w:rPr>
                <w:rFonts w:asciiTheme="minorHAnsi" w:hAnsiTheme="minorHAnsi" w:cstheme="minorHAnsi"/>
                <w:bCs/>
                <w:color w:val="000000"/>
                <w:szCs w:val="20"/>
                <w:highlight w:val="black"/>
              </w:rPr>
            </w:pPr>
            <w:r>
              <w:rPr>
                <w:rFonts w:asciiTheme="minorHAnsi" w:hAnsiTheme="minorHAnsi" w:cstheme="minorHAnsi"/>
                <w:noProof/>
                <w:color w:val="000000"/>
                <w:szCs w:val="20"/>
                <w:highlight w:val="black"/>
              </w:rPr>
              <w:t>'''''''</w:t>
            </w:r>
          </w:p>
        </w:tc>
        <w:tc>
          <w:tcPr>
            <w:tcW w:w="476" w:type="pct"/>
            <w:tcBorders>
              <w:top w:val="single" w:sz="4" w:space="0" w:color="auto"/>
              <w:left w:val="single" w:sz="4" w:space="0" w:color="auto"/>
              <w:bottom w:val="single" w:sz="4" w:space="0" w:color="auto"/>
              <w:right w:val="single" w:sz="4" w:space="0" w:color="auto"/>
            </w:tcBorders>
            <w:vAlign w:val="center"/>
            <w:hideMark/>
          </w:tcPr>
          <w:p w14:paraId="0B819DFC" w14:textId="77777777" w:rsidR="007E4237" w:rsidRPr="004E7661" w:rsidRDefault="004E7661" w:rsidP="00E93E7C">
            <w:pPr>
              <w:pStyle w:val="TableText"/>
              <w:spacing w:line="256" w:lineRule="auto"/>
              <w:jc w:val="center"/>
              <w:rPr>
                <w:rFonts w:asciiTheme="minorHAnsi" w:hAnsiTheme="minorHAnsi" w:cstheme="minorHAnsi"/>
                <w:bCs/>
                <w:color w:val="000000"/>
                <w:szCs w:val="20"/>
                <w:highlight w:val="black"/>
              </w:rPr>
            </w:pPr>
            <w:r>
              <w:rPr>
                <w:rFonts w:asciiTheme="minorHAnsi" w:hAnsiTheme="minorHAnsi" w:cstheme="minorHAnsi"/>
                <w:noProof/>
                <w:color w:val="000000"/>
                <w:szCs w:val="20"/>
                <w:highlight w:val="black"/>
              </w:rPr>
              <w:t>''''''''</w:t>
            </w:r>
          </w:p>
        </w:tc>
        <w:tc>
          <w:tcPr>
            <w:tcW w:w="487" w:type="pct"/>
            <w:tcBorders>
              <w:top w:val="single" w:sz="4" w:space="0" w:color="auto"/>
              <w:left w:val="single" w:sz="4" w:space="0" w:color="auto"/>
              <w:bottom w:val="single" w:sz="4" w:space="0" w:color="auto"/>
              <w:right w:val="single" w:sz="4" w:space="0" w:color="auto"/>
            </w:tcBorders>
            <w:vAlign w:val="center"/>
            <w:hideMark/>
          </w:tcPr>
          <w:p w14:paraId="06968B91" w14:textId="77777777" w:rsidR="007E4237" w:rsidRPr="004E7661" w:rsidRDefault="004E7661" w:rsidP="00E93E7C">
            <w:pPr>
              <w:pStyle w:val="TableText"/>
              <w:spacing w:line="256" w:lineRule="auto"/>
              <w:jc w:val="center"/>
              <w:rPr>
                <w:rFonts w:asciiTheme="minorHAnsi" w:hAnsiTheme="minorHAnsi" w:cstheme="minorHAnsi"/>
                <w:bCs/>
                <w:color w:val="000000"/>
                <w:szCs w:val="20"/>
                <w:highlight w:val="black"/>
              </w:rPr>
            </w:pPr>
            <w:r>
              <w:rPr>
                <w:rFonts w:asciiTheme="minorHAnsi" w:hAnsiTheme="minorHAnsi" w:cstheme="minorHAnsi"/>
                <w:noProof/>
                <w:color w:val="000000"/>
                <w:szCs w:val="20"/>
                <w:highlight w:val="black"/>
              </w:rPr>
              <w:t>''''''''</w:t>
            </w:r>
          </w:p>
        </w:tc>
      </w:tr>
      <w:tr w:rsidR="00A22FBF" w:rsidRPr="00436929" w14:paraId="2E9F28A3" w14:textId="77777777" w:rsidTr="00A22FBF">
        <w:trPr>
          <w:trHeight w:val="91"/>
        </w:trPr>
        <w:tc>
          <w:tcPr>
            <w:tcW w:w="2215" w:type="pct"/>
            <w:tcBorders>
              <w:top w:val="single" w:sz="4" w:space="0" w:color="auto"/>
              <w:left w:val="single" w:sz="4" w:space="0" w:color="auto"/>
              <w:bottom w:val="single" w:sz="4" w:space="0" w:color="auto"/>
              <w:right w:val="single" w:sz="4" w:space="0" w:color="auto"/>
            </w:tcBorders>
            <w:vAlign w:val="center"/>
            <w:hideMark/>
          </w:tcPr>
          <w:p w14:paraId="175932C0" w14:textId="77777777" w:rsidR="007E4237" w:rsidRPr="004E7661" w:rsidRDefault="004E7661" w:rsidP="005E6371">
            <w:pPr>
              <w:pStyle w:val="TableText"/>
              <w:spacing w:line="256" w:lineRule="auto"/>
              <w:rPr>
                <w:rFonts w:asciiTheme="minorHAnsi" w:hAnsiTheme="minorHAnsi" w:cstheme="minorHAnsi"/>
                <w:szCs w:val="20"/>
                <w:highlight w:val="black"/>
              </w:rPr>
            </w:pPr>
            <w:r>
              <w:rPr>
                <w:rFonts w:asciiTheme="minorHAnsi" w:hAnsiTheme="minorHAnsi" w:cstheme="minorHAnsi"/>
                <w:noProof/>
                <w:color w:val="000000"/>
                <w:szCs w:val="20"/>
                <w:highlight w:val="black"/>
              </w:rPr>
              <w:t>''''''''''''''''' ''''' '''''''''''''''''''''''''' ''''''''''''''''''''''</w:t>
            </w:r>
          </w:p>
        </w:tc>
        <w:tc>
          <w:tcPr>
            <w:tcW w:w="396" w:type="pct"/>
            <w:tcBorders>
              <w:top w:val="single" w:sz="4" w:space="0" w:color="auto"/>
              <w:left w:val="single" w:sz="4" w:space="0" w:color="auto"/>
              <w:bottom w:val="single" w:sz="4" w:space="0" w:color="auto"/>
              <w:right w:val="single" w:sz="4" w:space="0" w:color="auto"/>
            </w:tcBorders>
            <w:vAlign w:val="center"/>
            <w:hideMark/>
          </w:tcPr>
          <w:p w14:paraId="53FCAAF1" w14:textId="77777777" w:rsidR="007E4237" w:rsidRPr="004E7661" w:rsidRDefault="004E7661" w:rsidP="00E93E7C">
            <w:pPr>
              <w:pStyle w:val="TableText"/>
              <w:spacing w:line="256" w:lineRule="auto"/>
              <w:jc w:val="center"/>
              <w:rPr>
                <w:rFonts w:asciiTheme="minorHAnsi" w:hAnsiTheme="minorHAnsi" w:cstheme="minorHAnsi"/>
                <w:bCs/>
                <w:color w:val="000000"/>
                <w:szCs w:val="20"/>
                <w:highlight w:val="black"/>
              </w:rPr>
            </w:pPr>
            <w:r>
              <w:rPr>
                <w:rFonts w:asciiTheme="minorHAnsi" w:hAnsiTheme="minorHAnsi" w:cstheme="minorHAnsi"/>
                <w:noProof/>
                <w:color w:val="000000"/>
                <w:szCs w:val="20"/>
                <w:highlight w:val="black"/>
              </w:rPr>
              <w:t>'''''''''''</w:t>
            </w:r>
          </w:p>
        </w:tc>
        <w:tc>
          <w:tcPr>
            <w:tcW w:w="476" w:type="pct"/>
            <w:tcBorders>
              <w:top w:val="single" w:sz="4" w:space="0" w:color="auto"/>
              <w:left w:val="single" w:sz="4" w:space="0" w:color="auto"/>
              <w:bottom w:val="single" w:sz="4" w:space="0" w:color="auto"/>
              <w:right w:val="single" w:sz="4" w:space="0" w:color="auto"/>
            </w:tcBorders>
            <w:vAlign w:val="center"/>
            <w:hideMark/>
          </w:tcPr>
          <w:p w14:paraId="1F36CC6D" w14:textId="77777777" w:rsidR="007E4237" w:rsidRPr="004E7661" w:rsidRDefault="004E7661" w:rsidP="00E93E7C">
            <w:pPr>
              <w:pStyle w:val="TableText"/>
              <w:spacing w:line="256" w:lineRule="auto"/>
              <w:jc w:val="center"/>
              <w:rPr>
                <w:rFonts w:asciiTheme="minorHAnsi" w:hAnsiTheme="minorHAnsi" w:cstheme="minorHAnsi"/>
                <w:bCs/>
                <w:color w:val="000000"/>
                <w:szCs w:val="20"/>
                <w:highlight w:val="black"/>
              </w:rPr>
            </w:pPr>
            <w:r>
              <w:rPr>
                <w:rFonts w:asciiTheme="minorHAnsi" w:hAnsiTheme="minorHAnsi" w:cstheme="minorHAnsi"/>
                <w:noProof/>
                <w:color w:val="000000"/>
                <w:szCs w:val="20"/>
                <w:highlight w:val="black"/>
              </w:rPr>
              <w:t>'''''''</w:t>
            </w:r>
          </w:p>
        </w:tc>
        <w:tc>
          <w:tcPr>
            <w:tcW w:w="475" w:type="pct"/>
            <w:tcBorders>
              <w:top w:val="single" w:sz="4" w:space="0" w:color="auto"/>
              <w:left w:val="single" w:sz="4" w:space="0" w:color="auto"/>
              <w:bottom w:val="single" w:sz="4" w:space="0" w:color="auto"/>
              <w:right w:val="single" w:sz="4" w:space="0" w:color="auto"/>
            </w:tcBorders>
            <w:vAlign w:val="center"/>
            <w:hideMark/>
          </w:tcPr>
          <w:p w14:paraId="144D2227" w14:textId="77777777" w:rsidR="007E4237" w:rsidRPr="004E7661" w:rsidRDefault="004E7661" w:rsidP="00E93E7C">
            <w:pPr>
              <w:pStyle w:val="TableText"/>
              <w:spacing w:line="256" w:lineRule="auto"/>
              <w:jc w:val="center"/>
              <w:rPr>
                <w:rFonts w:asciiTheme="minorHAnsi" w:hAnsiTheme="minorHAnsi" w:cstheme="minorHAnsi"/>
                <w:bCs/>
                <w:color w:val="000000"/>
                <w:szCs w:val="20"/>
                <w:highlight w:val="black"/>
              </w:rPr>
            </w:pPr>
            <w:r>
              <w:rPr>
                <w:rFonts w:asciiTheme="minorHAnsi" w:hAnsiTheme="minorHAnsi" w:cstheme="minorHAnsi"/>
                <w:noProof/>
                <w:color w:val="000000"/>
                <w:szCs w:val="20"/>
                <w:highlight w:val="black"/>
              </w:rPr>
              <w:t>''''''''''''</w:t>
            </w:r>
          </w:p>
        </w:tc>
        <w:tc>
          <w:tcPr>
            <w:tcW w:w="475" w:type="pct"/>
            <w:tcBorders>
              <w:top w:val="single" w:sz="4" w:space="0" w:color="auto"/>
              <w:left w:val="single" w:sz="4" w:space="0" w:color="auto"/>
              <w:bottom w:val="single" w:sz="4" w:space="0" w:color="auto"/>
              <w:right w:val="single" w:sz="4" w:space="0" w:color="auto"/>
            </w:tcBorders>
            <w:vAlign w:val="center"/>
            <w:hideMark/>
          </w:tcPr>
          <w:p w14:paraId="6E24009E" w14:textId="77777777" w:rsidR="007E4237" w:rsidRPr="004E7661" w:rsidRDefault="004E7661" w:rsidP="00E93E7C">
            <w:pPr>
              <w:pStyle w:val="TableText"/>
              <w:spacing w:line="256" w:lineRule="auto"/>
              <w:jc w:val="center"/>
              <w:rPr>
                <w:rFonts w:asciiTheme="minorHAnsi" w:hAnsiTheme="minorHAnsi" w:cstheme="minorHAnsi"/>
                <w:bCs/>
                <w:color w:val="000000"/>
                <w:szCs w:val="20"/>
                <w:highlight w:val="black"/>
              </w:rPr>
            </w:pPr>
            <w:r>
              <w:rPr>
                <w:rFonts w:asciiTheme="minorHAnsi" w:hAnsiTheme="minorHAnsi" w:cstheme="minorHAnsi"/>
                <w:noProof/>
                <w:color w:val="000000"/>
                <w:szCs w:val="20"/>
                <w:highlight w:val="black"/>
              </w:rPr>
              <w:t>''''''''''''</w:t>
            </w:r>
          </w:p>
        </w:tc>
        <w:tc>
          <w:tcPr>
            <w:tcW w:w="476" w:type="pct"/>
            <w:tcBorders>
              <w:top w:val="single" w:sz="4" w:space="0" w:color="auto"/>
              <w:left w:val="single" w:sz="4" w:space="0" w:color="auto"/>
              <w:bottom w:val="single" w:sz="4" w:space="0" w:color="auto"/>
              <w:right w:val="single" w:sz="4" w:space="0" w:color="auto"/>
            </w:tcBorders>
            <w:vAlign w:val="center"/>
            <w:hideMark/>
          </w:tcPr>
          <w:p w14:paraId="76388E0E" w14:textId="77777777" w:rsidR="007E4237" w:rsidRPr="004E7661" w:rsidRDefault="004E7661" w:rsidP="00E93E7C">
            <w:pPr>
              <w:pStyle w:val="TableText"/>
              <w:spacing w:line="256" w:lineRule="auto"/>
              <w:jc w:val="center"/>
              <w:rPr>
                <w:rFonts w:asciiTheme="minorHAnsi" w:hAnsiTheme="minorHAnsi" w:cstheme="minorHAnsi"/>
                <w:bCs/>
                <w:color w:val="000000"/>
                <w:szCs w:val="20"/>
                <w:highlight w:val="black"/>
              </w:rPr>
            </w:pPr>
            <w:r>
              <w:rPr>
                <w:rFonts w:asciiTheme="minorHAnsi" w:hAnsiTheme="minorHAnsi" w:cstheme="minorHAnsi"/>
                <w:noProof/>
                <w:color w:val="000000"/>
                <w:szCs w:val="20"/>
                <w:highlight w:val="black"/>
              </w:rPr>
              <w:t>''''''''''</w:t>
            </w:r>
          </w:p>
        </w:tc>
        <w:tc>
          <w:tcPr>
            <w:tcW w:w="487" w:type="pct"/>
            <w:tcBorders>
              <w:top w:val="single" w:sz="4" w:space="0" w:color="auto"/>
              <w:left w:val="single" w:sz="4" w:space="0" w:color="auto"/>
              <w:bottom w:val="single" w:sz="4" w:space="0" w:color="auto"/>
              <w:right w:val="single" w:sz="4" w:space="0" w:color="auto"/>
            </w:tcBorders>
            <w:vAlign w:val="center"/>
            <w:hideMark/>
          </w:tcPr>
          <w:p w14:paraId="72AE9536" w14:textId="77777777" w:rsidR="007E4237" w:rsidRPr="004E7661" w:rsidRDefault="004E7661" w:rsidP="00E93E7C">
            <w:pPr>
              <w:pStyle w:val="TableText"/>
              <w:spacing w:line="256" w:lineRule="auto"/>
              <w:jc w:val="center"/>
              <w:rPr>
                <w:rFonts w:asciiTheme="minorHAnsi" w:hAnsiTheme="minorHAnsi" w:cstheme="minorHAnsi"/>
                <w:bCs/>
                <w:color w:val="000000"/>
                <w:szCs w:val="20"/>
                <w:highlight w:val="black"/>
              </w:rPr>
            </w:pPr>
            <w:r>
              <w:rPr>
                <w:rFonts w:asciiTheme="minorHAnsi" w:hAnsiTheme="minorHAnsi" w:cstheme="minorHAnsi"/>
                <w:noProof/>
                <w:color w:val="000000"/>
                <w:szCs w:val="20"/>
                <w:highlight w:val="black"/>
              </w:rPr>
              <w:t>'''''''''''</w:t>
            </w:r>
          </w:p>
        </w:tc>
      </w:tr>
    </w:tbl>
    <w:p w14:paraId="2AE6BDF9" w14:textId="77777777" w:rsidR="007E4237" w:rsidRPr="004E7661" w:rsidRDefault="004E7661" w:rsidP="007E4237">
      <w:pPr>
        <w:spacing w:after="0"/>
        <w:rPr>
          <w:rFonts w:cstheme="minorHAnsi"/>
          <w:sz w:val="20"/>
          <w:szCs w:val="20"/>
          <w:highlight w:val="black"/>
          <w:lang w:eastAsia="en-US"/>
        </w:rPr>
      </w:pPr>
      <w:r>
        <w:rPr>
          <w:rFonts w:cstheme="minorHAnsi"/>
          <w:noProof/>
          <w:color w:val="000000"/>
          <w:sz w:val="20"/>
          <w:szCs w:val="20"/>
          <w:highlight w:val="black"/>
          <w:vertAlign w:val="superscript"/>
        </w:rPr>
        <w:t xml:space="preserve">''''''''' '''''''''''''''''''''' '''''' ''''''' '''''''''''''' '''''' ''''''''' ''''''''''''''' ''''' ''''''''''''''''' ''''' ''''''''''''''''''' ''' ''''''''' ''''''''' '''''''''''' ''''''' '''''''''''''''' '''' '''''''''''''' ''''''''''' ''''' ''''''''''''''''''' '''''''' ''''''''''''''''''' </w:t>
      </w:r>
    </w:p>
    <w:p w14:paraId="7112BB3E" w14:textId="77777777" w:rsidR="007E4237" w:rsidRPr="004E7661" w:rsidRDefault="004E7661" w:rsidP="007E4237">
      <w:pPr>
        <w:pStyle w:val="TableFooter"/>
        <w:spacing w:after="0"/>
        <w:rPr>
          <w:rFonts w:asciiTheme="minorHAnsi" w:hAnsiTheme="minorHAnsi" w:cstheme="minorHAnsi"/>
          <w:sz w:val="20"/>
          <w:highlight w:val="black"/>
        </w:rPr>
      </w:pPr>
      <w:r>
        <w:rPr>
          <w:rFonts w:asciiTheme="minorHAnsi" w:hAnsiTheme="minorHAnsi" w:cstheme="minorHAnsi"/>
          <w:noProof/>
          <w:color w:val="000000"/>
          <w:sz w:val="20"/>
          <w:highlight w:val="black"/>
          <w:vertAlign w:val="superscript"/>
        </w:rPr>
        <w:t>''' ''''''''''''''''' ''' ''''''''''''''''''''''' '''' ''''''''' ''' ''''' ''''''''''''''''' ''''''''''''''' '''''''' ''' '''''''''''''''' ''''''''''''''''''''''' '''' '''''''' '''  ''''''''' '''''' ''''''''''''''' ''' ''''''''''' '''''''''''''''''' '''''''' ''' '''''''''''''''''''''''' ''''''' ''''''''' '''''''''' '''''''' ''' '''''''''''''''''' '''' '''''''''''''''' ''''''''''''''''' ''''' '''''''''''''''''''' '''' ''''''' '''''''''''''''''''''''</w:t>
      </w:r>
    </w:p>
    <w:p w14:paraId="76A625CB" w14:textId="77777777" w:rsidR="00AB028E" w:rsidRPr="004E7661" w:rsidRDefault="004E7661" w:rsidP="00A22FBF">
      <w:pPr>
        <w:pStyle w:val="TableFooter"/>
        <w:spacing w:after="0"/>
        <w:rPr>
          <w:rFonts w:asciiTheme="minorHAnsi" w:hAnsiTheme="minorHAnsi" w:cstheme="minorHAnsi"/>
          <w:sz w:val="20"/>
          <w:highlight w:val="black"/>
        </w:rPr>
      </w:pPr>
      <w:r>
        <w:rPr>
          <w:rFonts w:asciiTheme="minorHAnsi" w:hAnsiTheme="minorHAnsi" w:cstheme="minorHAnsi"/>
          <w:noProof/>
          <w:color w:val="000000"/>
          <w:sz w:val="20"/>
          <w:highlight w:val="black"/>
        </w:rPr>
        <w:t>''''''''''''''' ''''''''''' ''''' '''' ''''''''''''''''''''''' '''''''''''''''''' ''''''''''''''''''' ''''''''''''' '''''''''''''''''''''' '''''''' ''''''''''' '''''''''''''''''''' '''''''''''''''''''' '''' ''''''' '''''''''''''''''''''' ''''''' '''''''''''''' ''' ''''''' ''''''''' '''''''''''''''''''' '''''''''' ''''''</w:t>
      </w:r>
    </w:p>
    <w:p w14:paraId="5F04C8B7" w14:textId="77777777" w:rsidR="00A22FBF" w:rsidRDefault="00A22FBF" w:rsidP="00A22FBF">
      <w:pPr>
        <w:pStyle w:val="TableFooter"/>
        <w:spacing w:after="0"/>
        <w:rPr>
          <w:rFonts w:asciiTheme="minorHAnsi" w:hAnsiTheme="minorHAnsi" w:cstheme="minorHAnsi"/>
          <w:sz w:val="20"/>
        </w:rPr>
      </w:pPr>
    </w:p>
    <w:p w14:paraId="55950AF1" w14:textId="77777777" w:rsidR="0087299F" w:rsidRPr="0087299F" w:rsidRDefault="0087299F" w:rsidP="00A22FBF">
      <w:pPr>
        <w:pStyle w:val="TableFooter"/>
        <w:spacing w:after="0"/>
        <w:rPr>
          <w:rFonts w:asciiTheme="minorHAnsi" w:hAnsiTheme="minorHAnsi" w:cstheme="minorHAnsi"/>
          <w:b/>
          <w:sz w:val="24"/>
          <w:szCs w:val="24"/>
          <w:u w:val="single"/>
        </w:rPr>
      </w:pPr>
      <w:r w:rsidRPr="0087299F">
        <w:rPr>
          <w:rFonts w:asciiTheme="minorHAnsi" w:hAnsiTheme="minorHAnsi" w:cstheme="minorHAnsi"/>
          <w:b/>
          <w:sz w:val="24"/>
          <w:szCs w:val="24"/>
          <w:u w:val="single"/>
        </w:rPr>
        <w:t>End committee-in-confidence</w:t>
      </w:r>
    </w:p>
    <w:p w14:paraId="51D1A00F" w14:textId="77777777" w:rsidR="0087299F" w:rsidRPr="00A22FBF" w:rsidRDefault="0087299F" w:rsidP="00A22FBF">
      <w:pPr>
        <w:pStyle w:val="TableFooter"/>
        <w:spacing w:after="0"/>
        <w:rPr>
          <w:rFonts w:asciiTheme="minorHAnsi" w:hAnsiTheme="minorHAnsi" w:cstheme="minorHAnsi"/>
          <w:sz w:val="20"/>
        </w:rPr>
      </w:pPr>
    </w:p>
    <w:p w14:paraId="71F6377D" w14:textId="77777777" w:rsidR="007E4237" w:rsidRPr="00D936D5" w:rsidRDefault="007E4237" w:rsidP="007E4237">
      <w:pPr>
        <w:rPr>
          <w:b/>
          <w:i/>
        </w:rPr>
      </w:pPr>
      <w:r>
        <w:rPr>
          <w:b/>
          <w:i/>
        </w:rPr>
        <w:t xml:space="preserve">March 2018 minor resubmission </w:t>
      </w:r>
    </w:p>
    <w:p w14:paraId="0DBBA0A9" w14:textId="77777777" w:rsidR="00F86171" w:rsidRDefault="007E4237" w:rsidP="007E4237">
      <w:pPr>
        <w:rPr>
          <w:rFonts w:ascii="Calibri" w:eastAsia="Calibri" w:hAnsi="Calibri"/>
        </w:rPr>
      </w:pPr>
      <w:r>
        <w:t xml:space="preserve">The minor resubmission used new Australian data on the prevalence of SMA patients with Type I, II and IIIa SMA who are currently aged </w:t>
      </w:r>
      <w:r>
        <w:rPr>
          <w:rFonts w:ascii="Calibri" w:eastAsia="Calibri" w:hAnsi="Calibri"/>
        </w:rPr>
        <w:t xml:space="preserve">≤18 years. </w:t>
      </w:r>
      <w:r w:rsidR="00F86171">
        <w:rPr>
          <w:rFonts w:ascii="Calibri" w:eastAsia="Calibri" w:hAnsi="Calibri"/>
        </w:rPr>
        <w:t>Th</w:t>
      </w:r>
      <w:r w:rsidR="00E93E7C">
        <w:rPr>
          <w:rFonts w:ascii="Calibri" w:eastAsia="Calibri" w:hAnsi="Calibri"/>
        </w:rPr>
        <w:t>e proposed patient population</w:t>
      </w:r>
      <w:r w:rsidR="000A657C">
        <w:rPr>
          <w:rFonts w:ascii="Calibri" w:eastAsia="Calibri" w:hAnsi="Calibri"/>
        </w:rPr>
        <w:t xml:space="preserve"> for this submission</w:t>
      </w:r>
      <w:r w:rsidR="00E93E7C">
        <w:rPr>
          <w:rFonts w:ascii="Calibri" w:eastAsia="Calibri" w:hAnsi="Calibri"/>
        </w:rPr>
        <w:t xml:space="preserve"> was narrower than</w:t>
      </w:r>
      <w:r w:rsidR="000A657C">
        <w:rPr>
          <w:rFonts w:ascii="Calibri" w:eastAsia="Calibri" w:hAnsi="Calibri"/>
        </w:rPr>
        <w:t xml:space="preserve"> what was</w:t>
      </w:r>
      <w:r w:rsidR="00F86171">
        <w:rPr>
          <w:rFonts w:ascii="Calibri" w:eastAsia="Calibri" w:hAnsi="Calibri"/>
        </w:rPr>
        <w:t xml:space="preserve"> proposed </w:t>
      </w:r>
      <w:r w:rsidR="00E93E7C">
        <w:rPr>
          <w:rFonts w:ascii="Calibri" w:eastAsia="Calibri" w:hAnsi="Calibri"/>
        </w:rPr>
        <w:t>in</w:t>
      </w:r>
      <w:r w:rsidR="000A657C">
        <w:rPr>
          <w:rFonts w:ascii="Calibri" w:eastAsia="Calibri" w:hAnsi="Calibri"/>
        </w:rPr>
        <w:t xml:space="preserve"> the</w:t>
      </w:r>
      <w:r w:rsidR="00E93E7C">
        <w:rPr>
          <w:rFonts w:ascii="Calibri" w:eastAsia="Calibri" w:hAnsi="Calibri"/>
        </w:rPr>
        <w:t xml:space="preserve"> November 2017 major submission (Type I, II and III SMA patients)</w:t>
      </w:r>
      <w:r w:rsidR="00F86171">
        <w:rPr>
          <w:rFonts w:ascii="Calibri" w:eastAsia="Calibri" w:hAnsi="Calibri"/>
        </w:rPr>
        <w:t>. Type IIIb and c patients were not included</w:t>
      </w:r>
      <w:r w:rsidR="00E93E7C">
        <w:rPr>
          <w:rFonts w:ascii="Calibri" w:eastAsia="Calibri" w:hAnsi="Calibri"/>
        </w:rPr>
        <w:t xml:space="preserve"> in the minor resubmission</w:t>
      </w:r>
      <w:r w:rsidR="00F86171">
        <w:rPr>
          <w:rFonts w:ascii="Calibri" w:eastAsia="Calibri" w:hAnsi="Calibri"/>
        </w:rPr>
        <w:t xml:space="preserve"> as treatment with nusinersen must commence before a patient turns 19</w:t>
      </w:r>
      <w:r w:rsidR="00BA0DB4">
        <w:rPr>
          <w:rFonts w:ascii="Calibri" w:eastAsia="Calibri" w:hAnsi="Calibri"/>
        </w:rPr>
        <w:t xml:space="preserve"> years of age</w:t>
      </w:r>
      <w:r w:rsidR="00F86171">
        <w:rPr>
          <w:rFonts w:ascii="Calibri" w:eastAsia="Calibri" w:hAnsi="Calibri"/>
        </w:rPr>
        <w:t xml:space="preserve">. </w:t>
      </w:r>
    </w:p>
    <w:p w14:paraId="720F3CBF" w14:textId="77777777" w:rsidR="007E4237" w:rsidRDefault="007E4237" w:rsidP="007E4237">
      <w:pPr>
        <w:rPr>
          <w:rFonts w:ascii="Calibri" w:eastAsia="Calibri" w:hAnsi="Calibri"/>
        </w:rPr>
      </w:pPr>
      <w:r>
        <w:rPr>
          <w:rFonts w:ascii="Calibri" w:eastAsia="Calibri" w:hAnsi="Calibri"/>
        </w:rPr>
        <w:t xml:space="preserve">This data was derived from a survey of paediatric SMA treatment centres in Australia commissioned by the sponsor and survey data from the SMA Australia database. The SMA Australia data was based on known cases reported through the organisation. SMA Australia estimated the database captures 30-50% of the entire SMA community (including Type IV). The proportion of the requested high need population captured in this database is not known. </w:t>
      </w:r>
    </w:p>
    <w:p w14:paraId="4D9A64EB" w14:textId="77777777" w:rsidR="007E4237" w:rsidRDefault="007E4237" w:rsidP="007E4237">
      <w:pPr>
        <w:rPr>
          <w:rFonts w:ascii="Calibri" w:eastAsia="Calibri" w:hAnsi="Calibri"/>
        </w:rPr>
      </w:pPr>
      <w:r>
        <w:rPr>
          <w:rFonts w:ascii="Calibri" w:eastAsia="Calibri" w:hAnsi="Calibri"/>
        </w:rPr>
        <w:t xml:space="preserve">The pre-PBAC response presented revised financial estimates incorporating SMA Type II and IIIa Year 1 patient estimates based on the survey of paediatric neuromuscular centres and assumed uptake rate of 100% for all incident patients, increased uptake for SMA Type II and IIIa patients and increased continuation rates for SMA Type I patients. </w:t>
      </w:r>
    </w:p>
    <w:p w14:paraId="371E7D30" w14:textId="77777777" w:rsidR="0013060D" w:rsidRPr="0013060D" w:rsidRDefault="0013060D" w:rsidP="007E4237">
      <w:pPr>
        <w:rPr>
          <w:rFonts w:ascii="Calibri" w:eastAsia="Calibri" w:hAnsi="Calibri"/>
          <w:b/>
          <w:u w:val="single"/>
        </w:rPr>
      </w:pPr>
      <w:r w:rsidRPr="0013060D">
        <w:rPr>
          <w:rFonts w:ascii="Calibri" w:eastAsia="Calibri" w:hAnsi="Calibri"/>
          <w:b/>
          <w:u w:val="single"/>
        </w:rPr>
        <w:t>Committee-in-confidence</w:t>
      </w:r>
    </w:p>
    <w:p w14:paraId="27B570E8" w14:textId="77777777" w:rsidR="007E4237" w:rsidRPr="004E7661" w:rsidRDefault="004E7661" w:rsidP="007E4237">
      <w:pPr>
        <w:rPr>
          <w:highlight w:val="black"/>
        </w:rPr>
      </w:pPr>
      <w:r>
        <w:rPr>
          <w:noProof/>
          <w:color w:val="000000"/>
          <w:highlight w:val="black"/>
        </w:rPr>
        <w:t xml:space="preserve">''''''' ''''''''''''''''' '''''''''''''''''' '''' '''''''''''' ''''''''''' ''''''''''''''''''' ''''' ''''''' '''''''''''''''' ''''''''''''''''' ''''''''''''' ''''''''''''''''''''''''' </w:t>
      </w:r>
    </w:p>
    <w:p w14:paraId="76B93F48" w14:textId="77777777" w:rsidR="007E4237" w:rsidRPr="004E7661" w:rsidRDefault="004E7661" w:rsidP="004E7661">
      <w:pPr>
        <w:ind w:left="72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14:paraId="3BBDA68A" w14:textId="77777777" w:rsidR="007E4237" w:rsidRPr="004E7661" w:rsidRDefault="004E7661" w:rsidP="004E7661">
      <w:pPr>
        <w:ind w:left="720" w:hanging="360"/>
        <w:rPr>
          <w:highlight w:val="black"/>
        </w:rPr>
      </w:pPr>
      <w:r>
        <w:rPr>
          <w:rFonts w:ascii="Symbol" w:hAnsi="Symbol"/>
          <w:noProof/>
          <w:color w:val="000000"/>
          <w:highlight w:val="black"/>
        </w:rPr>
        <w:lastRenderedPageBreak/>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14:paraId="75AADFDC" w14:textId="77777777" w:rsidR="007E4237" w:rsidRPr="004E7661" w:rsidRDefault="004E7661" w:rsidP="004E7661">
      <w:pPr>
        <w:ind w:left="72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14:paraId="375AF20F" w14:textId="77777777" w:rsidR="007E4237" w:rsidRPr="004E7661" w:rsidRDefault="004E7661" w:rsidP="004E7661">
      <w:pPr>
        <w:ind w:left="72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14:paraId="3704FC19" w14:textId="77777777" w:rsidR="007E4237" w:rsidRPr="004E7661" w:rsidRDefault="004E7661" w:rsidP="004E7661">
      <w:pPr>
        <w:ind w:left="72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14:paraId="55480BF8" w14:textId="77777777" w:rsidR="00AB028E" w:rsidRPr="004E7661" w:rsidRDefault="004E7661" w:rsidP="004E7661">
      <w:pPr>
        <w:ind w:left="72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14:paraId="48000E79" w14:textId="77777777" w:rsidR="0013060D" w:rsidRPr="0013060D" w:rsidDel="00EE2BBB" w:rsidRDefault="0013060D" w:rsidP="0013060D">
      <w:pPr>
        <w:rPr>
          <w:b/>
          <w:u w:val="single"/>
        </w:rPr>
      </w:pPr>
      <w:r>
        <w:rPr>
          <w:b/>
          <w:u w:val="single"/>
        </w:rPr>
        <w:t>End committee-in-confidence</w:t>
      </w:r>
    </w:p>
    <w:p w14:paraId="45380894" w14:textId="77777777" w:rsidR="00736041" w:rsidRPr="005E22C2" w:rsidRDefault="00394AEE" w:rsidP="00CF5E22">
      <w:pPr>
        <w:pStyle w:val="Heading2"/>
      </w:pPr>
      <w:r>
        <w:t>Relevant aspects of</w:t>
      </w:r>
      <w:r w:rsidR="00736041" w:rsidRPr="005E22C2">
        <w:t xml:space="preserve"> consideration</w:t>
      </w:r>
      <w:r>
        <w:t xml:space="preserve"> by the Pharmaceutical Benefits Advisory Committee (PBAC)</w:t>
      </w:r>
    </w:p>
    <w:p w14:paraId="11AE00B1" w14:textId="77777777" w:rsidR="00E709AA" w:rsidRPr="00E709AA" w:rsidRDefault="00E709AA" w:rsidP="00D94863">
      <w:pPr>
        <w:rPr>
          <w:i/>
        </w:rPr>
      </w:pPr>
      <w:r>
        <w:rPr>
          <w:b/>
          <w:i/>
        </w:rPr>
        <w:t>November 2017 PBAC Meeting</w:t>
      </w:r>
    </w:p>
    <w:p w14:paraId="5B5D417E" w14:textId="77777777" w:rsidR="001C4B98" w:rsidRDefault="001C4B98" w:rsidP="00D94863">
      <w:r>
        <w:t xml:space="preserve">The PBAC did not recommend the Section 100 (Highly Specialised Drugs Program) listing of nusinersen for </w:t>
      </w:r>
      <w:r w:rsidR="00265C90">
        <w:t>the treatment of patients with i</w:t>
      </w:r>
      <w:r>
        <w:t xml:space="preserve">nfantile-onset (Type I) and childhood-onset (Types II &amp; III) </w:t>
      </w:r>
      <w:r w:rsidR="00A96AF3">
        <w:t xml:space="preserve">SMA </w:t>
      </w:r>
      <w:r>
        <w:t>because of uncertainty about its clinical effe</w:t>
      </w:r>
      <w:r w:rsidR="006B2E6A">
        <w:t>ctiveness in terms of the extent</w:t>
      </w:r>
      <w:r>
        <w:t xml:space="preserve"> and durability of response across the spectrum of SMA for which the submission has sought subsidy. The submission contained insufficient information for the PBAC to form a view on the cost-effectiveness of treatment across the spectrum of SMA. </w:t>
      </w:r>
    </w:p>
    <w:p w14:paraId="23A66BA5" w14:textId="77777777" w:rsidR="003E3CD5" w:rsidRDefault="00472527" w:rsidP="00D94863">
      <w:r>
        <w:t>The submission estimated the</w:t>
      </w:r>
      <w:r w:rsidR="001C4B98">
        <w:t xml:space="preserve"> prevalence of SMA Type I-III to be less than 10,000 people in 2018. Despite using the best avail</w:t>
      </w:r>
      <w:r>
        <w:t>able evidence at the time</w:t>
      </w:r>
      <w:r w:rsidR="001C4B98">
        <w:t xml:space="preserve">, it was likely an underestimate, </w:t>
      </w:r>
      <w:r>
        <w:t xml:space="preserve">in particular </w:t>
      </w:r>
      <w:r w:rsidR="002115B9">
        <w:t xml:space="preserve">with </w:t>
      </w:r>
      <w:r w:rsidR="001C4B98">
        <w:t>the number of pati</w:t>
      </w:r>
      <w:r w:rsidR="00E12CEB">
        <w:t xml:space="preserve">ents over the age of 18 years. </w:t>
      </w:r>
      <w:r w:rsidR="003E3CD5">
        <w:t xml:space="preserve">The incidence of Type I SMA was estimated based on Australian data which the PBAC considered reasonable. However, the number of patients with Type II and III SMA was based on overseas data due to the lack of Australian data, which PBAC considered to be likely underestimated. </w:t>
      </w:r>
    </w:p>
    <w:p w14:paraId="427C6FDC" w14:textId="77777777" w:rsidR="00BA5C7D" w:rsidRDefault="00E12CEB" w:rsidP="00E12CEB">
      <w:r>
        <w:t>The financial impact of listing was proposed t</w:t>
      </w:r>
      <w:r w:rsidR="00315C8E">
        <w:t xml:space="preserve">o be $60-$100 million in Year 1 and </w:t>
      </w:r>
      <w:r>
        <w:t xml:space="preserve">increasing to more than $100 million </w:t>
      </w:r>
      <w:r w:rsidR="00864A13">
        <w:t>per year by</w:t>
      </w:r>
      <w:r>
        <w:t xml:space="preserve"> Year 6. The PBAC considered the financial impact would likely be higher than estimated due to the uncertainty of the size of the Type II and III SMA population, potential use outside the proposed indication and the likelihood of patients remaining on treatment long term given the lack of alternative treatments available and the progressive nature of the disease. </w:t>
      </w:r>
    </w:p>
    <w:p w14:paraId="3ADC195F" w14:textId="77777777" w:rsidR="00A96AF3" w:rsidRPr="00D16EE5" w:rsidRDefault="00D16EE5" w:rsidP="00D94863">
      <w:r>
        <w:lastRenderedPageBreak/>
        <w:t xml:space="preserve">For further details refer to </w:t>
      </w:r>
      <w:r w:rsidRPr="00F65F0D">
        <w:t xml:space="preserve">the </w:t>
      </w:r>
      <w:r w:rsidRPr="004E7661">
        <w:t>Public Summary Document</w:t>
      </w:r>
      <w:r w:rsidR="003E3CD5">
        <w:t xml:space="preserve"> </w:t>
      </w:r>
      <w:r w:rsidRPr="00F65F0D">
        <w:t xml:space="preserve">from the </w:t>
      </w:r>
      <w:r w:rsidR="00A96AF3">
        <w:t>November 2017 PBAC meeting.</w:t>
      </w:r>
    </w:p>
    <w:p w14:paraId="28C6322C" w14:textId="77777777" w:rsidR="00B01D83" w:rsidRDefault="00B01D83">
      <w:pPr>
        <w:spacing w:line="276" w:lineRule="auto"/>
        <w:rPr>
          <w:b/>
          <w:i/>
        </w:rPr>
      </w:pPr>
      <w:r>
        <w:rPr>
          <w:b/>
          <w:i/>
        </w:rPr>
        <w:br w:type="page"/>
      </w:r>
    </w:p>
    <w:p w14:paraId="567F8199" w14:textId="77777777" w:rsidR="00D16EE5" w:rsidRDefault="001D66E8" w:rsidP="00D94863">
      <w:pPr>
        <w:rPr>
          <w:b/>
          <w:i/>
        </w:rPr>
      </w:pPr>
      <w:r w:rsidRPr="00D16EE5">
        <w:rPr>
          <w:b/>
          <w:i/>
        </w:rPr>
        <w:lastRenderedPageBreak/>
        <w:t>March 2018 PBAC M</w:t>
      </w:r>
      <w:r w:rsidR="00D16EE5">
        <w:rPr>
          <w:b/>
          <w:i/>
        </w:rPr>
        <w:t>eeting</w:t>
      </w:r>
    </w:p>
    <w:p w14:paraId="749BAC96" w14:textId="77777777" w:rsidR="00F86171" w:rsidRDefault="00A96AF3" w:rsidP="00D94863">
      <w:r>
        <w:t>The PBAC recommended the Section</w:t>
      </w:r>
      <w:r w:rsidR="00D47565">
        <w:t xml:space="preserve"> 100</w:t>
      </w:r>
      <w:r>
        <w:t xml:space="preserve"> (Highly Specialised Drugs Pr</w:t>
      </w:r>
      <w:r w:rsidR="00945955">
        <w:t xml:space="preserve">ogram) listing of </w:t>
      </w:r>
      <w:r>
        <w:t xml:space="preserve">nusinersen for the treatment of paediatric patients with infantile-onset </w:t>
      </w:r>
      <w:r w:rsidR="00BB55D2" w:rsidRPr="00BB55D2">
        <w:t>(Type I)</w:t>
      </w:r>
      <w:r w:rsidR="00BB55D2">
        <w:t xml:space="preserve"> </w:t>
      </w:r>
      <w:r>
        <w:t>or childhood onset SMA with onset of symptoms prior to 3 years of age</w:t>
      </w:r>
      <w:r w:rsidR="00F51566">
        <w:t xml:space="preserve"> </w:t>
      </w:r>
      <w:r w:rsidR="00F51566" w:rsidRPr="00BB55D2">
        <w:t>(Types II &amp; Type III</w:t>
      </w:r>
      <w:r w:rsidR="00F51566">
        <w:t>a</w:t>
      </w:r>
      <w:r w:rsidR="00F51566" w:rsidRPr="00BB55D2">
        <w:t>)</w:t>
      </w:r>
      <w:r>
        <w:t xml:space="preserve">. </w:t>
      </w:r>
    </w:p>
    <w:p w14:paraId="1338E6D0" w14:textId="77777777" w:rsidR="00A96AF3" w:rsidRDefault="00A96AF3" w:rsidP="00D94863">
      <w:r>
        <w:t xml:space="preserve">The PBAC was satisfied that based on the clinical evidence available, nusinersen provides a significant improvement in efficacy over standard of care for the proposed patient population. However, the PBAC considered there was remaining uncertainty around the extent and durability of treatment effect particularly in Type II/IIIa patients. The PBAC advised further negotiations with the sponsor were required to address these uncertainties through a combination of mechanisms including a reduction in price, increased rebates or lower financial caps. </w:t>
      </w:r>
    </w:p>
    <w:p w14:paraId="08FB77D5" w14:textId="77777777" w:rsidR="00E16DB6" w:rsidRPr="009050CC" w:rsidRDefault="00C07ADC" w:rsidP="009050CC">
      <w:pPr>
        <w:rPr>
          <w:rFonts w:ascii="Calibri" w:eastAsia="Calibri" w:hAnsi="Calibri"/>
        </w:rPr>
      </w:pPr>
      <w:r>
        <w:rPr>
          <w:rFonts w:ascii="Calibri" w:eastAsia="Calibri" w:hAnsi="Calibri"/>
        </w:rPr>
        <w:t>T</w:t>
      </w:r>
      <w:r w:rsidR="00E16DB6">
        <w:rPr>
          <w:rFonts w:ascii="Calibri" w:eastAsia="Calibri" w:hAnsi="Calibri"/>
        </w:rPr>
        <w:t xml:space="preserve">he PBAC considered the survey of paediatric neuromuscular centres in Australia was an appropriate </w:t>
      </w:r>
      <w:r w:rsidR="009050CC">
        <w:rPr>
          <w:rFonts w:ascii="Calibri" w:eastAsia="Calibri" w:hAnsi="Calibri"/>
        </w:rPr>
        <w:t xml:space="preserve">source of data to base the estimated number of prevalent SMA Type II and IIIa patients given the limited number of these specialist centres in Australia. The PBAC noted although the submission did not estimate the prevalent number of SMA Type I patients based on the survey data, the estimated number of prevalent SMA Type I patients to be grandfathered </w:t>
      </w:r>
      <w:r w:rsidR="008D22A2">
        <w:rPr>
          <w:rFonts w:ascii="Calibri" w:eastAsia="Calibri" w:hAnsi="Calibri"/>
        </w:rPr>
        <w:t>(</w:t>
      </w:r>
      <w:r w:rsidR="009050CC">
        <w:rPr>
          <w:rFonts w:ascii="Calibri" w:eastAsia="Calibri" w:hAnsi="Calibri"/>
        </w:rPr>
        <w:t>from the sponsor’s expanded access program) aligned closely with the corresponding n</w:t>
      </w:r>
      <w:r w:rsidR="00BD07C4">
        <w:rPr>
          <w:rFonts w:ascii="Calibri" w:eastAsia="Calibri" w:hAnsi="Calibri"/>
        </w:rPr>
        <w:t>umber of patients in the survey</w:t>
      </w:r>
      <w:r w:rsidR="009050CC">
        <w:rPr>
          <w:rFonts w:ascii="Calibri" w:eastAsia="Calibri" w:hAnsi="Calibri"/>
        </w:rPr>
        <w:t xml:space="preserve">. </w:t>
      </w:r>
      <w:r w:rsidR="00E16DB6">
        <w:t xml:space="preserve">The PBAC considered that the inclusion of additional patients to account for patients not treated at a paediatric neuromuscular centre was not justified given the nature of the disease. </w:t>
      </w:r>
    </w:p>
    <w:p w14:paraId="3230D7AF" w14:textId="77777777" w:rsidR="00C76CD2" w:rsidRDefault="00E16DB6" w:rsidP="009A18D3">
      <w:pPr>
        <w:widowControl w:val="0"/>
        <w:spacing w:after="160"/>
      </w:pPr>
      <w:r>
        <w:t xml:space="preserve">PBAC recalled that DUSC previously considered the treatment uptake rates (80%, 100% and 80% incident uptake rate for Type I, II and III patients respectively) </w:t>
      </w:r>
      <w:r w:rsidR="009A18D3">
        <w:t>i</w:t>
      </w:r>
      <w:r>
        <w:t xml:space="preserve">n the November 2017 major submission were underestimated given the nature of the disease and lack of alternative treatments. </w:t>
      </w:r>
      <w:r w:rsidR="004B5356">
        <w:t>B</w:t>
      </w:r>
      <w:r w:rsidR="00C76CD2">
        <w:t xml:space="preserve">ased on the following information provided at the 18 January 2018 Stakeholder Meeting, </w:t>
      </w:r>
      <w:r w:rsidR="004B5356">
        <w:t xml:space="preserve">the PBAC considered </w:t>
      </w:r>
      <w:r w:rsidR="00C76CD2">
        <w:t xml:space="preserve">uptake may not reach 100% and the Sponsor’s original uptake assumptions may be reasonable: </w:t>
      </w:r>
    </w:p>
    <w:p w14:paraId="16CF1BFC" w14:textId="77777777" w:rsidR="00C76CD2" w:rsidRDefault="00C76CD2" w:rsidP="00C76CD2">
      <w:pPr>
        <w:pStyle w:val="ListParagraph"/>
        <w:widowControl w:val="0"/>
        <w:numPr>
          <w:ilvl w:val="0"/>
          <w:numId w:val="34"/>
        </w:numPr>
        <w:spacing w:after="160"/>
      </w:pPr>
      <w:r>
        <w:t xml:space="preserve">Some Type I patients would not benefit from nusinersen initiation or not be able to tolerate the procedures </w:t>
      </w:r>
    </w:p>
    <w:p w14:paraId="227149FF" w14:textId="77777777" w:rsidR="00C76CD2" w:rsidRDefault="00C76CD2" w:rsidP="00C76CD2">
      <w:pPr>
        <w:pStyle w:val="ListParagraph"/>
        <w:widowControl w:val="0"/>
        <w:numPr>
          <w:ilvl w:val="0"/>
          <w:numId w:val="34"/>
        </w:numPr>
        <w:spacing w:after="160"/>
      </w:pPr>
      <w:r>
        <w:t>Some families of Type I SMA patients elect</w:t>
      </w:r>
      <w:r w:rsidR="008D22A2">
        <w:t>ed</w:t>
      </w:r>
      <w:r>
        <w:t xml:space="preserve"> not to commence treatment with nusinersen through the sponsor’s Expanded Access Program </w:t>
      </w:r>
    </w:p>
    <w:p w14:paraId="6F307EFF" w14:textId="77777777" w:rsidR="00C76CD2" w:rsidRDefault="00C76CD2" w:rsidP="00C76CD2">
      <w:pPr>
        <w:pStyle w:val="ListParagraph"/>
        <w:widowControl w:val="0"/>
        <w:numPr>
          <w:ilvl w:val="0"/>
          <w:numId w:val="34"/>
        </w:numPr>
        <w:spacing w:after="160"/>
      </w:pPr>
      <w:r>
        <w:t xml:space="preserve">The greatest uptake will be expected for the Type II and Type IIIa children as they are the patients at greatest risk of losing function </w:t>
      </w:r>
    </w:p>
    <w:p w14:paraId="3284E1CB" w14:textId="77777777" w:rsidR="00C76CD2" w:rsidRDefault="00C76CD2" w:rsidP="00C76CD2">
      <w:pPr>
        <w:pStyle w:val="ListParagraph"/>
        <w:widowControl w:val="0"/>
        <w:numPr>
          <w:ilvl w:val="0"/>
          <w:numId w:val="34"/>
        </w:numPr>
        <w:spacing w:after="160"/>
      </w:pPr>
      <w:r>
        <w:t xml:space="preserve">The burden of treatment (a four </w:t>
      </w:r>
      <w:r w:rsidR="004B5356">
        <w:t>monthly</w:t>
      </w:r>
      <w:r>
        <w:t xml:space="preserve"> intrathecal </w:t>
      </w:r>
      <w:r w:rsidR="004B5356">
        <w:t>injection</w:t>
      </w:r>
      <w:r>
        <w:t xml:space="preserve">) may lower uptake in adult patients </w:t>
      </w:r>
    </w:p>
    <w:p w14:paraId="2ED6E49D" w14:textId="77777777" w:rsidR="009A18D3" w:rsidRDefault="00E16DB6" w:rsidP="009A18D3">
      <w:pPr>
        <w:widowControl w:val="0"/>
        <w:spacing w:after="160"/>
        <w:jc w:val="both"/>
      </w:pPr>
      <w:r>
        <w:t xml:space="preserve">The PBAC noted that the financial impact of listing nusinersen of </w:t>
      </w:r>
      <w:r w:rsidR="009134A0">
        <w:t xml:space="preserve">$30 - $60 </w:t>
      </w:r>
      <w:r>
        <w:t xml:space="preserve">million in Year 1 increasing to </w:t>
      </w:r>
      <w:r w:rsidR="009134A0">
        <w:t xml:space="preserve">$30 - $60 </w:t>
      </w:r>
      <w:r>
        <w:t>million in Year 6 of listing to be significant albeit considerably less than the estimated financial impact of listing presented in the November 2017 major submission (</w:t>
      </w:r>
      <w:r w:rsidR="009134A0" w:rsidRPr="00041242">
        <w:t>$</w:t>
      </w:r>
      <w:r w:rsidR="009134A0">
        <w:t xml:space="preserve">60 - $100 </w:t>
      </w:r>
      <w:r w:rsidRPr="00041242">
        <w:t xml:space="preserve">million in Year 1 increasing to </w:t>
      </w:r>
      <w:r w:rsidR="009134A0">
        <w:t xml:space="preserve">more than </w:t>
      </w:r>
      <w:r w:rsidR="009134A0" w:rsidRPr="00041242">
        <w:t>$</w:t>
      </w:r>
      <w:r w:rsidR="009134A0">
        <w:t>100</w:t>
      </w:r>
      <w:r w:rsidR="00BD07C4">
        <w:t xml:space="preserve"> million </w:t>
      </w:r>
      <w:r w:rsidRPr="00041242">
        <w:t>in Year 6</w:t>
      </w:r>
      <w:r>
        <w:t>). The PBAC noted that these estimates would need to be revised following further negotiations with the sponsor in line with the PBAC recommendations.</w:t>
      </w:r>
    </w:p>
    <w:p w14:paraId="050D39E6" w14:textId="77777777" w:rsidR="007632FD" w:rsidRDefault="007632FD">
      <w:pPr>
        <w:spacing w:line="276" w:lineRule="auto"/>
        <w:rPr>
          <w:b/>
        </w:rPr>
      </w:pPr>
      <w:r>
        <w:rPr>
          <w:b/>
        </w:rPr>
        <w:br w:type="page"/>
      </w:r>
    </w:p>
    <w:p w14:paraId="6772DE61" w14:textId="77777777" w:rsidR="00983019" w:rsidRPr="00902754" w:rsidRDefault="00983019" w:rsidP="009A18D3">
      <w:pPr>
        <w:widowControl w:val="0"/>
        <w:spacing w:after="160"/>
        <w:jc w:val="both"/>
        <w:rPr>
          <w:b/>
          <w:u w:val="single"/>
        </w:rPr>
      </w:pPr>
      <w:r w:rsidRPr="00902754">
        <w:rPr>
          <w:b/>
          <w:u w:val="single"/>
        </w:rPr>
        <w:lastRenderedPageBreak/>
        <w:t>Committee-in-confidence</w:t>
      </w:r>
    </w:p>
    <w:p w14:paraId="3CCA276C" w14:textId="77777777" w:rsidR="00A96344" w:rsidRPr="004E7661" w:rsidRDefault="004E7661" w:rsidP="00A96344">
      <w:pPr>
        <w:pStyle w:val="Tabletitle"/>
        <w:rPr>
          <w:highlight w:val="black"/>
        </w:rPr>
      </w:pPr>
      <w:r>
        <w:rPr>
          <w:noProof/>
          <w:color w:val="000000"/>
          <w:highlight w:val="black"/>
        </w:rPr>
        <w:t xml:space="preserve">''''''''''' '''' '''''''''''''''''''' '''' ''''''''''''''''' '''''' ''''''' ''''''''''''''''' ''''''''''''''''''''' ''''''''''''' ''''' ''''''''''''''''' ''''''''''' '''''''''''''''''' '''' ''''''' ''''''''''''''''''' '''''''''' '''''''''' '''''''''''''''''' ''''''' ''''''''''''' '''''''''' '''''''''' '''''''''''''''''''''''''  </w:t>
      </w:r>
    </w:p>
    <w:tbl>
      <w:tblPr>
        <w:tblStyle w:val="TableGrid"/>
        <w:tblW w:w="0" w:type="auto"/>
        <w:tblLook w:val="04A0" w:firstRow="1" w:lastRow="0" w:firstColumn="1" w:lastColumn="0" w:noHBand="0" w:noVBand="1"/>
        <w:tblCaption w:val="Table 4: Comparison of estimated use and financial implications (based on effective price) presented in the November 2017 major submission and March 2018 minor resubmission  "/>
      </w:tblPr>
      <w:tblGrid>
        <w:gridCol w:w="3724"/>
        <w:gridCol w:w="790"/>
        <w:gridCol w:w="879"/>
        <w:gridCol w:w="879"/>
        <w:gridCol w:w="873"/>
        <w:gridCol w:w="923"/>
        <w:gridCol w:w="879"/>
      </w:tblGrid>
      <w:tr w:rsidR="00A96344" w:rsidRPr="00436929" w14:paraId="5EE5F467" w14:textId="77777777" w:rsidTr="00F91DF0">
        <w:trPr>
          <w:tblHeader/>
        </w:trPr>
        <w:tc>
          <w:tcPr>
            <w:tcW w:w="3823" w:type="dxa"/>
            <w:shd w:val="clear" w:color="auto" w:fill="BFBFBF" w:themeFill="background1" w:themeFillShade="BF"/>
          </w:tcPr>
          <w:p w14:paraId="32574190" w14:textId="77777777" w:rsidR="00A96344" w:rsidRPr="004E7661" w:rsidRDefault="00A96344" w:rsidP="00A96344">
            <w:pPr>
              <w:rPr>
                <w:sz w:val="20"/>
                <w:szCs w:val="20"/>
              </w:rPr>
            </w:pPr>
          </w:p>
        </w:tc>
        <w:tc>
          <w:tcPr>
            <w:tcW w:w="749" w:type="dxa"/>
            <w:shd w:val="clear" w:color="auto" w:fill="BFBFBF" w:themeFill="background1" w:themeFillShade="BF"/>
          </w:tcPr>
          <w:p w14:paraId="587AF74B" w14:textId="77777777" w:rsidR="00A96344" w:rsidRPr="004E7661" w:rsidRDefault="004E7661" w:rsidP="00A96344">
            <w:pPr>
              <w:rPr>
                <w:b/>
                <w:sz w:val="20"/>
                <w:szCs w:val="20"/>
                <w:highlight w:val="black"/>
              </w:rPr>
            </w:pPr>
            <w:r>
              <w:rPr>
                <w:b/>
                <w:noProof/>
                <w:color w:val="000000"/>
                <w:sz w:val="20"/>
                <w:szCs w:val="20"/>
                <w:highlight w:val="black"/>
              </w:rPr>
              <w:t>'''''''' '''</w:t>
            </w:r>
          </w:p>
        </w:tc>
        <w:tc>
          <w:tcPr>
            <w:tcW w:w="875" w:type="dxa"/>
            <w:shd w:val="clear" w:color="auto" w:fill="BFBFBF" w:themeFill="background1" w:themeFillShade="BF"/>
          </w:tcPr>
          <w:p w14:paraId="006DEB1E" w14:textId="77777777" w:rsidR="00A96344" w:rsidRPr="004E7661" w:rsidRDefault="004E7661" w:rsidP="00A96344">
            <w:pPr>
              <w:rPr>
                <w:b/>
                <w:sz w:val="20"/>
                <w:szCs w:val="20"/>
                <w:highlight w:val="black"/>
              </w:rPr>
            </w:pPr>
            <w:r>
              <w:rPr>
                <w:b/>
                <w:noProof/>
                <w:color w:val="000000"/>
                <w:sz w:val="20"/>
                <w:szCs w:val="20"/>
                <w:highlight w:val="black"/>
              </w:rPr>
              <w:t xml:space="preserve">'''''''' '' </w:t>
            </w:r>
          </w:p>
        </w:tc>
        <w:tc>
          <w:tcPr>
            <w:tcW w:w="875" w:type="dxa"/>
            <w:shd w:val="clear" w:color="auto" w:fill="BFBFBF" w:themeFill="background1" w:themeFillShade="BF"/>
          </w:tcPr>
          <w:p w14:paraId="13E17C79" w14:textId="77777777" w:rsidR="00A96344" w:rsidRPr="004E7661" w:rsidRDefault="004E7661" w:rsidP="00A96344">
            <w:pPr>
              <w:rPr>
                <w:b/>
                <w:sz w:val="20"/>
                <w:szCs w:val="20"/>
                <w:highlight w:val="black"/>
              </w:rPr>
            </w:pPr>
            <w:r>
              <w:rPr>
                <w:b/>
                <w:noProof/>
                <w:color w:val="000000"/>
                <w:sz w:val="20"/>
                <w:szCs w:val="20"/>
                <w:highlight w:val="black"/>
              </w:rPr>
              <w:t xml:space="preserve">''''''''' ''' </w:t>
            </w:r>
          </w:p>
        </w:tc>
        <w:tc>
          <w:tcPr>
            <w:tcW w:w="875" w:type="dxa"/>
            <w:shd w:val="clear" w:color="auto" w:fill="BFBFBF" w:themeFill="background1" w:themeFillShade="BF"/>
          </w:tcPr>
          <w:p w14:paraId="4C70E5A1" w14:textId="77777777" w:rsidR="00A96344" w:rsidRPr="004E7661" w:rsidRDefault="004E7661" w:rsidP="00A96344">
            <w:pPr>
              <w:rPr>
                <w:b/>
                <w:sz w:val="20"/>
                <w:szCs w:val="20"/>
                <w:highlight w:val="black"/>
              </w:rPr>
            </w:pPr>
            <w:r>
              <w:rPr>
                <w:b/>
                <w:noProof/>
                <w:color w:val="000000"/>
                <w:sz w:val="20"/>
                <w:szCs w:val="20"/>
                <w:highlight w:val="black"/>
              </w:rPr>
              <w:t xml:space="preserve">'''''''' '' </w:t>
            </w:r>
          </w:p>
        </w:tc>
        <w:tc>
          <w:tcPr>
            <w:tcW w:w="875" w:type="dxa"/>
            <w:shd w:val="clear" w:color="auto" w:fill="BFBFBF" w:themeFill="background1" w:themeFillShade="BF"/>
          </w:tcPr>
          <w:p w14:paraId="22263542" w14:textId="77777777" w:rsidR="00A96344" w:rsidRPr="004E7661" w:rsidRDefault="004E7661" w:rsidP="00A96344">
            <w:pPr>
              <w:rPr>
                <w:b/>
                <w:sz w:val="20"/>
                <w:szCs w:val="20"/>
                <w:highlight w:val="black"/>
              </w:rPr>
            </w:pPr>
            <w:r>
              <w:rPr>
                <w:b/>
                <w:noProof/>
                <w:color w:val="000000"/>
                <w:sz w:val="20"/>
                <w:szCs w:val="20"/>
                <w:highlight w:val="black"/>
              </w:rPr>
              <w:t xml:space="preserve">''''''''' ''' </w:t>
            </w:r>
          </w:p>
        </w:tc>
        <w:tc>
          <w:tcPr>
            <w:tcW w:w="875" w:type="dxa"/>
            <w:shd w:val="clear" w:color="auto" w:fill="BFBFBF" w:themeFill="background1" w:themeFillShade="BF"/>
          </w:tcPr>
          <w:p w14:paraId="2ED5E604" w14:textId="77777777" w:rsidR="00A96344" w:rsidRPr="004E7661" w:rsidRDefault="004E7661" w:rsidP="00A96344">
            <w:pPr>
              <w:rPr>
                <w:b/>
                <w:sz w:val="20"/>
                <w:szCs w:val="20"/>
                <w:highlight w:val="black"/>
              </w:rPr>
            </w:pPr>
            <w:r>
              <w:rPr>
                <w:b/>
                <w:noProof/>
                <w:color w:val="000000"/>
                <w:sz w:val="20"/>
                <w:szCs w:val="20"/>
                <w:highlight w:val="black"/>
              </w:rPr>
              <w:t xml:space="preserve">''''''''' ''' </w:t>
            </w:r>
          </w:p>
        </w:tc>
      </w:tr>
      <w:tr w:rsidR="00A96344" w:rsidRPr="00436929" w14:paraId="7E05CA90" w14:textId="77777777" w:rsidTr="00A96344">
        <w:tc>
          <w:tcPr>
            <w:tcW w:w="8947" w:type="dxa"/>
            <w:gridSpan w:val="7"/>
          </w:tcPr>
          <w:p w14:paraId="36DE022A" w14:textId="77777777" w:rsidR="00A96344" w:rsidRPr="004E7661" w:rsidRDefault="004E7661" w:rsidP="00A96344">
            <w:pPr>
              <w:rPr>
                <w:b/>
                <w:sz w:val="20"/>
                <w:szCs w:val="20"/>
                <w:highlight w:val="black"/>
              </w:rPr>
            </w:pPr>
            <w:r>
              <w:rPr>
                <w:b/>
                <w:noProof/>
                <w:color w:val="000000"/>
                <w:sz w:val="20"/>
                <w:szCs w:val="20"/>
                <w:highlight w:val="black"/>
              </w:rPr>
              <w:t xml:space="preserve">''''''''''''''''''' ''''''''''' '''' ''''''' '''''''''''''''''''''' ''''''''''' </w:t>
            </w:r>
          </w:p>
        </w:tc>
      </w:tr>
      <w:tr w:rsidR="00A96344" w:rsidRPr="00436929" w14:paraId="273C368B" w14:textId="77777777" w:rsidTr="00A96344">
        <w:tc>
          <w:tcPr>
            <w:tcW w:w="3823" w:type="dxa"/>
          </w:tcPr>
          <w:p w14:paraId="3F38F731" w14:textId="77777777" w:rsidR="00A96344" w:rsidRPr="004E7661" w:rsidRDefault="004E7661" w:rsidP="00A96344">
            <w:pPr>
              <w:rPr>
                <w:sz w:val="20"/>
                <w:szCs w:val="20"/>
                <w:highlight w:val="black"/>
              </w:rPr>
            </w:pPr>
            <w:r>
              <w:rPr>
                <w:noProof/>
                <w:color w:val="000000"/>
                <w:sz w:val="20"/>
                <w:szCs w:val="20"/>
                <w:highlight w:val="black"/>
              </w:rPr>
              <w:t xml:space="preserve">'''''''''' '''''''''' ' '''''''''' ''''''''''''''''' ''''''''''''' '''''' '''''''' </w:t>
            </w:r>
          </w:p>
        </w:tc>
        <w:tc>
          <w:tcPr>
            <w:tcW w:w="749" w:type="dxa"/>
          </w:tcPr>
          <w:p w14:paraId="076FD677" w14:textId="77777777" w:rsidR="00A96344" w:rsidRPr="004E7661" w:rsidRDefault="004E7661" w:rsidP="00A96344">
            <w:pPr>
              <w:jc w:val="center"/>
              <w:rPr>
                <w:sz w:val="20"/>
                <w:szCs w:val="20"/>
                <w:highlight w:val="black"/>
              </w:rPr>
            </w:pPr>
            <w:r>
              <w:rPr>
                <w:noProof/>
                <w:color w:val="000000"/>
                <w:sz w:val="20"/>
                <w:szCs w:val="20"/>
                <w:highlight w:val="black"/>
              </w:rPr>
              <w:t>'''''</w:t>
            </w:r>
          </w:p>
        </w:tc>
        <w:tc>
          <w:tcPr>
            <w:tcW w:w="875" w:type="dxa"/>
          </w:tcPr>
          <w:p w14:paraId="68834787" w14:textId="77777777" w:rsidR="00A96344" w:rsidRPr="004E7661" w:rsidRDefault="004E7661" w:rsidP="00A96344">
            <w:pPr>
              <w:jc w:val="center"/>
              <w:rPr>
                <w:sz w:val="20"/>
                <w:szCs w:val="20"/>
                <w:highlight w:val="black"/>
              </w:rPr>
            </w:pPr>
            <w:r>
              <w:rPr>
                <w:noProof/>
                <w:color w:val="000000"/>
                <w:sz w:val="20"/>
                <w:szCs w:val="20"/>
                <w:highlight w:val="black"/>
              </w:rPr>
              <w:t>'''''</w:t>
            </w:r>
          </w:p>
        </w:tc>
        <w:tc>
          <w:tcPr>
            <w:tcW w:w="875" w:type="dxa"/>
          </w:tcPr>
          <w:p w14:paraId="0F5BFE02" w14:textId="77777777" w:rsidR="00A96344" w:rsidRPr="004E7661" w:rsidRDefault="004E7661" w:rsidP="00A96344">
            <w:pPr>
              <w:jc w:val="center"/>
              <w:rPr>
                <w:sz w:val="20"/>
                <w:szCs w:val="20"/>
                <w:highlight w:val="black"/>
              </w:rPr>
            </w:pPr>
            <w:r>
              <w:rPr>
                <w:noProof/>
                <w:color w:val="000000"/>
                <w:sz w:val="20"/>
                <w:szCs w:val="20"/>
                <w:highlight w:val="black"/>
              </w:rPr>
              <w:t>''''''</w:t>
            </w:r>
          </w:p>
        </w:tc>
        <w:tc>
          <w:tcPr>
            <w:tcW w:w="875" w:type="dxa"/>
          </w:tcPr>
          <w:p w14:paraId="572C3EC9" w14:textId="77777777" w:rsidR="00A96344" w:rsidRPr="004E7661" w:rsidRDefault="004E7661" w:rsidP="00A96344">
            <w:pPr>
              <w:jc w:val="center"/>
              <w:rPr>
                <w:sz w:val="20"/>
                <w:szCs w:val="20"/>
                <w:highlight w:val="black"/>
              </w:rPr>
            </w:pPr>
            <w:r>
              <w:rPr>
                <w:noProof/>
                <w:color w:val="000000"/>
                <w:sz w:val="20"/>
                <w:szCs w:val="20"/>
                <w:highlight w:val="black"/>
              </w:rPr>
              <w:t>'''''</w:t>
            </w:r>
          </w:p>
        </w:tc>
        <w:tc>
          <w:tcPr>
            <w:tcW w:w="875" w:type="dxa"/>
          </w:tcPr>
          <w:p w14:paraId="5771775D" w14:textId="77777777" w:rsidR="00A96344" w:rsidRPr="004E7661" w:rsidRDefault="004E7661" w:rsidP="00A96344">
            <w:pPr>
              <w:jc w:val="center"/>
              <w:rPr>
                <w:sz w:val="20"/>
                <w:szCs w:val="20"/>
                <w:highlight w:val="black"/>
              </w:rPr>
            </w:pPr>
            <w:r>
              <w:rPr>
                <w:noProof/>
                <w:color w:val="000000"/>
                <w:sz w:val="20"/>
                <w:szCs w:val="20"/>
                <w:highlight w:val="black"/>
              </w:rPr>
              <w:t>''''''</w:t>
            </w:r>
          </w:p>
        </w:tc>
        <w:tc>
          <w:tcPr>
            <w:tcW w:w="875" w:type="dxa"/>
          </w:tcPr>
          <w:p w14:paraId="36FD1C87" w14:textId="77777777" w:rsidR="00A96344" w:rsidRPr="004E7661" w:rsidRDefault="004E7661" w:rsidP="00A96344">
            <w:pPr>
              <w:jc w:val="center"/>
              <w:rPr>
                <w:sz w:val="20"/>
                <w:szCs w:val="20"/>
                <w:highlight w:val="black"/>
              </w:rPr>
            </w:pPr>
            <w:r>
              <w:rPr>
                <w:noProof/>
                <w:color w:val="000000"/>
                <w:sz w:val="20"/>
                <w:szCs w:val="20"/>
                <w:highlight w:val="black"/>
              </w:rPr>
              <w:t>'''''</w:t>
            </w:r>
          </w:p>
        </w:tc>
      </w:tr>
      <w:tr w:rsidR="00A96344" w:rsidRPr="00436929" w14:paraId="3B60F1F6" w14:textId="77777777" w:rsidTr="00A96344">
        <w:tc>
          <w:tcPr>
            <w:tcW w:w="3823" w:type="dxa"/>
          </w:tcPr>
          <w:p w14:paraId="4C05419F" w14:textId="77777777" w:rsidR="00A96344" w:rsidRPr="004E7661" w:rsidRDefault="004E7661" w:rsidP="00A96344">
            <w:pPr>
              <w:rPr>
                <w:sz w:val="20"/>
                <w:szCs w:val="20"/>
                <w:highlight w:val="black"/>
              </w:rPr>
            </w:pPr>
            <w:r>
              <w:rPr>
                <w:noProof/>
                <w:color w:val="000000"/>
                <w:sz w:val="20"/>
                <w:szCs w:val="20"/>
                <w:highlight w:val="black"/>
              </w:rPr>
              <w:t xml:space="preserve">'''''''''' ''''''''' ''' '''''''''' ''''''''''''''' ''''''''''''' '''''' '''''''' </w:t>
            </w:r>
          </w:p>
        </w:tc>
        <w:tc>
          <w:tcPr>
            <w:tcW w:w="749" w:type="dxa"/>
          </w:tcPr>
          <w:p w14:paraId="00B34369" w14:textId="77777777" w:rsidR="00A96344" w:rsidRPr="004E7661" w:rsidRDefault="004E7661" w:rsidP="00A96344">
            <w:pPr>
              <w:jc w:val="center"/>
              <w:rPr>
                <w:sz w:val="20"/>
                <w:szCs w:val="20"/>
                <w:highlight w:val="black"/>
              </w:rPr>
            </w:pPr>
            <w:r>
              <w:rPr>
                <w:noProof/>
                <w:color w:val="000000"/>
                <w:sz w:val="20"/>
                <w:szCs w:val="20"/>
                <w:highlight w:val="black"/>
              </w:rPr>
              <w:t>'''''</w:t>
            </w:r>
          </w:p>
        </w:tc>
        <w:tc>
          <w:tcPr>
            <w:tcW w:w="875" w:type="dxa"/>
          </w:tcPr>
          <w:p w14:paraId="782DD408" w14:textId="77777777" w:rsidR="00A96344" w:rsidRPr="004E7661" w:rsidRDefault="004E7661" w:rsidP="00A96344">
            <w:pPr>
              <w:jc w:val="center"/>
              <w:rPr>
                <w:sz w:val="20"/>
                <w:szCs w:val="20"/>
                <w:highlight w:val="black"/>
              </w:rPr>
            </w:pPr>
            <w:r>
              <w:rPr>
                <w:noProof/>
                <w:color w:val="000000"/>
                <w:sz w:val="20"/>
                <w:szCs w:val="20"/>
                <w:highlight w:val="black"/>
              </w:rPr>
              <w:t>'''''''</w:t>
            </w:r>
          </w:p>
        </w:tc>
        <w:tc>
          <w:tcPr>
            <w:tcW w:w="875" w:type="dxa"/>
          </w:tcPr>
          <w:p w14:paraId="112C1C4A" w14:textId="77777777" w:rsidR="00A96344" w:rsidRPr="004E7661" w:rsidRDefault="004E7661" w:rsidP="00A96344">
            <w:pPr>
              <w:jc w:val="center"/>
              <w:rPr>
                <w:sz w:val="20"/>
                <w:szCs w:val="20"/>
                <w:highlight w:val="black"/>
              </w:rPr>
            </w:pPr>
            <w:r>
              <w:rPr>
                <w:noProof/>
                <w:color w:val="000000"/>
                <w:sz w:val="20"/>
                <w:szCs w:val="20"/>
                <w:highlight w:val="black"/>
              </w:rPr>
              <w:t>''''''''</w:t>
            </w:r>
          </w:p>
        </w:tc>
        <w:tc>
          <w:tcPr>
            <w:tcW w:w="875" w:type="dxa"/>
          </w:tcPr>
          <w:p w14:paraId="6445F8C1" w14:textId="77777777" w:rsidR="00A96344" w:rsidRPr="004E7661" w:rsidRDefault="004E7661" w:rsidP="00A96344">
            <w:pPr>
              <w:jc w:val="center"/>
              <w:rPr>
                <w:sz w:val="20"/>
                <w:szCs w:val="20"/>
                <w:highlight w:val="black"/>
              </w:rPr>
            </w:pPr>
            <w:r>
              <w:rPr>
                <w:noProof/>
                <w:color w:val="000000"/>
                <w:sz w:val="20"/>
                <w:szCs w:val="20"/>
                <w:highlight w:val="black"/>
              </w:rPr>
              <w:t>''''''''</w:t>
            </w:r>
          </w:p>
        </w:tc>
        <w:tc>
          <w:tcPr>
            <w:tcW w:w="875" w:type="dxa"/>
          </w:tcPr>
          <w:p w14:paraId="6B64F4F4" w14:textId="77777777" w:rsidR="00A96344" w:rsidRPr="004E7661" w:rsidRDefault="004E7661" w:rsidP="00A96344">
            <w:pPr>
              <w:jc w:val="center"/>
              <w:rPr>
                <w:sz w:val="20"/>
                <w:szCs w:val="20"/>
                <w:highlight w:val="black"/>
              </w:rPr>
            </w:pPr>
            <w:r>
              <w:rPr>
                <w:noProof/>
                <w:color w:val="000000"/>
                <w:sz w:val="20"/>
                <w:szCs w:val="20"/>
                <w:highlight w:val="black"/>
              </w:rPr>
              <w:t>'''''''</w:t>
            </w:r>
          </w:p>
        </w:tc>
        <w:tc>
          <w:tcPr>
            <w:tcW w:w="875" w:type="dxa"/>
          </w:tcPr>
          <w:p w14:paraId="1B16239D" w14:textId="77777777" w:rsidR="00A96344" w:rsidRPr="004E7661" w:rsidRDefault="004E7661" w:rsidP="00A96344">
            <w:pPr>
              <w:jc w:val="center"/>
              <w:rPr>
                <w:sz w:val="20"/>
                <w:szCs w:val="20"/>
                <w:highlight w:val="black"/>
              </w:rPr>
            </w:pPr>
            <w:r>
              <w:rPr>
                <w:noProof/>
                <w:color w:val="000000"/>
                <w:sz w:val="20"/>
                <w:szCs w:val="20"/>
                <w:highlight w:val="black"/>
              </w:rPr>
              <w:t>''''''''</w:t>
            </w:r>
          </w:p>
        </w:tc>
      </w:tr>
      <w:tr w:rsidR="00A96344" w:rsidRPr="00436929" w14:paraId="2438F913" w14:textId="77777777" w:rsidTr="00A96344">
        <w:tc>
          <w:tcPr>
            <w:tcW w:w="3823" w:type="dxa"/>
          </w:tcPr>
          <w:p w14:paraId="112F3F7D" w14:textId="77777777" w:rsidR="00A96344" w:rsidRPr="004E7661" w:rsidRDefault="004E7661" w:rsidP="00A96344">
            <w:pPr>
              <w:rPr>
                <w:sz w:val="20"/>
                <w:szCs w:val="20"/>
                <w:highlight w:val="black"/>
              </w:rPr>
            </w:pPr>
            <w:r>
              <w:rPr>
                <w:noProof/>
                <w:color w:val="000000"/>
                <w:sz w:val="20"/>
                <w:szCs w:val="20"/>
                <w:highlight w:val="black"/>
              </w:rPr>
              <w:t xml:space="preserve">'''''''''' ''''''''' '''' '''''''''' '''''''''''''''' '''''''''''''' ''''''' ''''''''' </w:t>
            </w:r>
          </w:p>
        </w:tc>
        <w:tc>
          <w:tcPr>
            <w:tcW w:w="749" w:type="dxa"/>
          </w:tcPr>
          <w:p w14:paraId="5CA35F12" w14:textId="77777777" w:rsidR="00A96344" w:rsidRPr="004E7661" w:rsidRDefault="004E7661" w:rsidP="00A96344">
            <w:pPr>
              <w:jc w:val="center"/>
              <w:rPr>
                <w:sz w:val="20"/>
                <w:szCs w:val="20"/>
                <w:highlight w:val="black"/>
              </w:rPr>
            </w:pPr>
            <w:r>
              <w:rPr>
                <w:noProof/>
                <w:color w:val="000000"/>
                <w:sz w:val="20"/>
                <w:szCs w:val="20"/>
                <w:highlight w:val="black"/>
              </w:rPr>
              <w:t>'''''</w:t>
            </w:r>
          </w:p>
        </w:tc>
        <w:tc>
          <w:tcPr>
            <w:tcW w:w="875" w:type="dxa"/>
          </w:tcPr>
          <w:p w14:paraId="02832C61" w14:textId="77777777" w:rsidR="00A96344" w:rsidRPr="004E7661" w:rsidRDefault="004E7661" w:rsidP="00A96344">
            <w:pPr>
              <w:jc w:val="center"/>
              <w:rPr>
                <w:sz w:val="20"/>
                <w:szCs w:val="20"/>
                <w:highlight w:val="black"/>
              </w:rPr>
            </w:pPr>
            <w:r>
              <w:rPr>
                <w:noProof/>
                <w:color w:val="000000"/>
                <w:sz w:val="20"/>
                <w:szCs w:val="20"/>
                <w:highlight w:val="black"/>
              </w:rPr>
              <w:t>'''''''</w:t>
            </w:r>
          </w:p>
        </w:tc>
        <w:tc>
          <w:tcPr>
            <w:tcW w:w="875" w:type="dxa"/>
          </w:tcPr>
          <w:p w14:paraId="7D4A3BDC" w14:textId="77777777" w:rsidR="00A96344" w:rsidRPr="004E7661" w:rsidRDefault="004E7661" w:rsidP="00A96344">
            <w:pPr>
              <w:jc w:val="center"/>
              <w:rPr>
                <w:sz w:val="20"/>
                <w:szCs w:val="20"/>
                <w:highlight w:val="black"/>
              </w:rPr>
            </w:pPr>
            <w:r>
              <w:rPr>
                <w:noProof/>
                <w:color w:val="000000"/>
                <w:sz w:val="20"/>
                <w:szCs w:val="20"/>
                <w:highlight w:val="black"/>
              </w:rPr>
              <w:t>''''''''</w:t>
            </w:r>
          </w:p>
        </w:tc>
        <w:tc>
          <w:tcPr>
            <w:tcW w:w="875" w:type="dxa"/>
          </w:tcPr>
          <w:p w14:paraId="23E750BA" w14:textId="77777777" w:rsidR="00A96344" w:rsidRPr="004E7661" w:rsidRDefault="004E7661" w:rsidP="00A96344">
            <w:pPr>
              <w:jc w:val="center"/>
              <w:rPr>
                <w:sz w:val="20"/>
                <w:szCs w:val="20"/>
                <w:highlight w:val="black"/>
              </w:rPr>
            </w:pPr>
            <w:r>
              <w:rPr>
                <w:noProof/>
                <w:color w:val="000000"/>
                <w:sz w:val="20"/>
                <w:szCs w:val="20"/>
                <w:highlight w:val="black"/>
              </w:rPr>
              <w:t>'''''''</w:t>
            </w:r>
          </w:p>
        </w:tc>
        <w:tc>
          <w:tcPr>
            <w:tcW w:w="875" w:type="dxa"/>
          </w:tcPr>
          <w:p w14:paraId="7C10A60A" w14:textId="77777777" w:rsidR="00A96344" w:rsidRPr="004E7661" w:rsidRDefault="004E7661" w:rsidP="00A96344">
            <w:pPr>
              <w:jc w:val="center"/>
              <w:rPr>
                <w:sz w:val="20"/>
                <w:szCs w:val="20"/>
                <w:highlight w:val="black"/>
              </w:rPr>
            </w:pPr>
            <w:r>
              <w:rPr>
                <w:noProof/>
                <w:color w:val="000000"/>
                <w:sz w:val="20"/>
                <w:szCs w:val="20"/>
                <w:highlight w:val="black"/>
              </w:rPr>
              <w:t>''''''''</w:t>
            </w:r>
          </w:p>
        </w:tc>
        <w:tc>
          <w:tcPr>
            <w:tcW w:w="875" w:type="dxa"/>
          </w:tcPr>
          <w:p w14:paraId="25BECFDC" w14:textId="77777777" w:rsidR="00A96344" w:rsidRPr="004E7661" w:rsidRDefault="004E7661" w:rsidP="00A96344">
            <w:pPr>
              <w:jc w:val="center"/>
              <w:rPr>
                <w:sz w:val="20"/>
                <w:szCs w:val="20"/>
                <w:highlight w:val="black"/>
              </w:rPr>
            </w:pPr>
            <w:r>
              <w:rPr>
                <w:noProof/>
                <w:color w:val="000000"/>
                <w:sz w:val="20"/>
                <w:szCs w:val="20"/>
                <w:highlight w:val="black"/>
              </w:rPr>
              <w:t>''''''''</w:t>
            </w:r>
          </w:p>
        </w:tc>
      </w:tr>
      <w:tr w:rsidR="00A96344" w:rsidRPr="00436929" w14:paraId="3E1A429A" w14:textId="77777777" w:rsidTr="00A96344">
        <w:tc>
          <w:tcPr>
            <w:tcW w:w="3823" w:type="dxa"/>
          </w:tcPr>
          <w:p w14:paraId="38B812B0" w14:textId="77777777" w:rsidR="00A96344" w:rsidRPr="004E7661" w:rsidRDefault="004E7661" w:rsidP="00A96344">
            <w:pPr>
              <w:rPr>
                <w:sz w:val="20"/>
                <w:szCs w:val="20"/>
                <w:highlight w:val="black"/>
              </w:rPr>
            </w:pPr>
            <w:r>
              <w:rPr>
                <w:noProof/>
                <w:color w:val="000000"/>
                <w:sz w:val="20"/>
                <w:szCs w:val="20"/>
                <w:highlight w:val="black"/>
              </w:rPr>
              <w:t xml:space="preserve">'''''''''''''' '''' ''''''''''''''''''''''' ''''''''''''''''''''' </w:t>
            </w:r>
          </w:p>
        </w:tc>
        <w:tc>
          <w:tcPr>
            <w:tcW w:w="749" w:type="dxa"/>
          </w:tcPr>
          <w:p w14:paraId="08B1BA0A" w14:textId="77777777" w:rsidR="00A96344" w:rsidRPr="004E7661" w:rsidRDefault="004E7661" w:rsidP="00A96344">
            <w:pPr>
              <w:jc w:val="center"/>
              <w:rPr>
                <w:sz w:val="20"/>
                <w:szCs w:val="20"/>
                <w:highlight w:val="black"/>
              </w:rPr>
            </w:pPr>
            <w:r>
              <w:rPr>
                <w:noProof/>
                <w:color w:val="000000"/>
                <w:sz w:val="20"/>
                <w:szCs w:val="20"/>
                <w:highlight w:val="black"/>
              </w:rPr>
              <w:t>'''''''''''</w:t>
            </w:r>
          </w:p>
        </w:tc>
        <w:tc>
          <w:tcPr>
            <w:tcW w:w="875" w:type="dxa"/>
          </w:tcPr>
          <w:p w14:paraId="253ACBC7" w14:textId="77777777" w:rsidR="00A96344" w:rsidRPr="004E7661" w:rsidRDefault="004E7661" w:rsidP="00A96344">
            <w:pPr>
              <w:jc w:val="center"/>
              <w:rPr>
                <w:sz w:val="20"/>
                <w:szCs w:val="20"/>
                <w:highlight w:val="black"/>
              </w:rPr>
            </w:pPr>
            <w:r>
              <w:rPr>
                <w:noProof/>
                <w:color w:val="000000"/>
                <w:sz w:val="20"/>
                <w:szCs w:val="20"/>
                <w:highlight w:val="black"/>
              </w:rPr>
              <w:t>'''''''</w:t>
            </w:r>
          </w:p>
        </w:tc>
        <w:tc>
          <w:tcPr>
            <w:tcW w:w="875" w:type="dxa"/>
          </w:tcPr>
          <w:p w14:paraId="5BA86955" w14:textId="77777777" w:rsidR="00A96344" w:rsidRPr="004E7661" w:rsidRDefault="004E7661" w:rsidP="00A96344">
            <w:pPr>
              <w:jc w:val="center"/>
              <w:rPr>
                <w:sz w:val="20"/>
                <w:szCs w:val="20"/>
                <w:highlight w:val="black"/>
              </w:rPr>
            </w:pPr>
            <w:r>
              <w:rPr>
                <w:noProof/>
                <w:color w:val="000000"/>
                <w:sz w:val="20"/>
                <w:szCs w:val="20"/>
                <w:highlight w:val="black"/>
              </w:rPr>
              <w:t>''''''''''</w:t>
            </w:r>
          </w:p>
        </w:tc>
        <w:tc>
          <w:tcPr>
            <w:tcW w:w="875" w:type="dxa"/>
          </w:tcPr>
          <w:p w14:paraId="66DDCC20" w14:textId="77777777" w:rsidR="00A96344" w:rsidRPr="004E7661" w:rsidRDefault="004E7661" w:rsidP="00A96344">
            <w:pPr>
              <w:jc w:val="center"/>
              <w:rPr>
                <w:sz w:val="20"/>
                <w:szCs w:val="20"/>
                <w:highlight w:val="black"/>
              </w:rPr>
            </w:pPr>
            <w:r>
              <w:rPr>
                <w:noProof/>
                <w:color w:val="000000"/>
                <w:sz w:val="20"/>
                <w:szCs w:val="20"/>
                <w:highlight w:val="black"/>
              </w:rPr>
              <w:t>''''''''''''</w:t>
            </w:r>
          </w:p>
        </w:tc>
        <w:tc>
          <w:tcPr>
            <w:tcW w:w="875" w:type="dxa"/>
          </w:tcPr>
          <w:p w14:paraId="65ECD731" w14:textId="77777777" w:rsidR="00A96344" w:rsidRPr="004E7661" w:rsidRDefault="004E7661" w:rsidP="00A96344">
            <w:pPr>
              <w:jc w:val="center"/>
              <w:rPr>
                <w:sz w:val="20"/>
                <w:szCs w:val="20"/>
                <w:highlight w:val="black"/>
              </w:rPr>
            </w:pPr>
            <w:r>
              <w:rPr>
                <w:noProof/>
                <w:color w:val="000000"/>
                <w:sz w:val="20"/>
                <w:szCs w:val="20"/>
                <w:highlight w:val="black"/>
              </w:rPr>
              <w:t>'''''''''''</w:t>
            </w:r>
          </w:p>
        </w:tc>
        <w:tc>
          <w:tcPr>
            <w:tcW w:w="875" w:type="dxa"/>
          </w:tcPr>
          <w:p w14:paraId="4A085E66" w14:textId="77777777" w:rsidR="00A96344" w:rsidRPr="004E7661" w:rsidRDefault="004E7661" w:rsidP="00A96344">
            <w:pPr>
              <w:jc w:val="center"/>
              <w:rPr>
                <w:sz w:val="20"/>
                <w:szCs w:val="20"/>
                <w:highlight w:val="black"/>
              </w:rPr>
            </w:pPr>
            <w:r>
              <w:rPr>
                <w:noProof/>
                <w:color w:val="000000"/>
                <w:sz w:val="20"/>
                <w:szCs w:val="20"/>
                <w:highlight w:val="black"/>
              </w:rPr>
              <w:t>''''''''''</w:t>
            </w:r>
          </w:p>
        </w:tc>
      </w:tr>
      <w:tr w:rsidR="00A96344" w:rsidRPr="00436929" w14:paraId="3E356D6D" w14:textId="77777777" w:rsidTr="00A96344">
        <w:tc>
          <w:tcPr>
            <w:tcW w:w="3823" w:type="dxa"/>
          </w:tcPr>
          <w:p w14:paraId="1079D5BB" w14:textId="77777777" w:rsidR="00A96344" w:rsidRPr="004E7661" w:rsidRDefault="004E7661" w:rsidP="00A96344">
            <w:pPr>
              <w:rPr>
                <w:sz w:val="20"/>
                <w:szCs w:val="20"/>
                <w:highlight w:val="black"/>
              </w:rPr>
            </w:pPr>
            <w:r>
              <w:rPr>
                <w:noProof/>
                <w:color w:val="000000"/>
                <w:sz w:val="20"/>
                <w:szCs w:val="20"/>
                <w:highlight w:val="black"/>
              </w:rPr>
              <w:t>''''''''' '''' '''''' '''''''''''''''''' '''''''' ''''''''''''''''''''''' '''''''''</w:t>
            </w:r>
          </w:p>
        </w:tc>
        <w:tc>
          <w:tcPr>
            <w:tcW w:w="749" w:type="dxa"/>
          </w:tcPr>
          <w:p w14:paraId="2D091ADC" w14:textId="77777777" w:rsidR="00A96344" w:rsidRPr="004E7661" w:rsidRDefault="004E7661" w:rsidP="00A96344">
            <w:pPr>
              <w:jc w:val="center"/>
              <w:rPr>
                <w:sz w:val="20"/>
                <w:szCs w:val="20"/>
                <w:highlight w:val="black"/>
              </w:rPr>
            </w:pPr>
            <w:r>
              <w:rPr>
                <w:noProof/>
                <w:color w:val="000000"/>
                <w:sz w:val="20"/>
                <w:szCs w:val="20"/>
                <w:highlight w:val="black"/>
              </w:rPr>
              <w:t>'''''''''''''</w:t>
            </w:r>
          </w:p>
        </w:tc>
        <w:tc>
          <w:tcPr>
            <w:tcW w:w="875" w:type="dxa"/>
          </w:tcPr>
          <w:p w14:paraId="51583F0A" w14:textId="77777777" w:rsidR="00A96344" w:rsidRPr="004E7661" w:rsidRDefault="004E7661" w:rsidP="00A96344">
            <w:pPr>
              <w:jc w:val="center"/>
              <w:rPr>
                <w:sz w:val="20"/>
                <w:szCs w:val="20"/>
                <w:highlight w:val="black"/>
              </w:rPr>
            </w:pPr>
            <w:r>
              <w:rPr>
                <w:noProof/>
                <w:color w:val="000000"/>
                <w:sz w:val="20"/>
                <w:szCs w:val="20"/>
                <w:highlight w:val="black"/>
              </w:rPr>
              <w:t>'''''''''''''''</w:t>
            </w:r>
          </w:p>
        </w:tc>
        <w:tc>
          <w:tcPr>
            <w:tcW w:w="875" w:type="dxa"/>
          </w:tcPr>
          <w:p w14:paraId="417749A9" w14:textId="77777777" w:rsidR="00A96344" w:rsidRPr="004E7661" w:rsidRDefault="004E7661" w:rsidP="00A96344">
            <w:pPr>
              <w:jc w:val="center"/>
              <w:rPr>
                <w:sz w:val="20"/>
                <w:szCs w:val="20"/>
                <w:highlight w:val="black"/>
              </w:rPr>
            </w:pPr>
            <w:r>
              <w:rPr>
                <w:noProof/>
                <w:color w:val="000000"/>
                <w:sz w:val="20"/>
                <w:szCs w:val="20"/>
                <w:highlight w:val="black"/>
              </w:rPr>
              <w:t>'''''''''''''''</w:t>
            </w:r>
          </w:p>
        </w:tc>
        <w:tc>
          <w:tcPr>
            <w:tcW w:w="875" w:type="dxa"/>
          </w:tcPr>
          <w:p w14:paraId="1851A8DF" w14:textId="77777777" w:rsidR="00A96344" w:rsidRPr="004E7661" w:rsidRDefault="004E7661" w:rsidP="00A96344">
            <w:pPr>
              <w:jc w:val="center"/>
              <w:rPr>
                <w:sz w:val="20"/>
                <w:szCs w:val="20"/>
                <w:highlight w:val="black"/>
              </w:rPr>
            </w:pPr>
            <w:r>
              <w:rPr>
                <w:noProof/>
                <w:color w:val="000000"/>
                <w:sz w:val="20"/>
                <w:szCs w:val="20"/>
                <w:highlight w:val="black"/>
              </w:rPr>
              <w:t>''''''''''''''</w:t>
            </w:r>
          </w:p>
        </w:tc>
        <w:tc>
          <w:tcPr>
            <w:tcW w:w="875" w:type="dxa"/>
          </w:tcPr>
          <w:p w14:paraId="0FC829A3" w14:textId="77777777" w:rsidR="00A96344" w:rsidRPr="004E7661" w:rsidRDefault="004E7661" w:rsidP="00A96344">
            <w:pPr>
              <w:jc w:val="center"/>
              <w:rPr>
                <w:sz w:val="20"/>
                <w:szCs w:val="20"/>
                <w:highlight w:val="black"/>
              </w:rPr>
            </w:pPr>
            <w:r>
              <w:rPr>
                <w:noProof/>
                <w:color w:val="000000"/>
                <w:sz w:val="20"/>
                <w:szCs w:val="20"/>
                <w:highlight w:val="black"/>
              </w:rPr>
              <w:t>''''''''''''''''</w:t>
            </w:r>
          </w:p>
        </w:tc>
        <w:tc>
          <w:tcPr>
            <w:tcW w:w="875" w:type="dxa"/>
          </w:tcPr>
          <w:p w14:paraId="0CF215A7" w14:textId="77777777" w:rsidR="00A96344" w:rsidRPr="004E7661" w:rsidRDefault="004E7661" w:rsidP="00A96344">
            <w:pPr>
              <w:jc w:val="center"/>
              <w:rPr>
                <w:sz w:val="20"/>
                <w:szCs w:val="20"/>
                <w:highlight w:val="black"/>
              </w:rPr>
            </w:pPr>
            <w:r>
              <w:rPr>
                <w:noProof/>
                <w:color w:val="000000"/>
                <w:sz w:val="20"/>
                <w:szCs w:val="20"/>
                <w:highlight w:val="black"/>
              </w:rPr>
              <w:t>'''''''''''''''</w:t>
            </w:r>
          </w:p>
        </w:tc>
      </w:tr>
      <w:tr w:rsidR="00A96344" w:rsidRPr="00436929" w14:paraId="66BB5B3F" w14:textId="77777777" w:rsidTr="00A96344">
        <w:tc>
          <w:tcPr>
            <w:tcW w:w="8947" w:type="dxa"/>
            <w:gridSpan w:val="7"/>
          </w:tcPr>
          <w:p w14:paraId="22B3CC8F" w14:textId="77777777" w:rsidR="00A96344" w:rsidRPr="004E7661" w:rsidRDefault="004E7661" w:rsidP="00A96344">
            <w:pPr>
              <w:rPr>
                <w:b/>
                <w:sz w:val="20"/>
                <w:szCs w:val="20"/>
                <w:highlight w:val="black"/>
              </w:rPr>
            </w:pPr>
            <w:r>
              <w:rPr>
                <w:b/>
                <w:noProof/>
                <w:color w:val="000000"/>
                <w:sz w:val="20"/>
                <w:szCs w:val="20"/>
                <w:highlight w:val="black"/>
              </w:rPr>
              <w:t>'''''''''''''''''''' ''''''''''''' ''''' '''''' '''''''''''''' ''''''''''</w:t>
            </w:r>
          </w:p>
        </w:tc>
      </w:tr>
      <w:tr w:rsidR="00A96344" w:rsidRPr="00436929" w14:paraId="773EF1C9" w14:textId="77777777" w:rsidTr="00A96344">
        <w:tc>
          <w:tcPr>
            <w:tcW w:w="3823" w:type="dxa"/>
          </w:tcPr>
          <w:p w14:paraId="3CA85CCC" w14:textId="77777777" w:rsidR="00A96344" w:rsidRPr="004E7661" w:rsidRDefault="004E7661" w:rsidP="00A96344">
            <w:pPr>
              <w:rPr>
                <w:sz w:val="20"/>
                <w:szCs w:val="20"/>
                <w:highlight w:val="black"/>
              </w:rPr>
            </w:pPr>
            <w:r>
              <w:rPr>
                <w:noProof/>
                <w:color w:val="000000"/>
                <w:sz w:val="20"/>
                <w:szCs w:val="20"/>
                <w:highlight w:val="black"/>
              </w:rPr>
              <w:t xml:space="preserve">'''''''''' ''''''''' '' ''''''''' ''''''''''''''' ''''''''''''' '''''' ''''''''' </w:t>
            </w:r>
          </w:p>
        </w:tc>
        <w:tc>
          <w:tcPr>
            <w:tcW w:w="749" w:type="dxa"/>
          </w:tcPr>
          <w:p w14:paraId="21FCE0F1" w14:textId="77777777" w:rsidR="00A96344" w:rsidRPr="004E7661" w:rsidRDefault="004E7661" w:rsidP="00A96344">
            <w:pPr>
              <w:jc w:val="center"/>
              <w:rPr>
                <w:sz w:val="20"/>
                <w:szCs w:val="20"/>
                <w:highlight w:val="black"/>
              </w:rPr>
            </w:pPr>
            <w:r>
              <w:rPr>
                <w:noProof/>
                <w:color w:val="000000"/>
                <w:sz w:val="20"/>
                <w:szCs w:val="20"/>
                <w:highlight w:val="black"/>
              </w:rPr>
              <w:t>'''''</w:t>
            </w:r>
          </w:p>
        </w:tc>
        <w:tc>
          <w:tcPr>
            <w:tcW w:w="875" w:type="dxa"/>
          </w:tcPr>
          <w:p w14:paraId="7D4E476D" w14:textId="77777777" w:rsidR="00A96344" w:rsidRPr="004E7661" w:rsidRDefault="004E7661" w:rsidP="00A96344">
            <w:pPr>
              <w:jc w:val="center"/>
              <w:rPr>
                <w:sz w:val="20"/>
                <w:szCs w:val="20"/>
                <w:highlight w:val="black"/>
              </w:rPr>
            </w:pPr>
            <w:r>
              <w:rPr>
                <w:noProof/>
                <w:color w:val="000000"/>
                <w:sz w:val="20"/>
                <w:szCs w:val="20"/>
                <w:highlight w:val="black"/>
              </w:rPr>
              <w:t>'''''</w:t>
            </w:r>
          </w:p>
        </w:tc>
        <w:tc>
          <w:tcPr>
            <w:tcW w:w="875" w:type="dxa"/>
          </w:tcPr>
          <w:p w14:paraId="3F17248C" w14:textId="77777777" w:rsidR="00A96344" w:rsidRPr="004E7661" w:rsidRDefault="004E7661" w:rsidP="00A96344">
            <w:pPr>
              <w:jc w:val="center"/>
              <w:rPr>
                <w:sz w:val="20"/>
                <w:szCs w:val="20"/>
                <w:highlight w:val="black"/>
              </w:rPr>
            </w:pPr>
            <w:r>
              <w:rPr>
                <w:noProof/>
                <w:color w:val="000000"/>
                <w:sz w:val="20"/>
                <w:szCs w:val="20"/>
                <w:highlight w:val="black"/>
              </w:rPr>
              <w:t>'''''</w:t>
            </w:r>
          </w:p>
        </w:tc>
        <w:tc>
          <w:tcPr>
            <w:tcW w:w="875" w:type="dxa"/>
          </w:tcPr>
          <w:p w14:paraId="75E1E3C0" w14:textId="77777777" w:rsidR="00A96344" w:rsidRPr="004E7661" w:rsidRDefault="004E7661" w:rsidP="00A96344">
            <w:pPr>
              <w:jc w:val="center"/>
              <w:rPr>
                <w:sz w:val="20"/>
                <w:szCs w:val="20"/>
                <w:highlight w:val="black"/>
              </w:rPr>
            </w:pPr>
            <w:r>
              <w:rPr>
                <w:noProof/>
                <w:color w:val="000000"/>
                <w:sz w:val="20"/>
                <w:szCs w:val="20"/>
                <w:highlight w:val="black"/>
              </w:rPr>
              <w:t>'''''</w:t>
            </w:r>
          </w:p>
        </w:tc>
        <w:tc>
          <w:tcPr>
            <w:tcW w:w="875" w:type="dxa"/>
          </w:tcPr>
          <w:p w14:paraId="75EB353B" w14:textId="77777777" w:rsidR="00A96344" w:rsidRPr="004E7661" w:rsidRDefault="004E7661" w:rsidP="00A96344">
            <w:pPr>
              <w:jc w:val="center"/>
              <w:rPr>
                <w:sz w:val="20"/>
                <w:szCs w:val="20"/>
                <w:highlight w:val="black"/>
              </w:rPr>
            </w:pPr>
            <w:r>
              <w:rPr>
                <w:noProof/>
                <w:color w:val="000000"/>
                <w:sz w:val="20"/>
                <w:szCs w:val="20"/>
                <w:highlight w:val="black"/>
              </w:rPr>
              <w:t>''''''</w:t>
            </w:r>
          </w:p>
        </w:tc>
        <w:tc>
          <w:tcPr>
            <w:tcW w:w="875" w:type="dxa"/>
          </w:tcPr>
          <w:p w14:paraId="5B661BA2" w14:textId="77777777" w:rsidR="00A96344" w:rsidRPr="004E7661" w:rsidRDefault="004E7661" w:rsidP="00A96344">
            <w:pPr>
              <w:jc w:val="center"/>
              <w:rPr>
                <w:sz w:val="20"/>
                <w:szCs w:val="20"/>
                <w:highlight w:val="black"/>
              </w:rPr>
            </w:pPr>
            <w:r>
              <w:rPr>
                <w:noProof/>
                <w:color w:val="000000"/>
                <w:sz w:val="20"/>
                <w:szCs w:val="20"/>
                <w:highlight w:val="black"/>
              </w:rPr>
              <w:t>''''''</w:t>
            </w:r>
          </w:p>
        </w:tc>
      </w:tr>
      <w:tr w:rsidR="00A96344" w:rsidRPr="00436929" w14:paraId="6AB87D63" w14:textId="77777777" w:rsidTr="00A96344">
        <w:tc>
          <w:tcPr>
            <w:tcW w:w="3823" w:type="dxa"/>
          </w:tcPr>
          <w:p w14:paraId="44CEA75A" w14:textId="77777777" w:rsidR="00A96344" w:rsidRPr="004E7661" w:rsidRDefault="004E7661" w:rsidP="00A96344">
            <w:pPr>
              <w:rPr>
                <w:sz w:val="20"/>
                <w:szCs w:val="20"/>
                <w:highlight w:val="black"/>
              </w:rPr>
            </w:pPr>
            <w:r>
              <w:rPr>
                <w:noProof/>
                <w:color w:val="000000"/>
                <w:sz w:val="20"/>
                <w:szCs w:val="20"/>
                <w:highlight w:val="black"/>
              </w:rPr>
              <w:t xml:space="preserve">'''''''''' '''''''''' '' '''''''' ''''''''''''''''' '''''''''''''' '''''' '''''''' </w:t>
            </w:r>
          </w:p>
        </w:tc>
        <w:tc>
          <w:tcPr>
            <w:tcW w:w="749" w:type="dxa"/>
          </w:tcPr>
          <w:p w14:paraId="46F700EF" w14:textId="77777777" w:rsidR="00A96344" w:rsidRPr="004E7661" w:rsidRDefault="004E7661" w:rsidP="00A96344">
            <w:pPr>
              <w:jc w:val="center"/>
              <w:rPr>
                <w:sz w:val="20"/>
                <w:szCs w:val="20"/>
                <w:highlight w:val="black"/>
              </w:rPr>
            </w:pPr>
            <w:r>
              <w:rPr>
                <w:noProof/>
                <w:color w:val="000000"/>
                <w:sz w:val="20"/>
                <w:szCs w:val="20"/>
                <w:highlight w:val="black"/>
              </w:rPr>
              <w:t>'''''</w:t>
            </w:r>
          </w:p>
        </w:tc>
        <w:tc>
          <w:tcPr>
            <w:tcW w:w="875" w:type="dxa"/>
          </w:tcPr>
          <w:p w14:paraId="0CEBB77B" w14:textId="77777777" w:rsidR="00A96344" w:rsidRPr="004E7661" w:rsidRDefault="004E7661" w:rsidP="00A96344">
            <w:pPr>
              <w:jc w:val="center"/>
              <w:rPr>
                <w:sz w:val="20"/>
                <w:szCs w:val="20"/>
                <w:highlight w:val="black"/>
              </w:rPr>
            </w:pPr>
            <w:r>
              <w:rPr>
                <w:noProof/>
                <w:color w:val="000000"/>
                <w:sz w:val="20"/>
                <w:szCs w:val="20"/>
                <w:highlight w:val="black"/>
              </w:rPr>
              <w:t>'''''</w:t>
            </w:r>
          </w:p>
        </w:tc>
        <w:tc>
          <w:tcPr>
            <w:tcW w:w="875" w:type="dxa"/>
          </w:tcPr>
          <w:p w14:paraId="49EA9751" w14:textId="77777777" w:rsidR="00A96344" w:rsidRPr="004E7661" w:rsidRDefault="004E7661" w:rsidP="00A96344">
            <w:pPr>
              <w:jc w:val="center"/>
              <w:rPr>
                <w:sz w:val="20"/>
                <w:szCs w:val="20"/>
                <w:highlight w:val="black"/>
              </w:rPr>
            </w:pPr>
            <w:r>
              <w:rPr>
                <w:noProof/>
                <w:color w:val="000000"/>
                <w:sz w:val="20"/>
                <w:szCs w:val="20"/>
                <w:highlight w:val="black"/>
              </w:rPr>
              <w:t>''''''</w:t>
            </w:r>
          </w:p>
        </w:tc>
        <w:tc>
          <w:tcPr>
            <w:tcW w:w="875" w:type="dxa"/>
          </w:tcPr>
          <w:p w14:paraId="47BBC9A7" w14:textId="77777777" w:rsidR="00A96344" w:rsidRPr="004E7661" w:rsidRDefault="004E7661" w:rsidP="00A96344">
            <w:pPr>
              <w:jc w:val="center"/>
              <w:rPr>
                <w:sz w:val="20"/>
                <w:szCs w:val="20"/>
                <w:highlight w:val="black"/>
              </w:rPr>
            </w:pPr>
            <w:r>
              <w:rPr>
                <w:noProof/>
                <w:color w:val="000000"/>
                <w:sz w:val="20"/>
                <w:szCs w:val="20"/>
                <w:highlight w:val="black"/>
              </w:rPr>
              <w:t>''''''''</w:t>
            </w:r>
          </w:p>
        </w:tc>
        <w:tc>
          <w:tcPr>
            <w:tcW w:w="875" w:type="dxa"/>
          </w:tcPr>
          <w:p w14:paraId="0A33F399" w14:textId="77777777" w:rsidR="00A96344" w:rsidRPr="004E7661" w:rsidRDefault="004E7661" w:rsidP="00A96344">
            <w:pPr>
              <w:jc w:val="center"/>
              <w:rPr>
                <w:sz w:val="20"/>
                <w:szCs w:val="20"/>
                <w:highlight w:val="black"/>
              </w:rPr>
            </w:pPr>
            <w:r>
              <w:rPr>
                <w:noProof/>
                <w:color w:val="000000"/>
                <w:sz w:val="20"/>
                <w:szCs w:val="20"/>
                <w:highlight w:val="black"/>
              </w:rPr>
              <w:t>''''''''</w:t>
            </w:r>
          </w:p>
        </w:tc>
        <w:tc>
          <w:tcPr>
            <w:tcW w:w="875" w:type="dxa"/>
          </w:tcPr>
          <w:p w14:paraId="0614E597" w14:textId="77777777" w:rsidR="00A96344" w:rsidRPr="004E7661" w:rsidRDefault="004E7661" w:rsidP="00A96344">
            <w:pPr>
              <w:jc w:val="center"/>
              <w:rPr>
                <w:sz w:val="20"/>
                <w:szCs w:val="20"/>
                <w:highlight w:val="black"/>
              </w:rPr>
            </w:pPr>
            <w:r>
              <w:rPr>
                <w:noProof/>
                <w:color w:val="000000"/>
                <w:sz w:val="20"/>
                <w:szCs w:val="20"/>
                <w:highlight w:val="black"/>
              </w:rPr>
              <w:t>'''''''</w:t>
            </w:r>
          </w:p>
        </w:tc>
      </w:tr>
      <w:tr w:rsidR="00A96344" w:rsidRPr="00436929" w14:paraId="4BAC3050" w14:textId="77777777" w:rsidTr="00A96344">
        <w:tc>
          <w:tcPr>
            <w:tcW w:w="3823" w:type="dxa"/>
          </w:tcPr>
          <w:p w14:paraId="42AF2D42" w14:textId="77777777" w:rsidR="00A96344" w:rsidRPr="004E7661" w:rsidRDefault="004E7661" w:rsidP="00A96344">
            <w:pPr>
              <w:rPr>
                <w:sz w:val="20"/>
                <w:szCs w:val="20"/>
                <w:highlight w:val="black"/>
              </w:rPr>
            </w:pPr>
            <w:r>
              <w:rPr>
                <w:noProof/>
                <w:color w:val="000000"/>
                <w:sz w:val="20"/>
                <w:szCs w:val="20"/>
                <w:highlight w:val="black"/>
              </w:rPr>
              <w:t xml:space="preserve">''''''''''' ''''''''' '''' '''''''' '''''''''''''''' ''''''''''''' ''''''' '''''''' </w:t>
            </w:r>
          </w:p>
        </w:tc>
        <w:tc>
          <w:tcPr>
            <w:tcW w:w="749" w:type="dxa"/>
          </w:tcPr>
          <w:p w14:paraId="55682533" w14:textId="77777777" w:rsidR="00A96344" w:rsidRPr="004E7661" w:rsidRDefault="004E7661" w:rsidP="00A96344">
            <w:pPr>
              <w:jc w:val="center"/>
              <w:rPr>
                <w:sz w:val="20"/>
                <w:szCs w:val="20"/>
                <w:highlight w:val="black"/>
              </w:rPr>
            </w:pPr>
            <w:r>
              <w:rPr>
                <w:noProof/>
                <w:color w:val="000000"/>
                <w:sz w:val="20"/>
                <w:szCs w:val="20"/>
                <w:highlight w:val="black"/>
              </w:rPr>
              <w:t>''''''</w:t>
            </w:r>
          </w:p>
        </w:tc>
        <w:tc>
          <w:tcPr>
            <w:tcW w:w="875" w:type="dxa"/>
          </w:tcPr>
          <w:p w14:paraId="176808C5" w14:textId="77777777" w:rsidR="00A96344" w:rsidRPr="004E7661" w:rsidRDefault="004E7661" w:rsidP="00A96344">
            <w:pPr>
              <w:jc w:val="center"/>
              <w:rPr>
                <w:sz w:val="20"/>
                <w:szCs w:val="20"/>
                <w:highlight w:val="black"/>
              </w:rPr>
            </w:pPr>
            <w:r>
              <w:rPr>
                <w:noProof/>
                <w:color w:val="000000"/>
                <w:sz w:val="20"/>
                <w:szCs w:val="20"/>
                <w:highlight w:val="black"/>
              </w:rPr>
              <w:t>'''''</w:t>
            </w:r>
          </w:p>
        </w:tc>
        <w:tc>
          <w:tcPr>
            <w:tcW w:w="875" w:type="dxa"/>
          </w:tcPr>
          <w:p w14:paraId="0D252EFB" w14:textId="77777777" w:rsidR="00A96344" w:rsidRPr="004E7661" w:rsidRDefault="004E7661" w:rsidP="00A96344">
            <w:pPr>
              <w:jc w:val="center"/>
              <w:rPr>
                <w:sz w:val="20"/>
                <w:szCs w:val="20"/>
                <w:highlight w:val="black"/>
              </w:rPr>
            </w:pPr>
            <w:r>
              <w:rPr>
                <w:noProof/>
                <w:color w:val="000000"/>
                <w:sz w:val="20"/>
                <w:szCs w:val="20"/>
                <w:highlight w:val="black"/>
              </w:rPr>
              <w:t>'''''</w:t>
            </w:r>
          </w:p>
        </w:tc>
        <w:tc>
          <w:tcPr>
            <w:tcW w:w="875" w:type="dxa"/>
          </w:tcPr>
          <w:p w14:paraId="66881C9C" w14:textId="77777777" w:rsidR="00A96344" w:rsidRPr="004E7661" w:rsidRDefault="004E7661" w:rsidP="00A96344">
            <w:pPr>
              <w:jc w:val="center"/>
              <w:rPr>
                <w:sz w:val="20"/>
                <w:szCs w:val="20"/>
                <w:highlight w:val="black"/>
              </w:rPr>
            </w:pPr>
            <w:r>
              <w:rPr>
                <w:noProof/>
                <w:color w:val="000000"/>
                <w:sz w:val="20"/>
                <w:szCs w:val="20"/>
                <w:highlight w:val="black"/>
              </w:rPr>
              <w:t>'''''</w:t>
            </w:r>
          </w:p>
        </w:tc>
        <w:tc>
          <w:tcPr>
            <w:tcW w:w="875" w:type="dxa"/>
          </w:tcPr>
          <w:p w14:paraId="0EBE8D2D" w14:textId="77777777" w:rsidR="00A96344" w:rsidRPr="004E7661" w:rsidRDefault="004E7661" w:rsidP="00A96344">
            <w:pPr>
              <w:jc w:val="center"/>
              <w:rPr>
                <w:sz w:val="20"/>
                <w:szCs w:val="20"/>
                <w:highlight w:val="black"/>
              </w:rPr>
            </w:pPr>
            <w:r>
              <w:rPr>
                <w:noProof/>
                <w:color w:val="000000"/>
                <w:sz w:val="20"/>
                <w:szCs w:val="20"/>
                <w:highlight w:val="black"/>
              </w:rPr>
              <w:t>'''''</w:t>
            </w:r>
          </w:p>
        </w:tc>
        <w:tc>
          <w:tcPr>
            <w:tcW w:w="875" w:type="dxa"/>
          </w:tcPr>
          <w:p w14:paraId="3F3ABE88" w14:textId="77777777" w:rsidR="00A96344" w:rsidRPr="004E7661" w:rsidRDefault="004E7661" w:rsidP="00A96344">
            <w:pPr>
              <w:jc w:val="center"/>
              <w:rPr>
                <w:sz w:val="20"/>
                <w:szCs w:val="20"/>
                <w:highlight w:val="black"/>
              </w:rPr>
            </w:pPr>
            <w:r>
              <w:rPr>
                <w:noProof/>
                <w:color w:val="000000"/>
                <w:sz w:val="20"/>
                <w:szCs w:val="20"/>
                <w:highlight w:val="black"/>
              </w:rPr>
              <w:t>'''''</w:t>
            </w:r>
          </w:p>
        </w:tc>
      </w:tr>
      <w:tr w:rsidR="00A96344" w:rsidRPr="00436929" w14:paraId="3792C57A" w14:textId="77777777" w:rsidTr="00A96344">
        <w:tc>
          <w:tcPr>
            <w:tcW w:w="3823" w:type="dxa"/>
          </w:tcPr>
          <w:p w14:paraId="27C63CCA" w14:textId="77777777" w:rsidR="00A96344" w:rsidRPr="004E7661" w:rsidRDefault="004E7661" w:rsidP="00A96344">
            <w:pPr>
              <w:rPr>
                <w:sz w:val="20"/>
                <w:szCs w:val="20"/>
                <w:highlight w:val="black"/>
              </w:rPr>
            </w:pPr>
            <w:r>
              <w:rPr>
                <w:noProof/>
                <w:color w:val="000000"/>
                <w:sz w:val="20"/>
                <w:szCs w:val="20"/>
                <w:highlight w:val="black"/>
              </w:rPr>
              <w:t xml:space="preserve">''''''''''''''''' '''' '''''''''''''''''''''''' '''''''''''''''''' </w:t>
            </w:r>
          </w:p>
        </w:tc>
        <w:tc>
          <w:tcPr>
            <w:tcW w:w="749" w:type="dxa"/>
          </w:tcPr>
          <w:p w14:paraId="7B16CF0C" w14:textId="77777777" w:rsidR="00A96344" w:rsidRPr="004E7661" w:rsidRDefault="004E7661" w:rsidP="00A96344">
            <w:pPr>
              <w:jc w:val="center"/>
              <w:rPr>
                <w:sz w:val="20"/>
                <w:szCs w:val="20"/>
                <w:highlight w:val="black"/>
              </w:rPr>
            </w:pPr>
            <w:r>
              <w:rPr>
                <w:noProof/>
                <w:color w:val="000000"/>
                <w:sz w:val="20"/>
                <w:szCs w:val="20"/>
                <w:highlight w:val="black"/>
              </w:rPr>
              <w:t>''''''''</w:t>
            </w:r>
          </w:p>
        </w:tc>
        <w:tc>
          <w:tcPr>
            <w:tcW w:w="875" w:type="dxa"/>
          </w:tcPr>
          <w:p w14:paraId="3511EC02" w14:textId="77777777" w:rsidR="00A96344" w:rsidRPr="004E7661" w:rsidRDefault="004E7661" w:rsidP="00A96344">
            <w:pPr>
              <w:jc w:val="center"/>
              <w:rPr>
                <w:sz w:val="20"/>
                <w:szCs w:val="20"/>
                <w:highlight w:val="black"/>
              </w:rPr>
            </w:pPr>
            <w:r>
              <w:rPr>
                <w:noProof/>
                <w:color w:val="000000"/>
                <w:sz w:val="20"/>
                <w:szCs w:val="20"/>
                <w:highlight w:val="black"/>
              </w:rPr>
              <w:t>'''''''</w:t>
            </w:r>
          </w:p>
        </w:tc>
        <w:tc>
          <w:tcPr>
            <w:tcW w:w="875" w:type="dxa"/>
          </w:tcPr>
          <w:p w14:paraId="0B97CAE4" w14:textId="77777777" w:rsidR="00A96344" w:rsidRPr="004E7661" w:rsidRDefault="004E7661" w:rsidP="00A96344">
            <w:pPr>
              <w:jc w:val="center"/>
              <w:rPr>
                <w:sz w:val="20"/>
                <w:szCs w:val="20"/>
                <w:highlight w:val="black"/>
              </w:rPr>
            </w:pPr>
            <w:r>
              <w:rPr>
                <w:noProof/>
                <w:color w:val="000000"/>
                <w:sz w:val="20"/>
                <w:szCs w:val="20"/>
                <w:highlight w:val="black"/>
              </w:rPr>
              <w:t>''''''''</w:t>
            </w:r>
          </w:p>
        </w:tc>
        <w:tc>
          <w:tcPr>
            <w:tcW w:w="875" w:type="dxa"/>
          </w:tcPr>
          <w:p w14:paraId="594F4F37" w14:textId="77777777" w:rsidR="00A96344" w:rsidRPr="004E7661" w:rsidRDefault="004E7661" w:rsidP="00A96344">
            <w:pPr>
              <w:jc w:val="center"/>
              <w:rPr>
                <w:sz w:val="20"/>
                <w:szCs w:val="20"/>
                <w:highlight w:val="black"/>
              </w:rPr>
            </w:pPr>
            <w:r>
              <w:rPr>
                <w:noProof/>
                <w:color w:val="000000"/>
                <w:sz w:val="20"/>
                <w:szCs w:val="20"/>
                <w:highlight w:val="black"/>
              </w:rPr>
              <w:t>'''''''</w:t>
            </w:r>
          </w:p>
        </w:tc>
        <w:tc>
          <w:tcPr>
            <w:tcW w:w="875" w:type="dxa"/>
          </w:tcPr>
          <w:p w14:paraId="529EC845" w14:textId="77777777" w:rsidR="00A96344" w:rsidRPr="004E7661" w:rsidRDefault="004E7661" w:rsidP="00A96344">
            <w:pPr>
              <w:jc w:val="center"/>
              <w:rPr>
                <w:sz w:val="20"/>
                <w:szCs w:val="20"/>
                <w:highlight w:val="black"/>
              </w:rPr>
            </w:pPr>
            <w:r>
              <w:rPr>
                <w:noProof/>
                <w:color w:val="000000"/>
                <w:sz w:val="20"/>
                <w:szCs w:val="20"/>
                <w:highlight w:val="black"/>
              </w:rPr>
              <w:t>'''''''</w:t>
            </w:r>
          </w:p>
        </w:tc>
        <w:tc>
          <w:tcPr>
            <w:tcW w:w="875" w:type="dxa"/>
          </w:tcPr>
          <w:p w14:paraId="3075F05C" w14:textId="77777777" w:rsidR="00A96344" w:rsidRPr="004E7661" w:rsidRDefault="004E7661" w:rsidP="00A96344">
            <w:pPr>
              <w:jc w:val="center"/>
              <w:rPr>
                <w:sz w:val="20"/>
                <w:szCs w:val="20"/>
                <w:highlight w:val="black"/>
              </w:rPr>
            </w:pPr>
            <w:r>
              <w:rPr>
                <w:noProof/>
                <w:color w:val="000000"/>
                <w:sz w:val="20"/>
                <w:szCs w:val="20"/>
                <w:highlight w:val="black"/>
              </w:rPr>
              <w:t>'''''''</w:t>
            </w:r>
          </w:p>
        </w:tc>
      </w:tr>
      <w:tr w:rsidR="00A96344" w:rsidRPr="00436929" w14:paraId="5027FEC3" w14:textId="77777777" w:rsidTr="00A96344">
        <w:tc>
          <w:tcPr>
            <w:tcW w:w="3823" w:type="dxa"/>
          </w:tcPr>
          <w:p w14:paraId="14AE9AD0" w14:textId="77777777" w:rsidR="00A96344" w:rsidRPr="004E7661" w:rsidRDefault="004E7661" w:rsidP="00A96344">
            <w:pPr>
              <w:rPr>
                <w:sz w:val="20"/>
                <w:szCs w:val="20"/>
                <w:highlight w:val="black"/>
              </w:rPr>
            </w:pPr>
            <w:r>
              <w:rPr>
                <w:noProof/>
                <w:color w:val="000000"/>
                <w:sz w:val="20"/>
                <w:szCs w:val="20"/>
                <w:highlight w:val="black"/>
              </w:rPr>
              <w:t>'''''''' ''''' ''''''' ''''''''''''''''''' ''''''''' '''''''''''''''''''''' ''''''''</w:t>
            </w:r>
          </w:p>
        </w:tc>
        <w:tc>
          <w:tcPr>
            <w:tcW w:w="749" w:type="dxa"/>
          </w:tcPr>
          <w:p w14:paraId="0975C79A" w14:textId="77777777" w:rsidR="00A96344" w:rsidRPr="004E7661" w:rsidRDefault="004E7661" w:rsidP="00A96344">
            <w:pPr>
              <w:jc w:val="center"/>
              <w:rPr>
                <w:sz w:val="20"/>
                <w:szCs w:val="20"/>
                <w:highlight w:val="black"/>
              </w:rPr>
            </w:pPr>
            <w:r>
              <w:rPr>
                <w:noProof/>
                <w:color w:val="000000"/>
                <w:sz w:val="20"/>
                <w:szCs w:val="20"/>
                <w:highlight w:val="black"/>
              </w:rPr>
              <w:t>''''''''''</w:t>
            </w:r>
          </w:p>
        </w:tc>
        <w:tc>
          <w:tcPr>
            <w:tcW w:w="875" w:type="dxa"/>
          </w:tcPr>
          <w:p w14:paraId="06770E9B" w14:textId="77777777" w:rsidR="00A96344" w:rsidRPr="004E7661" w:rsidRDefault="004E7661" w:rsidP="00A96344">
            <w:pPr>
              <w:jc w:val="center"/>
              <w:rPr>
                <w:sz w:val="20"/>
                <w:szCs w:val="20"/>
                <w:highlight w:val="black"/>
              </w:rPr>
            </w:pPr>
            <w:r>
              <w:rPr>
                <w:noProof/>
                <w:color w:val="000000"/>
                <w:sz w:val="20"/>
                <w:szCs w:val="20"/>
                <w:highlight w:val="black"/>
              </w:rPr>
              <w:t>''''''''''</w:t>
            </w:r>
          </w:p>
        </w:tc>
        <w:tc>
          <w:tcPr>
            <w:tcW w:w="875" w:type="dxa"/>
          </w:tcPr>
          <w:p w14:paraId="2077F181" w14:textId="77777777" w:rsidR="00A96344" w:rsidRPr="004E7661" w:rsidRDefault="004E7661" w:rsidP="00A96344">
            <w:pPr>
              <w:jc w:val="center"/>
              <w:rPr>
                <w:sz w:val="20"/>
                <w:szCs w:val="20"/>
                <w:highlight w:val="black"/>
              </w:rPr>
            </w:pPr>
            <w:r>
              <w:rPr>
                <w:noProof/>
                <w:color w:val="000000"/>
                <w:sz w:val="20"/>
                <w:szCs w:val="20"/>
                <w:highlight w:val="black"/>
              </w:rPr>
              <w:t>'''''''''''</w:t>
            </w:r>
          </w:p>
        </w:tc>
        <w:tc>
          <w:tcPr>
            <w:tcW w:w="875" w:type="dxa"/>
          </w:tcPr>
          <w:p w14:paraId="3478A73F" w14:textId="77777777" w:rsidR="00A96344" w:rsidRPr="004E7661" w:rsidRDefault="004E7661" w:rsidP="00A96344">
            <w:pPr>
              <w:jc w:val="center"/>
              <w:rPr>
                <w:sz w:val="20"/>
                <w:szCs w:val="20"/>
                <w:highlight w:val="black"/>
              </w:rPr>
            </w:pPr>
            <w:r>
              <w:rPr>
                <w:noProof/>
                <w:color w:val="000000"/>
                <w:sz w:val="20"/>
                <w:szCs w:val="20"/>
                <w:highlight w:val="black"/>
              </w:rPr>
              <w:t>'''''''''''</w:t>
            </w:r>
          </w:p>
        </w:tc>
        <w:tc>
          <w:tcPr>
            <w:tcW w:w="875" w:type="dxa"/>
          </w:tcPr>
          <w:p w14:paraId="13B4FD5F" w14:textId="77777777" w:rsidR="00A96344" w:rsidRPr="004E7661" w:rsidRDefault="004E7661" w:rsidP="00A96344">
            <w:pPr>
              <w:jc w:val="center"/>
              <w:rPr>
                <w:sz w:val="20"/>
                <w:szCs w:val="20"/>
                <w:highlight w:val="black"/>
              </w:rPr>
            </w:pPr>
            <w:r>
              <w:rPr>
                <w:noProof/>
                <w:color w:val="000000"/>
                <w:sz w:val="20"/>
                <w:szCs w:val="20"/>
                <w:highlight w:val="black"/>
              </w:rPr>
              <w:t>'''''''''''</w:t>
            </w:r>
          </w:p>
        </w:tc>
        <w:tc>
          <w:tcPr>
            <w:tcW w:w="875" w:type="dxa"/>
          </w:tcPr>
          <w:p w14:paraId="2168E50E" w14:textId="77777777" w:rsidR="00A96344" w:rsidRPr="004E7661" w:rsidRDefault="004E7661" w:rsidP="00A96344">
            <w:pPr>
              <w:jc w:val="center"/>
              <w:rPr>
                <w:sz w:val="20"/>
                <w:szCs w:val="20"/>
                <w:highlight w:val="black"/>
              </w:rPr>
            </w:pPr>
            <w:r>
              <w:rPr>
                <w:noProof/>
                <w:color w:val="000000"/>
                <w:sz w:val="20"/>
                <w:szCs w:val="20"/>
                <w:highlight w:val="black"/>
              </w:rPr>
              <w:t>''''''''''</w:t>
            </w:r>
          </w:p>
        </w:tc>
      </w:tr>
    </w:tbl>
    <w:p w14:paraId="29654CEB" w14:textId="77777777" w:rsidR="00812B27" w:rsidRPr="004E7661" w:rsidRDefault="004E7661" w:rsidP="00D94863">
      <w:pPr>
        <w:rPr>
          <w:sz w:val="20"/>
          <w:szCs w:val="20"/>
        </w:rPr>
      </w:pPr>
      <w:r>
        <w:rPr>
          <w:noProof/>
          <w:color w:val="000000"/>
          <w:sz w:val="20"/>
          <w:szCs w:val="20"/>
          <w:highlight w:val="black"/>
        </w:rPr>
        <w:t xml:space="preserve">''''''''''''' </w:t>
      </w:r>
      <w:r>
        <w:rPr>
          <w:rFonts w:ascii="Arial Narrow" w:hAnsi="Arial Narrow" w:cs="Arial"/>
          <w:noProof/>
          <w:snapToGrid w:val="0"/>
          <w:color w:val="000000"/>
          <w:sz w:val="18"/>
          <w:szCs w:val="20"/>
          <w:highlight w:val="black"/>
          <w:lang w:eastAsia="en-US"/>
        </w:rPr>
        <w:t>'''''''''''''''''' '''' '''''''' ''''''''''''' '''''''''''''''''''''''' ''''''' ''''''' '''''''''''''''''''''''''''' ''''' ''''''' ''''''''''''''''''''''' ''''''''''' '''''''''''''''' '''''''''''''''''' '''''''''' '''''''' ''''''''''''''''''''''''''''' ''''' ''''''''' ''''''''''''''' ''''''''''''' '''''''''''''' '''''''''''''''''''''''''</w:t>
      </w:r>
    </w:p>
    <w:p w14:paraId="2E449130" w14:textId="77777777" w:rsidR="00983019" w:rsidRPr="00902754" w:rsidRDefault="00983019" w:rsidP="00D94863">
      <w:pPr>
        <w:rPr>
          <w:b/>
          <w:szCs w:val="20"/>
          <w:u w:val="single"/>
        </w:rPr>
      </w:pPr>
      <w:r w:rsidRPr="00902754">
        <w:rPr>
          <w:b/>
          <w:szCs w:val="20"/>
          <w:u w:val="single"/>
        </w:rPr>
        <w:t>End committee-in-confidence</w:t>
      </w:r>
    </w:p>
    <w:p w14:paraId="1782B2A9" w14:textId="77777777" w:rsidR="00ED202D" w:rsidRDefault="00D16EE5" w:rsidP="00D94863">
      <w:r>
        <w:t xml:space="preserve">For further details refer to </w:t>
      </w:r>
      <w:r w:rsidRPr="00F65F0D">
        <w:t xml:space="preserve">the </w:t>
      </w:r>
      <w:r w:rsidRPr="004E7661">
        <w:t>Public Summary Document</w:t>
      </w:r>
      <w:r>
        <w:t xml:space="preserve"> from the March 2018 PBAC meeting.</w:t>
      </w:r>
    </w:p>
    <w:p w14:paraId="0C0CB72B" w14:textId="77777777" w:rsidR="00ED202D" w:rsidRPr="00D20B78" w:rsidRDefault="00ED202D" w:rsidP="00D94863">
      <w:r>
        <w:t xml:space="preserve">Following the PBS listing of nusinersen </w:t>
      </w:r>
      <w:r w:rsidR="00315C8E">
        <w:t>for T</w:t>
      </w:r>
      <w:r w:rsidR="00D47565">
        <w:t>ype I, II and IIIa</w:t>
      </w:r>
      <w:r w:rsidR="00315C8E">
        <w:t xml:space="preserve"> SMA</w:t>
      </w:r>
      <w:r w:rsidR="00D47565">
        <w:t xml:space="preserve"> </w:t>
      </w:r>
      <w:r>
        <w:t xml:space="preserve">in June 2018, a number of submissions were considered by the PBAC and </w:t>
      </w:r>
      <w:r w:rsidR="00E12CEB">
        <w:t xml:space="preserve">are </w:t>
      </w:r>
      <w:r>
        <w:t xml:space="preserve">summarised in the table below:  </w:t>
      </w:r>
    </w:p>
    <w:p w14:paraId="5EDBA1D2" w14:textId="77777777" w:rsidR="00D14F7B" w:rsidRPr="00B76F3E" w:rsidRDefault="00B13542" w:rsidP="00B76F3E">
      <w:pPr>
        <w:pStyle w:val="Tabletitle"/>
      </w:pPr>
      <w:r w:rsidRPr="00B76F3E">
        <w:t>Table 5</w:t>
      </w:r>
      <w:r w:rsidR="0087196F" w:rsidRPr="00B76F3E" w:rsidDel="00EE2BBB">
        <w:t xml:space="preserve">: </w:t>
      </w:r>
      <w:r w:rsidR="0087196F" w:rsidRPr="00B76F3E">
        <w:t xml:space="preserve">Summary of nusinersen </w:t>
      </w:r>
      <w:r w:rsidR="00105399">
        <w:t>s</w:t>
      </w:r>
      <w:r w:rsidR="0087196F" w:rsidRPr="00B76F3E">
        <w:t xml:space="preserve">ubmissions to the PBAC </w:t>
      </w:r>
    </w:p>
    <w:tbl>
      <w:tblPr>
        <w:tblStyle w:val="TableGrid"/>
        <w:tblW w:w="0" w:type="auto"/>
        <w:tblLook w:val="04A0" w:firstRow="1" w:lastRow="0" w:firstColumn="1" w:lastColumn="0" w:noHBand="0" w:noVBand="1"/>
        <w:tblCaption w:val="Table 5: Summary of nusinersen submissions to the PBAC "/>
      </w:tblPr>
      <w:tblGrid>
        <w:gridCol w:w="1696"/>
        <w:gridCol w:w="7251"/>
      </w:tblGrid>
      <w:tr w:rsidR="0087196F" w14:paraId="320118C1" w14:textId="77777777" w:rsidTr="00F91DF0">
        <w:trPr>
          <w:tblHeader/>
        </w:trPr>
        <w:tc>
          <w:tcPr>
            <w:tcW w:w="1696" w:type="dxa"/>
            <w:shd w:val="clear" w:color="auto" w:fill="BFBFBF" w:themeFill="background1" w:themeFillShade="BF"/>
          </w:tcPr>
          <w:p w14:paraId="2ADBCDC8" w14:textId="77777777" w:rsidR="0087196F" w:rsidRPr="00CA5521" w:rsidRDefault="0087196F" w:rsidP="0087196F">
            <w:pPr>
              <w:rPr>
                <w:b/>
              </w:rPr>
            </w:pPr>
            <w:r w:rsidRPr="00CA5521">
              <w:rPr>
                <w:b/>
              </w:rPr>
              <w:t xml:space="preserve">PBAC meeting  </w:t>
            </w:r>
          </w:p>
        </w:tc>
        <w:tc>
          <w:tcPr>
            <w:tcW w:w="7251" w:type="dxa"/>
            <w:shd w:val="clear" w:color="auto" w:fill="BFBFBF" w:themeFill="background1" w:themeFillShade="BF"/>
          </w:tcPr>
          <w:p w14:paraId="4D7238FD" w14:textId="77777777" w:rsidR="0087196F" w:rsidRPr="00CA5521" w:rsidRDefault="00CA5521" w:rsidP="00D94863">
            <w:pPr>
              <w:rPr>
                <w:b/>
              </w:rPr>
            </w:pPr>
            <w:r>
              <w:rPr>
                <w:b/>
              </w:rPr>
              <w:t xml:space="preserve">PBAC </w:t>
            </w:r>
            <w:r w:rsidR="00E60CEE" w:rsidRPr="00CA5521">
              <w:rPr>
                <w:b/>
              </w:rPr>
              <w:t xml:space="preserve">Outcome </w:t>
            </w:r>
          </w:p>
        </w:tc>
      </w:tr>
      <w:tr w:rsidR="0087196F" w14:paraId="338F9B64" w14:textId="77777777" w:rsidTr="00AB1856">
        <w:tc>
          <w:tcPr>
            <w:tcW w:w="1696" w:type="dxa"/>
          </w:tcPr>
          <w:p w14:paraId="6F1F6B98" w14:textId="77777777" w:rsidR="0087196F" w:rsidRPr="00CA5521" w:rsidRDefault="0087196F" w:rsidP="0087196F">
            <w:r w:rsidRPr="00CA5521">
              <w:t>July 2018</w:t>
            </w:r>
          </w:p>
        </w:tc>
        <w:tc>
          <w:tcPr>
            <w:tcW w:w="7251" w:type="dxa"/>
          </w:tcPr>
          <w:p w14:paraId="236F8B00" w14:textId="77777777" w:rsidR="0087196F" w:rsidRDefault="0087196F" w:rsidP="0087196F">
            <w:r>
              <w:t>Following the PBS listing of nusinersen</w:t>
            </w:r>
            <w:r w:rsidR="00E60CEE">
              <w:t xml:space="preserve"> </w:t>
            </w:r>
            <w:r w:rsidR="00E608B1">
              <w:t xml:space="preserve">on the </w:t>
            </w:r>
            <w:r w:rsidR="00E60CEE">
              <w:t>Section 100 (Highly Specialised Drugs Program) for the Public Hospital setting only</w:t>
            </w:r>
            <w:r>
              <w:t xml:space="preserve">, the Department received a request to extend the listing to private hospitals </w:t>
            </w:r>
            <w:r w:rsidR="00E60CEE">
              <w:t xml:space="preserve">due to risks associated with the administration of an additional dose of general anaesthetic. </w:t>
            </w:r>
            <w:r>
              <w:t xml:space="preserve">The PBAC recommended extending the listing to include Section 100 (Highly Specialised Drugs Program) Private Hospitals. </w:t>
            </w:r>
          </w:p>
          <w:p w14:paraId="09343E51" w14:textId="77777777" w:rsidR="00E60CEE" w:rsidRDefault="00E60CEE" w:rsidP="0087196F"/>
          <w:p w14:paraId="34476F8F" w14:textId="77777777" w:rsidR="0087196F" w:rsidRPr="00E60CEE" w:rsidRDefault="0087196F" w:rsidP="00D94863">
            <w:r>
              <w:t xml:space="preserve">For further details refer to </w:t>
            </w:r>
            <w:r w:rsidRPr="00F65F0D">
              <w:t xml:space="preserve">the </w:t>
            </w:r>
            <w:r w:rsidRPr="004E7661">
              <w:t>Public Summary Document</w:t>
            </w:r>
            <w:r w:rsidRPr="00F65F0D">
              <w:t xml:space="preserve"> from the </w:t>
            </w:r>
            <w:r w:rsidR="00E60CEE">
              <w:t>July 2018 PBAC meeting.</w:t>
            </w:r>
          </w:p>
        </w:tc>
      </w:tr>
      <w:tr w:rsidR="0087196F" w14:paraId="1E354736" w14:textId="77777777" w:rsidTr="00AB1856">
        <w:tc>
          <w:tcPr>
            <w:tcW w:w="1696" w:type="dxa"/>
          </w:tcPr>
          <w:p w14:paraId="27490806" w14:textId="77777777" w:rsidR="0087196F" w:rsidRPr="00CA5521" w:rsidRDefault="0087196F" w:rsidP="0087196F">
            <w:r w:rsidRPr="00CA5521">
              <w:lastRenderedPageBreak/>
              <w:t xml:space="preserve">July 2019 </w:t>
            </w:r>
          </w:p>
        </w:tc>
        <w:tc>
          <w:tcPr>
            <w:tcW w:w="7251" w:type="dxa"/>
          </w:tcPr>
          <w:p w14:paraId="37C5869A" w14:textId="77777777" w:rsidR="0087196F" w:rsidRDefault="0087196F" w:rsidP="0087196F">
            <w:r>
              <w:t xml:space="preserve">The submission requested an extension of the nusinersen listing for the pre-symptomatic initiation of treatment </w:t>
            </w:r>
            <w:r w:rsidR="009A6912">
              <w:t>for</w:t>
            </w:r>
            <w:r>
              <w:t xml:space="preserve"> patients with SMA who have up to 3 copies of the SMN2 gene. The PBAC deferred making a final recommendation to extend the current listing of nusinersen pending advice from the Medical Services Advisory Committee (MSAC) on the prognostic value of SMN2 copy number for the severity of SMA to help determine eligibility for nusinersen in pre-symptomatic patients. </w:t>
            </w:r>
          </w:p>
          <w:p w14:paraId="2FC9932B" w14:textId="77777777" w:rsidR="00E60CEE" w:rsidRDefault="0087196F" w:rsidP="0087196F">
            <w:r>
              <w:t>The PBAC was of</w:t>
            </w:r>
            <w:r w:rsidR="009A6912">
              <w:t xml:space="preserve"> a</w:t>
            </w:r>
            <w:r>
              <w:t xml:space="preserve"> mind not to recommend extending the current listing as there was insufficient evidence to demonstrate pre-symptomatic initiation of treatment with nusinersen would be effective than treatment with nusinersen following the onset of symptoms of SMA.</w:t>
            </w:r>
          </w:p>
          <w:p w14:paraId="631FAE90" w14:textId="77777777" w:rsidR="0087196F" w:rsidRDefault="0087196F" w:rsidP="0087196F">
            <w:r>
              <w:t xml:space="preserve"> </w:t>
            </w:r>
          </w:p>
          <w:p w14:paraId="5178B143" w14:textId="77777777" w:rsidR="0087196F" w:rsidRPr="00ED202D" w:rsidRDefault="0087196F" w:rsidP="00D94863">
            <w:r>
              <w:t xml:space="preserve">For further details refer to </w:t>
            </w:r>
            <w:r w:rsidRPr="00F65F0D">
              <w:t xml:space="preserve">the </w:t>
            </w:r>
            <w:r w:rsidRPr="004E7661">
              <w:t>Public Summary Document</w:t>
            </w:r>
            <w:r>
              <w:t xml:space="preserve"> </w:t>
            </w:r>
            <w:r w:rsidRPr="00F65F0D">
              <w:t xml:space="preserve">from the </w:t>
            </w:r>
            <w:r w:rsidR="00ED202D">
              <w:t>July 2019 PBAC meeting.</w:t>
            </w:r>
          </w:p>
        </w:tc>
      </w:tr>
      <w:tr w:rsidR="0087196F" w14:paraId="6906F317" w14:textId="77777777" w:rsidTr="00AB1856">
        <w:trPr>
          <w:trHeight w:val="2362"/>
        </w:trPr>
        <w:tc>
          <w:tcPr>
            <w:tcW w:w="1696" w:type="dxa"/>
          </w:tcPr>
          <w:p w14:paraId="7CF99D5C" w14:textId="77777777" w:rsidR="0087196F" w:rsidRPr="00CA5521" w:rsidRDefault="0087196F" w:rsidP="0087196F">
            <w:r w:rsidRPr="00CA5521">
              <w:t xml:space="preserve">November 2019 </w:t>
            </w:r>
          </w:p>
          <w:p w14:paraId="0F16BBD9" w14:textId="77777777" w:rsidR="0087196F" w:rsidRPr="00CA5521" w:rsidRDefault="0087196F" w:rsidP="00D94863"/>
        </w:tc>
        <w:tc>
          <w:tcPr>
            <w:tcW w:w="7251" w:type="dxa"/>
          </w:tcPr>
          <w:p w14:paraId="76313D2F" w14:textId="77777777" w:rsidR="0087196F" w:rsidRPr="00E60CEE" w:rsidRDefault="0087196F" w:rsidP="0087196F">
            <w:pPr>
              <w:rPr>
                <w:rFonts w:cstheme="minorHAnsi"/>
              </w:rPr>
            </w:pPr>
            <w:r>
              <w:rPr>
                <w:rFonts w:cstheme="minorHAnsi"/>
              </w:rPr>
              <w:t xml:space="preserve">MSAC considered the SMN2 copy number to be the main source of prognostic information for SMA severity, however MSAC advised there are several other genetic components that may also modify the phenotype to some extent. </w:t>
            </w:r>
            <w:r>
              <w:t xml:space="preserve">The PBAC did not recommend extending the current listing to include pre-symptomatic initiation of treatment of patients genetically diagnosed with SMA. </w:t>
            </w:r>
          </w:p>
          <w:p w14:paraId="5A052D9B" w14:textId="77777777" w:rsidR="00E60CEE" w:rsidRDefault="00E60CEE" w:rsidP="0087196F"/>
          <w:p w14:paraId="13B38521" w14:textId="77777777" w:rsidR="0087196F" w:rsidRPr="0087196F" w:rsidRDefault="0087196F" w:rsidP="00D94863">
            <w:r>
              <w:t xml:space="preserve">For further details refer to </w:t>
            </w:r>
            <w:r w:rsidRPr="00F65F0D">
              <w:t xml:space="preserve">the </w:t>
            </w:r>
            <w:r w:rsidRPr="004E7661">
              <w:t>Public Summary Document</w:t>
            </w:r>
            <w:r>
              <w:t xml:space="preserve"> </w:t>
            </w:r>
            <w:r w:rsidRPr="00F65F0D">
              <w:t xml:space="preserve">from the </w:t>
            </w:r>
            <w:r>
              <w:t>November 2019 PBAC meeting.</w:t>
            </w:r>
          </w:p>
        </w:tc>
      </w:tr>
      <w:tr w:rsidR="00E60CEE" w14:paraId="52F4C2A8" w14:textId="77777777" w:rsidTr="00AB1856">
        <w:trPr>
          <w:trHeight w:val="2880"/>
        </w:trPr>
        <w:tc>
          <w:tcPr>
            <w:tcW w:w="1696" w:type="dxa"/>
          </w:tcPr>
          <w:p w14:paraId="4AA8AAB9" w14:textId="77777777" w:rsidR="00E60CEE" w:rsidRPr="00CA5521" w:rsidRDefault="00E60CEE" w:rsidP="00E60CEE">
            <w:r w:rsidRPr="00CA5521">
              <w:t xml:space="preserve">July 2020 </w:t>
            </w:r>
          </w:p>
          <w:p w14:paraId="43AA4E3A" w14:textId="77777777" w:rsidR="00E60CEE" w:rsidRPr="00CA5521" w:rsidRDefault="00E60CEE" w:rsidP="0087196F"/>
        </w:tc>
        <w:tc>
          <w:tcPr>
            <w:tcW w:w="7251" w:type="dxa"/>
          </w:tcPr>
          <w:p w14:paraId="7787EACC" w14:textId="77777777" w:rsidR="00E60CEE" w:rsidRDefault="00E60CEE" w:rsidP="00E60CEE">
            <w:r>
              <w:t xml:space="preserve">The PBAC recommended the addition of pre-symptomatic initiation treatment of patients genetically diagnosed with SMA who have an SMN2 copy number of </w:t>
            </w:r>
            <w:r>
              <w:rPr>
                <w:rFonts w:cstheme="minorHAnsi"/>
              </w:rPr>
              <w:t>≤</w:t>
            </w:r>
            <w:r>
              <w:t xml:space="preserve">2 to the current listing of nusinersen. The PBAC considered pre-symptomatic initiation of treatment with nusinersen would provide an additional benefit for some patients compared with initiation upon development of symptoms. The PBAC advised pre-symptomatic initiation of treatment should be limited to patients less than three years of age. </w:t>
            </w:r>
          </w:p>
          <w:p w14:paraId="34478B3F" w14:textId="77777777" w:rsidR="00CA5521" w:rsidRPr="00CD0959" w:rsidRDefault="00CA5521" w:rsidP="00E60CEE"/>
          <w:p w14:paraId="37B5C289" w14:textId="77777777" w:rsidR="00E60CEE" w:rsidRDefault="00E60CEE" w:rsidP="0087196F">
            <w:r>
              <w:t xml:space="preserve">For further details refer to </w:t>
            </w:r>
            <w:r w:rsidRPr="00F65F0D">
              <w:t xml:space="preserve">the </w:t>
            </w:r>
            <w:r w:rsidRPr="004E7661">
              <w:t>Public Summary Document</w:t>
            </w:r>
            <w:r>
              <w:t xml:space="preserve"> </w:t>
            </w:r>
            <w:r w:rsidRPr="00F65F0D">
              <w:t>from the</w:t>
            </w:r>
            <w:r w:rsidR="00CA5521">
              <w:t xml:space="preserve"> July 2020 PBAC meeting.</w:t>
            </w:r>
          </w:p>
        </w:tc>
      </w:tr>
      <w:tr w:rsidR="00E60CEE" w14:paraId="20DF372F" w14:textId="77777777" w:rsidTr="000B2F78">
        <w:trPr>
          <w:trHeight w:val="863"/>
        </w:trPr>
        <w:tc>
          <w:tcPr>
            <w:tcW w:w="1696" w:type="dxa"/>
          </w:tcPr>
          <w:p w14:paraId="12DC8C6A" w14:textId="77777777" w:rsidR="00E60CEE" w:rsidRPr="00CA5521" w:rsidRDefault="00E60CEE" w:rsidP="00E60CEE">
            <w:r w:rsidRPr="00CA5521">
              <w:t xml:space="preserve">November 2020 </w:t>
            </w:r>
          </w:p>
          <w:p w14:paraId="320368C5" w14:textId="77777777" w:rsidR="00E60CEE" w:rsidRPr="00CA5521" w:rsidRDefault="00E60CEE" w:rsidP="00E60CEE"/>
        </w:tc>
        <w:tc>
          <w:tcPr>
            <w:tcW w:w="7251" w:type="dxa"/>
          </w:tcPr>
          <w:p w14:paraId="47D71220" w14:textId="77777777" w:rsidR="00DE201F" w:rsidRDefault="00DE201F" w:rsidP="00EC0D35">
            <w:r>
              <w:t>The PBAC did not recommend extending the listing of nusinersen to include the treatment of SMA in patients with symptom onset prior to 19 years of age, and removal of the age limit of 18 years for initiation of treatment. The PBAC recognised the high clinical need for effective treatments for adults with SMA. However, the</w:t>
            </w:r>
            <w:r w:rsidR="00EC0D35">
              <w:t xml:space="preserve"> PBAC considered the</w:t>
            </w:r>
            <w:r>
              <w:t xml:space="preserve"> resubmission had not </w:t>
            </w:r>
            <w:r w:rsidR="00EC0D35">
              <w:t xml:space="preserve">adequately defined the appropriate adult population for nusinersen and proposed convening a consultation with experts in the clinical management of adult SMA to help resolve the specific issues associated with use of nusinersen in adult patients. </w:t>
            </w:r>
          </w:p>
        </w:tc>
      </w:tr>
    </w:tbl>
    <w:p w14:paraId="2E54CC95" w14:textId="77777777" w:rsidR="00086A76" w:rsidRDefault="00086A76" w:rsidP="00A35800"/>
    <w:p w14:paraId="5E6765CF" w14:textId="77777777" w:rsidR="00E677DD" w:rsidRPr="005E22C2" w:rsidRDefault="00E677DD" w:rsidP="00CF5E22">
      <w:pPr>
        <w:pStyle w:val="Heading1"/>
      </w:pPr>
      <w:r w:rsidRPr="005E22C2">
        <w:lastRenderedPageBreak/>
        <w:t>Method</w:t>
      </w:r>
      <w:r w:rsidR="001B5D37" w:rsidRPr="005E22C2">
        <w:t>s</w:t>
      </w:r>
    </w:p>
    <w:p w14:paraId="3FB996DB" w14:textId="77777777" w:rsidR="00E608B1" w:rsidRDefault="00E608B1" w:rsidP="00A35800">
      <w:r>
        <w:t xml:space="preserve">Data extracted from the PBS data maintained by </w:t>
      </w:r>
      <w:r w:rsidR="00CE441E">
        <w:t xml:space="preserve">the </w:t>
      </w:r>
      <w:r>
        <w:t>Department of Health and processed by Services Australia was used</w:t>
      </w:r>
      <w:r w:rsidR="00315C8E">
        <w:t xml:space="preserve"> for </w:t>
      </w:r>
      <w:r w:rsidR="00CE441E">
        <w:t xml:space="preserve">the </w:t>
      </w:r>
      <w:r w:rsidR="00315C8E">
        <w:t>analyses</w:t>
      </w:r>
      <w:r>
        <w:t>. Prescription data was extracted from when nusinersen was PBS listed</w:t>
      </w:r>
      <w:r w:rsidR="00CE441E">
        <w:t xml:space="preserve"> from</w:t>
      </w:r>
      <w:r>
        <w:t xml:space="preserve"> 1 June 2018 up to and including 30 September 2020. Data </w:t>
      </w:r>
      <w:r w:rsidR="0035308B">
        <w:t>was extracted on 2 December 2020</w:t>
      </w:r>
      <w:r>
        <w:t xml:space="preserve">. </w:t>
      </w:r>
    </w:p>
    <w:p w14:paraId="4DDD3589" w14:textId="77777777" w:rsidR="00C874BB" w:rsidRDefault="00E608B1" w:rsidP="002C3D0C">
      <w:r>
        <w:t>This data was used to determine the number of incident and prevalent patients, number of prescriptions supplied and to analyse patient dem</w:t>
      </w:r>
      <w:r w:rsidR="00135509">
        <w:t xml:space="preserve">ographics such as age and gender. </w:t>
      </w:r>
      <w:r>
        <w:t xml:space="preserve">Initiating and prevalent patients were counted by quarter of supply. An initiating patient was defined based on </w:t>
      </w:r>
      <w:r w:rsidR="00CE441E">
        <w:t xml:space="preserve">their </w:t>
      </w:r>
      <w:r>
        <w:t xml:space="preserve">first date of supply of nusinersen. </w:t>
      </w:r>
      <w:r w:rsidR="00204FD7">
        <w:t xml:space="preserve">The number of patients according to each phase (initial, continuing and grandfathered) and hospital setting (public or private) </w:t>
      </w:r>
      <w:r w:rsidR="00315C8E">
        <w:t xml:space="preserve">based on item codes </w:t>
      </w:r>
      <w:r w:rsidR="00204FD7">
        <w:t xml:space="preserve">were counted by listing year. </w:t>
      </w:r>
    </w:p>
    <w:p w14:paraId="3A5BAAC7" w14:textId="77777777" w:rsidR="00204FD7" w:rsidRDefault="00204FD7" w:rsidP="00204FD7">
      <w:r>
        <w:t xml:space="preserve">The </w:t>
      </w:r>
      <w:r w:rsidR="00CE441E">
        <w:t>Kaplan</w:t>
      </w:r>
      <w:r w:rsidR="007A5395">
        <w:t>-</w:t>
      </w:r>
      <w:r w:rsidR="00CE441E">
        <w:t xml:space="preserve">Meier method was used to analyse </w:t>
      </w:r>
      <w:r>
        <w:t xml:space="preserve">treatment duration </w:t>
      </w:r>
      <w:r w:rsidR="00CE441E">
        <w:t>with</w:t>
      </w:r>
      <w:r>
        <w:t xml:space="preserve"> nusinersen, censoring patients that were still continuing treat</w:t>
      </w:r>
      <w:r w:rsidR="00E70A44">
        <w:t>ment at the analysis end date. I</w:t>
      </w:r>
      <w:r>
        <w:t>nitiating patients were selected from 1</w:t>
      </w:r>
      <w:r w:rsidR="00B13D6A">
        <w:t xml:space="preserve"> </w:t>
      </w:r>
      <w:r>
        <w:t xml:space="preserve">November 2018, </w:t>
      </w:r>
      <w:r w:rsidR="00D47565">
        <w:t>to exclude</w:t>
      </w:r>
      <w:r w:rsidR="00B13D6A">
        <w:t xml:space="preserve"> grandfathered patients</w:t>
      </w:r>
      <w:r>
        <w:t xml:space="preserve">. These patients were followed until 30 September 2020. </w:t>
      </w:r>
      <w:r w:rsidR="008F5B43">
        <w:t>The median standard treatment days w</w:t>
      </w:r>
      <w:r w:rsidR="0017681C">
        <w:t xml:space="preserve">ere </w:t>
      </w:r>
      <w:r w:rsidR="009A1B8F">
        <w:t>1</w:t>
      </w:r>
      <w:r w:rsidR="008F5B43">
        <w:t>1</w:t>
      </w:r>
      <w:r w:rsidR="009A1B8F">
        <w:t>2</w:t>
      </w:r>
      <w:r w:rsidR="008F5B43">
        <w:t xml:space="preserve"> days. Patients were censored if they received a supply within two sets of standard treatment days before the analysis end date. </w:t>
      </w:r>
    </w:p>
    <w:p w14:paraId="69B35E3F" w14:textId="77777777" w:rsidR="00E97E92" w:rsidRDefault="00F93F58" w:rsidP="00204FD7">
      <w:r>
        <w:t xml:space="preserve">The number of initiating patients were </w:t>
      </w:r>
      <w:r w:rsidR="00CD4CAA">
        <w:t>extracted</w:t>
      </w:r>
      <w:r>
        <w:t xml:space="preserve"> according to</w:t>
      </w:r>
      <w:r w:rsidR="00D40912">
        <w:t xml:space="preserve"> </w:t>
      </w:r>
      <w:r>
        <w:t xml:space="preserve">state </w:t>
      </w:r>
      <w:r w:rsidR="00CD4CAA">
        <w:t>and</w:t>
      </w:r>
      <w:r>
        <w:t xml:space="preserve"> territory</w:t>
      </w:r>
      <w:r w:rsidR="00A246BF">
        <w:t>. Patient numbers were standardised in order to provide a more representative value relative to the population</w:t>
      </w:r>
      <w:r w:rsidR="00315C8E">
        <w:t xml:space="preserve"> size of the respective </w:t>
      </w:r>
      <w:r w:rsidR="00A246BF">
        <w:t xml:space="preserve">state or territory. </w:t>
      </w:r>
      <w:r w:rsidR="00E818C8">
        <w:t xml:space="preserve">Population estimates </w:t>
      </w:r>
      <w:r w:rsidR="00CD4CAA">
        <w:t xml:space="preserve">for those aged between 0 and 18 years </w:t>
      </w:r>
      <w:r w:rsidR="00E818C8">
        <w:t>were extracted from the Australian Bureau of Statistics</w:t>
      </w:r>
      <w:r w:rsidR="00CD4CAA" w:rsidRPr="00CD4CAA">
        <w:t xml:space="preserve"> </w:t>
      </w:r>
      <w:r w:rsidR="005D67B1">
        <w:t xml:space="preserve">(ABS) </w:t>
      </w:r>
      <w:r w:rsidR="00CD4CAA">
        <w:t>for each state and territory</w:t>
      </w:r>
      <w:r w:rsidR="00E818C8">
        <w:t>.</w:t>
      </w:r>
      <w:r w:rsidR="000938D0">
        <w:rPr>
          <w:rStyle w:val="FootnoteReference"/>
        </w:rPr>
        <w:footnoteReference w:id="9"/>
      </w:r>
      <w:r w:rsidR="00E818C8">
        <w:t xml:space="preserve"> </w:t>
      </w:r>
      <w:r w:rsidR="00EC2170">
        <w:t>Population e</w:t>
      </w:r>
      <w:r w:rsidR="00CD4CAA">
        <w:t>stimates as at</w:t>
      </w:r>
      <w:r w:rsidR="00EC2170">
        <w:t xml:space="preserve"> June 2019 were used</w:t>
      </w:r>
      <w:r w:rsidR="00CD4CAA">
        <w:t>,</w:t>
      </w:r>
      <w:r w:rsidR="00EC2170">
        <w:t xml:space="preserve"> as</w:t>
      </w:r>
      <w:r w:rsidR="00E97E92">
        <w:t xml:space="preserve"> it was </w:t>
      </w:r>
      <w:r w:rsidR="00A246BF">
        <w:t xml:space="preserve">approximately </w:t>
      </w:r>
      <w:r w:rsidR="00E97E92">
        <w:t xml:space="preserve">halfway </w:t>
      </w:r>
      <w:r w:rsidR="00EC2170">
        <w:t>between</w:t>
      </w:r>
      <w:r w:rsidR="00E97E92">
        <w:t xml:space="preserve"> the analysis start and end </w:t>
      </w:r>
      <w:r w:rsidR="00135509">
        <w:t>date</w:t>
      </w:r>
      <w:r w:rsidR="002900DB">
        <w:t>: June 2018 to September 2020</w:t>
      </w:r>
      <w:r w:rsidR="00EC2170">
        <w:t xml:space="preserve">. </w:t>
      </w:r>
      <w:r w:rsidR="00E97E92">
        <w:t xml:space="preserve">The number of initiating patients were divided by the population estimates for each state and territory. These </w:t>
      </w:r>
      <w:r w:rsidR="00A246BF">
        <w:t xml:space="preserve">figures </w:t>
      </w:r>
      <w:r w:rsidR="00E97E92">
        <w:t xml:space="preserve">were </w:t>
      </w:r>
      <w:r w:rsidR="0017681C">
        <w:t xml:space="preserve">multiplied </w:t>
      </w:r>
      <w:r w:rsidR="00E97E92">
        <w:t>by 100,000 to generate the</w:t>
      </w:r>
      <w:r w:rsidR="00135509">
        <w:t xml:space="preserve"> age</w:t>
      </w:r>
      <w:r w:rsidR="00E97E92">
        <w:t xml:space="preserve"> standardised values for each state and territory. </w:t>
      </w:r>
    </w:p>
    <w:p w14:paraId="21337B71" w14:textId="77777777" w:rsidR="00524D13" w:rsidRDefault="00E7594B" w:rsidP="00524D13">
      <w:r>
        <w:t xml:space="preserve">As this analysis uses date of supply </w:t>
      </w:r>
      <w:r w:rsidR="005E085C">
        <w:t xml:space="preserve">prescription </w:t>
      </w:r>
      <w:r>
        <w:t>data, there may be small differences compared with publicly available Department of Human Services (DHS) Medicare date of processing data.</w:t>
      </w:r>
      <w:r w:rsidR="00576B18">
        <w:rPr>
          <w:rStyle w:val="FootnoteReference"/>
        </w:rPr>
        <w:footnoteReference w:id="10"/>
      </w:r>
      <w:r w:rsidR="00576B18">
        <w:t xml:space="preserve">  </w:t>
      </w:r>
      <w:r w:rsidR="0090691F">
        <w:t xml:space="preserve">The </w:t>
      </w:r>
      <w:r w:rsidR="00AC5054">
        <w:t xml:space="preserve">publicly available </w:t>
      </w:r>
      <w:r w:rsidR="0090691F">
        <w:t xml:space="preserve">DHS Medicare data </w:t>
      </w:r>
      <w:r w:rsidR="008E3F8C">
        <w:t xml:space="preserve">only </w:t>
      </w:r>
      <w:r w:rsidR="0090691F">
        <w:t xml:space="preserve">includes </w:t>
      </w:r>
      <w:r w:rsidR="00524D13">
        <w:t xml:space="preserve">subsidised R/PBS prescriptions </w:t>
      </w:r>
      <w:r w:rsidR="008E3F8C">
        <w:t xml:space="preserve">with prescriptions </w:t>
      </w:r>
      <w:r w:rsidR="00524D13">
        <w:t xml:space="preserve">under </w:t>
      </w:r>
      <w:r w:rsidR="00DD29A3">
        <w:t xml:space="preserve">the </w:t>
      </w:r>
      <w:r w:rsidR="00524D13">
        <w:t xml:space="preserve">patient co-payment </w:t>
      </w:r>
      <w:r w:rsidR="008E3F8C">
        <w:t>not included</w:t>
      </w:r>
      <w:r w:rsidR="006F7CC2">
        <w:t xml:space="preserve">. </w:t>
      </w:r>
      <w:r w:rsidR="00DD29A3">
        <w:t>The DHS Medicare data used in this report includes under co-payment prescriptions from 1 April 2012.</w:t>
      </w:r>
    </w:p>
    <w:p w14:paraId="4F136EBF" w14:textId="77777777" w:rsidR="00DA56AC" w:rsidRDefault="00C13CEB" w:rsidP="00524D13">
      <w:r>
        <w:t xml:space="preserve">Additional data was extracted from </w:t>
      </w:r>
      <w:r w:rsidR="00E62691">
        <w:t xml:space="preserve">the </w:t>
      </w:r>
      <w:r w:rsidR="00E479F3">
        <w:t>A</w:t>
      </w:r>
      <w:r>
        <w:t xml:space="preserve">uthorities database maintained by Department of Health and processed by Services Australia. </w:t>
      </w:r>
      <w:r w:rsidR="002900DB">
        <w:t>Processed a</w:t>
      </w:r>
      <w:r>
        <w:t>uthorities data was extracted from when nusinersen was PBS listed</w:t>
      </w:r>
      <w:r w:rsidR="00E479F3">
        <w:t xml:space="preserve"> from</w:t>
      </w:r>
      <w:r>
        <w:t xml:space="preserve"> 1 June 2018 up to and including 30 September 2020. Data was extracted on 7 December 2020. </w:t>
      </w:r>
      <w:r w:rsidR="00DA56AC">
        <w:t xml:space="preserve">Nusinersen requires a written authority </w:t>
      </w:r>
      <w:r w:rsidR="00DA56AC">
        <w:lastRenderedPageBreak/>
        <w:t>application where several questions regarding the patient’s condition are answered by prescribing clinicians. Responses to these questions</w:t>
      </w:r>
      <w:r w:rsidR="00E479F3">
        <w:t>,</w:t>
      </w:r>
      <w:r w:rsidR="00DA56AC">
        <w:t xml:space="preserve"> such as the type of SMA a patient has</w:t>
      </w:r>
      <w:r w:rsidR="00E479F3">
        <w:t>,</w:t>
      </w:r>
      <w:r w:rsidR="00DA56AC">
        <w:t xml:space="preserve"> were analysed. </w:t>
      </w:r>
    </w:p>
    <w:p w14:paraId="378C8747" w14:textId="77777777" w:rsidR="00E608B1" w:rsidRDefault="00E608B1" w:rsidP="00A35800">
      <w:pPr>
        <w:rPr>
          <w:rFonts w:eastAsia="Calibri" w:cs="Times New Roman"/>
        </w:rPr>
      </w:pPr>
      <w:r>
        <w:rPr>
          <w:rFonts w:eastAsia="Calibri" w:cs="Times New Roman"/>
        </w:rPr>
        <w:t xml:space="preserve">Data manipulation was undertaken using SAS. </w:t>
      </w:r>
    </w:p>
    <w:p w14:paraId="252E8C3B" w14:textId="77777777" w:rsidR="00DA56AC" w:rsidRDefault="00DA56AC">
      <w:pPr>
        <w:spacing w:line="276" w:lineRule="auto"/>
        <w:rPr>
          <w:rFonts w:eastAsiaTheme="majorEastAsia" w:cstheme="majorBidi"/>
          <w:b/>
          <w:bCs/>
          <w:sz w:val="32"/>
          <w:szCs w:val="32"/>
        </w:rPr>
      </w:pPr>
      <w:r>
        <w:br w:type="page"/>
      </w:r>
    </w:p>
    <w:p w14:paraId="05C67A52" w14:textId="77777777" w:rsidR="00C714D0" w:rsidRPr="005E22C2" w:rsidRDefault="00C714D0" w:rsidP="00CF5E22">
      <w:pPr>
        <w:pStyle w:val="Heading1"/>
      </w:pPr>
      <w:r w:rsidRPr="005E22C2">
        <w:lastRenderedPageBreak/>
        <w:t>Results</w:t>
      </w:r>
    </w:p>
    <w:p w14:paraId="2A4F48D3" w14:textId="77777777" w:rsidR="00736041" w:rsidRPr="005E22C2" w:rsidRDefault="001B5D37" w:rsidP="00CF5E22">
      <w:pPr>
        <w:pStyle w:val="Heading2"/>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3EA9807F" w14:textId="77777777" w:rsidR="006A44F5" w:rsidRDefault="00736041" w:rsidP="00CF5E22">
      <w:pPr>
        <w:pStyle w:val="Heading3"/>
      </w:pPr>
      <w:r w:rsidRPr="005E22C2">
        <w:t>Overall utilisation</w:t>
      </w:r>
    </w:p>
    <w:p w14:paraId="07B36AAC" w14:textId="77777777" w:rsidR="008B4BB6" w:rsidRPr="00A1006B" w:rsidRDefault="00A1006B" w:rsidP="00A1006B">
      <w:r>
        <w:rPr>
          <w:noProof/>
        </w:rPr>
        <w:drawing>
          <wp:inline distT="0" distB="0" distL="0" distR="0" wp14:anchorId="3350F26E" wp14:editId="43713E74">
            <wp:extent cx="5532120" cy="3253740"/>
            <wp:effectExtent l="0" t="0" r="11430" b="3810"/>
            <wp:docPr id="1" name="Chart 1" title="Figure 1: Number of nusinersen prescriptions supplied according to supply quarte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90FF67E" w14:textId="77777777" w:rsidR="00A1006B" w:rsidRPr="00B76F3E" w:rsidRDefault="00A1006B" w:rsidP="00B76F3E">
      <w:pPr>
        <w:pStyle w:val="Tabletitle"/>
      </w:pPr>
      <w:r w:rsidRPr="00B76F3E">
        <w:t xml:space="preserve">Figure 1: Number of nusinersen prescriptions supplied </w:t>
      </w:r>
      <w:r w:rsidR="005B349B" w:rsidRPr="00B76F3E">
        <w:t>according to supply quarter</w:t>
      </w:r>
    </w:p>
    <w:p w14:paraId="4470077B" w14:textId="77777777" w:rsidR="00A00E42" w:rsidRDefault="008B4BB6" w:rsidP="00A1006B">
      <w:pPr>
        <w:rPr>
          <w:sz w:val="20"/>
        </w:rPr>
      </w:pPr>
      <w:r w:rsidRPr="008B4BB6">
        <w:rPr>
          <w:sz w:val="20"/>
        </w:rPr>
        <w:t xml:space="preserve">Note: </w:t>
      </w:r>
      <w:r>
        <w:rPr>
          <w:sz w:val="20"/>
        </w:rPr>
        <w:t xml:space="preserve">Quarter 2 of 2018 only includes the month of June. </w:t>
      </w:r>
    </w:p>
    <w:p w14:paraId="18DBCD02" w14:textId="77777777" w:rsidR="00D00D6E" w:rsidRPr="001F19AE" w:rsidRDefault="00D00D6E" w:rsidP="00D00D6E">
      <w:r>
        <w:t xml:space="preserve">In Figure 1, the number of prescriptions dispensed averaged between 110 to 160 </w:t>
      </w:r>
      <w:r w:rsidR="005E6371">
        <w:t>prescriptions</w:t>
      </w:r>
      <w:r>
        <w:t xml:space="preserve"> per supply quarter. From when nusinersen was PBS listed in </w:t>
      </w:r>
      <w:r w:rsidR="00482951">
        <w:t>q</w:t>
      </w:r>
      <w:r>
        <w:t xml:space="preserve">uarter 2 of 2018 to </w:t>
      </w:r>
      <w:r w:rsidR="00BB3492">
        <w:t>q</w:t>
      </w:r>
      <w:r>
        <w:t xml:space="preserve">uarter 4 of 2019, the number of prescriptions appeared to fluctuate. However, from the first quarter of 2020 onwards the number of prescriptions dispensed appear to </w:t>
      </w:r>
      <w:r w:rsidR="001A53A1">
        <w:t xml:space="preserve">have </w:t>
      </w:r>
      <w:r>
        <w:t xml:space="preserve">stabilised with an average of 130 </w:t>
      </w:r>
      <w:r w:rsidR="005E6371">
        <w:t>prescriptions</w:t>
      </w:r>
      <w:r>
        <w:t xml:space="preserve"> each quarter.  </w:t>
      </w:r>
    </w:p>
    <w:p w14:paraId="4354789A" w14:textId="77777777" w:rsidR="004F6C21" w:rsidRPr="004F6C21" w:rsidRDefault="004F6C21" w:rsidP="00A1006B">
      <w:pPr>
        <w:rPr>
          <w:sz w:val="20"/>
        </w:rPr>
      </w:pPr>
    </w:p>
    <w:p w14:paraId="1AA3929A" w14:textId="77777777" w:rsidR="00A1006B" w:rsidRDefault="00A1006B" w:rsidP="00A1006B">
      <w:pPr>
        <w:rPr>
          <w:b/>
        </w:rPr>
      </w:pPr>
    </w:p>
    <w:p w14:paraId="103BCB94" w14:textId="77777777" w:rsidR="00FA6487" w:rsidRPr="003C0F95" w:rsidRDefault="00FA6487" w:rsidP="00FA6487">
      <w:pPr>
        <w:jc w:val="center"/>
        <w:rPr>
          <w:b/>
        </w:rPr>
      </w:pPr>
      <w:r>
        <w:rPr>
          <w:noProof/>
        </w:rPr>
        <w:lastRenderedPageBreak/>
        <w:drawing>
          <wp:inline distT="0" distB="0" distL="0" distR="0" wp14:anchorId="6A75AF78" wp14:editId="3FD98BCD">
            <wp:extent cx="5394960" cy="3672840"/>
            <wp:effectExtent l="0" t="0" r="15240" b="3810"/>
            <wp:docPr id="6" name="Chart 6" title="Figure 2: Number of incident and prevalent nusinersen patients according to supply quarter "/>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0FDB7FE" w14:textId="77777777" w:rsidR="00473A05" w:rsidRDefault="00A1006B" w:rsidP="00B76F3E">
      <w:pPr>
        <w:pStyle w:val="Tabletitle"/>
      </w:pPr>
      <w:r w:rsidRPr="00B76F3E">
        <w:t>Fi</w:t>
      </w:r>
      <w:r w:rsidR="003C0F95" w:rsidRPr="00B76F3E">
        <w:t>gure 2</w:t>
      </w:r>
      <w:r w:rsidRPr="00B76F3E">
        <w:t xml:space="preserve">: Number of incident and prevalent nusinersen patients according to supply quarter </w:t>
      </w:r>
    </w:p>
    <w:p w14:paraId="00887334" w14:textId="77777777" w:rsidR="00FA6487" w:rsidRDefault="00FA6487" w:rsidP="00FA6487">
      <w:pPr>
        <w:spacing w:after="0"/>
        <w:rPr>
          <w:sz w:val="20"/>
        </w:rPr>
      </w:pPr>
      <w:r w:rsidRPr="008B4BB6">
        <w:rPr>
          <w:sz w:val="20"/>
        </w:rPr>
        <w:t xml:space="preserve">Note: </w:t>
      </w:r>
      <w:r>
        <w:rPr>
          <w:sz w:val="20"/>
        </w:rPr>
        <w:t xml:space="preserve">Quarter 2 of 2018 only includes the month of June. Where the patient count is between 1 and 4 (inclusive), a figure data point is set to 5 to protect patient confidentiality. </w:t>
      </w:r>
    </w:p>
    <w:p w14:paraId="0DB842E6" w14:textId="77777777" w:rsidR="00FA6487" w:rsidRDefault="00FA6487" w:rsidP="00FA6487">
      <w:pPr>
        <w:spacing w:after="0"/>
        <w:rPr>
          <w:sz w:val="20"/>
        </w:rPr>
      </w:pPr>
    </w:p>
    <w:p w14:paraId="70EB1D16" w14:textId="77777777" w:rsidR="00D00D6E" w:rsidRPr="00A00E42" w:rsidRDefault="00D00D6E" w:rsidP="00D00D6E">
      <w:r>
        <w:t xml:space="preserve">Overall, in Figure 2 the number of initiating patients appeared to stabilise from quarter 1 of 2019 onwards with an average of approximately 5 to 10 patients </w:t>
      </w:r>
      <w:r w:rsidR="000C0D59">
        <w:t xml:space="preserve">initiating treatment </w:t>
      </w:r>
      <w:r>
        <w:t xml:space="preserve">each supply quarter. The highest number of initiating patients occurred in quarter 3 of 2018. In contrast, the number of prevalent patients appears to fluctuate with a peak observed in quarter 3 of 2019 </w:t>
      </w:r>
      <w:r w:rsidR="000C0D59">
        <w:t xml:space="preserve">with </w:t>
      </w:r>
      <w:r>
        <w:t xml:space="preserve">127 prevalent patients. </w:t>
      </w:r>
    </w:p>
    <w:p w14:paraId="06C7CECB" w14:textId="77777777" w:rsidR="003C0F95" w:rsidRDefault="00B9038F" w:rsidP="00B9038F">
      <w:pPr>
        <w:tabs>
          <w:tab w:val="left" w:pos="3288"/>
        </w:tabs>
        <w:rPr>
          <w:b/>
        </w:rPr>
      </w:pPr>
      <w:r>
        <w:rPr>
          <w:b/>
        </w:rPr>
        <w:tab/>
      </w:r>
    </w:p>
    <w:p w14:paraId="3A54EBEE" w14:textId="77777777" w:rsidR="00D00D6E" w:rsidRDefault="00D00D6E" w:rsidP="00A1006B">
      <w:pPr>
        <w:rPr>
          <w:b/>
        </w:rPr>
      </w:pPr>
    </w:p>
    <w:p w14:paraId="66EBED6A" w14:textId="77777777" w:rsidR="00D00D6E" w:rsidRDefault="00D00D6E" w:rsidP="00A1006B">
      <w:pPr>
        <w:rPr>
          <w:b/>
        </w:rPr>
      </w:pPr>
    </w:p>
    <w:p w14:paraId="03FFE131" w14:textId="77777777" w:rsidR="00D00D6E" w:rsidRDefault="00D00D6E" w:rsidP="00A1006B">
      <w:pPr>
        <w:rPr>
          <w:b/>
        </w:rPr>
      </w:pPr>
    </w:p>
    <w:p w14:paraId="0A6EB493" w14:textId="77777777" w:rsidR="00D00D6E" w:rsidRDefault="00D00D6E" w:rsidP="00A1006B">
      <w:pPr>
        <w:rPr>
          <w:b/>
        </w:rPr>
      </w:pPr>
    </w:p>
    <w:p w14:paraId="54121F7A" w14:textId="77777777" w:rsidR="00D00D6E" w:rsidRDefault="00D00D6E" w:rsidP="00A1006B">
      <w:pPr>
        <w:rPr>
          <w:b/>
        </w:rPr>
      </w:pPr>
    </w:p>
    <w:p w14:paraId="564E6E60" w14:textId="77777777" w:rsidR="00D00D6E" w:rsidRDefault="00D00D6E" w:rsidP="00A1006B">
      <w:pPr>
        <w:rPr>
          <w:b/>
        </w:rPr>
      </w:pPr>
    </w:p>
    <w:p w14:paraId="19ED37A9" w14:textId="77777777" w:rsidR="00270EDE" w:rsidRDefault="00270EDE" w:rsidP="00A1006B">
      <w:pPr>
        <w:rPr>
          <w:b/>
        </w:rPr>
      </w:pPr>
    </w:p>
    <w:p w14:paraId="3C7D1F9E" w14:textId="77777777" w:rsidR="00D00D6E" w:rsidRPr="003C0F95" w:rsidRDefault="00D00D6E" w:rsidP="00A1006B">
      <w:pPr>
        <w:rPr>
          <w:b/>
        </w:rPr>
      </w:pPr>
    </w:p>
    <w:p w14:paraId="2732C658" w14:textId="77777777" w:rsidR="008B4BB6" w:rsidRDefault="008B4BB6" w:rsidP="00465406">
      <w:pPr>
        <w:pStyle w:val="Heading3"/>
      </w:pPr>
      <w:r w:rsidRPr="005E22C2">
        <w:lastRenderedPageBreak/>
        <w:t>Utilisation by relevant sub-populations/regions or patient level analysis</w:t>
      </w:r>
    </w:p>
    <w:p w14:paraId="61EFDE8E" w14:textId="77777777" w:rsidR="0028265F" w:rsidRDefault="00B8750A" w:rsidP="00465406">
      <w:pPr>
        <w:jc w:val="center"/>
        <w:rPr>
          <w:b/>
        </w:rPr>
      </w:pPr>
      <w:r>
        <w:rPr>
          <w:noProof/>
        </w:rPr>
        <w:drawing>
          <wp:inline distT="0" distB="0" distL="0" distR="0" wp14:anchorId="17D4FEF5" wp14:editId="6145BB6B">
            <wp:extent cx="4857750" cy="2979420"/>
            <wp:effectExtent l="0" t="0" r="0" b="11430"/>
            <wp:docPr id="2" name="Chart 2" title="Figure 3: Age and gender distribution of initiating nusinersen patients "/>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A39DD74" w14:textId="77777777" w:rsidR="00465406" w:rsidRPr="00B76F3E" w:rsidRDefault="00465406" w:rsidP="00B76F3E">
      <w:pPr>
        <w:pStyle w:val="Tabletitle"/>
      </w:pPr>
      <w:r w:rsidRPr="00B76F3E">
        <w:t xml:space="preserve">Figure 3: Age and gender distribution of initiating nusinersen patients </w:t>
      </w:r>
    </w:p>
    <w:p w14:paraId="28F18C40" w14:textId="77777777" w:rsidR="0028265F" w:rsidRPr="0028265F" w:rsidRDefault="0028265F" w:rsidP="008B4BB6">
      <w:pPr>
        <w:rPr>
          <w:sz w:val="20"/>
          <w:szCs w:val="20"/>
        </w:rPr>
      </w:pPr>
      <w:r w:rsidRPr="0028265F">
        <w:rPr>
          <w:sz w:val="20"/>
          <w:szCs w:val="20"/>
        </w:rPr>
        <w:t xml:space="preserve">Note: </w:t>
      </w:r>
      <w:r>
        <w:rPr>
          <w:sz w:val="20"/>
          <w:szCs w:val="20"/>
        </w:rPr>
        <w:t xml:space="preserve">The gender counts of initiating patients who are 18 years and over have been </w:t>
      </w:r>
      <w:r w:rsidR="00A8766B">
        <w:rPr>
          <w:sz w:val="20"/>
          <w:szCs w:val="20"/>
        </w:rPr>
        <w:t>grouped</w:t>
      </w:r>
      <w:r w:rsidR="00465406">
        <w:rPr>
          <w:sz w:val="20"/>
          <w:szCs w:val="20"/>
        </w:rPr>
        <w:t xml:space="preserve"> due to low patient numbers</w:t>
      </w:r>
      <w:r w:rsidR="001A53A1">
        <w:rPr>
          <w:sz w:val="20"/>
          <w:szCs w:val="20"/>
        </w:rPr>
        <w:t xml:space="preserve"> to mitigate the risk of re-identification</w:t>
      </w:r>
      <w:r w:rsidR="00746842">
        <w:rPr>
          <w:sz w:val="20"/>
          <w:szCs w:val="20"/>
        </w:rPr>
        <w:t xml:space="preserve">. </w:t>
      </w:r>
    </w:p>
    <w:p w14:paraId="559E364F" w14:textId="77777777" w:rsidR="00AE034C" w:rsidRDefault="00214A94" w:rsidP="008B4BB6">
      <w:r>
        <w:t>In Figure 3, the age distribution of initiating nusinersen</w:t>
      </w:r>
      <w:r w:rsidR="00DB59CD">
        <w:t xml:space="preserve"> patients is positively skewed</w:t>
      </w:r>
      <w:r w:rsidR="00C654FE">
        <w:t xml:space="preserve">, with the majority </w:t>
      </w:r>
      <w:r w:rsidR="009C070B">
        <w:t xml:space="preserve">of </w:t>
      </w:r>
      <w:r w:rsidR="00FF34D9">
        <w:t>patients</w:t>
      </w:r>
      <w:r w:rsidR="008505C4">
        <w:t xml:space="preserve"> (95.2</w:t>
      </w:r>
      <w:r w:rsidR="00A8766B">
        <w:t>%)</w:t>
      </w:r>
      <w:r w:rsidR="00FF34D9">
        <w:t xml:space="preserve"> </w:t>
      </w:r>
      <w:r w:rsidR="009C070B">
        <w:t>initiating nusinersen tr</w:t>
      </w:r>
      <w:r w:rsidR="00FF34D9">
        <w:t>eatment aged less than 18 years</w:t>
      </w:r>
      <w:r w:rsidR="00DB59CD">
        <w:t xml:space="preserve">. The most common age group that initiate on nusinersen are those aged between </w:t>
      </w:r>
      <w:r w:rsidR="002E5675">
        <w:t>0</w:t>
      </w:r>
      <w:r w:rsidR="00DB59CD">
        <w:t xml:space="preserve"> and 4 years old</w:t>
      </w:r>
      <w:r w:rsidR="00C654FE">
        <w:t xml:space="preserve"> (39.9%</w:t>
      </w:r>
      <w:r w:rsidR="002C3D0C">
        <w:t xml:space="preserve"> of patients</w:t>
      </w:r>
      <w:r w:rsidR="00C654FE">
        <w:t>)</w:t>
      </w:r>
      <w:r w:rsidR="000841C3">
        <w:t xml:space="preserve">. </w:t>
      </w:r>
    </w:p>
    <w:p w14:paraId="31966458" w14:textId="77777777" w:rsidR="00204FD7" w:rsidRDefault="00AE2A37" w:rsidP="008B4BB6">
      <w:r>
        <w:t xml:space="preserve">Overall, </w:t>
      </w:r>
      <w:r w:rsidR="000841C3">
        <w:t>there was a similar ratio of male and female initiating patients. T</w:t>
      </w:r>
      <w:r>
        <w:t xml:space="preserve">he mean age of </w:t>
      </w:r>
      <w:r w:rsidR="009E1A77">
        <w:t>initiating</w:t>
      </w:r>
      <w:r>
        <w:t xml:space="preserve"> patients was 7.5 years and a median of 7 years. The age of patients ranged from 0 to 43 years. </w:t>
      </w:r>
    </w:p>
    <w:p w14:paraId="7194502B" w14:textId="77777777" w:rsidR="0017681C" w:rsidRDefault="0017681C" w:rsidP="008B4BB6"/>
    <w:p w14:paraId="61D47768" w14:textId="77777777" w:rsidR="00BA6FCB" w:rsidRDefault="009177F2" w:rsidP="00557718">
      <w:pPr>
        <w:jc w:val="center"/>
      </w:pPr>
      <w:r>
        <w:rPr>
          <w:noProof/>
        </w:rPr>
        <w:lastRenderedPageBreak/>
        <w:drawing>
          <wp:inline distT="0" distB="0" distL="0" distR="0" wp14:anchorId="4B33DD79" wp14:editId="1FC4507D">
            <wp:extent cx="5186149" cy="3521122"/>
            <wp:effectExtent l="0" t="0" r="14605" b="3175"/>
            <wp:docPr id="4" name="Chart 4" title="Figure 4: Number of patients according to treatment phase by listing year  "/>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EF5BF4D" w14:textId="77777777" w:rsidR="009177F2" w:rsidRPr="00B76F3E" w:rsidRDefault="009177F2" w:rsidP="00B76F3E">
      <w:pPr>
        <w:pStyle w:val="Tabletitle"/>
      </w:pPr>
      <w:r w:rsidRPr="00B76F3E">
        <w:t xml:space="preserve">Figure 4: Number of patients </w:t>
      </w:r>
      <w:r w:rsidR="00D137F7" w:rsidRPr="00B76F3E">
        <w:t xml:space="preserve">according to treatment phase </w:t>
      </w:r>
      <w:r w:rsidRPr="00B76F3E">
        <w:t xml:space="preserve">by listing year  </w:t>
      </w:r>
    </w:p>
    <w:p w14:paraId="24B8C3BE" w14:textId="77777777" w:rsidR="009177F2" w:rsidRDefault="009177F2" w:rsidP="00547A81">
      <w:pPr>
        <w:spacing w:after="0"/>
        <w:rPr>
          <w:sz w:val="20"/>
        </w:rPr>
      </w:pPr>
      <w:r w:rsidRPr="009177F2">
        <w:rPr>
          <w:sz w:val="20"/>
        </w:rPr>
        <w:t xml:space="preserve">Note: </w:t>
      </w:r>
      <w:r>
        <w:rPr>
          <w:sz w:val="20"/>
        </w:rPr>
        <w:t xml:space="preserve">Year 3 only includes four months of data from June 2020 to September 2020 inclusive. </w:t>
      </w:r>
    </w:p>
    <w:p w14:paraId="5F3A1089" w14:textId="77777777" w:rsidR="00547A81" w:rsidRDefault="00547A81" w:rsidP="00547A81">
      <w:pPr>
        <w:spacing w:after="0"/>
        <w:rPr>
          <w:sz w:val="20"/>
        </w:rPr>
      </w:pPr>
      <w:r>
        <w:rPr>
          <w:sz w:val="20"/>
        </w:rPr>
        <w:t xml:space="preserve">Note: </w:t>
      </w:r>
      <w:r w:rsidR="008C124D">
        <w:rPr>
          <w:sz w:val="20"/>
        </w:rPr>
        <w:t xml:space="preserve">The analysis includes the following listings: </w:t>
      </w:r>
      <w:r w:rsidR="000841C3">
        <w:rPr>
          <w:sz w:val="20"/>
        </w:rPr>
        <w:t xml:space="preserve">Section 100 (Highly Specialised Drugs) </w:t>
      </w:r>
      <w:r>
        <w:rPr>
          <w:sz w:val="20"/>
        </w:rPr>
        <w:t>Public hospital item codes: 11363C (initial), 11378W (co</w:t>
      </w:r>
      <w:r w:rsidR="00270EDE">
        <w:rPr>
          <w:sz w:val="20"/>
        </w:rPr>
        <w:t>ntinuing), 11370K (grandfather)</w:t>
      </w:r>
      <w:r w:rsidR="008C124D">
        <w:rPr>
          <w:sz w:val="20"/>
        </w:rPr>
        <w:t>; and</w:t>
      </w:r>
      <w:r w:rsidR="003519A2">
        <w:rPr>
          <w:sz w:val="20"/>
        </w:rPr>
        <w:t xml:space="preserve"> </w:t>
      </w:r>
      <w:r w:rsidR="000841C3">
        <w:rPr>
          <w:sz w:val="20"/>
        </w:rPr>
        <w:t xml:space="preserve">Section 100 (Highly Specialised Drugs) </w:t>
      </w:r>
      <w:r>
        <w:rPr>
          <w:sz w:val="20"/>
        </w:rPr>
        <w:t>Private hospital item codes: 11472T (initial), 11476B (continuing), 11470Q (grandfather)</w:t>
      </w:r>
      <w:r w:rsidR="00270EDE">
        <w:rPr>
          <w:sz w:val="20"/>
        </w:rPr>
        <w:t>.</w:t>
      </w:r>
      <w:r>
        <w:rPr>
          <w:sz w:val="20"/>
        </w:rPr>
        <w:t xml:space="preserve"> </w:t>
      </w:r>
    </w:p>
    <w:p w14:paraId="519940AB" w14:textId="77777777" w:rsidR="009177F2" w:rsidRPr="009177F2" w:rsidRDefault="009177F2" w:rsidP="009177F2">
      <w:pPr>
        <w:rPr>
          <w:sz w:val="20"/>
        </w:rPr>
      </w:pPr>
    </w:p>
    <w:p w14:paraId="7F52C558" w14:textId="77777777" w:rsidR="00D137F7" w:rsidRDefault="009177F2" w:rsidP="008B4BB6">
      <w:r>
        <w:t>In Figure 4, the number of initial, continuing and grandfathered patients are shown</w:t>
      </w:r>
      <w:r w:rsidR="00547A81">
        <w:t xml:space="preserve"> based on item codes</w:t>
      </w:r>
      <w:r>
        <w:t xml:space="preserve"> according to the listing year. In </w:t>
      </w:r>
      <w:r w:rsidR="00BA7F91">
        <w:t xml:space="preserve">the </w:t>
      </w:r>
      <w:r>
        <w:t>first year of</w:t>
      </w:r>
      <w:r w:rsidR="002F02B8">
        <w:t xml:space="preserve"> nusinersen</w:t>
      </w:r>
      <w:r>
        <w:t xml:space="preserve"> listing, 47 patients were grandfathered, 93 initiated nusinersen treatment and 118 continued nusinersen treatment. In its second year of listing, the number of initiating patients decreased with only 29 </w:t>
      </w:r>
      <w:r w:rsidR="00F1324B">
        <w:t>initiating treatment with nusinersen. However, the number of patients who continued nusinersen</w:t>
      </w:r>
      <w:r w:rsidR="005060D1">
        <w:t xml:space="preserve"> treatment increased to 149 in Y</w:t>
      </w:r>
      <w:r w:rsidR="00F1324B">
        <w:t xml:space="preserve">ear 2. </w:t>
      </w:r>
      <w:r w:rsidR="002F02B8">
        <w:t xml:space="preserve">In </w:t>
      </w:r>
      <w:r w:rsidR="00D137F7">
        <w:t xml:space="preserve">its third year of listing, with only four months of data from June 2020 to September 2020 inclusive, </w:t>
      </w:r>
      <w:r w:rsidR="000E7B26">
        <w:t>nine</w:t>
      </w:r>
      <w:r w:rsidR="00D137F7">
        <w:t xml:space="preserve"> patients initiated and 140 patients continued nusinersen treatment. </w:t>
      </w:r>
    </w:p>
    <w:p w14:paraId="2569D062" w14:textId="77777777" w:rsidR="00BF2A24" w:rsidRDefault="00D137F7" w:rsidP="00BF2A24">
      <w:r>
        <w:t xml:space="preserve">It </w:t>
      </w:r>
      <w:r w:rsidR="00B026AE">
        <w:t>is</w:t>
      </w:r>
      <w:r>
        <w:t xml:space="preserve"> noted that </w:t>
      </w:r>
      <w:r w:rsidR="000841C3">
        <w:t>based on the</w:t>
      </w:r>
      <w:r w:rsidR="00BA7F91">
        <w:t xml:space="preserve"> recorded</w:t>
      </w:r>
      <w:r w:rsidR="000841C3">
        <w:t xml:space="preserve"> item codes, </w:t>
      </w:r>
      <w:r>
        <w:t xml:space="preserve">all patients received nusinersen treatment under Section 100 Highly Specialised Drugs Program </w:t>
      </w:r>
      <w:r w:rsidR="00B06781">
        <w:t xml:space="preserve">for </w:t>
      </w:r>
      <w:r>
        <w:t xml:space="preserve">Public Hospitals, with no patients receiving nusinersen treatment under </w:t>
      </w:r>
      <w:r w:rsidR="00BA7F91">
        <w:t xml:space="preserve">the </w:t>
      </w:r>
      <w:r>
        <w:t xml:space="preserve">Section 100 Highly Specialised Drugs Program </w:t>
      </w:r>
      <w:r w:rsidR="00B06781">
        <w:t xml:space="preserve">for </w:t>
      </w:r>
      <w:r w:rsidR="00D21882">
        <w:t xml:space="preserve">Private Hospitals. </w:t>
      </w:r>
    </w:p>
    <w:p w14:paraId="676C0C8D" w14:textId="77777777" w:rsidR="009A1B8F" w:rsidRPr="00D21882" w:rsidRDefault="009A1B8F" w:rsidP="00BF2A24">
      <w:pPr>
        <w:jc w:val="center"/>
      </w:pPr>
      <w:r>
        <w:rPr>
          <w:rFonts w:ascii="Arial" w:hAnsi="Arial" w:cs="Arial"/>
          <w:noProof/>
          <w:color w:val="000000"/>
          <w:sz w:val="20"/>
          <w:szCs w:val="20"/>
        </w:rPr>
        <w:lastRenderedPageBreak/>
        <w:drawing>
          <wp:inline distT="0" distB="0" distL="0" distR="0" wp14:anchorId="4950839B" wp14:editId="30D5B3FE">
            <wp:extent cx="4811604" cy="3607200"/>
            <wp:effectExtent l="0" t="0" r="8255" b="0"/>
            <wp:docPr id="8" name="Picture 8" descr="img0.png" title="Figure 5: Nusinersen treatment duration (weeks) for patients initiating between 1 November 2018 and 30 September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26408" cy="3618299"/>
                    </a:xfrm>
                    <a:prstGeom prst="rect">
                      <a:avLst/>
                    </a:prstGeom>
                    <a:noFill/>
                    <a:ln>
                      <a:noFill/>
                    </a:ln>
                  </pic:spPr>
                </pic:pic>
              </a:graphicData>
            </a:graphic>
          </wp:inline>
        </w:drawing>
      </w:r>
    </w:p>
    <w:p w14:paraId="372A6BF8" w14:textId="77777777" w:rsidR="00710698" w:rsidRPr="009A1B8F" w:rsidRDefault="00EC14A6" w:rsidP="006B6325">
      <w:pPr>
        <w:pStyle w:val="Tabletitle"/>
      </w:pPr>
      <w:r w:rsidRPr="009A1B8F">
        <w:t>Figure 5: Nusinersen treatment duration (</w:t>
      </w:r>
      <w:r w:rsidR="00C23AC3" w:rsidRPr="009A1B8F">
        <w:t>weeks</w:t>
      </w:r>
      <w:r w:rsidRPr="009A1B8F">
        <w:t xml:space="preserve">) </w:t>
      </w:r>
      <w:r w:rsidR="00B128C8" w:rsidRPr="009A1B8F">
        <w:t xml:space="preserve">for patients initiating between </w:t>
      </w:r>
      <w:r w:rsidR="00A671AF">
        <w:t xml:space="preserve">1 </w:t>
      </w:r>
      <w:r w:rsidR="009A1B8F">
        <w:t xml:space="preserve">November 2018 </w:t>
      </w:r>
      <w:r w:rsidR="00B128C8" w:rsidRPr="009A1B8F">
        <w:t xml:space="preserve">and </w:t>
      </w:r>
      <w:r w:rsidR="00A671AF">
        <w:t xml:space="preserve">30 </w:t>
      </w:r>
      <w:r w:rsidR="00710698">
        <w:t>September 2020</w:t>
      </w:r>
    </w:p>
    <w:p w14:paraId="717CCE66" w14:textId="77777777" w:rsidR="00BF2A24" w:rsidRDefault="00BF2A24" w:rsidP="001E660F"/>
    <w:p w14:paraId="5C071FEE" w14:textId="77777777" w:rsidR="000B39E7" w:rsidRDefault="00B128C8" w:rsidP="001E660F">
      <w:r w:rsidRPr="009A1B8F">
        <w:t xml:space="preserve">The data was too immature to fully analyse the time on nusinersen, with a median time on therapy not being reached within </w:t>
      </w:r>
      <w:r w:rsidR="00A671AF">
        <w:t xml:space="preserve">28 </w:t>
      </w:r>
      <w:r w:rsidRPr="009A1B8F">
        <w:t>months from first listing</w:t>
      </w:r>
      <w:r w:rsidR="000F6376" w:rsidRPr="009A1B8F">
        <w:t xml:space="preserve">. </w:t>
      </w:r>
      <w:r w:rsidR="000F6376">
        <w:t xml:space="preserve">Of the 61 patients initiating on nusinersen after 1 November 2018 who were followed up to 30 September 2020, 88.52% of patients were censored. The median survival probability was not reached. </w:t>
      </w:r>
    </w:p>
    <w:p w14:paraId="1860D77D" w14:textId="77777777" w:rsidR="006B6325" w:rsidRDefault="006B6325" w:rsidP="001E660F">
      <w:pPr>
        <w:rPr>
          <w:highlight w:val="yellow"/>
        </w:rPr>
      </w:pPr>
    </w:p>
    <w:p w14:paraId="56378AB6" w14:textId="77777777" w:rsidR="006B6325" w:rsidRDefault="006B6325" w:rsidP="001E660F">
      <w:pPr>
        <w:rPr>
          <w:highlight w:val="yellow"/>
        </w:rPr>
      </w:pPr>
    </w:p>
    <w:p w14:paraId="2BD139B7" w14:textId="77777777" w:rsidR="006B6325" w:rsidRPr="000B3C3D" w:rsidRDefault="006B6325" w:rsidP="001E660F">
      <w:pPr>
        <w:rPr>
          <w:highlight w:val="yellow"/>
        </w:rPr>
      </w:pPr>
    </w:p>
    <w:p w14:paraId="149FF3E8" w14:textId="77777777" w:rsidR="0020117F" w:rsidRDefault="005060D1" w:rsidP="00A83D44">
      <w:pPr>
        <w:jc w:val="center"/>
      </w:pPr>
      <w:r w:rsidRPr="005060D1">
        <w:rPr>
          <w:noProof/>
        </w:rPr>
        <w:lastRenderedPageBreak/>
        <w:drawing>
          <wp:inline distT="0" distB="0" distL="0" distR="0" wp14:anchorId="1166D338" wp14:editId="30C1CACF">
            <wp:extent cx="5014210" cy="2742565"/>
            <wp:effectExtent l="0" t="0" r="0" b="635"/>
            <wp:docPr id="7" name="Picture 7" title="Figure 6: Age standardised nusinersen initiation rates according to state or territory, patients aged 0-18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158" t="7737" r="2068" b="8547"/>
                    <a:stretch/>
                  </pic:blipFill>
                  <pic:spPr bwMode="auto">
                    <a:xfrm>
                      <a:off x="0" y="0"/>
                      <a:ext cx="5028597" cy="2750434"/>
                    </a:xfrm>
                    <a:prstGeom prst="rect">
                      <a:avLst/>
                    </a:prstGeom>
                    <a:ln>
                      <a:noFill/>
                    </a:ln>
                    <a:extLst>
                      <a:ext uri="{53640926-AAD7-44D8-BBD7-CCE9431645EC}">
                        <a14:shadowObscured xmlns:a14="http://schemas.microsoft.com/office/drawing/2010/main"/>
                      </a:ext>
                    </a:extLst>
                  </pic:spPr>
                </pic:pic>
              </a:graphicData>
            </a:graphic>
          </wp:inline>
        </w:drawing>
      </w:r>
    </w:p>
    <w:p w14:paraId="575CB743" w14:textId="77777777" w:rsidR="00B76F3E" w:rsidRPr="00B76F3E" w:rsidRDefault="00A83D44" w:rsidP="00B76F3E">
      <w:pPr>
        <w:pStyle w:val="Tabletitle"/>
      </w:pPr>
      <w:r w:rsidRPr="00B76F3E">
        <w:t xml:space="preserve">Figure </w:t>
      </w:r>
      <w:r w:rsidR="00D21882">
        <w:t>6</w:t>
      </w:r>
      <w:r w:rsidRPr="00B76F3E">
        <w:t xml:space="preserve">: </w:t>
      </w:r>
      <w:r w:rsidR="00CC770A">
        <w:t>Age s</w:t>
      </w:r>
      <w:r w:rsidRPr="00B76F3E">
        <w:t xml:space="preserve">tandardised </w:t>
      </w:r>
      <w:r w:rsidR="00CC770A">
        <w:t>nusinersen initiation rates</w:t>
      </w:r>
      <w:r w:rsidRPr="00B76F3E">
        <w:t xml:space="preserve"> according to state or territory</w:t>
      </w:r>
      <w:r w:rsidR="00CC770A">
        <w:t>, patients aged 0-18 years</w:t>
      </w:r>
    </w:p>
    <w:p w14:paraId="1AEF7715" w14:textId="77777777" w:rsidR="00CC770A" w:rsidRDefault="00CC770A" w:rsidP="00053F35"/>
    <w:p w14:paraId="6FB83020" w14:textId="77777777" w:rsidR="0020117F" w:rsidRDefault="00606DF7" w:rsidP="00053F35">
      <w:r>
        <w:t>Fi</w:t>
      </w:r>
      <w:r w:rsidR="00D21882">
        <w:t>gure 6</w:t>
      </w:r>
      <w:r>
        <w:t xml:space="preserve"> shows the</w:t>
      </w:r>
      <w:r w:rsidR="00CC770A">
        <w:t xml:space="preserve"> nusinersen initiation rates for each state and territory. The initiation rates are standardised by the age distribution and population size for each jurisdiction</w:t>
      </w:r>
      <w:r w:rsidR="006F3B30">
        <w:t>, and include patients aged up to 18 years</w:t>
      </w:r>
      <w:r w:rsidR="00CC770A">
        <w:t xml:space="preserve">. </w:t>
      </w:r>
      <w:r w:rsidR="001C5B54">
        <w:t xml:space="preserve"> After standardisation, the </w:t>
      </w:r>
      <w:r w:rsidR="000B39E7">
        <w:t>ACT has</w:t>
      </w:r>
      <w:r w:rsidR="001C5B54">
        <w:t xml:space="preserve"> the highest number of initiating patients relativ</w:t>
      </w:r>
      <w:r w:rsidR="000B39E7">
        <w:t xml:space="preserve">e to its population aged 0 to </w:t>
      </w:r>
      <w:r w:rsidR="001C5B54">
        <w:t xml:space="preserve">18 years. </w:t>
      </w:r>
      <w:r w:rsidR="000B39E7">
        <w:t>SA</w:t>
      </w:r>
      <w:r w:rsidR="001C5B54">
        <w:t xml:space="preserve"> has the second highest number of patients, with NSW, NT, QLD, VIC and WA </w:t>
      </w:r>
      <w:r w:rsidR="006F3B30">
        <w:t xml:space="preserve">having </w:t>
      </w:r>
      <w:r w:rsidR="001C5B54">
        <w:t>similar numbers of initiating patients relative to their population size. TAS has the lowest number of standardised init</w:t>
      </w:r>
      <w:r w:rsidR="00A8766B">
        <w:t>i</w:t>
      </w:r>
      <w:r w:rsidR="001C5B54">
        <w:t xml:space="preserve">ating patients. </w:t>
      </w:r>
    </w:p>
    <w:p w14:paraId="081B311E" w14:textId="77777777" w:rsidR="00174E6B" w:rsidRDefault="00174E6B">
      <w:pPr>
        <w:spacing w:line="276" w:lineRule="auto"/>
      </w:pPr>
      <w:r>
        <w:br w:type="page"/>
      </w:r>
    </w:p>
    <w:p w14:paraId="1637F82F" w14:textId="77777777" w:rsidR="00EA61F7" w:rsidRPr="003A3460" w:rsidRDefault="00EA61F7" w:rsidP="00053F35"/>
    <w:p w14:paraId="7C38E3F5" w14:textId="77777777" w:rsidR="00B14FAA" w:rsidRDefault="00B14FAA" w:rsidP="00B14FAA">
      <w:pPr>
        <w:jc w:val="center"/>
        <w:rPr>
          <w:b/>
        </w:rPr>
      </w:pPr>
      <w:r>
        <w:rPr>
          <w:noProof/>
        </w:rPr>
        <w:drawing>
          <wp:inline distT="0" distB="0" distL="0" distR="0" wp14:anchorId="158E3B46" wp14:editId="0C849844">
            <wp:extent cx="4876800" cy="3183467"/>
            <wp:effectExtent l="0" t="0" r="0" b="17145"/>
            <wp:docPr id="9" name="Chart 9" title="Figure 7: Number of initiating patients classified according to SMA type based on written Authorities applications"/>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D8E39BF" w14:textId="77777777" w:rsidR="000A0678" w:rsidRPr="00B76F3E" w:rsidRDefault="00B14FAA" w:rsidP="00B76F3E">
      <w:pPr>
        <w:pStyle w:val="Tabletitle"/>
      </w:pPr>
      <w:r w:rsidRPr="00B76F3E">
        <w:t xml:space="preserve">Figure </w:t>
      </w:r>
      <w:r w:rsidR="00D21882">
        <w:t>7</w:t>
      </w:r>
      <w:r w:rsidR="00B76F3E">
        <w:t xml:space="preserve">: </w:t>
      </w:r>
      <w:r w:rsidRPr="00B76F3E">
        <w:t xml:space="preserve">Number </w:t>
      </w:r>
      <w:r w:rsidR="00F670C6">
        <w:t xml:space="preserve">of initiating </w:t>
      </w:r>
      <w:r w:rsidRPr="00B76F3E">
        <w:t xml:space="preserve">patients classified according to </w:t>
      </w:r>
      <w:r w:rsidR="00CE47DD" w:rsidRPr="00B76F3E">
        <w:t xml:space="preserve">SMA type based on written </w:t>
      </w:r>
      <w:r w:rsidR="004913B9">
        <w:t>A</w:t>
      </w:r>
      <w:r w:rsidR="00CE47DD" w:rsidRPr="00B76F3E">
        <w:t>uthorities applications</w:t>
      </w:r>
    </w:p>
    <w:p w14:paraId="444A2516" w14:textId="77777777" w:rsidR="00927B27" w:rsidRDefault="00B3156F" w:rsidP="000A0678">
      <w:pPr>
        <w:spacing w:after="0"/>
        <w:rPr>
          <w:sz w:val="20"/>
          <w:szCs w:val="20"/>
        </w:rPr>
      </w:pPr>
      <w:r w:rsidRPr="00892EBB">
        <w:rPr>
          <w:sz w:val="20"/>
          <w:szCs w:val="20"/>
        </w:rPr>
        <w:t xml:space="preserve">Note: </w:t>
      </w:r>
    </w:p>
    <w:p w14:paraId="6B7D8885" w14:textId="77777777" w:rsidR="000A0678" w:rsidRDefault="00B3156F" w:rsidP="000A0678">
      <w:pPr>
        <w:spacing w:after="0"/>
        <w:rPr>
          <w:b/>
        </w:rPr>
      </w:pPr>
      <w:r w:rsidRPr="00892EBB">
        <w:rPr>
          <w:sz w:val="20"/>
          <w:szCs w:val="20"/>
        </w:rPr>
        <w:t xml:space="preserve">Type I SMA </w:t>
      </w:r>
      <w:r w:rsidR="00892EBB" w:rsidRPr="00892EBB">
        <w:rPr>
          <w:sz w:val="20"/>
          <w:szCs w:val="20"/>
        </w:rPr>
        <w:t>d</w:t>
      </w:r>
      <w:r w:rsidRPr="00892EBB">
        <w:rPr>
          <w:sz w:val="20"/>
          <w:szCs w:val="20"/>
        </w:rPr>
        <w:t xml:space="preserve">efined </w:t>
      </w:r>
      <w:r w:rsidR="003801A4">
        <w:rPr>
          <w:sz w:val="20"/>
          <w:szCs w:val="20"/>
        </w:rPr>
        <w:t>by onset before 6 months of age.</w:t>
      </w:r>
    </w:p>
    <w:p w14:paraId="49EB33C0" w14:textId="77777777" w:rsidR="00B3156F" w:rsidRPr="000A0678" w:rsidRDefault="00B3156F" w:rsidP="000A0678">
      <w:pPr>
        <w:spacing w:after="0"/>
        <w:rPr>
          <w:b/>
        </w:rPr>
      </w:pPr>
      <w:r w:rsidRPr="00892EBB">
        <w:rPr>
          <w:sz w:val="20"/>
          <w:szCs w:val="20"/>
        </w:rPr>
        <w:t>Type II SMA defined by onset bet</w:t>
      </w:r>
      <w:r w:rsidR="003801A4">
        <w:rPr>
          <w:sz w:val="20"/>
          <w:szCs w:val="20"/>
        </w:rPr>
        <w:t xml:space="preserve">ween 6 and 19 months of age. </w:t>
      </w:r>
    </w:p>
    <w:p w14:paraId="5F2D3A12" w14:textId="77777777" w:rsidR="00B3156F" w:rsidRDefault="00B3156F" w:rsidP="00D21882">
      <w:pPr>
        <w:spacing w:after="0"/>
        <w:rPr>
          <w:sz w:val="20"/>
          <w:szCs w:val="20"/>
        </w:rPr>
      </w:pPr>
      <w:r w:rsidRPr="00892EBB">
        <w:rPr>
          <w:sz w:val="20"/>
          <w:szCs w:val="20"/>
        </w:rPr>
        <w:t>Type IIIa SMA defined by onset betwe</w:t>
      </w:r>
      <w:r w:rsidR="003801A4">
        <w:rPr>
          <w:sz w:val="20"/>
          <w:szCs w:val="20"/>
        </w:rPr>
        <w:t>en 19 months and 3 years of age.</w:t>
      </w:r>
    </w:p>
    <w:p w14:paraId="65199EE7" w14:textId="77777777" w:rsidR="00D21882" w:rsidRPr="00D21882" w:rsidRDefault="00D21882" w:rsidP="00D21882">
      <w:pPr>
        <w:spacing w:after="0"/>
        <w:rPr>
          <w:sz w:val="20"/>
          <w:szCs w:val="20"/>
        </w:rPr>
      </w:pPr>
    </w:p>
    <w:p w14:paraId="22F1E002" w14:textId="77777777" w:rsidR="00892EBB" w:rsidRDefault="001D79FF" w:rsidP="00B14FAA">
      <w:r>
        <w:t xml:space="preserve">Since first listing to 30 September 2020, there have been </w:t>
      </w:r>
      <w:r w:rsidR="00710698">
        <w:t xml:space="preserve">160 </w:t>
      </w:r>
      <w:r>
        <w:t xml:space="preserve">Authority applications approved for the supply of initial treatment with nusinersen. </w:t>
      </w:r>
      <w:r w:rsidR="00892EBB" w:rsidRPr="00892EBB">
        <w:t>Overall, F</w:t>
      </w:r>
      <w:r w:rsidR="00D21882">
        <w:t>igure 7</w:t>
      </w:r>
      <w:r w:rsidR="00892EBB" w:rsidRPr="00892EBB">
        <w:t xml:space="preserve"> </w:t>
      </w:r>
      <w:r w:rsidR="00573BD1">
        <w:t xml:space="preserve">shows that </w:t>
      </w:r>
      <w:r w:rsidR="00892EBB">
        <w:t xml:space="preserve">Type II SMA patients account for the majority for patients </w:t>
      </w:r>
      <w:r w:rsidR="004913B9">
        <w:t xml:space="preserve">supplied </w:t>
      </w:r>
      <w:r w:rsidR="003801A4">
        <w:t xml:space="preserve">nusinersen </w:t>
      </w:r>
      <w:r w:rsidR="00892EBB">
        <w:t xml:space="preserve">treatment. </w:t>
      </w:r>
      <w:r w:rsidR="003801A4">
        <w:t xml:space="preserve">There are </w:t>
      </w:r>
      <w:r w:rsidR="004913B9">
        <w:t xml:space="preserve">a </w:t>
      </w:r>
      <w:r w:rsidR="003801A4">
        <w:t xml:space="preserve">similar number of Type I and Type IIIa SMA patients </w:t>
      </w:r>
      <w:r w:rsidR="004913B9">
        <w:t>supplied</w:t>
      </w:r>
      <w:r w:rsidR="003801A4">
        <w:t xml:space="preserve"> nusinersen. </w:t>
      </w:r>
    </w:p>
    <w:p w14:paraId="342B6945" w14:textId="77777777" w:rsidR="000A0678" w:rsidRDefault="000A0678">
      <w:pPr>
        <w:spacing w:line="276" w:lineRule="auto"/>
        <w:rPr>
          <w:b/>
          <w:sz w:val="28"/>
        </w:rPr>
      </w:pPr>
    </w:p>
    <w:p w14:paraId="00724CEB" w14:textId="77777777" w:rsidR="006B6325" w:rsidRDefault="006B6325">
      <w:pPr>
        <w:spacing w:line="276" w:lineRule="auto"/>
        <w:rPr>
          <w:b/>
          <w:sz w:val="28"/>
        </w:rPr>
      </w:pPr>
    </w:p>
    <w:p w14:paraId="3BFD8679" w14:textId="77777777" w:rsidR="00710698" w:rsidRDefault="00710698">
      <w:pPr>
        <w:spacing w:line="276" w:lineRule="auto"/>
        <w:rPr>
          <w:b/>
          <w:sz w:val="28"/>
        </w:rPr>
      </w:pPr>
    </w:p>
    <w:p w14:paraId="081CA528" w14:textId="77777777" w:rsidR="00710698" w:rsidRDefault="00710698">
      <w:pPr>
        <w:spacing w:line="276" w:lineRule="auto"/>
        <w:rPr>
          <w:b/>
          <w:sz w:val="28"/>
        </w:rPr>
      </w:pPr>
    </w:p>
    <w:p w14:paraId="4DF89C43" w14:textId="77777777" w:rsidR="00710698" w:rsidRDefault="00710698">
      <w:pPr>
        <w:spacing w:line="276" w:lineRule="auto"/>
        <w:rPr>
          <w:b/>
          <w:sz w:val="28"/>
        </w:rPr>
      </w:pPr>
    </w:p>
    <w:p w14:paraId="558FA109" w14:textId="77777777" w:rsidR="00710698" w:rsidRDefault="00710698">
      <w:pPr>
        <w:spacing w:line="276" w:lineRule="auto"/>
        <w:rPr>
          <w:b/>
          <w:sz w:val="28"/>
        </w:rPr>
      </w:pPr>
    </w:p>
    <w:p w14:paraId="0221C94A" w14:textId="77777777" w:rsidR="00710698" w:rsidRDefault="00710698">
      <w:pPr>
        <w:spacing w:line="276" w:lineRule="auto"/>
        <w:rPr>
          <w:b/>
          <w:sz w:val="28"/>
        </w:rPr>
      </w:pPr>
      <w:r>
        <w:br w:type="page"/>
      </w:r>
    </w:p>
    <w:p w14:paraId="6533C863" w14:textId="77777777" w:rsidR="00736041" w:rsidRPr="005E22C2" w:rsidRDefault="00D151EB" w:rsidP="00F73113">
      <w:pPr>
        <w:pStyle w:val="Heading2"/>
      </w:pPr>
      <w:r>
        <w:lastRenderedPageBreak/>
        <w:t xml:space="preserve">Analysis </w:t>
      </w:r>
      <w:r w:rsidR="00C0076F" w:rsidRPr="005E22C2">
        <w:t xml:space="preserve">of </w:t>
      </w:r>
      <w:r w:rsidR="0063631C">
        <w:t>a</w:t>
      </w:r>
      <w:r w:rsidR="00C0076F" w:rsidRPr="005E22C2">
        <w:t xml:space="preserve">ctual versus </w:t>
      </w:r>
      <w:r w:rsidR="0063631C">
        <w:t>p</w:t>
      </w:r>
      <w:r w:rsidR="00C0076F" w:rsidRPr="005E22C2">
        <w:t xml:space="preserve">redicted </w:t>
      </w:r>
      <w:r w:rsidR="0063631C">
        <w:t>u</w:t>
      </w:r>
      <w:r w:rsidR="00C0076F" w:rsidRPr="005E22C2">
        <w:t>tilisation</w:t>
      </w:r>
    </w:p>
    <w:p w14:paraId="0E9B7A20" w14:textId="77777777" w:rsidR="0017444F" w:rsidRPr="0017444F" w:rsidRDefault="0017444F" w:rsidP="00A569C9">
      <w:pPr>
        <w:pStyle w:val="Tabletitle"/>
        <w:rPr>
          <w:u w:val="single"/>
        </w:rPr>
      </w:pPr>
      <w:r>
        <w:rPr>
          <w:u w:val="single"/>
        </w:rPr>
        <w:t>Committee-in-confidence</w:t>
      </w:r>
    </w:p>
    <w:p w14:paraId="7DA8E747" w14:textId="77777777" w:rsidR="00D247B1" w:rsidRPr="00EB5A70" w:rsidRDefault="00FD15A5" w:rsidP="00EB5A70">
      <w:pPr>
        <w:pStyle w:val="Tabletitle"/>
      </w:pPr>
      <w:r>
        <w:t>Tabl</w:t>
      </w:r>
      <w:r w:rsidR="00534912">
        <w:t>e 6</w:t>
      </w:r>
      <w:r w:rsidR="00A569C9" w:rsidRPr="001420B3" w:rsidDel="00EE2BBB">
        <w:t xml:space="preserve">: </w:t>
      </w:r>
      <w:r w:rsidR="00877054">
        <w:t xml:space="preserve">Nusinersen actual versus predicted utilisation </w:t>
      </w:r>
      <w:r w:rsidR="00A569C9">
        <w:t xml:space="preserve">   </w:t>
      </w:r>
    </w:p>
    <w:tbl>
      <w:tblPr>
        <w:tblStyle w:val="TableGrid"/>
        <w:tblW w:w="0" w:type="auto"/>
        <w:tblLook w:val="04A0" w:firstRow="1" w:lastRow="0" w:firstColumn="1" w:lastColumn="0" w:noHBand="0" w:noVBand="1"/>
      </w:tblPr>
      <w:tblGrid>
        <w:gridCol w:w="1789"/>
        <w:gridCol w:w="1789"/>
        <w:gridCol w:w="1789"/>
        <w:gridCol w:w="1790"/>
        <w:gridCol w:w="1790"/>
      </w:tblGrid>
      <w:tr w:rsidR="00EB5A70" w:rsidRPr="00EB5A70" w14:paraId="22B69ECA" w14:textId="77777777" w:rsidTr="00436929">
        <w:tc>
          <w:tcPr>
            <w:tcW w:w="3578" w:type="dxa"/>
            <w:gridSpan w:val="2"/>
            <w:vMerge w:val="restart"/>
            <w:shd w:val="clear" w:color="auto" w:fill="BFBFBF" w:themeFill="background1" w:themeFillShade="BF"/>
          </w:tcPr>
          <w:p w14:paraId="53BD7DD6" w14:textId="77777777" w:rsidR="00EB5A70" w:rsidRPr="00EB5A70" w:rsidRDefault="00EB5A70" w:rsidP="009C19EE">
            <w:pPr>
              <w:rPr>
                <w:b/>
                <w:sz w:val="20"/>
                <w:szCs w:val="20"/>
              </w:rPr>
            </w:pPr>
            <w:r w:rsidRPr="00EB5A70">
              <w:rPr>
                <w:b/>
                <w:sz w:val="20"/>
                <w:szCs w:val="20"/>
              </w:rPr>
              <w:t xml:space="preserve">Nusinersen listing years </w:t>
            </w:r>
          </w:p>
        </w:tc>
        <w:tc>
          <w:tcPr>
            <w:tcW w:w="1789" w:type="dxa"/>
            <w:shd w:val="clear" w:color="auto" w:fill="BFBFBF" w:themeFill="background1" w:themeFillShade="BF"/>
          </w:tcPr>
          <w:p w14:paraId="27915C13" w14:textId="77777777" w:rsidR="00EB5A70" w:rsidRPr="00EB5A70" w:rsidRDefault="00EB5A70" w:rsidP="00EB5A70">
            <w:pPr>
              <w:jc w:val="center"/>
              <w:rPr>
                <w:b/>
                <w:sz w:val="20"/>
                <w:szCs w:val="20"/>
              </w:rPr>
            </w:pPr>
            <w:r w:rsidRPr="00EB5A70">
              <w:rPr>
                <w:b/>
                <w:sz w:val="20"/>
                <w:szCs w:val="20"/>
              </w:rPr>
              <w:t>Year 1</w:t>
            </w:r>
          </w:p>
        </w:tc>
        <w:tc>
          <w:tcPr>
            <w:tcW w:w="1790" w:type="dxa"/>
            <w:shd w:val="clear" w:color="auto" w:fill="BFBFBF" w:themeFill="background1" w:themeFillShade="BF"/>
          </w:tcPr>
          <w:p w14:paraId="0E861CDF" w14:textId="77777777" w:rsidR="00EB5A70" w:rsidRPr="00EB5A70" w:rsidRDefault="00EB5A70" w:rsidP="00EB5A70">
            <w:pPr>
              <w:jc w:val="center"/>
              <w:rPr>
                <w:b/>
                <w:sz w:val="20"/>
                <w:szCs w:val="20"/>
              </w:rPr>
            </w:pPr>
            <w:r w:rsidRPr="00EB5A70">
              <w:rPr>
                <w:b/>
                <w:sz w:val="20"/>
                <w:szCs w:val="20"/>
              </w:rPr>
              <w:t>Year 2</w:t>
            </w:r>
          </w:p>
        </w:tc>
        <w:tc>
          <w:tcPr>
            <w:tcW w:w="1790" w:type="dxa"/>
            <w:shd w:val="clear" w:color="auto" w:fill="BFBFBF" w:themeFill="background1" w:themeFillShade="BF"/>
          </w:tcPr>
          <w:p w14:paraId="4A0E53EE" w14:textId="77777777" w:rsidR="00EB5A70" w:rsidRPr="00EB5A70" w:rsidRDefault="00EB5A70" w:rsidP="00EB5A70">
            <w:pPr>
              <w:jc w:val="center"/>
              <w:rPr>
                <w:b/>
                <w:sz w:val="20"/>
                <w:szCs w:val="20"/>
              </w:rPr>
            </w:pPr>
            <w:r w:rsidRPr="00EB5A70">
              <w:rPr>
                <w:b/>
                <w:sz w:val="20"/>
                <w:szCs w:val="20"/>
              </w:rPr>
              <w:t>Year 3</w:t>
            </w:r>
          </w:p>
        </w:tc>
      </w:tr>
      <w:tr w:rsidR="00EB5A70" w:rsidRPr="00EB5A70" w14:paraId="66E571EA" w14:textId="77777777" w:rsidTr="00436929">
        <w:tc>
          <w:tcPr>
            <w:tcW w:w="3578" w:type="dxa"/>
            <w:gridSpan w:val="2"/>
            <w:vMerge/>
            <w:shd w:val="clear" w:color="auto" w:fill="BFBFBF" w:themeFill="background1" w:themeFillShade="BF"/>
          </w:tcPr>
          <w:p w14:paraId="52F6703E" w14:textId="77777777" w:rsidR="00EB5A70" w:rsidRPr="00EB5A70" w:rsidRDefault="00EB5A70" w:rsidP="009C19EE">
            <w:pPr>
              <w:rPr>
                <w:b/>
                <w:sz w:val="20"/>
                <w:szCs w:val="20"/>
              </w:rPr>
            </w:pPr>
          </w:p>
        </w:tc>
        <w:tc>
          <w:tcPr>
            <w:tcW w:w="1789" w:type="dxa"/>
            <w:shd w:val="clear" w:color="auto" w:fill="BFBFBF" w:themeFill="background1" w:themeFillShade="BF"/>
          </w:tcPr>
          <w:p w14:paraId="533CD197" w14:textId="77777777" w:rsidR="00EB5A70" w:rsidRPr="00EB5A70" w:rsidRDefault="00EB5A70" w:rsidP="00EB5A70">
            <w:pPr>
              <w:jc w:val="center"/>
              <w:rPr>
                <w:b/>
                <w:sz w:val="20"/>
                <w:szCs w:val="20"/>
              </w:rPr>
            </w:pPr>
            <w:r w:rsidRPr="00EB5A70">
              <w:rPr>
                <w:b/>
                <w:sz w:val="20"/>
                <w:szCs w:val="20"/>
              </w:rPr>
              <w:t>June 2018 – May 2019</w:t>
            </w:r>
          </w:p>
        </w:tc>
        <w:tc>
          <w:tcPr>
            <w:tcW w:w="1790" w:type="dxa"/>
            <w:shd w:val="clear" w:color="auto" w:fill="BFBFBF" w:themeFill="background1" w:themeFillShade="BF"/>
          </w:tcPr>
          <w:p w14:paraId="5F416A3E" w14:textId="77777777" w:rsidR="00EB5A70" w:rsidRPr="00EB5A70" w:rsidRDefault="00EB5A70" w:rsidP="00EB5A70">
            <w:pPr>
              <w:jc w:val="center"/>
              <w:rPr>
                <w:b/>
                <w:sz w:val="20"/>
                <w:szCs w:val="20"/>
              </w:rPr>
            </w:pPr>
            <w:r w:rsidRPr="00EB5A70">
              <w:rPr>
                <w:b/>
                <w:sz w:val="20"/>
                <w:szCs w:val="20"/>
              </w:rPr>
              <w:t>June 2019- May 2020</w:t>
            </w:r>
          </w:p>
        </w:tc>
        <w:tc>
          <w:tcPr>
            <w:tcW w:w="1790" w:type="dxa"/>
            <w:shd w:val="clear" w:color="auto" w:fill="BFBFBF" w:themeFill="background1" w:themeFillShade="BF"/>
          </w:tcPr>
          <w:p w14:paraId="6B95A4F0" w14:textId="77777777" w:rsidR="00EB5A70" w:rsidRPr="00EB5A70" w:rsidRDefault="00EB5A70" w:rsidP="00EB5A70">
            <w:pPr>
              <w:jc w:val="center"/>
              <w:rPr>
                <w:b/>
                <w:sz w:val="20"/>
                <w:szCs w:val="20"/>
              </w:rPr>
            </w:pPr>
            <w:r w:rsidRPr="00EB5A70">
              <w:rPr>
                <w:b/>
                <w:sz w:val="20"/>
                <w:szCs w:val="20"/>
              </w:rPr>
              <w:t>June 2020- May 2021</w:t>
            </w:r>
          </w:p>
        </w:tc>
      </w:tr>
      <w:tr w:rsidR="00EB5A70" w:rsidRPr="00EB5A70" w14:paraId="2549F367" w14:textId="77777777" w:rsidTr="00EB5A70">
        <w:tc>
          <w:tcPr>
            <w:tcW w:w="1789" w:type="dxa"/>
            <w:vMerge w:val="restart"/>
          </w:tcPr>
          <w:p w14:paraId="0B4FF90D" w14:textId="77777777" w:rsidR="00EB5A70" w:rsidRPr="00EB5A70" w:rsidRDefault="00EB5A70" w:rsidP="009C19EE">
            <w:pPr>
              <w:rPr>
                <w:sz w:val="20"/>
                <w:szCs w:val="20"/>
              </w:rPr>
            </w:pPr>
            <w:r w:rsidRPr="00EB5A70">
              <w:rPr>
                <w:sz w:val="20"/>
                <w:szCs w:val="20"/>
              </w:rPr>
              <w:t xml:space="preserve">Patients </w:t>
            </w:r>
          </w:p>
        </w:tc>
        <w:tc>
          <w:tcPr>
            <w:tcW w:w="1789" w:type="dxa"/>
          </w:tcPr>
          <w:p w14:paraId="16120F70" w14:textId="77777777" w:rsidR="00EB5A70" w:rsidRPr="00EB5A70" w:rsidRDefault="00EB5A70" w:rsidP="009C19EE">
            <w:pPr>
              <w:rPr>
                <w:sz w:val="20"/>
                <w:szCs w:val="20"/>
              </w:rPr>
            </w:pPr>
            <w:r w:rsidRPr="00EB5A70">
              <w:rPr>
                <w:sz w:val="20"/>
                <w:szCs w:val="20"/>
              </w:rPr>
              <w:t xml:space="preserve">Predicted </w:t>
            </w:r>
          </w:p>
        </w:tc>
        <w:tc>
          <w:tcPr>
            <w:tcW w:w="1789" w:type="dxa"/>
          </w:tcPr>
          <w:p w14:paraId="4DE6F981" w14:textId="77777777" w:rsidR="00EB5A70" w:rsidRPr="004E7661" w:rsidRDefault="004E7661" w:rsidP="00EB5A70">
            <w:pPr>
              <w:jc w:val="center"/>
              <w:rPr>
                <w:sz w:val="20"/>
                <w:szCs w:val="20"/>
                <w:highlight w:val="black"/>
              </w:rPr>
            </w:pPr>
            <w:r>
              <w:rPr>
                <w:noProof/>
                <w:color w:val="000000"/>
                <w:sz w:val="20"/>
                <w:szCs w:val="20"/>
                <w:highlight w:val="black"/>
              </w:rPr>
              <w:t>'''''</w:t>
            </w:r>
          </w:p>
        </w:tc>
        <w:tc>
          <w:tcPr>
            <w:tcW w:w="1790" w:type="dxa"/>
          </w:tcPr>
          <w:p w14:paraId="30FE9E15" w14:textId="77777777" w:rsidR="00EB5A70" w:rsidRPr="004E7661" w:rsidRDefault="004E7661" w:rsidP="00EB5A70">
            <w:pPr>
              <w:jc w:val="center"/>
              <w:rPr>
                <w:sz w:val="20"/>
                <w:szCs w:val="20"/>
                <w:highlight w:val="black"/>
              </w:rPr>
            </w:pPr>
            <w:r>
              <w:rPr>
                <w:noProof/>
                <w:color w:val="000000"/>
                <w:sz w:val="20"/>
                <w:szCs w:val="20"/>
                <w:highlight w:val="black"/>
              </w:rPr>
              <w:t>'''''''</w:t>
            </w:r>
          </w:p>
        </w:tc>
        <w:tc>
          <w:tcPr>
            <w:tcW w:w="1790" w:type="dxa"/>
          </w:tcPr>
          <w:p w14:paraId="33036BC3" w14:textId="77777777" w:rsidR="00EB5A70" w:rsidRPr="004E7661" w:rsidRDefault="004E7661" w:rsidP="00EB5A70">
            <w:pPr>
              <w:jc w:val="center"/>
              <w:rPr>
                <w:sz w:val="20"/>
                <w:szCs w:val="20"/>
                <w:highlight w:val="black"/>
              </w:rPr>
            </w:pPr>
            <w:r>
              <w:rPr>
                <w:noProof/>
                <w:color w:val="000000"/>
                <w:sz w:val="20"/>
                <w:szCs w:val="20"/>
                <w:highlight w:val="black"/>
              </w:rPr>
              <w:t>'''''''</w:t>
            </w:r>
          </w:p>
        </w:tc>
      </w:tr>
      <w:tr w:rsidR="00EB5A70" w:rsidRPr="00EB5A70" w14:paraId="2AB20589" w14:textId="77777777" w:rsidTr="00EB5A70">
        <w:tc>
          <w:tcPr>
            <w:tcW w:w="1789" w:type="dxa"/>
            <w:vMerge/>
          </w:tcPr>
          <w:p w14:paraId="210B8EE9" w14:textId="77777777" w:rsidR="00EB5A70" w:rsidRPr="00EB5A70" w:rsidRDefault="00EB5A70" w:rsidP="009C19EE">
            <w:pPr>
              <w:rPr>
                <w:sz w:val="20"/>
                <w:szCs w:val="20"/>
              </w:rPr>
            </w:pPr>
          </w:p>
        </w:tc>
        <w:tc>
          <w:tcPr>
            <w:tcW w:w="1789" w:type="dxa"/>
          </w:tcPr>
          <w:p w14:paraId="537647FA" w14:textId="77777777" w:rsidR="00EB5A70" w:rsidRPr="00EB5A70" w:rsidRDefault="00EB5A70" w:rsidP="009C19EE">
            <w:pPr>
              <w:rPr>
                <w:sz w:val="20"/>
                <w:szCs w:val="20"/>
              </w:rPr>
            </w:pPr>
            <w:r w:rsidRPr="00EB5A70">
              <w:rPr>
                <w:sz w:val="20"/>
                <w:szCs w:val="20"/>
              </w:rPr>
              <w:t xml:space="preserve">Actual </w:t>
            </w:r>
          </w:p>
        </w:tc>
        <w:tc>
          <w:tcPr>
            <w:tcW w:w="1789" w:type="dxa"/>
          </w:tcPr>
          <w:p w14:paraId="7BB418A9" w14:textId="77777777" w:rsidR="00EB5A70" w:rsidRPr="00EB5A70" w:rsidRDefault="00EB5A70" w:rsidP="00EB5A70">
            <w:pPr>
              <w:jc w:val="center"/>
              <w:rPr>
                <w:sz w:val="20"/>
                <w:szCs w:val="20"/>
              </w:rPr>
            </w:pPr>
            <w:r w:rsidRPr="00EB5A70">
              <w:rPr>
                <w:sz w:val="20"/>
                <w:szCs w:val="20"/>
              </w:rPr>
              <w:t>140</w:t>
            </w:r>
          </w:p>
        </w:tc>
        <w:tc>
          <w:tcPr>
            <w:tcW w:w="1790" w:type="dxa"/>
          </w:tcPr>
          <w:p w14:paraId="4722F93D" w14:textId="77777777" w:rsidR="00EB5A70" w:rsidRPr="00EB5A70" w:rsidRDefault="00EB5A70" w:rsidP="00EB5A70">
            <w:pPr>
              <w:jc w:val="center"/>
              <w:rPr>
                <w:sz w:val="20"/>
                <w:szCs w:val="20"/>
              </w:rPr>
            </w:pPr>
            <w:r w:rsidRPr="00EB5A70">
              <w:rPr>
                <w:sz w:val="20"/>
                <w:szCs w:val="20"/>
              </w:rPr>
              <w:t>160</w:t>
            </w:r>
          </w:p>
        </w:tc>
        <w:tc>
          <w:tcPr>
            <w:tcW w:w="1790" w:type="dxa"/>
          </w:tcPr>
          <w:p w14:paraId="23C07E17" w14:textId="77777777" w:rsidR="00EB5A70" w:rsidRPr="00EB5A70" w:rsidRDefault="00EB5A70" w:rsidP="00EB5A70">
            <w:pPr>
              <w:jc w:val="center"/>
              <w:rPr>
                <w:sz w:val="20"/>
                <w:szCs w:val="20"/>
              </w:rPr>
            </w:pPr>
            <w:r w:rsidRPr="00EB5A70">
              <w:rPr>
                <w:sz w:val="20"/>
                <w:szCs w:val="20"/>
              </w:rPr>
              <w:t>148</w:t>
            </w:r>
          </w:p>
        </w:tc>
      </w:tr>
      <w:tr w:rsidR="00EB5A70" w:rsidRPr="00EB5A70" w14:paraId="114C54C5" w14:textId="77777777" w:rsidTr="00EB5A70">
        <w:tc>
          <w:tcPr>
            <w:tcW w:w="1789" w:type="dxa"/>
            <w:vMerge/>
          </w:tcPr>
          <w:p w14:paraId="0A8B0FB2" w14:textId="77777777" w:rsidR="00EB5A70" w:rsidRPr="00EB5A70" w:rsidRDefault="00EB5A70" w:rsidP="009C19EE">
            <w:pPr>
              <w:rPr>
                <w:sz w:val="20"/>
                <w:szCs w:val="20"/>
              </w:rPr>
            </w:pPr>
          </w:p>
        </w:tc>
        <w:tc>
          <w:tcPr>
            <w:tcW w:w="1789" w:type="dxa"/>
          </w:tcPr>
          <w:p w14:paraId="13E5D89D" w14:textId="77777777" w:rsidR="00EB5A70" w:rsidRPr="00EB5A70" w:rsidRDefault="00EB5A70" w:rsidP="009C19EE">
            <w:pPr>
              <w:rPr>
                <w:sz w:val="20"/>
                <w:szCs w:val="20"/>
              </w:rPr>
            </w:pPr>
            <w:r w:rsidRPr="00EB5A70">
              <w:rPr>
                <w:sz w:val="20"/>
                <w:szCs w:val="20"/>
              </w:rPr>
              <w:t xml:space="preserve">Difference </w:t>
            </w:r>
          </w:p>
        </w:tc>
        <w:tc>
          <w:tcPr>
            <w:tcW w:w="1789" w:type="dxa"/>
          </w:tcPr>
          <w:p w14:paraId="73B3B44E" w14:textId="77777777" w:rsidR="00EB5A70" w:rsidRPr="004E7661" w:rsidRDefault="004E7661" w:rsidP="00EB5A70">
            <w:pPr>
              <w:jc w:val="center"/>
              <w:rPr>
                <w:sz w:val="20"/>
                <w:szCs w:val="20"/>
                <w:highlight w:val="black"/>
              </w:rPr>
            </w:pPr>
            <w:r>
              <w:rPr>
                <w:noProof/>
                <w:color w:val="000000"/>
                <w:sz w:val="20"/>
                <w:szCs w:val="20"/>
                <w:highlight w:val="black"/>
              </w:rPr>
              <w:t>''''''''''</w:t>
            </w:r>
          </w:p>
        </w:tc>
        <w:tc>
          <w:tcPr>
            <w:tcW w:w="1790" w:type="dxa"/>
          </w:tcPr>
          <w:p w14:paraId="50191A28" w14:textId="77777777" w:rsidR="00EB5A70" w:rsidRPr="004E7661" w:rsidRDefault="004E7661" w:rsidP="00EB5A70">
            <w:pPr>
              <w:jc w:val="center"/>
              <w:rPr>
                <w:sz w:val="20"/>
                <w:szCs w:val="20"/>
                <w:highlight w:val="black"/>
              </w:rPr>
            </w:pPr>
            <w:r>
              <w:rPr>
                <w:noProof/>
                <w:color w:val="000000"/>
                <w:sz w:val="20"/>
                <w:szCs w:val="20"/>
                <w:highlight w:val="black"/>
              </w:rPr>
              <w:t>''''''''''</w:t>
            </w:r>
          </w:p>
        </w:tc>
        <w:tc>
          <w:tcPr>
            <w:tcW w:w="1790" w:type="dxa"/>
          </w:tcPr>
          <w:p w14:paraId="6E0D5A41" w14:textId="77777777" w:rsidR="00EB5A70" w:rsidRPr="004E7661" w:rsidRDefault="004E7661" w:rsidP="00EB5A70">
            <w:pPr>
              <w:jc w:val="center"/>
              <w:rPr>
                <w:sz w:val="20"/>
                <w:szCs w:val="20"/>
                <w:highlight w:val="black"/>
              </w:rPr>
            </w:pPr>
            <w:r>
              <w:rPr>
                <w:noProof/>
                <w:color w:val="000000"/>
                <w:sz w:val="20"/>
                <w:szCs w:val="20"/>
                <w:highlight w:val="black"/>
              </w:rPr>
              <w:t>'''''''</w:t>
            </w:r>
          </w:p>
        </w:tc>
      </w:tr>
      <w:tr w:rsidR="00EB5A70" w:rsidRPr="00EB5A70" w14:paraId="1B4251B6" w14:textId="77777777" w:rsidTr="00EB5A70">
        <w:tc>
          <w:tcPr>
            <w:tcW w:w="1789" w:type="dxa"/>
            <w:vMerge w:val="restart"/>
          </w:tcPr>
          <w:p w14:paraId="385CC56F" w14:textId="77777777" w:rsidR="00EB5A70" w:rsidRPr="00EB5A70" w:rsidRDefault="00EB5A70" w:rsidP="009C19EE">
            <w:pPr>
              <w:rPr>
                <w:sz w:val="20"/>
                <w:szCs w:val="20"/>
              </w:rPr>
            </w:pPr>
            <w:r w:rsidRPr="00EB5A70">
              <w:rPr>
                <w:sz w:val="20"/>
                <w:szCs w:val="20"/>
              </w:rPr>
              <w:t xml:space="preserve">Prescriptions </w:t>
            </w:r>
          </w:p>
        </w:tc>
        <w:tc>
          <w:tcPr>
            <w:tcW w:w="1789" w:type="dxa"/>
          </w:tcPr>
          <w:p w14:paraId="5A0F122F" w14:textId="77777777" w:rsidR="00EB5A70" w:rsidRPr="00EB5A70" w:rsidRDefault="00EB5A70" w:rsidP="009C19EE">
            <w:pPr>
              <w:rPr>
                <w:sz w:val="20"/>
                <w:szCs w:val="20"/>
              </w:rPr>
            </w:pPr>
            <w:r w:rsidRPr="00EB5A70">
              <w:rPr>
                <w:sz w:val="20"/>
                <w:szCs w:val="20"/>
              </w:rPr>
              <w:t xml:space="preserve">Predicted </w:t>
            </w:r>
          </w:p>
        </w:tc>
        <w:tc>
          <w:tcPr>
            <w:tcW w:w="1789" w:type="dxa"/>
          </w:tcPr>
          <w:p w14:paraId="0F396D45" w14:textId="77777777" w:rsidR="00EB5A70" w:rsidRPr="004E7661" w:rsidRDefault="004E7661" w:rsidP="00EB5A70">
            <w:pPr>
              <w:jc w:val="center"/>
              <w:rPr>
                <w:sz w:val="20"/>
                <w:szCs w:val="20"/>
                <w:highlight w:val="black"/>
              </w:rPr>
            </w:pPr>
            <w:r>
              <w:rPr>
                <w:noProof/>
                <w:color w:val="000000"/>
                <w:sz w:val="20"/>
                <w:szCs w:val="20"/>
                <w:highlight w:val="black"/>
              </w:rPr>
              <w:t>'''''''</w:t>
            </w:r>
          </w:p>
        </w:tc>
        <w:tc>
          <w:tcPr>
            <w:tcW w:w="1790" w:type="dxa"/>
          </w:tcPr>
          <w:p w14:paraId="29219B87" w14:textId="77777777" w:rsidR="00EB5A70" w:rsidRPr="004E7661" w:rsidRDefault="004E7661" w:rsidP="00EB5A70">
            <w:pPr>
              <w:jc w:val="center"/>
              <w:rPr>
                <w:sz w:val="20"/>
                <w:szCs w:val="20"/>
                <w:highlight w:val="black"/>
              </w:rPr>
            </w:pPr>
            <w:r>
              <w:rPr>
                <w:noProof/>
                <w:color w:val="000000"/>
                <w:sz w:val="20"/>
                <w:szCs w:val="20"/>
                <w:highlight w:val="black"/>
              </w:rPr>
              <w:t>'''''''</w:t>
            </w:r>
          </w:p>
        </w:tc>
        <w:tc>
          <w:tcPr>
            <w:tcW w:w="1790" w:type="dxa"/>
          </w:tcPr>
          <w:p w14:paraId="09584B02" w14:textId="77777777" w:rsidR="00EB5A70" w:rsidRPr="004E7661" w:rsidRDefault="004E7661" w:rsidP="00EB5A70">
            <w:pPr>
              <w:jc w:val="center"/>
              <w:rPr>
                <w:sz w:val="20"/>
                <w:szCs w:val="20"/>
                <w:highlight w:val="black"/>
              </w:rPr>
            </w:pPr>
            <w:r>
              <w:rPr>
                <w:noProof/>
                <w:color w:val="000000"/>
                <w:sz w:val="20"/>
                <w:szCs w:val="20"/>
                <w:highlight w:val="black"/>
              </w:rPr>
              <w:t>''''''''</w:t>
            </w:r>
          </w:p>
        </w:tc>
      </w:tr>
      <w:tr w:rsidR="00EB5A70" w:rsidRPr="00EB5A70" w14:paraId="2FAEDA7A" w14:textId="77777777" w:rsidTr="00EB5A70">
        <w:tc>
          <w:tcPr>
            <w:tcW w:w="1789" w:type="dxa"/>
            <w:vMerge/>
          </w:tcPr>
          <w:p w14:paraId="5A457F9E" w14:textId="77777777" w:rsidR="00EB5A70" w:rsidRPr="00EB5A70" w:rsidRDefault="00EB5A70" w:rsidP="009C19EE">
            <w:pPr>
              <w:rPr>
                <w:sz w:val="20"/>
                <w:szCs w:val="20"/>
              </w:rPr>
            </w:pPr>
          </w:p>
        </w:tc>
        <w:tc>
          <w:tcPr>
            <w:tcW w:w="1789" w:type="dxa"/>
          </w:tcPr>
          <w:p w14:paraId="373DBBB2" w14:textId="77777777" w:rsidR="00EB5A70" w:rsidRPr="00EB5A70" w:rsidRDefault="00EB5A70" w:rsidP="009C19EE">
            <w:pPr>
              <w:rPr>
                <w:sz w:val="20"/>
                <w:szCs w:val="20"/>
              </w:rPr>
            </w:pPr>
            <w:r w:rsidRPr="00EB5A70">
              <w:rPr>
                <w:sz w:val="20"/>
                <w:szCs w:val="20"/>
              </w:rPr>
              <w:t xml:space="preserve">Actual </w:t>
            </w:r>
          </w:p>
        </w:tc>
        <w:tc>
          <w:tcPr>
            <w:tcW w:w="1789" w:type="dxa"/>
          </w:tcPr>
          <w:p w14:paraId="565679B3" w14:textId="77777777" w:rsidR="00EB5A70" w:rsidRPr="00EB5A70" w:rsidRDefault="00EB5A70" w:rsidP="00EB5A70">
            <w:pPr>
              <w:jc w:val="center"/>
              <w:rPr>
                <w:sz w:val="20"/>
                <w:szCs w:val="20"/>
              </w:rPr>
            </w:pPr>
            <w:r w:rsidRPr="00EB5A70">
              <w:rPr>
                <w:sz w:val="20"/>
                <w:szCs w:val="20"/>
              </w:rPr>
              <w:t>591</w:t>
            </w:r>
          </w:p>
        </w:tc>
        <w:tc>
          <w:tcPr>
            <w:tcW w:w="1790" w:type="dxa"/>
          </w:tcPr>
          <w:p w14:paraId="4E87A04B" w14:textId="77777777" w:rsidR="00EB5A70" w:rsidRPr="00EB5A70" w:rsidRDefault="00EB5A70" w:rsidP="00EB5A70">
            <w:pPr>
              <w:jc w:val="center"/>
              <w:rPr>
                <w:sz w:val="20"/>
                <w:szCs w:val="20"/>
              </w:rPr>
            </w:pPr>
            <w:r w:rsidRPr="00EB5A70">
              <w:rPr>
                <w:sz w:val="20"/>
                <w:szCs w:val="20"/>
              </w:rPr>
              <w:t>514</w:t>
            </w:r>
          </w:p>
        </w:tc>
        <w:tc>
          <w:tcPr>
            <w:tcW w:w="1790" w:type="dxa"/>
          </w:tcPr>
          <w:p w14:paraId="441D3609" w14:textId="77777777" w:rsidR="00EB5A70" w:rsidRPr="00EB5A70" w:rsidRDefault="00EB5A70" w:rsidP="00EB5A70">
            <w:pPr>
              <w:jc w:val="center"/>
              <w:rPr>
                <w:sz w:val="20"/>
                <w:szCs w:val="20"/>
              </w:rPr>
            </w:pPr>
            <w:r w:rsidRPr="00EB5A70">
              <w:rPr>
                <w:sz w:val="20"/>
                <w:szCs w:val="20"/>
              </w:rPr>
              <w:t>164</w:t>
            </w:r>
          </w:p>
        </w:tc>
      </w:tr>
      <w:tr w:rsidR="00EB5A70" w:rsidRPr="00EB5A70" w14:paraId="6A7A075C" w14:textId="77777777" w:rsidTr="00EB5A70">
        <w:tc>
          <w:tcPr>
            <w:tcW w:w="1789" w:type="dxa"/>
            <w:vMerge/>
          </w:tcPr>
          <w:p w14:paraId="620040AD" w14:textId="77777777" w:rsidR="00EB5A70" w:rsidRPr="00EB5A70" w:rsidRDefault="00EB5A70" w:rsidP="009C19EE">
            <w:pPr>
              <w:rPr>
                <w:sz w:val="20"/>
                <w:szCs w:val="20"/>
              </w:rPr>
            </w:pPr>
          </w:p>
        </w:tc>
        <w:tc>
          <w:tcPr>
            <w:tcW w:w="1789" w:type="dxa"/>
          </w:tcPr>
          <w:p w14:paraId="3EBE1C31" w14:textId="77777777" w:rsidR="00EB5A70" w:rsidRPr="00EB5A70" w:rsidRDefault="00EB5A70" w:rsidP="009C19EE">
            <w:pPr>
              <w:rPr>
                <w:sz w:val="20"/>
                <w:szCs w:val="20"/>
              </w:rPr>
            </w:pPr>
            <w:r w:rsidRPr="00EB5A70">
              <w:rPr>
                <w:sz w:val="20"/>
                <w:szCs w:val="20"/>
              </w:rPr>
              <w:t xml:space="preserve">Difference </w:t>
            </w:r>
          </w:p>
        </w:tc>
        <w:tc>
          <w:tcPr>
            <w:tcW w:w="1789" w:type="dxa"/>
          </w:tcPr>
          <w:p w14:paraId="1E4C5A7F" w14:textId="77777777" w:rsidR="00EB5A70" w:rsidRPr="004E7661" w:rsidRDefault="004E7661" w:rsidP="00EB5A70">
            <w:pPr>
              <w:jc w:val="center"/>
              <w:rPr>
                <w:sz w:val="20"/>
                <w:szCs w:val="20"/>
                <w:highlight w:val="black"/>
              </w:rPr>
            </w:pPr>
            <w:r>
              <w:rPr>
                <w:noProof/>
                <w:color w:val="000000"/>
                <w:sz w:val="20"/>
                <w:szCs w:val="20"/>
                <w:highlight w:val="black"/>
              </w:rPr>
              <w:t>'''''''''''</w:t>
            </w:r>
          </w:p>
        </w:tc>
        <w:tc>
          <w:tcPr>
            <w:tcW w:w="1790" w:type="dxa"/>
          </w:tcPr>
          <w:p w14:paraId="723873AE" w14:textId="77777777" w:rsidR="00EB5A70" w:rsidRPr="004E7661" w:rsidRDefault="004E7661" w:rsidP="00EB5A70">
            <w:pPr>
              <w:jc w:val="center"/>
              <w:rPr>
                <w:sz w:val="20"/>
                <w:szCs w:val="20"/>
                <w:highlight w:val="black"/>
              </w:rPr>
            </w:pPr>
            <w:r>
              <w:rPr>
                <w:noProof/>
                <w:color w:val="000000"/>
                <w:sz w:val="20"/>
                <w:szCs w:val="20"/>
                <w:highlight w:val="black"/>
              </w:rPr>
              <w:t>''''''''''''</w:t>
            </w:r>
          </w:p>
        </w:tc>
        <w:tc>
          <w:tcPr>
            <w:tcW w:w="1790" w:type="dxa"/>
          </w:tcPr>
          <w:p w14:paraId="7ABAC73A" w14:textId="77777777" w:rsidR="00EB5A70" w:rsidRPr="004E7661" w:rsidRDefault="004E7661" w:rsidP="00EB5A70">
            <w:pPr>
              <w:jc w:val="center"/>
              <w:rPr>
                <w:sz w:val="20"/>
                <w:szCs w:val="20"/>
                <w:highlight w:val="black"/>
              </w:rPr>
            </w:pPr>
            <w:r>
              <w:rPr>
                <w:noProof/>
                <w:color w:val="000000"/>
                <w:sz w:val="20"/>
                <w:szCs w:val="20"/>
                <w:highlight w:val="black"/>
              </w:rPr>
              <w:t>'''''''''</w:t>
            </w:r>
          </w:p>
        </w:tc>
      </w:tr>
    </w:tbl>
    <w:p w14:paraId="66794809" w14:textId="77777777" w:rsidR="00EB5A70" w:rsidRDefault="00EB5A70" w:rsidP="009C19EE">
      <w:r w:rsidRPr="00877054">
        <w:rPr>
          <w:sz w:val="20"/>
        </w:rPr>
        <w:t xml:space="preserve">Note: Year 3 predicted numbers are for the full year, actual numbers are four months of data (June 2020 to September 2020 inclusive).  </w:t>
      </w:r>
    </w:p>
    <w:p w14:paraId="55CD6586" w14:textId="77777777" w:rsidR="00980544" w:rsidRDefault="00534912" w:rsidP="009C19EE">
      <w:r>
        <w:t>From Table 6</w:t>
      </w:r>
      <w:r w:rsidR="00980544">
        <w:t>, actual patient and prescription figures were higher than estimated</w:t>
      </w:r>
      <w:r w:rsidR="006F3FF2">
        <w:t xml:space="preserve"> in</w:t>
      </w:r>
      <w:r w:rsidR="00980544">
        <w:t xml:space="preserve"> listing Years 1 and 2. The number of patients in the first and second year of nusinersen listing was </w:t>
      </w:r>
      <w:r w:rsidR="004E7661">
        <w:rPr>
          <w:noProof/>
          <w:color w:val="000000"/>
          <w:highlight w:val="black"/>
        </w:rPr>
        <w:t>''''''''''''' ''''' '''''''' '''''''' '''''''''' ''''''''''''''''''''''</w:t>
      </w:r>
      <w:r w:rsidR="00980544">
        <w:t>. The actual patient numbers for Year 3 were</w:t>
      </w:r>
      <w:r w:rsidR="00F42CAE">
        <w:t xml:space="preserve"> </w:t>
      </w:r>
      <w:r w:rsidR="004E7661">
        <w:rPr>
          <w:noProof/>
          <w:color w:val="000000"/>
          <w:highlight w:val="black"/>
        </w:rPr>
        <w:t>'''''' '''''''</w:t>
      </w:r>
      <w:r w:rsidR="00980544">
        <w:t xml:space="preserve"> than predicted. However, the actual patient numbers for Year 3 only comprise of four months of data. </w:t>
      </w:r>
    </w:p>
    <w:p w14:paraId="43BCA0DE" w14:textId="77777777" w:rsidR="00980544" w:rsidRDefault="00980544" w:rsidP="001E6A32">
      <w:r>
        <w:t>The actual number of nusinersen prescriptions dispensed were</w:t>
      </w:r>
      <w:r w:rsidR="00F42CAE">
        <w:t xml:space="preserve"> </w:t>
      </w:r>
      <w:r w:rsidR="004E7661">
        <w:rPr>
          <w:noProof/>
          <w:color w:val="000000"/>
          <w:highlight w:val="black"/>
        </w:rPr>
        <w:t>'''''''' '''''''''''''</w:t>
      </w:r>
      <w:r>
        <w:t xml:space="preserve"> than estimated in the first year. In its second year, the actual number of nus</w:t>
      </w:r>
      <w:r w:rsidR="001E6A32">
        <w:t xml:space="preserve">inersen prescriptions dispensed </w:t>
      </w:r>
      <w:r>
        <w:t>were</w:t>
      </w:r>
      <w:r w:rsidR="00F42CAE">
        <w:t xml:space="preserve"> </w:t>
      </w:r>
      <w:r w:rsidR="004E7661">
        <w:rPr>
          <w:noProof/>
          <w:color w:val="000000"/>
          <w:highlight w:val="black"/>
        </w:rPr>
        <w:t>''''''''' ''''''''''''</w:t>
      </w:r>
      <w:r>
        <w:t xml:space="preserve"> than estimated. With four months o</w:t>
      </w:r>
      <w:r w:rsidR="00821F0A">
        <w:t xml:space="preserve">f data in Year 3, the number of </w:t>
      </w:r>
      <w:r>
        <w:t>actual prescriptions dispensed was</w:t>
      </w:r>
      <w:r w:rsidR="00F42CAE">
        <w:t xml:space="preserve"> </w:t>
      </w:r>
      <w:r w:rsidR="004E7661">
        <w:rPr>
          <w:noProof/>
          <w:color w:val="000000"/>
          <w:highlight w:val="black"/>
        </w:rPr>
        <w:t>''''''''' ''''''''''''</w:t>
      </w:r>
      <w:r>
        <w:t xml:space="preserve"> than estimated for the full year of listing.</w:t>
      </w:r>
    </w:p>
    <w:p w14:paraId="367440A9" w14:textId="77777777" w:rsidR="00980544" w:rsidRDefault="00980544" w:rsidP="009C19EE">
      <w:r>
        <w:t>Ov</w:t>
      </w:r>
      <w:r w:rsidR="00844405">
        <w:t>erall, there was a</w:t>
      </w:r>
      <w:r w:rsidR="006D3C89">
        <w:rPr>
          <w:noProof/>
          <w:color w:val="000000"/>
          <w:highlight w:val="black"/>
        </w:rPr>
        <w:t xml:space="preserve"> '''''''''''''' '''''''''''''' </w:t>
      </w:r>
      <w:r w:rsidR="00844405">
        <w:t xml:space="preserve">in the number of patients and prescriptions observed in Year 1 than estimated compared to subsequent years. </w:t>
      </w:r>
    </w:p>
    <w:p w14:paraId="24E16F55" w14:textId="77777777" w:rsidR="00962E47" w:rsidRPr="00980544" w:rsidRDefault="00801CF0" w:rsidP="009C19EE">
      <w:r>
        <w:t>It was estimated that</w:t>
      </w:r>
      <w:r w:rsidR="00F42CAE">
        <w:t xml:space="preserve"> </w:t>
      </w:r>
      <w:r w:rsidR="004E7661">
        <w:rPr>
          <w:noProof/>
          <w:color w:val="000000"/>
          <w:highlight w:val="black"/>
        </w:rPr>
        <w:t>'''''</w:t>
      </w:r>
      <w:r w:rsidR="00962E47">
        <w:t xml:space="preserve"> patients </w:t>
      </w:r>
      <w:r>
        <w:t>would</w:t>
      </w:r>
      <w:r w:rsidR="00962E47">
        <w:t xml:space="preserve"> be grandfathered from the sponsor’s expanded access program. </w:t>
      </w:r>
      <w:r w:rsidR="000B5E1B">
        <w:t xml:space="preserve">Based on the grandfathered treatment item codes (11370K and 11470Q) that were </w:t>
      </w:r>
      <w:r w:rsidR="000F2FD2">
        <w:t>listed on</w:t>
      </w:r>
      <w:r w:rsidR="000B5E1B">
        <w:t xml:space="preserve"> the PBS until 29 February 2020, 47 patients </w:t>
      </w:r>
      <w:r w:rsidR="000F2FD2">
        <w:t xml:space="preserve">were </w:t>
      </w:r>
      <w:r w:rsidR="000B5E1B">
        <w:t>grandfathered from the sponsor’s expanded access program which was</w:t>
      </w:r>
      <w:r w:rsidR="00F42CAE">
        <w:t xml:space="preserve"> </w:t>
      </w:r>
      <w:r w:rsidR="004E7661">
        <w:rPr>
          <w:noProof/>
          <w:color w:val="000000"/>
          <w:highlight w:val="black"/>
        </w:rPr>
        <w:t>''''''''' ''''''''''''</w:t>
      </w:r>
      <w:r w:rsidR="000B5E1B">
        <w:t xml:space="preserve"> than estimated</w:t>
      </w:r>
      <w:r w:rsidR="00962E47">
        <w:t xml:space="preserve">. </w:t>
      </w:r>
      <w:r w:rsidR="004E7661">
        <w:rPr>
          <w:noProof/>
          <w:color w:val="000000"/>
          <w:highlight w:val="black"/>
        </w:rPr>
        <w:t xml:space="preserve">''''''' ''''''''''''''' ''''''''' ''''''''''''''''''' ''''''''''''' ''''''' '''''''''''''''''''''''' ''''''''''''''''' '''' '''''''' ''' ''''''''''''''''''' ''''' '''''''''''''''''''''' '''''''''' ''''''' ''''' '''''''' ''''' '''''' '''''''''''''''''''''''''''''' '''''''''''''''''''''''''''' '''''''''''''''' </w:t>
      </w:r>
    </w:p>
    <w:p w14:paraId="7778E4D8" w14:textId="77777777" w:rsidR="00E90DB0" w:rsidRPr="006755EE" w:rsidRDefault="0017444F">
      <w:pPr>
        <w:spacing w:line="276" w:lineRule="auto"/>
        <w:rPr>
          <w:rFonts w:eastAsiaTheme="majorEastAsia" w:cstheme="majorBidi"/>
          <w:b/>
          <w:bCs/>
          <w:sz w:val="32"/>
          <w:szCs w:val="32"/>
          <w:u w:val="single"/>
        </w:rPr>
      </w:pPr>
      <w:r w:rsidRPr="006755EE">
        <w:rPr>
          <w:b/>
          <w:u w:val="single"/>
        </w:rPr>
        <w:t>End committee-in-confidence</w:t>
      </w:r>
      <w:r w:rsidR="00E90DB0" w:rsidRPr="006755EE">
        <w:rPr>
          <w:b/>
          <w:u w:val="single"/>
        </w:rPr>
        <w:br w:type="page"/>
      </w:r>
    </w:p>
    <w:p w14:paraId="73F031EB" w14:textId="77777777" w:rsidR="00591512" w:rsidRDefault="00AB3733" w:rsidP="00F73113">
      <w:pPr>
        <w:pStyle w:val="Heading1"/>
      </w:pPr>
      <w:r>
        <w:lastRenderedPageBreak/>
        <w:t>D</w:t>
      </w:r>
      <w:r w:rsidR="007346C7" w:rsidRPr="005E22C2">
        <w:t>iscussion</w:t>
      </w:r>
    </w:p>
    <w:p w14:paraId="60B80386" w14:textId="77777777" w:rsidR="000B5E1B" w:rsidRDefault="0010383E" w:rsidP="00F1132C">
      <w:r>
        <w:t xml:space="preserve">In the first year of listing, </w:t>
      </w:r>
      <w:r w:rsidR="007F6737">
        <w:t xml:space="preserve">the number of </w:t>
      </w:r>
      <w:r>
        <w:t>patient</w:t>
      </w:r>
      <w:r w:rsidR="007F6737">
        <w:t>s</w:t>
      </w:r>
      <w:r>
        <w:t xml:space="preserve"> </w:t>
      </w:r>
      <w:r w:rsidR="007F6737">
        <w:t>supplied nusinersen was</w:t>
      </w:r>
      <w:r w:rsidR="00EB7AF5">
        <w:t xml:space="preserve"> </w:t>
      </w:r>
      <w:r w:rsidR="004E7661">
        <w:rPr>
          <w:noProof/>
          <w:color w:val="000000"/>
          <w:highlight w:val="black"/>
        </w:rPr>
        <w:t>''''''''</w:t>
      </w:r>
      <w:r>
        <w:t xml:space="preserve"> higher than estimated and the number of prescriptions were</w:t>
      </w:r>
      <w:r w:rsidR="00EB7AF5">
        <w:t xml:space="preserve"> </w:t>
      </w:r>
      <w:r w:rsidR="004E7661">
        <w:rPr>
          <w:noProof/>
          <w:color w:val="000000"/>
          <w:highlight w:val="black"/>
        </w:rPr>
        <w:t>''''''''</w:t>
      </w:r>
      <w:r>
        <w:t xml:space="preserve"> higher than estimated. </w:t>
      </w:r>
      <w:r w:rsidR="003915E0">
        <w:t xml:space="preserve">There was a greater increase in the number of prescriptions supplied compared to the number of patients </w:t>
      </w:r>
      <w:r w:rsidR="007F6737">
        <w:t xml:space="preserve">supplied </w:t>
      </w:r>
      <w:r w:rsidR="003915E0">
        <w:t xml:space="preserve">nusinersen treatment, indicating patients are being dispensed more scripts than estimated. </w:t>
      </w:r>
      <w:r>
        <w:t xml:space="preserve">In the second year of listing, </w:t>
      </w:r>
      <w:r w:rsidR="007F6737">
        <w:t xml:space="preserve">the number of treated </w:t>
      </w:r>
      <w:r>
        <w:t>patient</w:t>
      </w:r>
      <w:r w:rsidR="007F6737">
        <w:t>s</w:t>
      </w:r>
      <w:r>
        <w:t xml:space="preserve"> were </w:t>
      </w:r>
      <w:r w:rsidR="004E7661">
        <w:rPr>
          <w:noProof/>
          <w:color w:val="000000"/>
          <w:highlight w:val="black"/>
        </w:rPr>
        <w:t>'''''''</w:t>
      </w:r>
      <w:r w:rsidR="00EB7AF5">
        <w:t xml:space="preserve"> </w:t>
      </w:r>
      <w:r>
        <w:t>higher than estimated and the number of prescriptions were</w:t>
      </w:r>
      <w:r w:rsidR="00EB7AF5">
        <w:t xml:space="preserve"> </w:t>
      </w:r>
      <w:r w:rsidR="004E7661">
        <w:rPr>
          <w:noProof/>
          <w:color w:val="000000"/>
          <w:highlight w:val="black"/>
        </w:rPr>
        <w:t>''''''''</w:t>
      </w:r>
      <w:r>
        <w:t xml:space="preserve"> higher than estimated. </w:t>
      </w:r>
      <w:r w:rsidR="007F6737">
        <w:t>At the time of analysis, t</w:t>
      </w:r>
      <w:r>
        <w:t xml:space="preserve">here </w:t>
      </w:r>
      <w:r w:rsidR="007F6737">
        <w:t>wa</w:t>
      </w:r>
      <w:r>
        <w:t>s only four months of data</w:t>
      </w:r>
      <w:r w:rsidR="007F6737">
        <w:t xml:space="preserve"> available for the </w:t>
      </w:r>
      <w:r>
        <w:t>third year of listing</w:t>
      </w:r>
      <w:r w:rsidR="00327C47">
        <w:t>. P</w:t>
      </w:r>
      <w:r>
        <w:t>atient numbers are currently</w:t>
      </w:r>
      <w:r w:rsidR="00EB7AF5">
        <w:t xml:space="preserve"> </w:t>
      </w:r>
      <w:r w:rsidR="004E7661">
        <w:rPr>
          <w:noProof/>
          <w:color w:val="000000"/>
          <w:highlight w:val="black"/>
        </w:rPr>
        <w:t>''''''</w:t>
      </w:r>
      <w:r>
        <w:t xml:space="preserve"> lower and prescriptions</w:t>
      </w:r>
      <w:r w:rsidR="00EB7AF5">
        <w:t xml:space="preserve"> </w:t>
      </w:r>
      <w:r w:rsidR="004E7661">
        <w:rPr>
          <w:noProof/>
          <w:color w:val="000000"/>
          <w:highlight w:val="black"/>
        </w:rPr>
        <w:t>''''''''</w:t>
      </w:r>
      <w:r>
        <w:t xml:space="preserve"> lower than was estimated for the full year. </w:t>
      </w:r>
    </w:p>
    <w:p w14:paraId="0E6C0EF7" w14:textId="77777777" w:rsidR="006F3FF2" w:rsidRDefault="006F3FF2" w:rsidP="00F1132C">
      <w:r>
        <w:t xml:space="preserve">At its March 2018 meeting, the PBAC considered </w:t>
      </w:r>
      <w:r w:rsidR="00C16470">
        <w:t xml:space="preserve">uptake rates may not reach 100% and the </w:t>
      </w:r>
      <w:r>
        <w:t xml:space="preserve">estimated uptake rates provided in the November 2017 </w:t>
      </w:r>
      <w:r w:rsidR="00C16470">
        <w:t>submission</w:t>
      </w:r>
      <w:r>
        <w:t xml:space="preserve"> </w:t>
      </w:r>
      <w:r w:rsidR="005B1291">
        <w:t>(</w:t>
      </w:r>
      <w:r w:rsidR="004F63C2">
        <w:t>Type I , II and III patients to be 80%, 100% and 80% respectively)</w:t>
      </w:r>
      <w:r w:rsidR="005B1291">
        <w:t xml:space="preserve"> </w:t>
      </w:r>
      <w:r>
        <w:t>to be reasonable</w:t>
      </w:r>
      <w:r w:rsidR="004F63C2">
        <w:t xml:space="preserve"> (paragraph 5.59 nusinersen Public Summary Document March 2018) </w:t>
      </w:r>
      <w:r>
        <w:t xml:space="preserve">. </w:t>
      </w:r>
      <w:r w:rsidR="00C16470">
        <w:t xml:space="preserve">Higher than estimated uptake rates may have contributed to the greater number of patients receiving nusinersen treatment in practice. </w:t>
      </w:r>
    </w:p>
    <w:p w14:paraId="6286C0B1" w14:textId="77777777" w:rsidR="00557718" w:rsidRPr="00557718" w:rsidRDefault="00557718" w:rsidP="00F1132C">
      <w:r>
        <w:t xml:space="preserve">The incidence of SMA in Australia is </w:t>
      </w:r>
      <w:r w:rsidR="00C42AEA">
        <w:t xml:space="preserve">estimated to be </w:t>
      </w:r>
      <w:r>
        <w:t>one in 10,000 live births.</w:t>
      </w:r>
      <w:r w:rsidR="00FD0D9A" w:rsidRPr="00FD0D9A">
        <w:rPr>
          <w:vertAlign w:val="superscript"/>
        </w:rPr>
        <w:t>2</w:t>
      </w:r>
      <w:r w:rsidR="00FD0D9A">
        <w:t xml:space="preserve"> </w:t>
      </w:r>
      <w:r w:rsidR="000066B8">
        <w:t xml:space="preserve">In 2019, there were 305,832 registered </w:t>
      </w:r>
      <w:r>
        <w:t>births.</w:t>
      </w:r>
      <w:r>
        <w:rPr>
          <w:rStyle w:val="FootnoteReference"/>
        </w:rPr>
        <w:footnoteReference w:id="11"/>
      </w:r>
      <w:r>
        <w:t xml:space="preserve"> Therefore, the </w:t>
      </w:r>
      <w:r w:rsidR="00F4748D">
        <w:t xml:space="preserve">estimated </w:t>
      </w:r>
      <w:r w:rsidRPr="000066B8">
        <w:t>incidence</w:t>
      </w:r>
      <w:r w:rsidR="00F4748D">
        <w:t xml:space="preserve"> in 2019</w:t>
      </w:r>
      <w:r w:rsidRPr="000066B8">
        <w:t xml:space="preserve"> would be </w:t>
      </w:r>
      <w:r w:rsidR="000066B8">
        <w:t>31</w:t>
      </w:r>
      <w:r w:rsidRPr="000066B8">
        <w:t xml:space="preserve"> (1/10,000 </w:t>
      </w:r>
      <w:r w:rsidR="000066B8">
        <w:rPr>
          <w:rFonts w:cstheme="minorHAnsi"/>
        </w:rPr>
        <w:t>×</w:t>
      </w:r>
      <w:r w:rsidR="000066B8">
        <w:t xml:space="preserve"> </w:t>
      </w:r>
      <w:r w:rsidR="00E90DB0">
        <w:t>305,</w:t>
      </w:r>
      <w:r w:rsidR="000066B8" w:rsidRPr="000066B8">
        <w:t>832 registered births</w:t>
      </w:r>
      <w:r w:rsidRPr="000066B8">
        <w:t xml:space="preserve">). </w:t>
      </w:r>
      <w:r>
        <w:t>In 2019, 34 patients initi</w:t>
      </w:r>
      <w:r w:rsidR="000066B8">
        <w:t xml:space="preserve">ated treatment with nusinersen, which was slightly higher than the calculated incidence. </w:t>
      </w:r>
    </w:p>
    <w:p w14:paraId="669B3185" w14:textId="77777777" w:rsidR="00C654FE" w:rsidRDefault="00565BEC" w:rsidP="00F1132C">
      <w:r>
        <w:t xml:space="preserve">The mean age of patients initiating nusinersen treatment </w:t>
      </w:r>
      <w:r w:rsidR="00E81696">
        <w:t xml:space="preserve">in practice </w:t>
      </w:r>
      <w:r>
        <w:t xml:space="preserve">was </w:t>
      </w:r>
      <w:r w:rsidR="00E81696">
        <w:t xml:space="preserve">7.5 years, ranging from 0 to 43 years. </w:t>
      </w:r>
      <w:r w:rsidR="00C654FE">
        <w:t>In the ENDEAR trial referred to in the submission</w:t>
      </w:r>
      <w:r w:rsidR="006B561C">
        <w:t xml:space="preserve"> for infantile-onset SMA</w:t>
      </w:r>
      <w:r w:rsidR="00C654FE">
        <w:t xml:space="preserve">, </w:t>
      </w:r>
      <w:r w:rsidR="009D620B">
        <w:t>patients initiating nusinersen treatment</w:t>
      </w:r>
      <w:r w:rsidR="00C654FE">
        <w:t xml:space="preserve"> w</w:t>
      </w:r>
      <w:r w:rsidR="00E81696">
        <w:t xml:space="preserve">ere </w:t>
      </w:r>
      <w:r w:rsidR="00C654FE">
        <w:t>younger.</w:t>
      </w:r>
      <w:r w:rsidR="00C654FE">
        <w:rPr>
          <w:rStyle w:val="FootnoteReference"/>
        </w:rPr>
        <w:footnoteReference w:id="12"/>
      </w:r>
      <w:r w:rsidR="006B561C">
        <w:t xml:space="preserve"> </w:t>
      </w:r>
      <w:r w:rsidR="00C654FE">
        <w:t>The mean age of initiating patients in the trial was 163 days</w:t>
      </w:r>
      <w:r w:rsidR="009D620B">
        <w:t xml:space="preserve"> (approximately 0.45 years)</w:t>
      </w:r>
      <w:r w:rsidR="00C654FE">
        <w:t>, ranging from 52 to 242 days</w:t>
      </w:r>
      <w:r w:rsidR="009D620B">
        <w:t xml:space="preserve"> (</w:t>
      </w:r>
      <w:r w:rsidR="00FD45D0">
        <w:t xml:space="preserve">approximately </w:t>
      </w:r>
      <w:r w:rsidR="009D620B">
        <w:t>0.14 to 0.66 years)</w:t>
      </w:r>
      <w:r w:rsidR="00C654FE">
        <w:t xml:space="preserve">. </w:t>
      </w:r>
      <w:r w:rsidR="00700A10">
        <w:t>Additionally, the submission had referred to the CHERISH trial for childhood-onset SMA, where 83% of patients were less than 6 years old.</w:t>
      </w:r>
      <w:r w:rsidR="00700A10">
        <w:rPr>
          <w:rStyle w:val="FootnoteReference"/>
        </w:rPr>
        <w:footnoteReference w:id="13"/>
      </w:r>
      <w:r w:rsidR="00700A10">
        <w:t xml:space="preserve"> </w:t>
      </w:r>
      <w:r w:rsidR="005B1291">
        <w:t>As such, the PBS population is older than the trial populations previously considered by the PBAC.</w:t>
      </w:r>
    </w:p>
    <w:p w14:paraId="6AC7B8BE" w14:textId="77777777" w:rsidR="00643775" w:rsidRDefault="00FD45D0" w:rsidP="00F1132C">
      <w:r>
        <w:t>The l</w:t>
      </w:r>
      <w:r w:rsidR="00643775">
        <w:t>isting of nusinersen on the PBS was extended to include Section 100 Highly Specialised Drugs Program Private Hospitals in Nov</w:t>
      </w:r>
      <w:r>
        <w:t>ember 2018. B</w:t>
      </w:r>
      <w:r w:rsidR="00E90DB0">
        <w:t xml:space="preserve">ased on </w:t>
      </w:r>
      <w:r>
        <w:t xml:space="preserve">the </w:t>
      </w:r>
      <w:r w:rsidR="00E90DB0">
        <w:t>item codes</w:t>
      </w:r>
      <w:r>
        <w:t xml:space="preserve"> relevant to the Private Hospitals program,</w:t>
      </w:r>
      <w:r w:rsidR="00643775">
        <w:t xml:space="preserve"> no patients </w:t>
      </w:r>
      <w:r w:rsidR="00F670C6">
        <w:t xml:space="preserve">have been </w:t>
      </w:r>
      <w:r w:rsidR="00643775">
        <w:t xml:space="preserve">prescribed nusinersen under this program. </w:t>
      </w:r>
      <w:r w:rsidR="001431DB">
        <w:t xml:space="preserve">This may be </w:t>
      </w:r>
      <w:r w:rsidR="00F670C6">
        <w:t xml:space="preserve">because </w:t>
      </w:r>
      <w:r w:rsidR="001431DB">
        <w:t xml:space="preserve">specialist neuromuscular clinics and clinicians with expertise in </w:t>
      </w:r>
      <w:r w:rsidR="00F93186">
        <w:t xml:space="preserve">treating patients with SMA are located in </w:t>
      </w:r>
      <w:r w:rsidR="001431DB">
        <w:t>public hospitals (para</w:t>
      </w:r>
      <w:r w:rsidR="00206364">
        <w:t>graph 2.2 nusinersen Public Summary Document July 2018)</w:t>
      </w:r>
      <w:r w:rsidR="001431DB">
        <w:t>.</w:t>
      </w:r>
      <w:r w:rsidR="00E90DB0">
        <w:t xml:space="preserve"> However, it may </w:t>
      </w:r>
      <w:r w:rsidR="004E1C22">
        <w:t xml:space="preserve">have </w:t>
      </w:r>
      <w:r w:rsidR="00E90DB0">
        <w:t>be</w:t>
      </w:r>
      <w:r w:rsidR="004E1C22">
        <w:t>en</w:t>
      </w:r>
      <w:r w:rsidR="00E90DB0">
        <w:t xml:space="preserve"> possible for patients to be processed under a different item code. </w:t>
      </w:r>
      <w:r w:rsidR="001431DB">
        <w:t xml:space="preserve"> </w:t>
      </w:r>
      <w:r w:rsidR="00643775">
        <w:t xml:space="preserve"> </w:t>
      </w:r>
    </w:p>
    <w:p w14:paraId="0B0753C7" w14:textId="77777777" w:rsidR="00606DA5" w:rsidRDefault="005B1291" w:rsidP="00F1132C">
      <w:r>
        <w:lastRenderedPageBreak/>
        <w:t>An analysis of the median time on nusinersen was attempted, however the data was too immature and a median time on treatment had not been reached. For those patients initiating on nusinersen from 1 November 2018, 88 percent were continuing on therapy at the analysis end date (30 September 2020).</w:t>
      </w:r>
    </w:p>
    <w:p w14:paraId="3325AB6C" w14:textId="77777777" w:rsidR="00B70D04" w:rsidRDefault="001E660F" w:rsidP="00B70D04">
      <w:r>
        <w:t xml:space="preserve">There are eight hospitals responsible for the management of SMA in Australia: Lady Cilento Children’s Hospital (Brisbane), Royal Children’s Hospital Melbourne, Monash Children’s Hospital (Melbourne), John Hunter Hospital (Newcastle), Sydney Children’s Hospital Randwick, Children’s Hospital at Westmead, Adelaide Women and Children’s Hospital and Perth Children’s Hospital. </w:t>
      </w:r>
      <w:r w:rsidR="00F52F12">
        <w:t>Based on age-standardised initiation rates, taking into account the age distribution and population size of jurisdictions, the</w:t>
      </w:r>
      <w:r w:rsidR="000A0678">
        <w:t xml:space="preserve"> </w:t>
      </w:r>
      <w:r>
        <w:t>ACT had the highest number of patients initiating treatment. Patients in NSW, NT, QLD, VIC and WA</w:t>
      </w:r>
      <w:r w:rsidR="002D6F63">
        <w:t xml:space="preserve"> had similar </w:t>
      </w:r>
      <w:r w:rsidR="00F52F12">
        <w:t>age-</w:t>
      </w:r>
      <w:r w:rsidR="002D6F63">
        <w:t xml:space="preserve">standardised </w:t>
      </w:r>
      <w:r w:rsidR="00F52F12">
        <w:t xml:space="preserve">initiation rates </w:t>
      </w:r>
      <w:r w:rsidR="002D6F63">
        <w:t xml:space="preserve">while TAS had the lowest number of initiating patients relative to its population. </w:t>
      </w:r>
    </w:p>
    <w:p w14:paraId="472E1591" w14:textId="77777777" w:rsidR="00FD15A5" w:rsidRDefault="00B70D04" w:rsidP="00F1132C">
      <w:r>
        <w:t xml:space="preserve">The number of patients categorised according to SMA type varied, with Type II SMA patients accounting for the majority of those </w:t>
      </w:r>
      <w:r w:rsidR="005A47D4">
        <w:t xml:space="preserve">supplied </w:t>
      </w:r>
      <w:r>
        <w:t>nusinersen treatment</w:t>
      </w:r>
      <w:r w:rsidR="001D30CE">
        <w:t xml:space="preserve"> in Year 1 and 2</w:t>
      </w:r>
      <w:r>
        <w:t xml:space="preserve">. </w:t>
      </w:r>
      <w:r w:rsidR="00956C4A">
        <w:t xml:space="preserve">The proportion of initiating patients with Type I SMA </w:t>
      </w:r>
      <w:r w:rsidR="00956C4A" w:rsidRPr="001D30CE">
        <w:t xml:space="preserve">increased as the listing years </w:t>
      </w:r>
      <w:r w:rsidR="00B35599" w:rsidRPr="001D30CE">
        <w:t>p</w:t>
      </w:r>
      <w:r w:rsidR="001D30CE" w:rsidRPr="001D30CE">
        <w:t>rogressed. In the Year 1,</w:t>
      </w:r>
      <w:r w:rsidR="00956C4A" w:rsidRPr="001D30CE">
        <w:t xml:space="preserve"> 23% of </w:t>
      </w:r>
      <w:r w:rsidR="00327C47">
        <w:t>patients</w:t>
      </w:r>
      <w:r w:rsidR="001D30CE">
        <w:t xml:space="preserve"> had Type I SMA, 26% of patients in Year 2 and 50% of patients in Year 3. </w:t>
      </w:r>
      <w:r w:rsidR="008F6CCA">
        <w:t>The median age of initiating patients had decreased as listing years progressed. The median</w:t>
      </w:r>
      <w:r w:rsidR="00FD15A5">
        <w:t xml:space="preserve"> (range)</w:t>
      </w:r>
      <w:r w:rsidR="008F6CCA">
        <w:t xml:space="preserve"> age of patients was 8 years</w:t>
      </w:r>
      <w:r w:rsidR="00FD15A5">
        <w:t xml:space="preserve"> (0 to 43)</w:t>
      </w:r>
      <w:r w:rsidR="008F6CCA">
        <w:t>, 1.5 years</w:t>
      </w:r>
      <w:r w:rsidR="00FD15A5">
        <w:t xml:space="preserve"> (0 to 15)</w:t>
      </w:r>
      <w:r w:rsidR="008F6CCA">
        <w:t xml:space="preserve"> and less than 1 year</w:t>
      </w:r>
      <w:r w:rsidR="00FD15A5">
        <w:t xml:space="preserve"> (0 to 25)</w:t>
      </w:r>
      <w:r w:rsidR="008F6CCA">
        <w:t xml:space="preserve"> in Year 1, 2 and 3 respectively. </w:t>
      </w:r>
      <w:r>
        <w:t xml:space="preserve">This may suggest older patients with Type II and Type IIIa SMA have already initiated onto nusinersen by Year 3, with initiating patients more likely to be younger with Type I SMA. </w:t>
      </w:r>
    </w:p>
    <w:p w14:paraId="4DFE3284" w14:textId="77777777" w:rsidR="00B35599" w:rsidRPr="00F1132C" w:rsidRDefault="00B70D04" w:rsidP="00F1132C">
      <w:r>
        <w:t xml:space="preserve">There were slight variances between patient numbers in the </w:t>
      </w:r>
      <w:r w:rsidR="00B937D1">
        <w:t>A</w:t>
      </w:r>
      <w:r>
        <w:t xml:space="preserve">uthority database and the PBS scripts database, particularly when comparing yearly data. These differences may be due to the delay between an authority </w:t>
      </w:r>
      <w:r w:rsidR="00F670C6">
        <w:t xml:space="preserve">approval and the supply of a </w:t>
      </w:r>
      <w:r>
        <w:t>prescription</w:t>
      </w:r>
      <w:r w:rsidR="00557FC2">
        <w:t>.</w:t>
      </w:r>
      <w:r w:rsidR="007C56BD">
        <w:t xml:space="preserve"> Additionally,</w:t>
      </w:r>
      <w:r w:rsidR="00557FC2">
        <w:t xml:space="preserve"> </w:t>
      </w:r>
      <w:r w:rsidR="007C56BD">
        <w:t>f</w:t>
      </w:r>
      <w:r w:rsidR="00B35599">
        <w:t>rom Year 2 onwards, more in</w:t>
      </w:r>
      <w:r w:rsidR="00FD15A5">
        <w:t>itiating</w:t>
      </w:r>
      <w:r w:rsidR="00B35599">
        <w:t xml:space="preserve"> patients were supplied nusinersen treatment compared to the number of patients who submitted a</w:t>
      </w:r>
      <w:r w:rsidR="00976A3D">
        <w:t>n authority application. For example</w:t>
      </w:r>
      <w:r w:rsidR="00B35599">
        <w:t xml:space="preserve">, 22 patients </w:t>
      </w:r>
      <w:r w:rsidR="00AC7DDF">
        <w:t xml:space="preserve">had an initial supply of </w:t>
      </w:r>
      <w:r w:rsidR="00B35599">
        <w:t>nusinersen treatment in Year 2, however only 15 init</w:t>
      </w:r>
      <w:r w:rsidR="00976A3D">
        <w:t xml:space="preserve">ial applications were </w:t>
      </w:r>
      <w:r w:rsidR="00391382">
        <w:t>approved</w:t>
      </w:r>
      <w:r w:rsidR="00976A3D">
        <w:t>.</w:t>
      </w:r>
    </w:p>
    <w:p w14:paraId="2BE4DFCD" w14:textId="77777777" w:rsidR="00684BB7" w:rsidRDefault="00684BB7">
      <w:pPr>
        <w:spacing w:line="276" w:lineRule="auto"/>
        <w:rPr>
          <w:rFonts w:eastAsiaTheme="majorEastAsia" w:cstheme="majorBidi"/>
          <w:b/>
          <w:bCs/>
          <w:sz w:val="32"/>
          <w:szCs w:val="32"/>
        </w:rPr>
      </w:pPr>
      <w:r>
        <w:br w:type="page"/>
      </w:r>
    </w:p>
    <w:p w14:paraId="066A79E4" w14:textId="77777777" w:rsidR="00800E47" w:rsidRDefault="00800E47" w:rsidP="00800E47">
      <w:pPr>
        <w:pStyle w:val="Heading1"/>
      </w:pPr>
      <w:r>
        <w:lastRenderedPageBreak/>
        <w:t>DUSC consideration</w:t>
      </w:r>
    </w:p>
    <w:p w14:paraId="3DD2DF11" w14:textId="77777777" w:rsidR="006755EE" w:rsidRPr="006755EE" w:rsidRDefault="006755EE" w:rsidP="006755EE">
      <w:pPr>
        <w:rPr>
          <w:rFonts w:cstheme="minorHAnsi"/>
        </w:rPr>
      </w:pPr>
      <w:r w:rsidRPr="006755EE">
        <w:rPr>
          <w:rFonts w:cstheme="minorHAnsi"/>
        </w:rPr>
        <w:t xml:space="preserve">DUSC noted in the first year of listing, 47 patients were grandfathered onto nusinersen, 93 initiated and 118 continued </w:t>
      </w:r>
      <w:r w:rsidRPr="00436929">
        <w:rPr>
          <w:rFonts w:cstheme="minorHAnsi"/>
        </w:rPr>
        <w:t xml:space="preserve">treatment. DUSC noted in the Pre-Sub-Committee Response (PSCR) (p3), </w:t>
      </w:r>
      <w:r w:rsidR="004E7661">
        <w:rPr>
          <w:rFonts w:cstheme="minorHAnsi"/>
          <w:noProof/>
          <w:color w:val="000000"/>
          <w:highlight w:val="black"/>
        </w:rPr>
        <w:t>'''''' ''''''''''''''' ''''''''''''' '''''''' '''''''''''''' ''''' ''''''''''''' ''''''''' ''''''' ''''' '''''''''''''' '''''' '''''''' '''''''''''' '''''' ''''' '''''''''''''' '''''''''''''''' '''''''''' ''''''''''' ''' ''' ''''''' ''''''''' '''''''''' ''''' '''''''' '''''''''''''''</w:t>
      </w:r>
      <w:r w:rsidRPr="006755EE">
        <w:rPr>
          <w:rFonts w:cstheme="minorHAnsi"/>
        </w:rPr>
        <w:t xml:space="preserve"> The analysis did not note that “21 patients transitioned from the existing expanded access program (EAP-Type I patients) and 26 patients transitioned from the 1-month programme (including SMA types II and IIIa) to PBS supply</w:t>
      </w:r>
      <w:r w:rsidR="004E7661">
        <w:rPr>
          <w:rFonts w:cstheme="minorHAnsi"/>
          <w:noProof/>
          <w:color w:val="000000"/>
          <w:highlight w:val="black"/>
        </w:rPr>
        <w:t>'' ''''''''' '''''''' ''''' ''''''''''''' '''''''''''''' '''''''''''''''''''' '''''' ''''' ''''''''''''''''''''''''' '''''''' '''''' ''''''' ''''''''''''''''' ''''' '''''' '''''''''</w:t>
      </w:r>
      <w:r w:rsidRPr="006755EE">
        <w:rPr>
          <w:rFonts w:cstheme="minorHAnsi"/>
        </w:rPr>
        <w:t xml:space="preserve"> DUSC sought consumer input from SMA Australia who commented families had moved from New Zealand to Australia under the Reciprocal Health Care Agreement to gain access to nusinersen treatment. This may partly explain the higher than anticipated utilisation of nusinersen.  </w:t>
      </w:r>
    </w:p>
    <w:p w14:paraId="5DC474B4" w14:textId="77777777" w:rsidR="006755EE" w:rsidRPr="006755EE" w:rsidRDefault="006755EE" w:rsidP="006755EE">
      <w:pPr>
        <w:rPr>
          <w:rFonts w:cstheme="minorHAnsi"/>
        </w:rPr>
      </w:pPr>
      <w:r w:rsidRPr="006755EE">
        <w:rPr>
          <w:rFonts w:cstheme="minorHAnsi"/>
        </w:rPr>
        <w:t xml:space="preserve">DUSC noted in the second year of listing, 29 patients initiated and 149 patients continued treatment. DUSC commented reasons for discontinuation could include participation in other programs and studies, using nusinersen treatment in combination with other treatments or initiation onto other agents. DUSC considered a future review should include additional data on discontinuation, including accounting for patient deaths. DUSC noted that an Australian registry is now recruiting and could be a potential data source for capturing future trends in treatment approaches and outcomes over time and longer term data on disease progression across SMA types and treatments. </w:t>
      </w:r>
    </w:p>
    <w:p w14:paraId="54BDFBF3" w14:textId="77777777" w:rsidR="006755EE" w:rsidRPr="006755EE" w:rsidRDefault="006755EE" w:rsidP="006755EE">
      <w:pPr>
        <w:rPr>
          <w:rFonts w:cstheme="minorHAnsi"/>
        </w:rPr>
      </w:pPr>
      <w:r w:rsidRPr="006755EE">
        <w:rPr>
          <w:rFonts w:cstheme="minorHAnsi"/>
        </w:rPr>
        <w:t xml:space="preserve">DUSC noted of 61 patients who initiated after 1 November 2018, approximately 89% maintained therapy and median time on therapy had not been reached. DUSC considered the importance of continuing to follow patients to observe the median time on therapy in future analysis. </w:t>
      </w:r>
    </w:p>
    <w:p w14:paraId="17777BF6" w14:textId="77777777" w:rsidR="006755EE" w:rsidRPr="006755EE" w:rsidRDefault="006755EE" w:rsidP="006755EE">
      <w:pPr>
        <w:rPr>
          <w:rFonts w:cstheme="minorHAnsi"/>
        </w:rPr>
      </w:pPr>
      <w:r w:rsidRPr="006755EE">
        <w:rPr>
          <w:rFonts w:cstheme="minorHAnsi"/>
        </w:rPr>
        <w:t>DUSC noted there was a greater increase in the number of prescriptions supplied compared to the number of patients supplied nusinersen treatment. The PSCR (p3) stated “Utilisation of nusinersen follows an irregular pattern due to the dosage regimen of 4 loading doses (in the first 2 months), followed by maintenance doses every 4 months…the actual average number of prescriptions was higher than predicted… This is well within the upper limit of 6 prescriptions for a patient’s first year of treatment with nusinersen (4 loading doses + 2 maintenance doses).”</w:t>
      </w:r>
    </w:p>
    <w:p w14:paraId="5DDB484F" w14:textId="77777777" w:rsidR="006755EE" w:rsidRPr="006755EE" w:rsidRDefault="006755EE" w:rsidP="006755EE">
      <w:pPr>
        <w:rPr>
          <w:rFonts w:cstheme="minorHAnsi"/>
        </w:rPr>
      </w:pPr>
      <w:r w:rsidRPr="006755EE">
        <w:rPr>
          <w:rFonts w:cstheme="minorHAnsi"/>
        </w:rPr>
        <w:t xml:space="preserve">DUSC noted the PSCR (p1) stated the predicted patient numbers was based on advice from clinicians at 5 paediatric neuromuscular treatment centres. However, the PBS listing includes 8 treatment centres resulting in a wider drawing area for SMA patients. The PSCR (p1) commented the observed utilisation is appropriate due to the strict criteria and the sponsor considered that this ensured that only eligible patients initiate nusinersen treatment. </w:t>
      </w:r>
    </w:p>
    <w:p w14:paraId="4071E487" w14:textId="77777777" w:rsidR="006755EE" w:rsidRPr="006755EE" w:rsidRDefault="006755EE" w:rsidP="006755EE">
      <w:pPr>
        <w:rPr>
          <w:rFonts w:cstheme="minorHAnsi"/>
        </w:rPr>
      </w:pPr>
      <w:r w:rsidRPr="006755EE">
        <w:rPr>
          <w:rFonts w:cstheme="minorHAnsi"/>
        </w:rPr>
        <w:t xml:space="preserve">DUSC noted that the ACT and SA had the highest number of initiating patients with age standardisation (0-18 years) relative to its population size. DUSC commented that the ACT and SA do not have centre sites to prescribe nusinersen. Prior to PBS listing, patients in these jurisdictions would have encountered barriers to accessing trials and early access </w:t>
      </w:r>
      <w:r w:rsidRPr="006755EE">
        <w:rPr>
          <w:rFonts w:cstheme="minorHAnsi"/>
        </w:rPr>
        <w:lastRenderedPageBreak/>
        <w:t xml:space="preserve">programs. Once nusinersen was available on the PBS, DUSC considered that these untreated patients may have accounted for the high initiation rates due to its accessibility. </w:t>
      </w:r>
    </w:p>
    <w:p w14:paraId="6C58E31C" w14:textId="77777777" w:rsidR="006755EE" w:rsidRPr="006755EE" w:rsidRDefault="006755EE" w:rsidP="006755EE">
      <w:pPr>
        <w:rPr>
          <w:rFonts w:cstheme="minorHAnsi"/>
        </w:rPr>
      </w:pPr>
      <w:r w:rsidRPr="006755EE">
        <w:rPr>
          <w:rFonts w:cstheme="minorHAnsi"/>
        </w:rPr>
        <w:t xml:space="preserve">DUSC noted that Type II SMA was the most common type of patients treated with nusinersen.  DUSC commented the original DUSC view of expected uptake rates (underestimated at 80% Type I, 100% Type II and 80% Type III) appears correct. DUSC noted SMA Australia commented there were less Type I patients due to early death with more Type II patients surviving. Clinicians are continuing treatment due to improvements observed in these patients. </w:t>
      </w:r>
    </w:p>
    <w:p w14:paraId="290DA1BC" w14:textId="77777777" w:rsidR="00661FBA" w:rsidRPr="006755EE" w:rsidRDefault="006755EE" w:rsidP="00661FBA">
      <w:pPr>
        <w:rPr>
          <w:rFonts w:cstheme="minorHAnsi"/>
        </w:rPr>
      </w:pPr>
      <w:r w:rsidRPr="006755EE">
        <w:rPr>
          <w:rFonts w:cstheme="minorHAnsi"/>
        </w:rPr>
        <w:t xml:space="preserve">DUSC noted comments from SMA Australia on the need for continued monitoring of treatment utilisation, particularly with new treatments becoming available. SMA Australia commented patients have passed away whilst on treatment, and reasons for discontinuation should be included in future analyses. Additionally, continued monitoring will assist in determining how long Type I patients with poorer survival outcomes continue to live beyond two years. DUSC noted SMA Australia stated that nusinersen treatment is enabling children to have a longer lifespan as children with Type I SMA are now starting school. </w:t>
      </w:r>
    </w:p>
    <w:p w14:paraId="0B0266D1" w14:textId="77777777" w:rsidR="00661FBA" w:rsidRDefault="00661FBA" w:rsidP="00661FBA">
      <w:pPr>
        <w:pStyle w:val="Heading1"/>
      </w:pPr>
      <w:r>
        <w:t>DUSC actions</w:t>
      </w:r>
    </w:p>
    <w:p w14:paraId="762F1845" w14:textId="77777777" w:rsidR="00661FBA" w:rsidRPr="00661FBA" w:rsidRDefault="00661FBA" w:rsidP="00661FBA">
      <w:r>
        <w:t xml:space="preserve">DUSC requested that the report be provided to the PBAC for consideration. </w:t>
      </w:r>
    </w:p>
    <w:p w14:paraId="07C2FFB0" w14:textId="77777777" w:rsidR="00800E47" w:rsidRDefault="00800E47" w:rsidP="00800E47">
      <w:pPr>
        <w:pStyle w:val="Heading1"/>
      </w:pPr>
      <w:r>
        <w:t>Context for analysis</w:t>
      </w:r>
    </w:p>
    <w:p w14:paraId="5ED7B6B6" w14:textId="77777777" w:rsidR="00800E47" w:rsidRDefault="00800E47" w:rsidP="00800E47">
      <w:r>
        <w:t>The DUSC is a Sub Committee of the Pharmaceutical Benefits Advisory Committee (PBAC). The DUSC assesses estimates on projected usage and financial cost of medicines.</w:t>
      </w:r>
    </w:p>
    <w:p w14:paraId="148951AA" w14:textId="77777777" w:rsidR="00800E47" w:rsidRDefault="00800E47" w:rsidP="00800E47">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730EAFA9" w14:textId="77777777" w:rsidR="00800E47" w:rsidRDefault="00800E47" w:rsidP="00800E47">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1575DC7C" w14:textId="77777777" w:rsidR="00800E47" w:rsidRDefault="00800E47" w:rsidP="00800E47">
      <w:r>
        <w:t>The utilisation analysis report was provided to the pharmaceutical sponsors of each drug and comments on the report were provided to DUSC prior to its consideration of the analysis.</w:t>
      </w:r>
    </w:p>
    <w:p w14:paraId="65983EB6" w14:textId="77777777" w:rsidR="00EB5A70" w:rsidRDefault="00EB5A70">
      <w:pPr>
        <w:spacing w:line="276" w:lineRule="auto"/>
        <w:rPr>
          <w:rFonts w:eastAsiaTheme="majorEastAsia" w:cstheme="majorBidi"/>
          <w:b/>
          <w:bCs/>
          <w:sz w:val="32"/>
          <w:szCs w:val="32"/>
        </w:rPr>
      </w:pPr>
      <w:r>
        <w:br w:type="page"/>
      </w:r>
    </w:p>
    <w:p w14:paraId="1CAAB8C4" w14:textId="77777777" w:rsidR="00800E47" w:rsidRDefault="006755EE" w:rsidP="00800E47">
      <w:pPr>
        <w:pStyle w:val="Heading1"/>
      </w:pPr>
      <w:r>
        <w:lastRenderedPageBreak/>
        <w:t>Sponsors’ comment</w:t>
      </w:r>
    </w:p>
    <w:p w14:paraId="5C7EF937" w14:textId="77777777" w:rsidR="00800E47" w:rsidRDefault="00EB5A70" w:rsidP="00645B8E">
      <w:r>
        <w:t>Biogen Australia Pty Ltd:</w:t>
      </w:r>
      <w:r w:rsidR="00645B8E">
        <w:t xml:space="preserve"> The sponsor has no comment.</w:t>
      </w:r>
    </w:p>
    <w:p w14:paraId="0E2B8DCC" w14:textId="77777777" w:rsidR="00684BB7" w:rsidRDefault="00684BB7" w:rsidP="00684BB7">
      <w:pPr>
        <w:pStyle w:val="Heading1"/>
      </w:pPr>
      <w:r>
        <w:t>Disclaimer</w:t>
      </w:r>
    </w:p>
    <w:p w14:paraId="37EB8448" w14:textId="77777777" w:rsidR="00800E47" w:rsidRDefault="00800E47" w:rsidP="00800E47">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14:paraId="613E8855" w14:textId="77777777" w:rsidR="00800E47" w:rsidRDefault="00800E47" w:rsidP="00800E47">
      <w:r>
        <w:t>The Department of Health (DoH)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14:paraId="37011E57" w14:textId="77777777" w:rsidR="00800E47" w:rsidRDefault="00800E47" w:rsidP="00800E47">
      <w:r>
        <w:t xml:space="preserve">To the extent provided by law, DoH makes no warranties or representations as to accuracy or completeness of information contained in this report. </w:t>
      </w:r>
    </w:p>
    <w:p w14:paraId="40F5B3F1" w14:textId="77777777" w:rsidR="006755EE" w:rsidRPr="00684BB7" w:rsidRDefault="00800E47" w:rsidP="00684BB7">
      <w:r>
        <w:t>To the fullest extent permitted by law, neither the DoH nor any DoH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r w:rsidR="006755EE">
        <w:br w:type="page"/>
      </w:r>
    </w:p>
    <w:p w14:paraId="2D04F134" w14:textId="77777777" w:rsidR="004B306F" w:rsidRDefault="004B306F" w:rsidP="00F73113">
      <w:pPr>
        <w:pStyle w:val="Heading1"/>
      </w:pPr>
      <w:r>
        <w:lastRenderedPageBreak/>
        <w:t>References</w:t>
      </w:r>
    </w:p>
    <w:p w14:paraId="31A62AC3" w14:textId="77777777" w:rsidR="007C183D" w:rsidRDefault="007C183D" w:rsidP="00A1441F">
      <w:r w:rsidRPr="007C183D">
        <w:t>Australian Bureau o</w:t>
      </w:r>
      <w:r>
        <w:t>f Statistics. Births, Australia</w:t>
      </w:r>
      <w:r w:rsidR="00C733EE">
        <w:t>, 2019</w:t>
      </w:r>
      <w:r>
        <w:t xml:space="preserve">. </w:t>
      </w:r>
      <w:r w:rsidR="0029174E" w:rsidRPr="004E7661">
        <w:t xml:space="preserve">https://www.abs.gov.au/statistics/people/population/births-australia/latest-release. </w:t>
      </w:r>
      <w:r w:rsidR="0029174E">
        <w:t xml:space="preserve"> </w:t>
      </w:r>
      <w:r>
        <w:t xml:space="preserve">Accessed 9 December 2020. </w:t>
      </w:r>
    </w:p>
    <w:p w14:paraId="4EC350A2" w14:textId="77777777" w:rsidR="00A95D4C" w:rsidRPr="00A95D4C" w:rsidRDefault="00A95D4C" w:rsidP="00A1441F">
      <w:pPr>
        <w:rPr>
          <w:sz w:val="32"/>
        </w:rPr>
      </w:pPr>
      <w:r w:rsidRPr="00A95D4C">
        <w:t>Australian Bureau of Statistics. Quarterly Population Estimates (ERP), by State/Territory, Sex and Age. &lt;</w:t>
      </w:r>
      <w:r w:rsidRPr="004E7661">
        <w:t>http://stat.data.abs.gov.au/Index.aspx?DataSetCode=ERP_QUARTERLY#</w:t>
      </w:r>
      <w:r w:rsidRPr="00A95D4C">
        <w:t>&gt;. Accessed 9 December 2020.</w:t>
      </w:r>
    </w:p>
    <w:p w14:paraId="35F92FDE" w14:textId="77777777" w:rsidR="00643775" w:rsidRDefault="00655EA1" w:rsidP="00A1441F">
      <w:r w:rsidRPr="00643775">
        <w:t>Farrar M.A, Kiernan M.C. The Genetics of Spinal Muscular Atrophy: Progress and Challenges. Neurotherapeutics 2015; 12: 290-302</w:t>
      </w:r>
    </w:p>
    <w:p w14:paraId="33AE2965" w14:textId="77777777" w:rsidR="00643775" w:rsidRDefault="00643775" w:rsidP="00A1441F">
      <w:pPr>
        <w:rPr>
          <w:rStyle w:val="Hyperlink"/>
          <w:rFonts w:cstheme="minorHAnsi"/>
          <w:color w:val="642A8F"/>
          <w:shd w:val="clear" w:color="auto" w:fill="FFFFFF"/>
        </w:rPr>
      </w:pPr>
      <w:r w:rsidRPr="00643775">
        <w:t>Farrar M.A, Park S.B, Vucic S, Carey K.A, Turner BJ, Gillingwater TH et al. Emerging therapies and Challenges in Spinal Muscular Atrophy. Annals of Neurology 2017; 81:355-3</w:t>
      </w:r>
      <w:r w:rsidRPr="00643775">
        <w:rPr>
          <w:rFonts w:cstheme="minorHAnsi"/>
        </w:rPr>
        <w:t xml:space="preserve">68 </w:t>
      </w:r>
      <w:r w:rsidRPr="00643775">
        <w:rPr>
          <w:rFonts w:cstheme="minorHAnsi"/>
          <w:color w:val="000000"/>
          <w:shd w:val="clear" w:color="auto" w:fill="FFFFFF"/>
        </w:rPr>
        <w:t>doi: </w:t>
      </w:r>
      <w:r w:rsidRPr="004E7661">
        <w:rPr>
          <w:rFonts w:cstheme="minorHAnsi"/>
          <w:shd w:val="clear" w:color="auto" w:fill="FFFFFF"/>
        </w:rPr>
        <w:t>10.1002/ana.24864</w:t>
      </w:r>
    </w:p>
    <w:p w14:paraId="3B76E80D" w14:textId="77777777" w:rsidR="00477415" w:rsidRDefault="00477415" w:rsidP="00A1441F">
      <w:pPr>
        <w:rPr>
          <w:rStyle w:val="Hyperlink"/>
          <w:rFonts w:cstheme="minorHAnsi"/>
          <w:color w:val="642A8F"/>
          <w:shd w:val="clear" w:color="auto" w:fill="FFFFFF"/>
        </w:rPr>
      </w:pPr>
      <w:r w:rsidRPr="00477415">
        <w:t>Feldkötter</w:t>
      </w:r>
      <w:r>
        <w:t xml:space="preserve"> M, Schwarzer V, Wirth R, Wienker T.F, Wirth B. Quantitative Analyses of SMN1 and SMN2 Based on Real-Time LightCycler PCR: Fast and Highly Reliable Carrier Testing and Prediction of Severity of Spinal Muscular Atrophy. The American Journal of Human Genetics; 70 (2): 358-368. </w:t>
      </w:r>
      <w:r w:rsidRPr="00477415">
        <w:t>https://doi.org/10.1086/338627.</w:t>
      </w:r>
    </w:p>
    <w:p w14:paraId="5BB104D3" w14:textId="77777777" w:rsidR="001431DB" w:rsidRPr="001431DB" w:rsidRDefault="001431DB" w:rsidP="00A1441F">
      <w:r w:rsidRPr="001431DB">
        <w:t>Finkel R.S, Mercuri E, Darras B.T, Connolly A.M, Kuntz N.L, Kirschner J. Nusinersen versus Sham Control in Infantile-Onset Spinal Muscular Atrophy. The New England Journal of Medicine. 2017; 377, 1723-32.</w:t>
      </w:r>
    </w:p>
    <w:p w14:paraId="31130525" w14:textId="77777777" w:rsidR="00655EA1" w:rsidRPr="00643775" w:rsidRDefault="00643775">
      <w:pPr>
        <w:rPr>
          <w:rFonts w:cstheme="minorHAnsi"/>
        </w:rPr>
      </w:pPr>
      <w:r w:rsidRPr="00643775">
        <w:t xml:space="preserve">Kolb S.J, Kissel J.T. Spinal Muscular Atrophy: A Timely Review. Archives of Neurology 2011; 68(8) </w:t>
      </w:r>
      <w:r w:rsidRPr="00643775">
        <w:rPr>
          <w:rFonts w:cstheme="minorHAnsi"/>
        </w:rPr>
        <w:t>doi:10.1001/archneurol.2011.74.</w:t>
      </w:r>
    </w:p>
    <w:p w14:paraId="41B924E6" w14:textId="77777777" w:rsidR="00655EA1" w:rsidRDefault="00655EA1" w:rsidP="00A1441F">
      <w:pPr>
        <w:rPr>
          <w:rStyle w:val="Hyperlink"/>
          <w:rFonts w:cstheme="minorHAnsi"/>
          <w:color w:val="auto"/>
        </w:rPr>
      </w:pPr>
      <w:r w:rsidRPr="00643775">
        <w:t>Lunn M R, Wang CH. Spinal muscular atrophy. Lancet 2008; 371: 2120-</w:t>
      </w:r>
      <w:r w:rsidRPr="00643775">
        <w:rPr>
          <w:rFonts w:cstheme="minorHAnsi"/>
        </w:rPr>
        <w:t xml:space="preserve">33 </w:t>
      </w:r>
      <w:r w:rsidRPr="004E7661">
        <w:rPr>
          <w:rFonts w:cstheme="minorHAnsi"/>
        </w:rPr>
        <w:t>https://doi.org/10.1016/S0140-6736(08)60921-6</w:t>
      </w:r>
    </w:p>
    <w:p w14:paraId="76C957D4" w14:textId="77777777" w:rsidR="00700A10" w:rsidRDefault="00700A10" w:rsidP="00A1441F">
      <w:pPr>
        <w:rPr>
          <w:rStyle w:val="Hyperlink"/>
          <w:rFonts w:cstheme="minorHAnsi"/>
          <w:color w:val="auto"/>
        </w:rPr>
      </w:pPr>
      <w:r>
        <w:t>Mercuri E, Darras BT, Chiriboga CA, et al. Nusinersen versus sham control in later-onset spinal muscular atrophy. The New England Journal of Medicine 2018;378:625-35. DOI: 10.1056/NEJMoa1710504</w:t>
      </w:r>
    </w:p>
    <w:p w14:paraId="253B5CC6" w14:textId="77777777" w:rsidR="00643775" w:rsidRDefault="00643775" w:rsidP="00A1441F">
      <w:r w:rsidRPr="00643775">
        <w:t xml:space="preserve">Muscular Dystrophy Australia. Spinal Muscular Atrophy- An Overview. </w:t>
      </w:r>
      <w:r w:rsidR="00655EA1" w:rsidRPr="004E7661">
        <w:t>https://www.mda.org.au/disorders/spinal-muscular-atrophy-an-overview/</w:t>
      </w:r>
    </w:p>
    <w:p w14:paraId="7162DC09" w14:textId="77777777" w:rsidR="00655EA1" w:rsidRPr="00643775" w:rsidRDefault="00655EA1">
      <w:r w:rsidRPr="00643775">
        <w:t>SMA Australia https://smaaustralia.org.au/wp-content/uploads/SMA_2020_A4_Information_Guide-compressed.pdf</w:t>
      </w:r>
    </w:p>
    <w:p w14:paraId="78A049BD" w14:textId="77777777" w:rsidR="00655EA1" w:rsidRDefault="00643775">
      <w:r w:rsidRPr="00643775">
        <w:t xml:space="preserve">Spinraza (Nusinersen). Australian Approved Product Information. North Ryde: Biogen. Approved 3 November 2017, updated 2 January 2020. </w:t>
      </w:r>
      <w:r w:rsidR="00A95D4C">
        <w:t>Available from &lt;</w:t>
      </w:r>
      <w:r w:rsidRPr="00643775">
        <w:t>https://www.tga.gov.au/product-information-pi.&gt;</w:t>
      </w:r>
      <w:r w:rsidR="00655EA1" w:rsidRPr="00655EA1">
        <w:t xml:space="preserve"> </w:t>
      </w:r>
    </w:p>
    <w:p w14:paraId="3839DD42" w14:textId="77777777" w:rsidR="007C183D" w:rsidRDefault="007C183D">
      <w:pPr>
        <w:spacing w:line="276" w:lineRule="auto"/>
        <w:rPr>
          <w:rFonts w:eastAsiaTheme="majorEastAsia" w:cstheme="majorBidi"/>
          <w:b/>
          <w:bCs/>
          <w:sz w:val="32"/>
          <w:szCs w:val="32"/>
        </w:rPr>
      </w:pPr>
      <w:r>
        <w:br w:type="page"/>
      </w:r>
    </w:p>
    <w:p w14:paraId="1EEA01B9" w14:textId="77777777" w:rsidR="00FE645A" w:rsidRDefault="002C6E0C" w:rsidP="001246E0">
      <w:pPr>
        <w:pStyle w:val="Heading1"/>
      </w:pPr>
      <w:r>
        <w:lastRenderedPageBreak/>
        <w:t>Appendices</w:t>
      </w:r>
    </w:p>
    <w:p w14:paraId="1250DA65" w14:textId="77777777" w:rsidR="009A537C" w:rsidRPr="006C3067" w:rsidRDefault="009A537C" w:rsidP="009A537C">
      <w:pPr>
        <w:rPr>
          <w:b/>
          <w:sz w:val="32"/>
        </w:rPr>
      </w:pPr>
      <w:r w:rsidRPr="006C3067">
        <w:rPr>
          <w:b/>
          <w:sz w:val="32"/>
        </w:rPr>
        <w:t xml:space="preserve">Appendix A:  </w:t>
      </w:r>
      <w:r w:rsidR="002A5F9B">
        <w:rPr>
          <w:b/>
          <w:sz w:val="32"/>
        </w:rPr>
        <w:t xml:space="preserve">Nusinersen restriction as at December 2020 </w:t>
      </w:r>
    </w:p>
    <w:p w14:paraId="42D71368" w14:textId="77777777" w:rsidR="0072584F" w:rsidRPr="0072584F" w:rsidRDefault="0072584F" w:rsidP="0072584F">
      <w:pPr>
        <w:pStyle w:val="NormalWeb"/>
        <w:spacing w:before="0" w:beforeAutospacing="0" w:after="240" w:afterAutospacing="0" w:line="300" w:lineRule="atLeast"/>
        <w:rPr>
          <w:rFonts w:asciiTheme="minorHAnsi" w:hAnsiTheme="minorHAnsi" w:cstheme="minorHAnsi"/>
          <w:b/>
          <w:i/>
          <w:color w:val="222222"/>
          <w:sz w:val="28"/>
          <w:szCs w:val="28"/>
        </w:rPr>
      </w:pPr>
      <w:r w:rsidRPr="0072584F">
        <w:rPr>
          <w:rFonts w:asciiTheme="minorHAnsi" w:hAnsiTheme="minorHAnsi" w:cstheme="minorHAnsi"/>
          <w:b/>
          <w:i/>
          <w:color w:val="222222"/>
          <w:sz w:val="28"/>
          <w:szCs w:val="28"/>
        </w:rPr>
        <w:t>Treatment Phase: Initial treatment of pre-symptomatic spinal muscular atrophy (SMA) - Loading doses</w:t>
      </w:r>
    </w:p>
    <w:p w14:paraId="501057E5" w14:textId="77777777" w:rsidR="0072584F" w:rsidRPr="0072584F" w:rsidRDefault="0072584F" w:rsidP="0072584F">
      <w:pPr>
        <w:pStyle w:val="NormalWeb"/>
        <w:spacing w:before="0" w:beforeAutospacing="0" w:after="240" w:afterAutospacing="0" w:line="300" w:lineRule="atLeast"/>
        <w:rPr>
          <w:rFonts w:asciiTheme="minorHAnsi" w:hAnsiTheme="minorHAnsi" w:cstheme="minorHAnsi"/>
          <w:color w:val="222222"/>
        </w:rPr>
      </w:pPr>
      <w:r w:rsidRPr="0072584F">
        <w:rPr>
          <w:rFonts w:asciiTheme="minorHAnsi" w:hAnsiTheme="minorHAnsi" w:cstheme="minorHAnsi"/>
          <w:b/>
          <w:bCs/>
          <w:color w:val="222222"/>
          <w:bdr w:val="none" w:sz="0" w:space="0" w:color="auto" w:frame="1"/>
        </w:rPr>
        <w:t>Treatment criteria:</w:t>
      </w:r>
    </w:p>
    <w:p w14:paraId="1E08C13D" w14:textId="77777777" w:rsidR="0072584F" w:rsidRPr="0072584F" w:rsidRDefault="0072584F" w:rsidP="0072584F">
      <w:pPr>
        <w:pStyle w:val="NormalWeb"/>
        <w:numPr>
          <w:ilvl w:val="0"/>
          <w:numId w:val="36"/>
        </w:numPr>
        <w:spacing w:before="240" w:beforeAutospacing="0" w:after="240" w:afterAutospacing="0" w:line="300" w:lineRule="atLeast"/>
        <w:ind w:left="0"/>
        <w:rPr>
          <w:rFonts w:asciiTheme="minorHAnsi" w:hAnsiTheme="minorHAnsi" w:cstheme="minorHAnsi"/>
          <w:color w:val="222222"/>
        </w:rPr>
      </w:pPr>
      <w:r w:rsidRPr="0072584F">
        <w:rPr>
          <w:rFonts w:asciiTheme="minorHAnsi" w:hAnsiTheme="minorHAnsi" w:cstheme="minorHAnsi"/>
          <w:color w:val="222222"/>
        </w:rPr>
        <w:t>Must be treated by a specialist medical practitioner experienced in the diagnosis and management of SMA associated with a neuromuscular clinic of a recognised hospital in the management of SMA; or in consultation with a specialist medical practitioner experienced in the diagnosis and management of SMA associated with a neuromuscular clinic of a recognised hospital in the management of SMA.</w:t>
      </w:r>
    </w:p>
    <w:p w14:paraId="50E9FADB" w14:textId="77777777" w:rsidR="0072584F" w:rsidRPr="0072584F" w:rsidRDefault="0072584F" w:rsidP="0072584F">
      <w:pPr>
        <w:pStyle w:val="NormalWeb"/>
        <w:spacing w:before="240" w:beforeAutospacing="0" w:after="240" w:afterAutospacing="0" w:line="300" w:lineRule="atLeast"/>
        <w:rPr>
          <w:rFonts w:asciiTheme="minorHAnsi" w:hAnsiTheme="minorHAnsi" w:cstheme="minorHAnsi"/>
          <w:color w:val="222222"/>
        </w:rPr>
      </w:pPr>
      <w:r w:rsidRPr="0072584F">
        <w:rPr>
          <w:rFonts w:asciiTheme="minorHAnsi" w:hAnsiTheme="minorHAnsi" w:cstheme="minorHAnsi"/>
          <w:b/>
          <w:bCs/>
          <w:color w:val="222222"/>
          <w:bdr w:val="none" w:sz="0" w:space="0" w:color="auto" w:frame="1"/>
        </w:rPr>
        <w:t>Clinical criteria:</w:t>
      </w:r>
    </w:p>
    <w:p w14:paraId="3B497827" w14:textId="77777777" w:rsidR="0072584F" w:rsidRPr="0072584F" w:rsidRDefault="0072584F" w:rsidP="0072584F">
      <w:pPr>
        <w:pStyle w:val="NormalWeb"/>
        <w:numPr>
          <w:ilvl w:val="0"/>
          <w:numId w:val="37"/>
        </w:numPr>
        <w:spacing w:before="240" w:beforeAutospacing="0" w:after="240" w:afterAutospacing="0" w:line="300" w:lineRule="atLeast"/>
        <w:ind w:left="0"/>
        <w:rPr>
          <w:rFonts w:asciiTheme="minorHAnsi" w:hAnsiTheme="minorHAnsi" w:cstheme="minorHAnsi"/>
          <w:color w:val="222222"/>
        </w:rPr>
      </w:pPr>
      <w:r w:rsidRPr="0072584F">
        <w:rPr>
          <w:rFonts w:asciiTheme="minorHAnsi" w:hAnsiTheme="minorHAnsi" w:cstheme="minorHAnsi"/>
          <w:color w:val="222222"/>
        </w:rPr>
        <w:t>The condition must have genetic confirmation of 5q homozygous deletion of the survival motor neuron 1 (SMN1) gene; OR</w:t>
      </w:r>
    </w:p>
    <w:p w14:paraId="0C934CC8" w14:textId="77777777" w:rsidR="0072584F" w:rsidRPr="0072584F" w:rsidRDefault="0072584F" w:rsidP="0072584F">
      <w:pPr>
        <w:pStyle w:val="NormalWeb"/>
        <w:numPr>
          <w:ilvl w:val="0"/>
          <w:numId w:val="37"/>
        </w:numPr>
        <w:spacing w:before="240" w:beforeAutospacing="0" w:after="240" w:afterAutospacing="0" w:line="300" w:lineRule="atLeast"/>
        <w:ind w:left="0"/>
        <w:rPr>
          <w:rFonts w:asciiTheme="minorHAnsi" w:hAnsiTheme="minorHAnsi" w:cstheme="minorHAnsi"/>
          <w:color w:val="222222"/>
        </w:rPr>
      </w:pPr>
      <w:r w:rsidRPr="0072584F">
        <w:rPr>
          <w:rFonts w:asciiTheme="minorHAnsi" w:hAnsiTheme="minorHAnsi" w:cstheme="minorHAnsi"/>
          <w:color w:val="222222"/>
        </w:rPr>
        <w:t>The condition must have genetic confirmation of deletion of one copy of the SMN1 gene in addition to a pathogenic/likely pathogenic variant in the remaining single copy of the SMN1 gene,</w:t>
      </w:r>
    </w:p>
    <w:p w14:paraId="09F55B9E" w14:textId="77777777" w:rsidR="0072584F" w:rsidRPr="0072584F" w:rsidRDefault="0072584F" w:rsidP="0072584F">
      <w:pPr>
        <w:pStyle w:val="NormalWeb"/>
        <w:spacing w:before="240" w:beforeAutospacing="0" w:after="240" w:afterAutospacing="0" w:line="300" w:lineRule="atLeast"/>
        <w:rPr>
          <w:rFonts w:asciiTheme="minorHAnsi" w:hAnsiTheme="minorHAnsi" w:cstheme="minorHAnsi"/>
          <w:color w:val="222222"/>
        </w:rPr>
      </w:pPr>
      <w:r w:rsidRPr="0072584F">
        <w:rPr>
          <w:rFonts w:asciiTheme="minorHAnsi" w:hAnsiTheme="minorHAnsi" w:cstheme="minorHAnsi"/>
          <w:b/>
          <w:bCs/>
          <w:color w:val="222222"/>
          <w:bdr w:val="none" w:sz="0" w:space="0" w:color="auto" w:frame="1"/>
        </w:rPr>
        <w:t>AND</w:t>
      </w:r>
    </w:p>
    <w:p w14:paraId="24C87067" w14:textId="77777777" w:rsidR="0072584F" w:rsidRPr="0072584F" w:rsidRDefault="0072584F" w:rsidP="0072584F">
      <w:pPr>
        <w:pStyle w:val="NormalWeb"/>
        <w:numPr>
          <w:ilvl w:val="0"/>
          <w:numId w:val="38"/>
        </w:numPr>
        <w:spacing w:before="240" w:beforeAutospacing="0" w:after="240" w:afterAutospacing="0" w:line="300" w:lineRule="atLeast"/>
        <w:ind w:left="0"/>
        <w:rPr>
          <w:rFonts w:asciiTheme="minorHAnsi" w:hAnsiTheme="minorHAnsi" w:cstheme="minorHAnsi"/>
          <w:color w:val="222222"/>
        </w:rPr>
      </w:pPr>
      <w:r w:rsidRPr="0072584F">
        <w:rPr>
          <w:rFonts w:asciiTheme="minorHAnsi" w:hAnsiTheme="minorHAnsi" w:cstheme="minorHAnsi"/>
          <w:color w:val="222222"/>
        </w:rPr>
        <w:t>The condition must have genetic confirmation that there are 1 to 2 copies of the survival motor neuron 2 (SMN2) gene,</w:t>
      </w:r>
    </w:p>
    <w:p w14:paraId="388CD524" w14:textId="77777777" w:rsidR="0072584F" w:rsidRPr="0072584F" w:rsidRDefault="0072584F" w:rsidP="0072584F">
      <w:pPr>
        <w:pStyle w:val="NormalWeb"/>
        <w:spacing w:before="240" w:beforeAutospacing="0" w:after="240" w:afterAutospacing="0" w:line="300" w:lineRule="atLeast"/>
        <w:rPr>
          <w:rFonts w:asciiTheme="minorHAnsi" w:hAnsiTheme="minorHAnsi" w:cstheme="minorHAnsi"/>
          <w:color w:val="222222"/>
        </w:rPr>
      </w:pPr>
      <w:r w:rsidRPr="0072584F">
        <w:rPr>
          <w:rFonts w:asciiTheme="minorHAnsi" w:hAnsiTheme="minorHAnsi" w:cstheme="minorHAnsi"/>
          <w:b/>
          <w:bCs/>
          <w:color w:val="222222"/>
          <w:bdr w:val="none" w:sz="0" w:space="0" w:color="auto" w:frame="1"/>
        </w:rPr>
        <w:t>AND</w:t>
      </w:r>
    </w:p>
    <w:p w14:paraId="0DD9A8FD" w14:textId="77777777" w:rsidR="0072584F" w:rsidRPr="0072584F" w:rsidRDefault="0072584F" w:rsidP="0072584F">
      <w:pPr>
        <w:pStyle w:val="NormalWeb"/>
        <w:numPr>
          <w:ilvl w:val="0"/>
          <w:numId w:val="39"/>
        </w:numPr>
        <w:spacing w:before="240" w:beforeAutospacing="0" w:after="240" w:afterAutospacing="0" w:line="300" w:lineRule="atLeast"/>
        <w:ind w:left="0"/>
        <w:rPr>
          <w:rFonts w:asciiTheme="minorHAnsi" w:hAnsiTheme="minorHAnsi" w:cstheme="minorHAnsi"/>
          <w:color w:val="222222"/>
        </w:rPr>
      </w:pPr>
      <w:r w:rsidRPr="0072584F">
        <w:rPr>
          <w:rFonts w:asciiTheme="minorHAnsi" w:hAnsiTheme="minorHAnsi" w:cstheme="minorHAnsi"/>
          <w:color w:val="222222"/>
        </w:rPr>
        <w:t>The condition must be pre-symptomatic,</w:t>
      </w:r>
    </w:p>
    <w:p w14:paraId="72349C64" w14:textId="77777777" w:rsidR="0072584F" w:rsidRPr="0072584F" w:rsidRDefault="0072584F" w:rsidP="0072584F">
      <w:pPr>
        <w:pStyle w:val="NormalWeb"/>
        <w:spacing w:before="240" w:beforeAutospacing="0" w:after="240" w:afterAutospacing="0" w:line="300" w:lineRule="atLeast"/>
        <w:rPr>
          <w:rFonts w:asciiTheme="minorHAnsi" w:hAnsiTheme="minorHAnsi" w:cstheme="minorHAnsi"/>
          <w:color w:val="222222"/>
        </w:rPr>
      </w:pPr>
      <w:r w:rsidRPr="0072584F">
        <w:rPr>
          <w:rFonts w:asciiTheme="minorHAnsi" w:hAnsiTheme="minorHAnsi" w:cstheme="minorHAnsi"/>
          <w:b/>
          <w:bCs/>
          <w:color w:val="222222"/>
          <w:bdr w:val="none" w:sz="0" w:space="0" w:color="auto" w:frame="1"/>
        </w:rPr>
        <w:t>AND</w:t>
      </w:r>
    </w:p>
    <w:p w14:paraId="6760A827" w14:textId="77777777" w:rsidR="0072584F" w:rsidRPr="0072584F" w:rsidRDefault="0072584F" w:rsidP="0072584F">
      <w:pPr>
        <w:pStyle w:val="NormalWeb"/>
        <w:numPr>
          <w:ilvl w:val="0"/>
          <w:numId w:val="40"/>
        </w:numPr>
        <w:spacing w:before="240" w:beforeAutospacing="0" w:after="240" w:afterAutospacing="0" w:line="300" w:lineRule="atLeast"/>
        <w:ind w:left="0"/>
        <w:rPr>
          <w:rFonts w:asciiTheme="minorHAnsi" w:hAnsiTheme="minorHAnsi" w:cstheme="minorHAnsi"/>
          <w:color w:val="222222"/>
        </w:rPr>
      </w:pPr>
      <w:r w:rsidRPr="0072584F">
        <w:rPr>
          <w:rFonts w:asciiTheme="minorHAnsi" w:hAnsiTheme="minorHAnsi" w:cstheme="minorHAnsi"/>
          <w:color w:val="222222"/>
        </w:rPr>
        <w:t>The treatment must be given concomitantly with standard of care for this condition,</w:t>
      </w:r>
    </w:p>
    <w:p w14:paraId="021FDBE1" w14:textId="77777777" w:rsidR="0072584F" w:rsidRPr="0072584F" w:rsidRDefault="0072584F" w:rsidP="0072584F">
      <w:pPr>
        <w:pStyle w:val="NormalWeb"/>
        <w:spacing w:before="240" w:beforeAutospacing="0" w:after="240" w:afterAutospacing="0" w:line="300" w:lineRule="atLeast"/>
        <w:rPr>
          <w:rFonts w:asciiTheme="minorHAnsi" w:hAnsiTheme="minorHAnsi" w:cstheme="minorHAnsi"/>
          <w:color w:val="222222"/>
        </w:rPr>
      </w:pPr>
      <w:r w:rsidRPr="0072584F">
        <w:rPr>
          <w:rFonts w:asciiTheme="minorHAnsi" w:hAnsiTheme="minorHAnsi" w:cstheme="minorHAnsi"/>
          <w:b/>
          <w:bCs/>
          <w:color w:val="222222"/>
          <w:bdr w:val="none" w:sz="0" w:space="0" w:color="auto" w:frame="1"/>
        </w:rPr>
        <w:t>AND</w:t>
      </w:r>
    </w:p>
    <w:p w14:paraId="1B42F5F2" w14:textId="77777777" w:rsidR="0072584F" w:rsidRPr="0072584F" w:rsidRDefault="0072584F" w:rsidP="0072584F">
      <w:pPr>
        <w:pStyle w:val="NormalWeb"/>
        <w:numPr>
          <w:ilvl w:val="0"/>
          <w:numId w:val="41"/>
        </w:numPr>
        <w:spacing w:before="240" w:beforeAutospacing="0" w:after="240" w:afterAutospacing="0" w:line="300" w:lineRule="atLeast"/>
        <w:ind w:left="0"/>
        <w:rPr>
          <w:rFonts w:asciiTheme="minorHAnsi" w:hAnsiTheme="minorHAnsi" w:cstheme="minorHAnsi"/>
          <w:color w:val="222222"/>
        </w:rPr>
      </w:pPr>
      <w:r w:rsidRPr="0072584F">
        <w:rPr>
          <w:rFonts w:asciiTheme="minorHAnsi" w:hAnsiTheme="minorHAnsi" w:cstheme="minorHAnsi"/>
          <w:color w:val="222222"/>
        </w:rPr>
        <w:t>The treatment must not exceed four loading doses (at days 0, 14, 28 and 63) under this restriction.</w:t>
      </w:r>
    </w:p>
    <w:p w14:paraId="72E20906" w14:textId="77777777" w:rsidR="0072584F" w:rsidRPr="0072584F" w:rsidRDefault="0072584F" w:rsidP="0072584F">
      <w:pPr>
        <w:pStyle w:val="NormalWeb"/>
        <w:spacing w:before="240" w:beforeAutospacing="0" w:after="240" w:afterAutospacing="0" w:line="300" w:lineRule="atLeast"/>
        <w:rPr>
          <w:rFonts w:asciiTheme="minorHAnsi" w:hAnsiTheme="minorHAnsi" w:cstheme="minorHAnsi"/>
          <w:color w:val="222222"/>
        </w:rPr>
      </w:pPr>
      <w:r w:rsidRPr="0072584F">
        <w:rPr>
          <w:rFonts w:asciiTheme="minorHAnsi" w:hAnsiTheme="minorHAnsi" w:cstheme="minorHAnsi"/>
          <w:b/>
          <w:bCs/>
          <w:color w:val="222222"/>
          <w:bdr w:val="none" w:sz="0" w:space="0" w:color="auto" w:frame="1"/>
        </w:rPr>
        <w:t>Population criteria:</w:t>
      </w:r>
    </w:p>
    <w:p w14:paraId="6481204A" w14:textId="77777777" w:rsidR="0072584F" w:rsidRPr="0072584F" w:rsidRDefault="0072584F" w:rsidP="0072584F">
      <w:pPr>
        <w:pStyle w:val="NormalWeb"/>
        <w:numPr>
          <w:ilvl w:val="0"/>
          <w:numId w:val="42"/>
        </w:numPr>
        <w:spacing w:before="240" w:beforeAutospacing="0" w:after="240" w:afterAutospacing="0" w:line="300" w:lineRule="atLeast"/>
        <w:ind w:left="0"/>
        <w:rPr>
          <w:rFonts w:asciiTheme="minorHAnsi" w:hAnsiTheme="minorHAnsi" w:cstheme="minorHAnsi"/>
          <w:color w:val="222222"/>
        </w:rPr>
      </w:pPr>
      <w:r w:rsidRPr="0072584F">
        <w:rPr>
          <w:rFonts w:asciiTheme="minorHAnsi" w:hAnsiTheme="minorHAnsi" w:cstheme="minorHAnsi"/>
          <w:color w:val="222222"/>
        </w:rPr>
        <w:t>Patient must be aged under 36 months prior to commencing treatment.</w:t>
      </w:r>
    </w:p>
    <w:p w14:paraId="48C0B37D" w14:textId="77777777" w:rsidR="0072584F" w:rsidRPr="0072584F" w:rsidRDefault="0072584F" w:rsidP="0072584F">
      <w:pPr>
        <w:pStyle w:val="NormalWeb"/>
        <w:spacing w:before="240" w:beforeAutospacing="0" w:after="240" w:afterAutospacing="0" w:line="300" w:lineRule="atLeast"/>
        <w:rPr>
          <w:rFonts w:asciiTheme="minorHAnsi" w:hAnsiTheme="minorHAnsi" w:cstheme="minorHAnsi"/>
          <w:color w:val="222222"/>
        </w:rPr>
      </w:pPr>
      <w:r w:rsidRPr="0072584F">
        <w:rPr>
          <w:rFonts w:asciiTheme="minorHAnsi" w:hAnsiTheme="minorHAnsi" w:cstheme="minorHAnsi"/>
          <w:color w:val="222222"/>
        </w:rPr>
        <w:t>Application for authorisation of initial treatment must be in writing (lodged via postal service or electronic upload) and must include:</w:t>
      </w:r>
    </w:p>
    <w:p w14:paraId="23B29EE0" w14:textId="77777777" w:rsidR="0072584F" w:rsidRPr="0072584F" w:rsidRDefault="0072584F" w:rsidP="0072584F">
      <w:pPr>
        <w:pStyle w:val="NormalWeb"/>
        <w:spacing w:before="0" w:beforeAutospacing="0" w:after="240" w:afterAutospacing="0" w:line="300" w:lineRule="atLeast"/>
        <w:rPr>
          <w:rFonts w:asciiTheme="minorHAnsi" w:hAnsiTheme="minorHAnsi" w:cstheme="minorHAnsi"/>
          <w:color w:val="222222"/>
        </w:rPr>
      </w:pPr>
      <w:r w:rsidRPr="0072584F">
        <w:rPr>
          <w:rFonts w:asciiTheme="minorHAnsi" w:hAnsiTheme="minorHAnsi" w:cstheme="minorHAnsi"/>
          <w:color w:val="222222"/>
        </w:rPr>
        <w:lastRenderedPageBreak/>
        <w:t>(a) a completed authority prescription form; and</w:t>
      </w:r>
    </w:p>
    <w:p w14:paraId="1685B066" w14:textId="77777777" w:rsidR="0072584F" w:rsidRPr="0072584F" w:rsidRDefault="0072584F" w:rsidP="0072584F">
      <w:pPr>
        <w:pStyle w:val="NormalWeb"/>
        <w:spacing w:before="0" w:beforeAutospacing="0" w:after="240" w:afterAutospacing="0" w:line="300" w:lineRule="atLeast"/>
        <w:rPr>
          <w:rFonts w:asciiTheme="minorHAnsi" w:hAnsiTheme="minorHAnsi" w:cstheme="minorHAnsi"/>
          <w:color w:val="222222"/>
        </w:rPr>
      </w:pPr>
      <w:r w:rsidRPr="0072584F">
        <w:rPr>
          <w:rFonts w:asciiTheme="minorHAnsi" w:hAnsiTheme="minorHAnsi" w:cstheme="minorHAnsi"/>
          <w:color w:val="222222"/>
        </w:rPr>
        <w:t>(b) a completed Spinal muscular atrophy PBS Authority Application Form which includes the following:</w:t>
      </w:r>
    </w:p>
    <w:p w14:paraId="21CCF54D" w14:textId="77777777" w:rsidR="0072584F" w:rsidRPr="0072584F" w:rsidRDefault="0072584F" w:rsidP="0072584F">
      <w:pPr>
        <w:pStyle w:val="NormalWeb"/>
        <w:spacing w:before="0" w:beforeAutospacing="0" w:after="240" w:afterAutospacing="0" w:line="300" w:lineRule="atLeast"/>
        <w:rPr>
          <w:rFonts w:asciiTheme="minorHAnsi" w:hAnsiTheme="minorHAnsi" w:cstheme="minorHAnsi"/>
          <w:color w:val="222222"/>
        </w:rPr>
      </w:pPr>
      <w:r w:rsidRPr="0072584F">
        <w:rPr>
          <w:rFonts w:asciiTheme="minorHAnsi" w:hAnsiTheme="minorHAnsi" w:cstheme="minorHAnsi"/>
          <w:color w:val="222222"/>
        </w:rPr>
        <w:t>(i) confirmation of genetic diagnosis of SMA; and</w:t>
      </w:r>
    </w:p>
    <w:p w14:paraId="4EEB3FF2" w14:textId="77777777" w:rsidR="0072584F" w:rsidRPr="0072584F" w:rsidRDefault="0072584F" w:rsidP="0072584F">
      <w:pPr>
        <w:pStyle w:val="NormalWeb"/>
        <w:spacing w:before="0" w:beforeAutospacing="0" w:after="240" w:afterAutospacing="0" w:line="300" w:lineRule="atLeast"/>
        <w:rPr>
          <w:rFonts w:asciiTheme="minorHAnsi" w:hAnsiTheme="minorHAnsi" w:cstheme="minorHAnsi"/>
          <w:color w:val="222222"/>
        </w:rPr>
      </w:pPr>
      <w:r w:rsidRPr="0072584F">
        <w:rPr>
          <w:rFonts w:asciiTheme="minorHAnsi" w:hAnsiTheme="minorHAnsi" w:cstheme="minorHAnsi"/>
          <w:color w:val="222222"/>
        </w:rPr>
        <w:t>(ii) a copy of the results substantiating the number of SMN2 gene copies determined by quantitative polymerase chain reaction (qPCR) or multiple ligation dependent probe amplification (MLPA)</w:t>
      </w:r>
    </w:p>
    <w:p w14:paraId="320110DD" w14:textId="77777777" w:rsidR="0072584F" w:rsidRPr="0072584F" w:rsidRDefault="0072584F" w:rsidP="0072584F">
      <w:pPr>
        <w:pStyle w:val="NormalWeb"/>
        <w:spacing w:before="0" w:beforeAutospacing="0" w:after="240" w:afterAutospacing="0" w:line="300" w:lineRule="atLeast"/>
        <w:rPr>
          <w:rFonts w:asciiTheme="minorHAnsi" w:hAnsiTheme="minorHAnsi" w:cstheme="minorHAnsi"/>
          <w:color w:val="222222"/>
        </w:rPr>
      </w:pPr>
      <w:r w:rsidRPr="0072584F">
        <w:rPr>
          <w:rFonts w:asciiTheme="minorHAnsi" w:hAnsiTheme="minorHAnsi" w:cstheme="minorHAnsi"/>
          <w:color w:val="222222"/>
        </w:rPr>
        <w:t>Recognised hospitals in the management of SMA are Queensland Children's Hospital (Brisbane), Royal Children's Hospital Melbourne, Monash Children's Hospital (Melbourne), John Hunter Hospital (Newcastle), Sydney Children's Hospital Randwick, Children's Hospital at Westmead, Adelaide Women and Children's Hospital and Perth Children's Hospital.</w:t>
      </w:r>
    </w:p>
    <w:p w14:paraId="6DF0C1FA" w14:textId="77777777" w:rsidR="006C3067" w:rsidRPr="006C3067" w:rsidRDefault="006C3067" w:rsidP="006C3067">
      <w:pPr>
        <w:pStyle w:val="NormalWeb"/>
        <w:spacing w:before="0" w:beforeAutospacing="0" w:after="240" w:afterAutospacing="0" w:line="300" w:lineRule="atLeast"/>
        <w:rPr>
          <w:rFonts w:asciiTheme="minorHAnsi" w:hAnsiTheme="minorHAnsi" w:cstheme="minorHAnsi"/>
          <w:b/>
          <w:i/>
          <w:color w:val="222222"/>
          <w:sz w:val="28"/>
        </w:rPr>
      </w:pPr>
      <w:r w:rsidRPr="006C3067">
        <w:rPr>
          <w:rFonts w:asciiTheme="minorHAnsi" w:hAnsiTheme="minorHAnsi" w:cstheme="minorHAnsi"/>
          <w:b/>
          <w:i/>
          <w:color w:val="222222"/>
          <w:sz w:val="28"/>
        </w:rPr>
        <w:t>Treatment Phase: Initial treatment - Loading doses</w:t>
      </w:r>
    </w:p>
    <w:p w14:paraId="484E8FE7" w14:textId="77777777" w:rsidR="006C3067" w:rsidRPr="006C3067" w:rsidRDefault="006C3067" w:rsidP="006C3067">
      <w:pPr>
        <w:pStyle w:val="NormalWeb"/>
        <w:spacing w:before="0" w:beforeAutospacing="0" w:after="240" w:afterAutospacing="0" w:line="300" w:lineRule="atLeast"/>
        <w:rPr>
          <w:rFonts w:asciiTheme="minorHAnsi" w:hAnsiTheme="minorHAnsi" w:cstheme="minorHAnsi"/>
          <w:i/>
          <w:color w:val="222222"/>
        </w:rPr>
      </w:pPr>
      <w:r w:rsidRPr="006C3067">
        <w:rPr>
          <w:rFonts w:asciiTheme="minorHAnsi" w:hAnsiTheme="minorHAnsi" w:cstheme="minorHAnsi"/>
          <w:b/>
          <w:bCs/>
          <w:i/>
          <w:color w:val="222222"/>
          <w:bdr w:val="none" w:sz="0" w:space="0" w:color="auto" w:frame="1"/>
        </w:rPr>
        <w:t>Treatment criteria:</w:t>
      </w:r>
    </w:p>
    <w:p w14:paraId="08F362F8" w14:textId="77777777" w:rsidR="006C3067" w:rsidRPr="006C3067" w:rsidRDefault="006C3067" w:rsidP="006C3067">
      <w:pPr>
        <w:pStyle w:val="NormalWeb"/>
        <w:spacing w:before="240" w:beforeAutospacing="0" w:after="240" w:afterAutospacing="0" w:line="300" w:lineRule="atLeast"/>
        <w:rPr>
          <w:rFonts w:asciiTheme="minorHAnsi" w:hAnsiTheme="minorHAnsi" w:cstheme="minorHAnsi"/>
          <w:color w:val="222222"/>
        </w:rPr>
      </w:pPr>
      <w:r w:rsidRPr="006C3067">
        <w:rPr>
          <w:rFonts w:asciiTheme="minorHAnsi" w:hAnsiTheme="minorHAnsi" w:cstheme="minorHAnsi"/>
          <w:color w:val="222222"/>
        </w:rPr>
        <w:t>Must be treated by a specialist medical practitioner experienced in the diagnosis and management of SMA associated with a neuromuscular clinic of a recognised hospital in the management of SMA; or in consultation with a specialist medical practitioner experienced in the diagnosis and management of SMA associated with a neuromuscular clinic of a recognised hospital in the management of SMA.</w:t>
      </w:r>
    </w:p>
    <w:p w14:paraId="7C287398" w14:textId="77777777" w:rsidR="006C3067" w:rsidRPr="006C3067" w:rsidRDefault="006C3067" w:rsidP="006C3067">
      <w:pPr>
        <w:pStyle w:val="NormalWeb"/>
        <w:spacing w:before="240" w:beforeAutospacing="0" w:after="240" w:afterAutospacing="0" w:line="300" w:lineRule="atLeast"/>
        <w:rPr>
          <w:rFonts w:asciiTheme="minorHAnsi" w:hAnsiTheme="minorHAnsi" w:cstheme="minorHAnsi"/>
          <w:i/>
          <w:color w:val="222222"/>
        </w:rPr>
      </w:pPr>
      <w:r w:rsidRPr="006C3067">
        <w:rPr>
          <w:rFonts w:asciiTheme="minorHAnsi" w:hAnsiTheme="minorHAnsi" w:cstheme="minorHAnsi"/>
          <w:b/>
          <w:bCs/>
          <w:i/>
          <w:color w:val="222222"/>
          <w:bdr w:val="none" w:sz="0" w:space="0" w:color="auto" w:frame="1"/>
        </w:rPr>
        <w:t>Clinical criteria:</w:t>
      </w:r>
    </w:p>
    <w:p w14:paraId="36E79491" w14:textId="77777777" w:rsidR="006C3067" w:rsidRPr="006C3067" w:rsidRDefault="006C3067" w:rsidP="006C3067">
      <w:pPr>
        <w:pStyle w:val="NormalWeb"/>
        <w:numPr>
          <w:ilvl w:val="0"/>
          <w:numId w:val="23"/>
        </w:numPr>
        <w:spacing w:before="240" w:beforeAutospacing="0" w:after="240" w:afterAutospacing="0" w:line="300" w:lineRule="atLeast"/>
        <w:ind w:left="0"/>
        <w:rPr>
          <w:rFonts w:asciiTheme="minorHAnsi" w:hAnsiTheme="minorHAnsi" w:cstheme="minorHAnsi"/>
          <w:color w:val="222222"/>
        </w:rPr>
      </w:pPr>
      <w:r w:rsidRPr="006C3067">
        <w:rPr>
          <w:rFonts w:asciiTheme="minorHAnsi" w:hAnsiTheme="minorHAnsi" w:cstheme="minorHAnsi"/>
          <w:color w:val="222222"/>
        </w:rPr>
        <w:t>The condition must 5q homozygous deletion, mutation of, or compound heterozygous mutation in the SMN1 gene of type I, II or IIIa,</w:t>
      </w:r>
    </w:p>
    <w:p w14:paraId="6D3B4C60" w14:textId="77777777" w:rsidR="006C3067" w:rsidRPr="006C3067" w:rsidRDefault="006C3067" w:rsidP="006C3067">
      <w:pPr>
        <w:pStyle w:val="NormalWeb"/>
        <w:spacing w:before="240" w:beforeAutospacing="0" w:after="240" w:afterAutospacing="0" w:line="300" w:lineRule="atLeast"/>
        <w:rPr>
          <w:rFonts w:asciiTheme="minorHAnsi" w:hAnsiTheme="minorHAnsi" w:cstheme="minorHAnsi"/>
          <w:color w:val="222222"/>
        </w:rPr>
      </w:pPr>
      <w:r w:rsidRPr="006C3067">
        <w:rPr>
          <w:rFonts w:asciiTheme="minorHAnsi" w:hAnsiTheme="minorHAnsi" w:cstheme="minorHAnsi"/>
          <w:b/>
          <w:bCs/>
          <w:color w:val="222222"/>
          <w:bdr w:val="none" w:sz="0" w:space="0" w:color="auto" w:frame="1"/>
        </w:rPr>
        <w:t>AND</w:t>
      </w:r>
    </w:p>
    <w:p w14:paraId="16EDE694" w14:textId="77777777" w:rsidR="006C3067" w:rsidRPr="006C3067" w:rsidRDefault="006C3067" w:rsidP="006C3067">
      <w:pPr>
        <w:pStyle w:val="NormalWeb"/>
        <w:numPr>
          <w:ilvl w:val="0"/>
          <w:numId w:val="24"/>
        </w:numPr>
        <w:spacing w:before="240" w:beforeAutospacing="0" w:after="240" w:afterAutospacing="0" w:line="300" w:lineRule="atLeast"/>
        <w:ind w:left="0"/>
        <w:rPr>
          <w:rFonts w:asciiTheme="minorHAnsi" w:hAnsiTheme="minorHAnsi" w:cstheme="minorHAnsi"/>
          <w:color w:val="222222"/>
        </w:rPr>
      </w:pPr>
      <w:r w:rsidRPr="006C3067">
        <w:rPr>
          <w:rFonts w:asciiTheme="minorHAnsi" w:hAnsiTheme="minorHAnsi" w:cstheme="minorHAnsi"/>
          <w:color w:val="222222"/>
        </w:rPr>
        <w:t>Patient must have experienced at least two of the defined signs and symptoms of SMA type I, II or IIIa prior to 3 years of age,</w:t>
      </w:r>
    </w:p>
    <w:p w14:paraId="3FB37E3A" w14:textId="77777777" w:rsidR="006C3067" w:rsidRPr="006C3067" w:rsidRDefault="006C3067" w:rsidP="006C3067">
      <w:pPr>
        <w:pStyle w:val="NormalWeb"/>
        <w:spacing w:before="240" w:beforeAutospacing="0" w:after="240" w:afterAutospacing="0" w:line="300" w:lineRule="atLeast"/>
        <w:rPr>
          <w:rFonts w:asciiTheme="minorHAnsi" w:hAnsiTheme="minorHAnsi" w:cstheme="minorHAnsi"/>
          <w:color w:val="222222"/>
        </w:rPr>
      </w:pPr>
      <w:r w:rsidRPr="006C3067">
        <w:rPr>
          <w:rFonts w:asciiTheme="minorHAnsi" w:hAnsiTheme="minorHAnsi" w:cstheme="minorHAnsi"/>
          <w:b/>
          <w:bCs/>
          <w:color w:val="222222"/>
          <w:bdr w:val="none" w:sz="0" w:space="0" w:color="auto" w:frame="1"/>
        </w:rPr>
        <w:t>AND</w:t>
      </w:r>
    </w:p>
    <w:p w14:paraId="63FE5554" w14:textId="77777777" w:rsidR="006C3067" w:rsidRPr="006C3067" w:rsidRDefault="006C3067" w:rsidP="006C3067">
      <w:pPr>
        <w:pStyle w:val="NormalWeb"/>
        <w:numPr>
          <w:ilvl w:val="0"/>
          <w:numId w:val="25"/>
        </w:numPr>
        <w:spacing w:before="240" w:beforeAutospacing="0" w:after="240" w:afterAutospacing="0" w:line="300" w:lineRule="atLeast"/>
        <w:ind w:left="0"/>
        <w:rPr>
          <w:rFonts w:asciiTheme="minorHAnsi" w:hAnsiTheme="minorHAnsi" w:cstheme="minorHAnsi"/>
          <w:color w:val="222222"/>
        </w:rPr>
      </w:pPr>
      <w:r w:rsidRPr="006C3067">
        <w:rPr>
          <w:rFonts w:asciiTheme="minorHAnsi" w:hAnsiTheme="minorHAnsi" w:cstheme="minorHAnsi"/>
          <w:color w:val="222222"/>
        </w:rPr>
        <w:t>The treatment must be given concomitantly with standard of care for this condition,</w:t>
      </w:r>
    </w:p>
    <w:p w14:paraId="2F1C64B0" w14:textId="77777777" w:rsidR="006C3067" w:rsidRPr="006C3067" w:rsidRDefault="006C3067" w:rsidP="006C3067">
      <w:pPr>
        <w:pStyle w:val="NormalWeb"/>
        <w:spacing w:before="240" w:beforeAutospacing="0" w:after="240" w:afterAutospacing="0" w:line="300" w:lineRule="atLeast"/>
        <w:rPr>
          <w:rFonts w:asciiTheme="minorHAnsi" w:hAnsiTheme="minorHAnsi" w:cstheme="minorHAnsi"/>
          <w:color w:val="222222"/>
        </w:rPr>
      </w:pPr>
      <w:r w:rsidRPr="006C3067">
        <w:rPr>
          <w:rFonts w:asciiTheme="minorHAnsi" w:hAnsiTheme="minorHAnsi" w:cstheme="minorHAnsi"/>
          <w:b/>
          <w:bCs/>
          <w:color w:val="222222"/>
          <w:bdr w:val="none" w:sz="0" w:space="0" w:color="auto" w:frame="1"/>
        </w:rPr>
        <w:t>AND</w:t>
      </w:r>
    </w:p>
    <w:p w14:paraId="6F4F805D" w14:textId="77777777" w:rsidR="006C3067" w:rsidRPr="006C3067" w:rsidRDefault="006C3067" w:rsidP="006C3067">
      <w:pPr>
        <w:pStyle w:val="NormalWeb"/>
        <w:numPr>
          <w:ilvl w:val="0"/>
          <w:numId w:val="26"/>
        </w:numPr>
        <w:spacing w:before="240" w:beforeAutospacing="0" w:after="240" w:afterAutospacing="0" w:line="300" w:lineRule="atLeast"/>
        <w:ind w:left="0"/>
        <w:rPr>
          <w:rFonts w:asciiTheme="minorHAnsi" w:hAnsiTheme="minorHAnsi" w:cstheme="minorHAnsi"/>
          <w:color w:val="222222"/>
        </w:rPr>
      </w:pPr>
      <w:r w:rsidRPr="006C3067">
        <w:rPr>
          <w:rFonts w:asciiTheme="minorHAnsi" w:hAnsiTheme="minorHAnsi" w:cstheme="minorHAnsi"/>
          <w:color w:val="222222"/>
        </w:rPr>
        <w:t>The treatment must not exceed four loading doses (at days 0, 14, 28 and 63) under this restriction.</w:t>
      </w:r>
    </w:p>
    <w:p w14:paraId="57FC541D" w14:textId="77777777" w:rsidR="006C3067" w:rsidRPr="006C3067" w:rsidRDefault="006C3067" w:rsidP="006C3067">
      <w:pPr>
        <w:pStyle w:val="NormalWeb"/>
        <w:spacing w:before="240" w:beforeAutospacing="0" w:after="240" w:afterAutospacing="0" w:line="300" w:lineRule="atLeast"/>
        <w:rPr>
          <w:rFonts w:asciiTheme="minorHAnsi" w:hAnsiTheme="minorHAnsi" w:cstheme="minorHAnsi"/>
          <w:i/>
          <w:color w:val="222222"/>
        </w:rPr>
      </w:pPr>
      <w:r w:rsidRPr="006C3067">
        <w:rPr>
          <w:rFonts w:asciiTheme="minorHAnsi" w:hAnsiTheme="minorHAnsi" w:cstheme="minorHAnsi"/>
          <w:b/>
          <w:bCs/>
          <w:i/>
          <w:color w:val="222222"/>
          <w:bdr w:val="none" w:sz="0" w:space="0" w:color="auto" w:frame="1"/>
        </w:rPr>
        <w:t>Population criteria:</w:t>
      </w:r>
    </w:p>
    <w:p w14:paraId="0633BEC5" w14:textId="77777777" w:rsidR="006C3067" w:rsidRPr="006C3067" w:rsidRDefault="006C3067" w:rsidP="006C3067">
      <w:pPr>
        <w:pStyle w:val="NormalWeb"/>
        <w:numPr>
          <w:ilvl w:val="0"/>
          <w:numId w:val="27"/>
        </w:numPr>
        <w:spacing w:before="240" w:beforeAutospacing="0" w:after="240" w:afterAutospacing="0" w:line="300" w:lineRule="atLeast"/>
        <w:ind w:left="0"/>
        <w:rPr>
          <w:rFonts w:asciiTheme="minorHAnsi" w:hAnsiTheme="minorHAnsi" w:cstheme="minorHAnsi"/>
          <w:color w:val="222222"/>
        </w:rPr>
      </w:pPr>
      <w:r w:rsidRPr="006C3067">
        <w:rPr>
          <w:rFonts w:asciiTheme="minorHAnsi" w:hAnsiTheme="minorHAnsi" w:cstheme="minorHAnsi"/>
          <w:color w:val="222222"/>
        </w:rPr>
        <w:t>Patient must be 18 years of age or under.</w:t>
      </w:r>
    </w:p>
    <w:p w14:paraId="0A2A4411" w14:textId="77777777" w:rsidR="006C3067" w:rsidRPr="006C3067" w:rsidRDefault="006C3067" w:rsidP="006C3067">
      <w:pPr>
        <w:pStyle w:val="NormalWeb"/>
        <w:spacing w:before="240" w:beforeAutospacing="0" w:after="240" w:afterAutospacing="0" w:line="300" w:lineRule="atLeast"/>
        <w:rPr>
          <w:rFonts w:asciiTheme="minorHAnsi" w:hAnsiTheme="minorHAnsi" w:cstheme="minorHAnsi"/>
          <w:color w:val="222222"/>
        </w:rPr>
      </w:pPr>
      <w:r w:rsidRPr="006C3067">
        <w:rPr>
          <w:rFonts w:asciiTheme="minorHAnsi" w:hAnsiTheme="minorHAnsi" w:cstheme="minorHAnsi"/>
          <w:color w:val="222222"/>
        </w:rPr>
        <w:lastRenderedPageBreak/>
        <w:t>Defined signs and symptoms of type I SMA are:</w:t>
      </w:r>
    </w:p>
    <w:p w14:paraId="1281F202" w14:textId="77777777" w:rsidR="006C3067" w:rsidRPr="006C3067" w:rsidRDefault="006C3067" w:rsidP="006C3067">
      <w:pPr>
        <w:pStyle w:val="NormalWeb"/>
        <w:spacing w:before="0" w:beforeAutospacing="0" w:after="240" w:afterAutospacing="0" w:line="300" w:lineRule="atLeast"/>
        <w:rPr>
          <w:rFonts w:asciiTheme="minorHAnsi" w:hAnsiTheme="minorHAnsi" w:cstheme="minorHAnsi"/>
          <w:color w:val="222222"/>
        </w:rPr>
      </w:pPr>
      <w:r w:rsidRPr="006C3067">
        <w:rPr>
          <w:rFonts w:asciiTheme="minorHAnsi" w:hAnsiTheme="minorHAnsi" w:cstheme="minorHAnsi"/>
          <w:color w:val="222222"/>
        </w:rPr>
        <w:t>i) Onset before 6 months of age; and</w:t>
      </w:r>
    </w:p>
    <w:p w14:paraId="1E2DE230" w14:textId="77777777" w:rsidR="006C3067" w:rsidRPr="006C3067" w:rsidRDefault="006C3067" w:rsidP="006C3067">
      <w:pPr>
        <w:pStyle w:val="NormalWeb"/>
        <w:spacing w:before="0" w:beforeAutospacing="0" w:after="240" w:afterAutospacing="0" w:line="300" w:lineRule="atLeast"/>
        <w:rPr>
          <w:rFonts w:asciiTheme="minorHAnsi" w:hAnsiTheme="minorHAnsi" w:cstheme="minorHAnsi"/>
          <w:color w:val="222222"/>
        </w:rPr>
      </w:pPr>
      <w:r w:rsidRPr="006C3067">
        <w:rPr>
          <w:rFonts w:asciiTheme="minorHAnsi" w:hAnsiTheme="minorHAnsi" w:cstheme="minorHAnsi"/>
          <w:color w:val="222222"/>
        </w:rPr>
        <w:t>ii) Failure to meet or regression in ability to perform age-appropriate motor milestones; or</w:t>
      </w:r>
    </w:p>
    <w:p w14:paraId="614B0C66" w14:textId="77777777" w:rsidR="006C3067" w:rsidRPr="006C3067" w:rsidRDefault="006C3067" w:rsidP="006C3067">
      <w:pPr>
        <w:pStyle w:val="NormalWeb"/>
        <w:spacing w:before="0" w:beforeAutospacing="0" w:after="240" w:afterAutospacing="0" w:line="300" w:lineRule="atLeast"/>
        <w:rPr>
          <w:rFonts w:asciiTheme="minorHAnsi" w:hAnsiTheme="minorHAnsi" w:cstheme="minorHAnsi"/>
          <w:color w:val="222222"/>
        </w:rPr>
      </w:pPr>
      <w:r w:rsidRPr="006C3067">
        <w:rPr>
          <w:rFonts w:asciiTheme="minorHAnsi" w:hAnsiTheme="minorHAnsi" w:cstheme="minorHAnsi"/>
          <w:color w:val="222222"/>
        </w:rPr>
        <w:t>iii) Proximal weakness; or</w:t>
      </w:r>
    </w:p>
    <w:p w14:paraId="17279167" w14:textId="77777777" w:rsidR="006C3067" w:rsidRPr="006C3067" w:rsidRDefault="006C3067" w:rsidP="006C3067">
      <w:pPr>
        <w:pStyle w:val="NormalWeb"/>
        <w:spacing w:before="0" w:beforeAutospacing="0" w:after="240" w:afterAutospacing="0" w:line="300" w:lineRule="atLeast"/>
        <w:rPr>
          <w:rFonts w:asciiTheme="minorHAnsi" w:hAnsiTheme="minorHAnsi" w:cstheme="minorHAnsi"/>
          <w:color w:val="222222"/>
        </w:rPr>
      </w:pPr>
      <w:r w:rsidRPr="006C3067">
        <w:rPr>
          <w:rFonts w:asciiTheme="minorHAnsi" w:hAnsiTheme="minorHAnsi" w:cstheme="minorHAnsi"/>
          <w:color w:val="222222"/>
        </w:rPr>
        <w:t>iv) Hypotonia; or</w:t>
      </w:r>
    </w:p>
    <w:p w14:paraId="6401E8EB" w14:textId="77777777" w:rsidR="006C3067" w:rsidRPr="006C3067" w:rsidRDefault="006C3067" w:rsidP="006C3067">
      <w:pPr>
        <w:pStyle w:val="NormalWeb"/>
        <w:spacing w:before="0" w:beforeAutospacing="0" w:after="240" w:afterAutospacing="0" w:line="300" w:lineRule="atLeast"/>
        <w:rPr>
          <w:rFonts w:asciiTheme="minorHAnsi" w:hAnsiTheme="minorHAnsi" w:cstheme="minorHAnsi"/>
          <w:color w:val="222222"/>
        </w:rPr>
      </w:pPr>
      <w:r w:rsidRPr="006C3067">
        <w:rPr>
          <w:rFonts w:asciiTheme="minorHAnsi" w:hAnsiTheme="minorHAnsi" w:cstheme="minorHAnsi"/>
          <w:color w:val="222222"/>
        </w:rPr>
        <w:t>v) Absence of deep tendon reflexes; or</w:t>
      </w:r>
    </w:p>
    <w:p w14:paraId="38516AAB" w14:textId="77777777" w:rsidR="006C3067" w:rsidRPr="006C3067" w:rsidRDefault="006C3067" w:rsidP="006C3067">
      <w:pPr>
        <w:pStyle w:val="NormalWeb"/>
        <w:spacing w:before="0" w:beforeAutospacing="0" w:after="240" w:afterAutospacing="0" w:line="300" w:lineRule="atLeast"/>
        <w:rPr>
          <w:rFonts w:asciiTheme="minorHAnsi" w:hAnsiTheme="minorHAnsi" w:cstheme="minorHAnsi"/>
          <w:color w:val="222222"/>
        </w:rPr>
      </w:pPr>
      <w:r w:rsidRPr="006C3067">
        <w:rPr>
          <w:rFonts w:asciiTheme="minorHAnsi" w:hAnsiTheme="minorHAnsi" w:cstheme="minorHAnsi"/>
          <w:color w:val="222222"/>
        </w:rPr>
        <w:t>vi) Failure to gain weight appropriate for age; or</w:t>
      </w:r>
    </w:p>
    <w:p w14:paraId="26760028" w14:textId="77777777" w:rsidR="006C3067" w:rsidRPr="006C3067" w:rsidRDefault="006C3067" w:rsidP="006C3067">
      <w:pPr>
        <w:pStyle w:val="NormalWeb"/>
        <w:spacing w:before="0" w:beforeAutospacing="0" w:after="240" w:afterAutospacing="0" w:line="300" w:lineRule="atLeast"/>
        <w:rPr>
          <w:rFonts w:asciiTheme="minorHAnsi" w:hAnsiTheme="minorHAnsi" w:cstheme="minorHAnsi"/>
          <w:color w:val="222222"/>
        </w:rPr>
      </w:pPr>
      <w:r w:rsidRPr="006C3067">
        <w:rPr>
          <w:rFonts w:asciiTheme="minorHAnsi" w:hAnsiTheme="minorHAnsi" w:cstheme="minorHAnsi"/>
          <w:color w:val="222222"/>
        </w:rPr>
        <w:t>vii) Any active chronic neurogenic changes; or</w:t>
      </w:r>
    </w:p>
    <w:p w14:paraId="17F0D6CD" w14:textId="77777777" w:rsidR="006C3067" w:rsidRPr="006C3067" w:rsidRDefault="006C3067" w:rsidP="006C3067">
      <w:pPr>
        <w:pStyle w:val="NormalWeb"/>
        <w:spacing w:before="0" w:beforeAutospacing="0" w:after="240" w:afterAutospacing="0" w:line="300" w:lineRule="atLeast"/>
        <w:rPr>
          <w:rFonts w:asciiTheme="minorHAnsi" w:hAnsiTheme="minorHAnsi" w:cstheme="minorHAnsi"/>
          <w:color w:val="222222"/>
        </w:rPr>
      </w:pPr>
      <w:r w:rsidRPr="006C3067">
        <w:rPr>
          <w:rFonts w:asciiTheme="minorHAnsi" w:hAnsiTheme="minorHAnsi" w:cstheme="minorHAnsi"/>
          <w:color w:val="222222"/>
        </w:rPr>
        <w:t>viii) A compound muscle action potential below normative values for an age-matched child.</w:t>
      </w:r>
    </w:p>
    <w:p w14:paraId="0D6D28E7" w14:textId="77777777" w:rsidR="006C3067" w:rsidRPr="006C3067" w:rsidRDefault="006C3067" w:rsidP="006C3067">
      <w:pPr>
        <w:pStyle w:val="NormalWeb"/>
        <w:spacing w:before="0" w:beforeAutospacing="0" w:after="240" w:afterAutospacing="0" w:line="300" w:lineRule="atLeast"/>
        <w:rPr>
          <w:rFonts w:asciiTheme="minorHAnsi" w:hAnsiTheme="minorHAnsi" w:cstheme="minorHAnsi"/>
          <w:color w:val="222222"/>
        </w:rPr>
      </w:pPr>
      <w:r w:rsidRPr="006C3067">
        <w:rPr>
          <w:rFonts w:asciiTheme="minorHAnsi" w:hAnsiTheme="minorHAnsi" w:cstheme="minorHAnsi"/>
          <w:color w:val="222222"/>
        </w:rPr>
        <w:t>Defined signs and symptoms of type II SMA are:</w:t>
      </w:r>
    </w:p>
    <w:p w14:paraId="2FC6E2C3" w14:textId="77777777" w:rsidR="006C3067" w:rsidRPr="006C3067" w:rsidRDefault="006C3067" w:rsidP="006C3067">
      <w:pPr>
        <w:pStyle w:val="NormalWeb"/>
        <w:spacing w:before="0" w:beforeAutospacing="0" w:after="240" w:afterAutospacing="0" w:line="300" w:lineRule="atLeast"/>
        <w:rPr>
          <w:rFonts w:asciiTheme="minorHAnsi" w:hAnsiTheme="minorHAnsi" w:cstheme="minorHAnsi"/>
          <w:color w:val="222222"/>
        </w:rPr>
      </w:pPr>
      <w:r w:rsidRPr="006C3067">
        <w:rPr>
          <w:rFonts w:asciiTheme="minorHAnsi" w:hAnsiTheme="minorHAnsi" w:cstheme="minorHAnsi"/>
          <w:color w:val="222222"/>
        </w:rPr>
        <w:t>i) Onset between 6 and 18 months; and</w:t>
      </w:r>
    </w:p>
    <w:p w14:paraId="7BF61932" w14:textId="77777777" w:rsidR="006C3067" w:rsidRPr="006C3067" w:rsidRDefault="006C3067" w:rsidP="006C3067">
      <w:pPr>
        <w:pStyle w:val="NormalWeb"/>
        <w:spacing w:before="0" w:beforeAutospacing="0" w:after="240" w:afterAutospacing="0" w:line="300" w:lineRule="atLeast"/>
        <w:rPr>
          <w:rFonts w:asciiTheme="minorHAnsi" w:hAnsiTheme="minorHAnsi" w:cstheme="minorHAnsi"/>
          <w:color w:val="222222"/>
        </w:rPr>
      </w:pPr>
      <w:r w:rsidRPr="006C3067">
        <w:rPr>
          <w:rFonts w:asciiTheme="minorHAnsi" w:hAnsiTheme="minorHAnsi" w:cstheme="minorHAnsi"/>
          <w:color w:val="222222"/>
        </w:rPr>
        <w:t>ii) Failure to meet or regression in ability to perform age-appropriate motor milestones; or</w:t>
      </w:r>
    </w:p>
    <w:p w14:paraId="2B318282" w14:textId="77777777" w:rsidR="006C3067" w:rsidRPr="006C3067" w:rsidRDefault="006C3067" w:rsidP="006C3067">
      <w:pPr>
        <w:pStyle w:val="NormalWeb"/>
        <w:spacing w:before="0" w:beforeAutospacing="0" w:after="240" w:afterAutospacing="0" w:line="300" w:lineRule="atLeast"/>
        <w:rPr>
          <w:rFonts w:asciiTheme="minorHAnsi" w:hAnsiTheme="minorHAnsi" w:cstheme="minorHAnsi"/>
          <w:color w:val="222222"/>
        </w:rPr>
      </w:pPr>
      <w:r w:rsidRPr="006C3067">
        <w:rPr>
          <w:rFonts w:asciiTheme="minorHAnsi" w:hAnsiTheme="minorHAnsi" w:cstheme="minorHAnsi"/>
          <w:color w:val="222222"/>
        </w:rPr>
        <w:t>iii) Proximal weakness; or</w:t>
      </w:r>
    </w:p>
    <w:p w14:paraId="25688C12" w14:textId="77777777" w:rsidR="006C3067" w:rsidRPr="006C3067" w:rsidRDefault="006C3067" w:rsidP="006C3067">
      <w:pPr>
        <w:pStyle w:val="NormalWeb"/>
        <w:spacing w:before="0" w:beforeAutospacing="0" w:after="240" w:afterAutospacing="0" w:line="300" w:lineRule="atLeast"/>
        <w:rPr>
          <w:rFonts w:asciiTheme="minorHAnsi" w:hAnsiTheme="minorHAnsi" w:cstheme="minorHAnsi"/>
          <w:color w:val="222222"/>
        </w:rPr>
      </w:pPr>
      <w:r w:rsidRPr="006C3067">
        <w:rPr>
          <w:rFonts w:asciiTheme="minorHAnsi" w:hAnsiTheme="minorHAnsi" w:cstheme="minorHAnsi"/>
          <w:color w:val="222222"/>
        </w:rPr>
        <w:t>iv) Weakness in trunk righting/derotation; or</w:t>
      </w:r>
    </w:p>
    <w:p w14:paraId="36D25606" w14:textId="77777777" w:rsidR="006C3067" w:rsidRPr="006C3067" w:rsidRDefault="006C3067" w:rsidP="006C3067">
      <w:pPr>
        <w:pStyle w:val="NormalWeb"/>
        <w:spacing w:before="0" w:beforeAutospacing="0" w:after="240" w:afterAutospacing="0" w:line="300" w:lineRule="atLeast"/>
        <w:rPr>
          <w:rFonts w:asciiTheme="minorHAnsi" w:hAnsiTheme="minorHAnsi" w:cstheme="minorHAnsi"/>
          <w:color w:val="222222"/>
        </w:rPr>
      </w:pPr>
      <w:r w:rsidRPr="006C3067">
        <w:rPr>
          <w:rFonts w:asciiTheme="minorHAnsi" w:hAnsiTheme="minorHAnsi" w:cstheme="minorHAnsi"/>
          <w:color w:val="222222"/>
        </w:rPr>
        <w:t>v) Hypotonia; or</w:t>
      </w:r>
    </w:p>
    <w:p w14:paraId="3E3AE298" w14:textId="77777777" w:rsidR="006C3067" w:rsidRPr="006C3067" w:rsidRDefault="006C3067" w:rsidP="006C3067">
      <w:pPr>
        <w:pStyle w:val="NormalWeb"/>
        <w:spacing w:before="0" w:beforeAutospacing="0" w:after="240" w:afterAutospacing="0" w:line="300" w:lineRule="atLeast"/>
        <w:rPr>
          <w:rFonts w:asciiTheme="minorHAnsi" w:hAnsiTheme="minorHAnsi" w:cstheme="minorHAnsi"/>
          <w:color w:val="222222"/>
        </w:rPr>
      </w:pPr>
      <w:r w:rsidRPr="006C3067">
        <w:rPr>
          <w:rFonts w:asciiTheme="minorHAnsi" w:hAnsiTheme="minorHAnsi" w:cstheme="minorHAnsi"/>
          <w:color w:val="222222"/>
        </w:rPr>
        <w:t>vi) Absence of deep tendon reflexes; or</w:t>
      </w:r>
    </w:p>
    <w:p w14:paraId="7413C6D2" w14:textId="77777777" w:rsidR="006C3067" w:rsidRPr="006C3067" w:rsidRDefault="006C3067" w:rsidP="006C3067">
      <w:pPr>
        <w:pStyle w:val="NormalWeb"/>
        <w:spacing w:before="0" w:beforeAutospacing="0" w:after="240" w:afterAutospacing="0" w:line="300" w:lineRule="atLeast"/>
        <w:rPr>
          <w:rFonts w:asciiTheme="minorHAnsi" w:hAnsiTheme="minorHAnsi" w:cstheme="minorHAnsi"/>
          <w:color w:val="222222"/>
        </w:rPr>
      </w:pPr>
      <w:r w:rsidRPr="006C3067">
        <w:rPr>
          <w:rFonts w:asciiTheme="minorHAnsi" w:hAnsiTheme="minorHAnsi" w:cstheme="minorHAnsi"/>
          <w:color w:val="222222"/>
        </w:rPr>
        <w:t>vii) Failure to gain weight appropriate for age; or</w:t>
      </w:r>
    </w:p>
    <w:p w14:paraId="35BF4BD1" w14:textId="77777777" w:rsidR="006C3067" w:rsidRPr="006C3067" w:rsidRDefault="006C3067" w:rsidP="006C3067">
      <w:pPr>
        <w:pStyle w:val="NormalWeb"/>
        <w:spacing w:before="0" w:beforeAutospacing="0" w:after="240" w:afterAutospacing="0" w:line="300" w:lineRule="atLeast"/>
        <w:rPr>
          <w:rFonts w:asciiTheme="minorHAnsi" w:hAnsiTheme="minorHAnsi" w:cstheme="minorHAnsi"/>
          <w:color w:val="222222"/>
        </w:rPr>
      </w:pPr>
      <w:r w:rsidRPr="006C3067">
        <w:rPr>
          <w:rFonts w:asciiTheme="minorHAnsi" w:hAnsiTheme="minorHAnsi" w:cstheme="minorHAnsi"/>
          <w:color w:val="222222"/>
        </w:rPr>
        <w:t>viii) Any active chronic neurogenic changes; or</w:t>
      </w:r>
    </w:p>
    <w:p w14:paraId="06CC6F90" w14:textId="77777777" w:rsidR="006C3067" w:rsidRPr="006C3067" w:rsidRDefault="006C3067" w:rsidP="006C3067">
      <w:pPr>
        <w:pStyle w:val="NormalWeb"/>
        <w:spacing w:before="0" w:beforeAutospacing="0" w:after="240" w:afterAutospacing="0" w:line="300" w:lineRule="atLeast"/>
        <w:rPr>
          <w:rFonts w:asciiTheme="minorHAnsi" w:hAnsiTheme="minorHAnsi" w:cstheme="minorHAnsi"/>
          <w:color w:val="222222"/>
        </w:rPr>
      </w:pPr>
      <w:r w:rsidRPr="006C3067">
        <w:rPr>
          <w:rFonts w:asciiTheme="minorHAnsi" w:hAnsiTheme="minorHAnsi" w:cstheme="minorHAnsi"/>
          <w:color w:val="222222"/>
        </w:rPr>
        <w:t>ix) A compound muscle action potential below normative values for an age-matched child.</w:t>
      </w:r>
    </w:p>
    <w:p w14:paraId="6BE0AA99" w14:textId="77777777" w:rsidR="006C3067" w:rsidRPr="006C3067" w:rsidRDefault="006C3067" w:rsidP="006C3067">
      <w:pPr>
        <w:pStyle w:val="NormalWeb"/>
        <w:spacing w:before="0" w:beforeAutospacing="0" w:after="240" w:afterAutospacing="0" w:line="300" w:lineRule="atLeast"/>
        <w:rPr>
          <w:rFonts w:asciiTheme="minorHAnsi" w:hAnsiTheme="minorHAnsi" w:cstheme="minorHAnsi"/>
          <w:color w:val="222222"/>
        </w:rPr>
      </w:pPr>
      <w:r w:rsidRPr="006C3067">
        <w:rPr>
          <w:rFonts w:asciiTheme="minorHAnsi" w:hAnsiTheme="minorHAnsi" w:cstheme="minorHAnsi"/>
          <w:color w:val="222222"/>
        </w:rPr>
        <w:t>Defined signs and symptoms of type IIIa SMA are:</w:t>
      </w:r>
    </w:p>
    <w:p w14:paraId="24FD8DC5" w14:textId="77777777" w:rsidR="006C3067" w:rsidRPr="006C3067" w:rsidRDefault="006C3067" w:rsidP="006C3067">
      <w:pPr>
        <w:pStyle w:val="NormalWeb"/>
        <w:spacing w:before="0" w:beforeAutospacing="0" w:after="240" w:afterAutospacing="0" w:line="300" w:lineRule="atLeast"/>
        <w:rPr>
          <w:rFonts w:asciiTheme="minorHAnsi" w:hAnsiTheme="minorHAnsi" w:cstheme="minorHAnsi"/>
          <w:color w:val="222222"/>
        </w:rPr>
      </w:pPr>
      <w:r w:rsidRPr="006C3067">
        <w:rPr>
          <w:rFonts w:asciiTheme="minorHAnsi" w:hAnsiTheme="minorHAnsi" w:cstheme="minorHAnsi"/>
          <w:color w:val="222222"/>
        </w:rPr>
        <w:t>i) Onset between 18 months and 3 years of age; and</w:t>
      </w:r>
    </w:p>
    <w:p w14:paraId="2E347E7B" w14:textId="77777777" w:rsidR="006C3067" w:rsidRPr="006C3067" w:rsidRDefault="006C3067" w:rsidP="006C3067">
      <w:pPr>
        <w:pStyle w:val="NormalWeb"/>
        <w:spacing w:before="0" w:beforeAutospacing="0" w:after="240" w:afterAutospacing="0" w:line="300" w:lineRule="atLeast"/>
        <w:rPr>
          <w:rFonts w:asciiTheme="minorHAnsi" w:hAnsiTheme="minorHAnsi" w:cstheme="minorHAnsi"/>
          <w:color w:val="222222"/>
        </w:rPr>
      </w:pPr>
      <w:r w:rsidRPr="006C3067">
        <w:rPr>
          <w:rFonts w:asciiTheme="minorHAnsi" w:hAnsiTheme="minorHAnsi" w:cstheme="minorHAnsi"/>
          <w:color w:val="222222"/>
        </w:rPr>
        <w:t>ii) Failure to meet or regression in ability to perform age-appropriate motor milestones; or</w:t>
      </w:r>
    </w:p>
    <w:p w14:paraId="2EE50C34" w14:textId="77777777" w:rsidR="006C3067" w:rsidRPr="006C3067" w:rsidRDefault="006C3067" w:rsidP="006C3067">
      <w:pPr>
        <w:pStyle w:val="NormalWeb"/>
        <w:spacing w:before="0" w:beforeAutospacing="0" w:after="240" w:afterAutospacing="0" w:line="300" w:lineRule="atLeast"/>
        <w:rPr>
          <w:rFonts w:asciiTheme="minorHAnsi" w:hAnsiTheme="minorHAnsi" w:cstheme="minorHAnsi"/>
          <w:color w:val="222222"/>
        </w:rPr>
      </w:pPr>
      <w:r w:rsidRPr="006C3067">
        <w:rPr>
          <w:rFonts w:asciiTheme="minorHAnsi" w:hAnsiTheme="minorHAnsi" w:cstheme="minorHAnsi"/>
          <w:color w:val="222222"/>
        </w:rPr>
        <w:t>iii) Proximal weakness; or</w:t>
      </w:r>
    </w:p>
    <w:p w14:paraId="2411E05D" w14:textId="77777777" w:rsidR="006C3067" w:rsidRPr="006C3067" w:rsidRDefault="006C3067" w:rsidP="006C3067">
      <w:pPr>
        <w:pStyle w:val="NormalWeb"/>
        <w:spacing w:before="0" w:beforeAutospacing="0" w:after="240" w:afterAutospacing="0" w:line="300" w:lineRule="atLeast"/>
        <w:rPr>
          <w:rFonts w:asciiTheme="minorHAnsi" w:hAnsiTheme="minorHAnsi" w:cstheme="minorHAnsi"/>
          <w:color w:val="222222"/>
        </w:rPr>
      </w:pPr>
      <w:r w:rsidRPr="006C3067">
        <w:rPr>
          <w:rFonts w:asciiTheme="minorHAnsi" w:hAnsiTheme="minorHAnsi" w:cstheme="minorHAnsi"/>
          <w:color w:val="222222"/>
        </w:rPr>
        <w:t>iv) Hypotonia; or</w:t>
      </w:r>
    </w:p>
    <w:p w14:paraId="5CD90F79" w14:textId="77777777" w:rsidR="006C3067" w:rsidRPr="006C3067" w:rsidRDefault="006C3067" w:rsidP="006C3067">
      <w:pPr>
        <w:pStyle w:val="NormalWeb"/>
        <w:spacing w:before="0" w:beforeAutospacing="0" w:after="240" w:afterAutospacing="0" w:line="300" w:lineRule="atLeast"/>
        <w:rPr>
          <w:rFonts w:asciiTheme="minorHAnsi" w:hAnsiTheme="minorHAnsi" w:cstheme="minorHAnsi"/>
          <w:color w:val="222222"/>
        </w:rPr>
      </w:pPr>
      <w:r w:rsidRPr="006C3067">
        <w:rPr>
          <w:rFonts w:asciiTheme="minorHAnsi" w:hAnsiTheme="minorHAnsi" w:cstheme="minorHAnsi"/>
          <w:color w:val="222222"/>
        </w:rPr>
        <w:t>v) Absence of deep tendon reflexes; or</w:t>
      </w:r>
    </w:p>
    <w:p w14:paraId="0E337DEF" w14:textId="77777777" w:rsidR="006C3067" w:rsidRPr="006C3067" w:rsidRDefault="006C3067" w:rsidP="006C3067">
      <w:pPr>
        <w:pStyle w:val="NormalWeb"/>
        <w:spacing w:before="0" w:beforeAutospacing="0" w:after="240" w:afterAutospacing="0" w:line="300" w:lineRule="atLeast"/>
        <w:rPr>
          <w:rFonts w:asciiTheme="minorHAnsi" w:hAnsiTheme="minorHAnsi" w:cstheme="minorHAnsi"/>
          <w:color w:val="222222"/>
        </w:rPr>
      </w:pPr>
      <w:r w:rsidRPr="006C3067">
        <w:rPr>
          <w:rFonts w:asciiTheme="minorHAnsi" w:hAnsiTheme="minorHAnsi" w:cstheme="minorHAnsi"/>
          <w:color w:val="222222"/>
        </w:rPr>
        <w:lastRenderedPageBreak/>
        <w:t>vi) Failure to gain weight appropriate for age; or</w:t>
      </w:r>
    </w:p>
    <w:p w14:paraId="6872FFA8" w14:textId="77777777" w:rsidR="006C3067" w:rsidRPr="006C3067" w:rsidRDefault="006C3067" w:rsidP="006C3067">
      <w:pPr>
        <w:pStyle w:val="NormalWeb"/>
        <w:spacing w:before="0" w:beforeAutospacing="0" w:after="240" w:afterAutospacing="0" w:line="300" w:lineRule="atLeast"/>
        <w:rPr>
          <w:rFonts w:asciiTheme="minorHAnsi" w:hAnsiTheme="minorHAnsi" w:cstheme="minorHAnsi"/>
          <w:color w:val="222222"/>
        </w:rPr>
      </w:pPr>
      <w:r w:rsidRPr="006C3067">
        <w:rPr>
          <w:rFonts w:asciiTheme="minorHAnsi" w:hAnsiTheme="minorHAnsi" w:cstheme="minorHAnsi"/>
          <w:color w:val="222222"/>
        </w:rPr>
        <w:t>vii) Any active chronic neurogenic changes; or</w:t>
      </w:r>
    </w:p>
    <w:p w14:paraId="1EC6B4F6" w14:textId="77777777" w:rsidR="006C3067" w:rsidRPr="006C3067" w:rsidRDefault="006C3067" w:rsidP="006C3067">
      <w:pPr>
        <w:pStyle w:val="NormalWeb"/>
        <w:spacing w:before="0" w:beforeAutospacing="0" w:after="240" w:afterAutospacing="0" w:line="300" w:lineRule="atLeast"/>
        <w:rPr>
          <w:rFonts w:asciiTheme="minorHAnsi" w:hAnsiTheme="minorHAnsi" w:cstheme="minorHAnsi"/>
          <w:color w:val="222222"/>
        </w:rPr>
      </w:pPr>
      <w:r w:rsidRPr="006C3067">
        <w:rPr>
          <w:rFonts w:asciiTheme="minorHAnsi" w:hAnsiTheme="minorHAnsi" w:cstheme="minorHAnsi"/>
          <w:color w:val="222222"/>
        </w:rPr>
        <w:t>viii) A compound muscle action potential below normative values for an age-matched child.</w:t>
      </w:r>
    </w:p>
    <w:p w14:paraId="48190E8B" w14:textId="77777777" w:rsidR="006C3067" w:rsidRPr="006C3067" w:rsidRDefault="006C3067" w:rsidP="006C3067">
      <w:pPr>
        <w:pStyle w:val="NormalWeb"/>
        <w:spacing w:before="0" w:beforeAutospacing="0" w:after="240" w:afterAutospacing="0" w:line="300" w:lineRule="atLeast"/>
        <w:rPr>
          <w:rFonts w:asciiTheme="minorHAnsi" w:hAnsiTheme="minorHAnsi" w:cstheme="minorHAnsi"/>
          <w:color w:val="222222"/>
        </w:rPr>
      </w:pPr>
      <w:r w:rsidRPr="006C3067">
        <w:rPr>
          <w:rFonts w:asciiTheme="minorHAnsi" w:hAnsiTheme="minorHAnsi" w:cstheme="minorHAnsi"/>
          <w:color w:val="222222"/>
        </w:rPr>
        <w:t>Recognised hospitals in the management of SMA are Lady Cilento Children's Hospital (Brisbane), Royal Children's Hospital Melbourne, Monash Children's Hospital (Melbourne), John Hunter Hospital (Newcastle), Sydney Children's Hospital Randwick, Children's Hospital at Westmead, Adelaide Women and Children's Hospital and Perth Children's Hospital.</w:t>
      </w:r>
    </w:p>
    <w:p w14:paraId="044FC7C9" w14:textId="77777777" w:rsidR="006C3067" w:rsidRPr="006C3067" w:rsidRDefault="006C3067" w:rsidP="006C3067">
      <w:pPr>
        <w:pStyle w:val="NormalWeb"/>
        <w:spacing w:before="0" w:beforeAutospacing="0" w:after="240" w:afterAutospacing="0" w:line="300" w:lineRule="atLeast"/>
        <w:rPr>
          <w:rFonts w:asciiTheme="minorHAnsi" w:hAnsiTheme="minorHAnsi" w:cstheme="minorHAnsi"/>
          <w:color w:val="222222"/>
        </w:rPr>
      </w:pPr>
      <w:r w:rsidRPr="006C3067">
        <w:rPr>
          <w:rFonts w:asciiTheme="minorHAnsi" w:hAnsiTheme="minorHAnsi" w:cstheme="minorHAnsi"/>
          <w:color w:val="222222"/>
        </w:rPr>
        <w:t>Application for authorisation of initial treatment must be in writing and must include:</w:t>
      </w:r>
    </w:p>
    <w:p w14:paraId="03B022F8" w14:textId="77777777" w:rsidR="006C3067" w:rsidRPr="006C3067" w:rsidRDefault="006C3067" w:rsidP="006C3067">
      <w:pPr>
        <w:pStyle w:val="NormalWeb"/>
        <w:spacing w:before="0" w:beforeAutospacing="0" w:after="240" w:afterAutospacing="0" w:line="300" w:lineRule="atLeast"/>
        <w:rPr>
          <w:rFonts w:asciiTheme="minorHAnsi" w:hAnsiTheme="minorHAnsi" w:cstheme="minorHAnsi"/>
          <w:color w:val="222222"/>
        </w:rPr>
      </w:pPr>
      <w:r w:rsidRPr="006C3067">
        <w:rPr>
          <w:rFonts w:asciiTheme="minorHAnsi" w:hAnsiTheme="minorHAnsi" w:cstheme="minorHAnsi"/>
          <w:color w:val="222222"/>
        </w:rPr>
        <w:t>(a) a completed authority prescription form; and</w:t>
      </w:r>
    </w:p>
    <w:p w14:paraId="173A395F" w14:textId="77777777" w:rsidR="006C3067" w:rsidRPr="006C3067" w:rsidRDefault="006C3067" w:rsidP="006C3067">
      <w:pPr>
        <w:pStyle w:val="NormalWeb"/>
        <w:spacing w:before="0" w:beforeAutospacing="0" w:after="240" w:afterAutospacing="0" w:line="300" w:lineRule="atLeast"/>
        <w:rPr>
          <w:rFonts w:asciiTheme="minorHAnsi" w:hAnsiTheme="minorHAnsi" w:cstheme="minorHAnsi"/>
          <w:color w:val="222222"/>
        </w:rPr>
      </w:pPr>
      <w:r w:rsidRPr="006C3067">
        <w:rPr>
          <w:rFonts w:asciiTheme="minorHAnsi" w:hAnsiTheme="minorHAnsi" w:cstheme="minorHAnsi"/>
          <w:color w:val="222222"/>
        </w:rPr>
        <w:t>(b) a completed Spinal muscular atrophy PBS Authority Application - Supporting Information Form which includes the following:</w:t>
      </w:r>
    </w:p>
    <w:p w14:paraId="2FB7AA9C" w14:textId="77777777" w:rsidR="006C3067" w:rsidRPr="006C3067" w:rsidRDefault="006C3067" w:rsidP="006C3067">
      <w:pPr>
        <w:pStyle w:val="NormalWeb"/>
        <w:spacing w:before="0" w:beforeAutospacing="0" w:after="240" w:afterAutospacing="0" w:line="300" w:lineRule="atLeast"/>
        <w:rPr>
          <w:rFonts w:asciiTheme="minorHAnsi" w:hAnsiTheme="minorHAnsi" w:cstheme="minorHAnsi"/>
          <w:color w:val="222222"/>
        </w:rPr>
      </w:pPr>
      <w:r w:rsidRPr="006C3067">
        <w:rPr>
          <w:rFonts w:asciiTheme="minorHAnsi" w:hAnsiTheme="minorHAnsi" w:cstheme="minorHAnsi"/>
          <w:color w:val="222222"/>
        </w:rPr>
        <w:t>i) specification of SMA type (I, II or IIIa); and</w:t>
      </w:r>
    </w:p>
    <w:p w14:paraId="3418E5E2" w14:textId="77777777" w:rsidR="006C3067" w:rsidRPr="006C3067" w:rsidRDefault="006C3067" w:rsidP="006C3067">
      <w:pPr>
        <w:pStyle w:val="NormalWeb"/>
        <w:spacing w:before="0" w:beforeAutospacing="0" w:after="240" w:afterAutospacing="0" w:line="300" w:lineRule="atLeast"/>
        <w:rPr>
          <w:rFonts w:asciiTheme="minorHAnsi" w:hAnsiTheme="minorHAnsi" w:cstheme="minorHAnsi"/>
          <w:color w:val="222222"/>
        </w:rPr>
      </w:pPr>
      <w:r w:rsidRPr="006C3067">
        <w:rPr>
          <w:rFonts w:asciiTheme="minorHAnsi" w:hAnsiTheme="minorHAnsi" w:cstheme="minorHAnsi"/>
          <w:color w:val="222222"/>
        </w:rPr>
        <w:t>(ii) sign(s) and symptom(s) that the patient has experienced; and</w:t>
      </w:r>
    </w:p>
    <w:p w14:paraId="3A37E652" w14:textId="77777777" w:rsidR="006C3067" w:rsidRPr="006C3067" w:rsidRDefault="006C3067" w:rsidP="006C3067">
      <w:pPr>
        <w:pStyle w:val="NormalWeb"/>
        <w:spacing w:before="0" w:beforeAutospacing="0" w:after="240" w:afterAutospacing="0" w:line="300" w:lineRule="atLeast"/>
        <w:rPr>
          <w:rFonts w:asciiTheme="minorHAnsi" w:hAnsiTheme="minorHAnsi" w:cstheme="minorHAnsi"/>
          <w:color w:val="222222"/>
        </w:rPr>
      </w:pPr>
      <w:r w:rsidRPr="006C3067">
        <w:rPr>
          <w:rFonts w:asciiTheme="minorHAnsi" w:hAnsiTheme="minorHAnsi" w:cstheme="minorHAnsi"/>
          <w:color w:val="222222"/>
        </w:rPr>
        <w:t>(iii) patient's age at the onset of sign(s) and symptom(s).</w:t>
      </w:r>
    </w:p>
    <w:p w14:paraId="0D8B9BC1" w14:textId="77777777" w:rsidR="006C3067" w:rsidRDefault="006C3067" w:rsidP="006C3067">
      <w:pPr>
        <w:pStyle w:val="NormalWeb"/>
        <w:spacing w:before="0" w:beforeAutospacing="0" w:after="240" w:afterAutospacing="0" w:line="300" w:lineRule="atLeast"/>
        <w:rPr>
          <w:rFonts w:asciiTheme="minorHAnsi" w:hAnsiTheme="minorHAnsi" w:cstheme="minorHAnsi"/>
          <w:color w:val="222222"/>
        </w:rPr>
      </w:pPr>
    </w:p>
    <w:p w14:paraId="3FE2E4EC" w14:textId="77777777" w:rsidR="006C3067" w:rsidRPr="006C3067" w:rsidRDefault="006C3067" w:rsidP="006C3067">
      <w:pPr>
        <w:pStyle w:val="NormalWeb"/>
        <w:spacing w:before="0" w:beforeAutospacing="0" w:after="240" w:afterAutospacing="0" w:line="300" w:lineRule="atLeast"/>
        <w:rPr>
          <w:rFonts w:asciiTheme="minorHAnsi" w:hAnsiTheme="minorHAnsi" w:cstheme="minorHAnsi"/>
          <w:b/>
          <w:i/>
          <w:color w:val="222222"/>
          <w:sz w:val="28"/>
        </w:rPr>
      </w:pPr>
      <w:r w:rsidRPr="006C3067">
        <w:rPr>
          <w:rFonts w:asciiTheme="minorHAnsi" w:hAnsiTheme="minorHAnsi" w:cstheme="minorHAnsi"/>
          <w:b/>
          <w:i/>
          <w:color w:val="222222"/>
          <w:sz w:val="28"/>
        </w:rPr>
        <w:t>Treatment Phase: Continuing treatment - Maintenance</w:t>
      </w:r>
    </w:p>
    <w:p w14:paraId="7E751935" w14:textId="77777777" w:rsidR="006C3067" w:rsidRPr="006C3067" w:rsidRDefault="006C3067" w:rsidP="006C3067">
      <w:pPr>
        <w:pStyle w:val="NormalWeb"/>
        <w:spacing w:before="0" w:beforeAutospacing="0" w:after="240" w:afterAutospacing="0" w:line="300" w:lineRule="atLeast"/>
        <w:rPr>
          <w:rFonts w:asciiTheme="minorHAnsi" w:hAnsiTheme="minorHAnsi" w:cstheme="minorHAnsi"/>
          <w:i/>
          <w:color w:val="222222"/>
        </w:rPr>
      </w:pPr>
      <w:r w:rsidRPr="006C3067">
        <w:rPr>
          <w:rFonts w:asciiTheme="minorHAnsi" w:hAnsiTheme="minorHAnsi" w:cstheme="minorHAnsi"/>
          <w:b/>
          <w:bCs/>
          <w:i/>
          <w:color w:val="222222"/>
          <w:bdr w:val="none" w:sz="0" w:space="0" w:color="auto" w:frame="1"/>
        </w:rPr>
        <w:t>Treatment criteria:</w:t>
      </w:r>
    </w:p>
    <w:p w14:paraId="6D550089" w14:textId="77777777" w:rsidR="006C3067" w:rsidRPr="006C3067" w:rsidRDefault="006C3067" w:rsidP="006C3067">
      <w:pPr>
        <w:pStyle w:val="NormalWeb"/>
        <w:spacing w:before="240" w:beforeAutospacing="0" w:after="240" w:afterAutospacing="0" w:line="300" w:lineRule="atLeast"/>
        <w:rPr>
          <w:rFonts w:asciiTheme="minorHAnsi" w:hAnsiTheme="minorHAnsi" w:cstheme="minorHAnsi"/>
          <w:color w:val="222222"/>
        </w:rPr>
      </w:pPr>
      <w:r w:rsidRPr="006C3067">
        <w:rPr>
          <w:rFonts w:asciiTheme="minorHAnsi" w:hAnsiTheme="minorHAnsi" w:cstheme="minorHAnsi"/>
          <w:color w:val="222222"/>
        </w:rPr>
        <w:t>Must be treated by a specialist medical practitioner experienced in the diagnosis and management of SMA associated with a neuromuscular clinic of a recognised hospital in the management of SMA; or in consultation with a specialist medical practitioner experienced in the diagnosis and management of SMA associated with a neuromuscular clinic of a recognised hospital in the management of SMA; or initiated by a specialist medical practitioner experienced in the diagnosis and management of SMA associated with a neuromuscular clinic of a recognised hospital in the management of SMA.</w:t>
      </w:r>
    </w:p>
    <w:p w14:paraId="71027264" w14:textId="77777777" w:rsidR="006C3067" w:rsidRPr="006C3067" w:rsidRDefault="006C3067" w:rsidP="006C3067">
      <w:pPr>
        <w:pStyle w:val="NormalWeb"/>
        <w:spacing w:before="240" w:beforeAutospacing="0" w:after="240" w:afterAutospacing="0" w:line="300" w:lineRule="atLeast"/>
        <w:rPr>
          <w:rFonts w:asciiTheme="minorHAnsi" w:hAnsiTheme="minorHAnsi" w:cstheme="minorHAnsi"/>
          <w:i/>
          <w:color w:val="222222"/>
        </w:rPr>
      </w:pPr>
      <w:r w:rsidRPr="006C3067">
        <w:rPr>
          <w:rFonts w:asciiTheme="minorHAnsi" w:hAnsiTheme="minorHAnsi" w:cstheme="minorHAnsi"/>
          <w:b/>
          <w:bCs/>
          <w:i/>
          <w:color w:val="222222"/>
          <w:bdr w:val="none" w:sz="0" w:space="0" w:color="auto" w:frame="1"/>
        </w:rPr>
        <w:t>Clinical criteria:</w:t>
      </w:r>
    </w:p>
    <w:p w14:paraId="05EB5274" w14:textId="77777777" w:rsidR="006C3067" w:rsidRPr="006C3067" w:rsidRDefault="006C3067" w:rsidP="006C3067">
      <w:pPr>
        <w:pStyle w:val="NormalWeb"/>
        <w:numPr>
          <w:ilvl w:val="0"/>
          <w:numId w:val="29"/>
        </w:numPr>
        <w:spacing w:before="240" w:beforeAutospacing="0" w:after="240" w:afterAutospacing="0" w:line="300" w:lineRule="atLeast"/>
        <w:ind w:left="0"/>
        <w:rPr>
          <w:rFonts w:asciiTheme="minorHAnsi" w:hAnsiTheme="minorHAnsi" w:cstheme="minorHAnsi"/>
          <w:color w:val="222222"/>
        </w:rPr>
      </w:pPr>
      <w:r w:rsidRPr="006C3067">
        <w:rPr>
          <w:rFonts w:asciiTheme="minorHAnsi" w:hAnsiTheme="minorHAnsi" w:cstheme="minorHAnsi"/>
          <w:color w:val="222222"/>
        </w:rPr>
        <w:t>Patient must have previously received PBS-subsidised treatment with this drug for this condition,</w:t>
      </w:r>
    </w:p>
    <w:p w14:paraId="2FC6E3D0" w14:textId="77777777" w:rsidR="006C3067" w:rsidRPr="006C3067" w:rsidRDefault="006C3067" w:rsidP="006C3067">
      <w:pPr>
        <w:pStyle w:val="NormalWeb"/>
        <w:spacing w:before="240" w:beforeAutospacing="0" w:after="240" w:afterAutospacing="0" w:line="300" w:lineRule="atLeast"/>
        <w:rPr>
          <w:rFonts w:asciiTheme="minorHAnsi" w:hAnsiTheme="minorHAnsi" w:cstheme="minorHAnsi"/>
          <w:color w:val="222222"/>
        </w:rPr>
      </w:pPr>
      <w:r w:rsidRPr="006C3067">
        <w:rPr>
          <w:rFonts w:asciiTheme="minorHAnsi" w:hAnsiTheme="minorHAnsi" w:cstheme="minorHAnsi"/>
          <w:b/>
          <w:bCs/>
          <w:color w:val="222222"/>
          <w:bdr w:val="none" w:sz="0" w:space="0" w:color="auto" w:frame="1"/>
        </w:rPr>
        <w:t>AND</w:t>
      </w:r>
    </w:p>
    <w:p w14:paraId="7C1E7AD3" w14:textId="77777777" w:rsidR="006C3067" w:rsidRPr="006C3067" w:rsidRDefault="006C3067" w:rsidP="006C3067">
      <w:pPr>
        <w:pStyle w:val="NormalWeb"/>
        <w:numPr>
          <w:ilvl w:val="0"/>
          <w:numId w:val="30"/>
        </w:numPr>
        <w:spacing w:before="240" w:beforeAutospacing="0" w:after="240" w:afterAutospacing="0" w:line="300" w:lineRule="atLeast"/>
        <w:ind w:left="0"/>
        <w:rPr>
          <w:rFonts w:asciiTheme="minorHAnsi" w:hAnsiTheme="minorHAnsi" w:cstheme="minorHAnsi"/>
          <w:color w:val="222222"/>
        </w:rPr>
      </w:pPr>
      <w:r w:rsidRPr="006C3067">
        <w:rPr>
          <w:rFonts w:asciiTheme="minorHAnsi" w:hAnsiTheme="minorHAnsi" w:cstheme="minorHAnsi"/>
          <w:color w:val="222222"/>
        </w:rPr>
        <w:t>The treatment must be given concomitantly with standard of care for this condition,</w:t>
      </w:r>
    </w:p>
    <w:p w14:paraId="385AEFCE" w14:textId="77777777" w:rsidR="006C3067" w:rsidRPr="006C3067" w:rsidRDefault="006C3067" w:rsidP="006C3067">
      <w:pPr>
        <w:pStyle w:val="NormalWeb"/>
        <w:spacing w:before="240" w:beforeAutospacing="0" w:after="240" w:afterAutospacing="0" w:line="300" w:lineRule="atLeast"/>
        <w:rPr>
          <w:rFonts w:asciiTheme="minorHAnsi" w:hAnsiTheme="minorHAnsi" w:cstheme="minorHAnsi"/>
          <w:color w:val="222222"/>
        </w:rPr>
      </w:pPr>
      <w:r w:rsidRPr="006C3067">
        <w:rPr>
          <w:rFonts w:asciiTheme="minorHAnsi" w:hAnsiTheme="minorHAnsi" w:cstheme="minorHAnsi"/>
          <w:b/>
          <w:bCs/>
          <w:color w:val="222222"/>
          <w:bdr w:val="none" w:sz="0" w:space="0" w:color="auto" w:frame="1"/>
        </w:rPr>
        <w:t>AND</w:t>
      </w:r>
    </w:p>
    <w:p w14:paraId="13AE951E" w14:textId="77777777" w:rsidR="006C3067" w:rsidRPr="006C3067" w:rsidRDefault="006C3067" w:rsidP="006C3067">
      <w:pPr>
        <w:pStyle w:val="NormalWeb"/>
        <w:numPr>
          <w:ilvl w:val="0"/>
          <w:numId w:val="31"/>
        </w:numPr>
        <w:spacing w:before="240" w:beforeAutospacing="0" w:after="240" w:afterAutospacing="0" w:line="300" w:lineRule="atLeast"/>
        <w:ind w:left="0"/>
        <w:rPr>
          <w:rFonts w:asciiTheme="minorHAnsi" w:hAnsiTheme="minorHAnsi" w:cstheme="minorHAnsi"/>
          <w:color w:val="222222"/>
        </w:rPr>
      </w:pPr>
      <w:r w:rsidRPr="006C3067">
        <w:rPr>
          <w:rFonts w:asciiTheme="minorHAnsi" w:hAnsiTheme="minorHAnsi" w:cstheme="minorHAnsi"/>
          <w:color w:val="222222"/>
        </w:rPr>
        <w:lastRenderedPageBreak/>
        <w:t>The treatment must be ceased when invasive permanent assisted ventilation is required in the absence of a potentially reversible cause while being treated with this drug.</w:t>
      </w:r>
    </w:p>
    <w:p w14:paraId="2B9B6D3A" w14:textId="77777777" w:rsidR="006C3067" w:rsidRPr="006C3067" w:rsidRDefault="006C3067" w:rsidP="006C3067">
      <w:pPr>
        <w:pStyle w:val="NormalWeb"/>
        <w:spacing w:before="240" w:beforeAutospacing="0" w:after="240" w:afterAutospacing="0" w:line="300" w:lineRule="atLeast"/>
        <w:rPr>
          <w:rFonts w:asciiTheme="minorHAnsi" w:hAnsiTheme="minorHAnsi" w:cstheme="minorHAnsi"/>
          <w:color w:val="222222"/>
        </w:rPr>
      </w:pPr>
      <w:r w:rsidRPr="006C3067">
        <w:rPr>
          <w:rFonts w:asciiTheme="minorHAnsi" w:hAnsiTheme="minorHAnsi" w:cstheme="minorHAnsi"/>
          <w:color w:val="222222"/>
        </w:rPr>
        <w:t>Recognised hospitals in the management of SMA are Lady Cilento Children's Hospital (Brisbane), Royal Children's Hospital Melbourne, Monash Children's Hospital (Melbourne), John Hunter Hospital (Newcastle), Sydney Children's Hospital Randwick, Children's Hospital at Westmead, Adelaide Women and Children's Hospital and Perth Children's Hospital.</w:t>
      </w:r>
    </w:p>
    <w:p w14:paraId="04BA0EEF" w14:textId="77777777" w:rsidR="002C3D0C" w:rsidRDefault="006C3067" w:rsidP="004F6C21">
      <w:pPr>
        <w:pStyle w:val="NormalWeb"/>
        <w:spacing w:before="0" w:beforeAutospacing="0" w:after="240" w:afterAutospacing="0" w:line="300" w:lineRule="atLeast"/>
        <w:rPr>
          <w:rFonts w:asciiTheme="minorHAnsi" w:hAnsiTheme="minorHAnsi" w:cstheme="minorHAnsi"/>
          <w:color w:val="222222"/>
        </w:rPr>
      </w:pPr>
      <w:r w:rsidRPr="006C3067">
        <w:rPr>
          <w:rFonts w:asciiTheme="minorHAnsi" w:hAnsiTheme="minorHAnsi" w:cstheme="minorHAnsi"/>
          <w:color w:val="222222"/>
        </w:rPr>
        <w:t>Invasive permanent assisted ventilation means ventilation via tracheostomy tube for greater than or equal to 16 hours per day.</w:t>
      </w:r>
    </w:p>
    <w:p w14:paraId="70DB9786" w14:textId="77777777" w:rsidR="002C3D0C" w:rsidRPr="002C3D0C" w:rsidRDefault="002C3D0C" w:rsidP="002C3D0C">
      <w:pPr>
        <w:spacing w:line="276" w:lineRule="auto"/>
        <w:rPr>
          <w:rFonts w:eastAsia="Times New Roman" w:cstheme="minorHAnsi"/>
          <w:color w:val="222222"/>
        </w:rPr>
      </w:pPr>
    </w:p>
    <w:sectPr w:rsidR="002C3D0C" w:rsidRPr="002C3D0C" w:rsidSect="00DD188C">
      <w:headerReference w:type="even" r:id="rId15"/>
      <w:headerReference w:type="default" r:id="rId16"/>
      <w:footerReference w:type="even" r:id="rId17"/>
      <w:footerReference w:type="default" r:id="rId18"/>
      <w:headerReference w:type="first" r:id="rId19"/>
      <w:footerReference w:type="first" r:id="rId20"/>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897613" w14:textId="77777777" w:rsidR="006D3C89" w:rsidRDefault="006D3C89" w:rsidP="00A35800">
      <w:r>
        <w:separator/>
      </w:r>
    </w:p>
  </w:endnote>
  <w:endnote w:type="continuationSeparator" w:id="0">
    <w:p w14:paraId="08839DB1" w14:textId="77777777" w:rsidR="006D3C89" w:rsidRDefault="006D3C89"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E20A4" w14:textId="77777777" w:rsidR="00436929" w:rsidRDefault="00436929"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E371330" w14:textId="77777777" w:rsidR="00436929" w:rsidRDefault="00436929"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14:paraId="28F8EE78" w14:textId="77777777" w:rsidR="00436929" w:rsidRPr="000E72C6" w:rsidRDefault="00436929" w:rsidP="000E72C6">
            <w:pPr>
              <w:pStyle w:val="Footer"/>
              <w:jc w:val="center"/>
              <w:rPr>
                <w:i/>
                <w:sz w:val="20"/>
              </w:rPr>
            </w:pPr>
            <w:r>
              <w:rPr>
                <w:i/>
                <w:sz w:val="20"/>
              </w:rPr>
              <w:t xml:space="preserve">Public Release Document, February 2021 DUSC Meeting </w:t>
            </w:r>
          </w:p>
          <w:p w14:paraId="70E1364D" w14:textId="77777777" w:rsidR="00436929" w:rsidRDefault="00436929"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6D3C89">
              <w:rPr>
                <w:bCs/>
                <w:i/>
                <w:noProof/>
                <w:sz w:val="20"/>
              </w:rPr>
              <w:t>24</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6D3C89">
              <w:rPr>
                <w:bCs/>
                <w:i/>
                <w:noProof/>
                <w:sz w:val="20"/>
              </w:rPr>
              <w:t>34</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F4F43" w14:textId="77777777" w:rsidR="00436929" w:rsidRDefault="00436929" w:rsidP="007A5733">
    <w:pPr>
      <w:pStyle w:val="Footer"/>
      <w:jc w:val="center"/>
      <w:rPr>
        <w:rStyle w:val="PageNumber"/>
      </w:rPr>
    </w:pPr>
    <w:r>
      <w:rPr>
        <w:rStyle w:val="PageNumber"/>
      </w:rPr>
      <w:t>Committee-in-Confidence</w:t>
    </w:r>
  </w:p>
  <w:p w14:paraId="05209B27" w14:textId="77777777" w:rsidR="00436929" w:rsidRDefault="00436929"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22625" w14:textId="77777777" w:rsidR="006D3C89" w:rsidRDefault="006D3C89" w:rsidP="00A35800">
      <w:r>
        <w:separator/>
      </w:r>
    </w:p>
  </w:footnote>
  <w:footnote w:type="continuationSeparator" w:id="0">
    <w:p w14:paraId="0D81A674" w14:textId="77777777" w:rsidR="006D3C89" w:rsidRDefault="006D3C89" w:rsidP="00A35800">
      <w:r>
        <w:continuationSeparator/>
      </w:r>
    </w:p>
  </w:footnote>
  <w:footnote w:id="1">
    <w:p w14:paraId="57A2BA3E" w14:textId="77777777" w:rsidR="00436929" w:rsidRPr="008C11BA" w:rsidRDefault="00436929">
      <w:pPr>
        <w:pStyle w:val="FootnoteText"/>
        <w:rPr>
          <w:rFonts w:cstheme="minorHAnsi"/>
          <w:szCs w:val="18"/>
        </w:rPr>
      </w:pPr>
      <w:r>
        <w:rPr>
          <w:rStyle w:val="FootnoteReference"/>
        </w:rPr>
        <w:footnoteRef/>
      </w:r>
      <w:r>
        <w:t xml:space="preserve"> Lunn M R, Wang CH. Spinal muscular atrophy. Lancet 2008; 371: 2120-</w:t>
      </w:r>
      <w:r w:rsidRPr="008C11BA">
        <w:rPr>
          <w:rFonts w:cstheme="minorHAnsi"/>
          <w:szCs w:val="18"/>
        </w:rPr>
        <w:t xml:space="preserve">33 </w:t>
      </w:r>
      <w:hyperlink r:id="rId1" w:tgtFrame="_blank" w:tooltip="Persistent link using digital object identifier" w:history="1">
        <w:r w:rsidRPr="008C11BA">
          <w:rPr>
            <w:rStyle w:val="Hyperlink"/>
            <w:rFonts w:cstheme="minorHAnsi"/>
            <w:color w:val="auto"/>
            <w:szCs w:val="18"/>
          </w:rPr>
          <w:t>https://doi.org/10.1016/S0140-6736(08)60921-6</w:t>
        </w:r>
      </w:hyperlink>
    </w:p>
  </w:footnote>
  <w:footnote w:id="2">
    <w:p w14:paraId="18CFD3E3" w14:textId="77777777" w:rsidR="00436929" w:rsidRDefault="00436929" w:rsidP="006E73F0">
      <w:pPr>
        <w:pStyle w:val="FootnoteText"/>
      </w:pPr>
      <w:r>
        <w:rPr>
          <w:rStyle w:val="FootnoteReference"/>
        </w:rPr>
        <w:footnoteRef/>
      </w:r>
      <w:r>
        <w:t xml:space="preserve"> SMA Australia. SMA Information Guide. &lt; </w:t>
      </w:r>
      <w:hyperlink r:id="rId2" w:history="1">
        <w:r w:rsidRPr="00C342CC">
          <w:rPr>
            <w:rStyle w:val="Hyperlink"/>
          </w:rPr>
          <w:t>https://smaaustralia.org.au/wp-content/uploads/SMA_2020_A4_Information_Guide-compressed.pdf</w:t>
        </w:r>
      </w:hyperlink>
      <w:r>
        <w:t xml:space="preserve">&gt; Accessed 9 December 2020. </w:t>
      </w:r>
    </w:p>
  </w:footnote>
  <w:footnote w:id="3">
    <w:p w14:paraId="78006C80" w14:textId="77777777" w:rsidR="00436929" w:rsidRDefault="00436929">
      <w:pPr>
        <w:pStyle w:val="FootnoteText"/>
      </w:pPr>
      <w:r>
        <w:rPr>
          <w:rStyle w:val="FootnoteReference"/>
        </w:rPr>
        <w:footnoteRef/>
      </w:r>
      <w:r>
        <w:t xml:space="preserve"> Farrar M.A, Park S.B, Vucic S, Carey K.A, Turner BJ, Gillingwater TH et al. Emerging therapies and Challenges in Spinal Muscular Atrophy. Annals of Neurology 2017; 81:355-3</w:t>
      </w:r>
      <w:r w:rsidRPr="004A79FE">
        <w:rPr>
          <w:rFonts w:cstheme="minorHAnsi"/>
          <w:szCs w:val="18"/>
        </w:rPr>
        <w:t xml:space="preserve">68 </w:t>
      </w:r>
      <w:r w:rsidRPr="004A79FE">
        <w:rPr>
          <w:rFonts w:cstheme="minorHAnsi"/>
          <w:color w:val="000000"/>
          <w:szCs w:val="18"/>
          <w:shd w:val="clear" w:color="auto" w:fill="FFFFFF"/>
        </w:rPr>
        <w:t>doi: </w:t>
      </w:r>
      <w:hyperlink r:id="rId3" w:tgtFrame="pmc_ext" w:history="1">
        <w:r w:rsidRPr="004A79FE">
          <w:rPr>
            <w:rStyle w:val="Hyperlink"/>
            <w:rFonts w:cstheme="minorHAnsi"/>
            <w:color w:val="642A8F"/>
            <w:szCs w:val="18"/>
            <w:shd w:val="clear" w:color="auto" w:fill="FFFFFF"/>
          </w:rPr>
          <w:t>10.1002/ana.24864</w:t>
        </w:r>
      </w:hyperlink>
    </w:p>
  </w:footnote>
  <w:footnote w:id="4">
    <w:p w14:paraId="434F5DD1" w14:textId="77777777" w:rsidR="00436929" w:rsidRDefault="00436929">
      <w:pPr>
        <w:pStyle w:val="FootnoteText"/>
      </w:pPr>
      <w:r>
        <w:rPr>
          <w:rStyle w:val="FootnoteReference"/>
        </w:rPr>
        <w:footnoteRef/>
      </w:r>
      <w:r>
        <w:t xml:space="preserve"> Farrar M.A, Kiernan M.C. The Genetics of Spinal Muscular Atrophy: Progress and Challenges. Neurotherapeutics 2015; 12: 290-302</w:t>
      </w:r>
    </w:p>
  </w:footnote>
  <w:footnote w:id="5">
    <w:p w14:paraId="56CEE361" w14:textId="77777777" w:rsidR="00436929" w:rsidRDefault="00436929">
      <w:pPr>
        <w:pStyle w:val="FootnoteText"/>
      </w:pPr>
      <w:r>
        <w:rPr>
          <w:rStyle w:val="FootnoteReference"/>
        </w:rPr>
        <w:footnoteRef/>
      </w:r>
      <w:r>
        <w:t xml:space="preserve"> Kolb S.J, Kissel J.T. Spinal Muscular Atrophy: A Timely Review. Archives of Neurology 2011; 68(8) </w:t>
      </w:r>
      <w:r w:rsidRPr="003E5428">
        <w:rPr>
          <w:rFonts w:cstheme="minorHAnsi"/>
          <w:szCs w:val="18"/>
        </w:rPr>
        <w:t>doi:10.1001/archneurol.2011.74.</w:t>
      </w:r>
    </w:p>
  </w:footnote>
  <w:footnote w:id="6">
    <w:p w14:paraId="59F5F2E1" w14:textId="77777777" w:rsidR="00436929" w:rsidRDefault="00436929">
      <w:pPr>
        <w:pStyle w:val="FootnoteText"/>
      </w:pPr>
      <w:r>
        <w:rPr>
          <w:rStyle w:val="FootnoteReference"/>
        </w:rPr>
        <w:footnoteRef/>
      </w:r>
      <w:r>
        <w:t xml:space="preserve"> </w:t>
      </w:r>
      <w:r w:rsidRPr="00477415">
        <w:t>Feldkötter</w:t>
      </w:r>
      <w:r>
        <w:t xml:space="preserve"> M, Schwarzer V, Wirth R, Wienker T.F, Wirth B. Quantitative Analyses of SMN1 and SMN2 Based on Real-Time LightCycler PCR: Fast and Highly Reliable Carrier Testing and Prediction of Severity of Spinal Muscular Atrophy. The American Journal of Human Genetics; 70 (2): 358-368. </w:t>
      </w:r>
      <w:r w:rsidRPr="00477415">
        <w:t>https://doi.org/10.1086/338627.</w:t>
      </w:r>
    </w:p>
  </w:footnote>
  <w:footnote w:id="7">
    <w:p w14:paraId="4B737821" w14:textId="77777777" w:rsidR="00436929" w:rsidRDefault="00436929">
      <w:pPr>
        <w:pStyle w:val="FootnoteText"/>
      </w:pPr>
      <w:r>
        <w:rPr>
          <w:rStyle w:val="FootnoteReference"/>
        </w:rPr>
        <w:footnoteRef/>
      </w:r>
      <w:r>
        <w:t xml:space="preserve"> Muscular Dystrophy Australia. Spinal Muscular Atrophy- An Overview. </w:t>
      </w:r>
      <w:r w:rsidRPr="00F40D99">
        <w:t>https://www.mda.org.au/disorders/spinal-muscular-atrophy-an-overview/</w:t>
      </w:r>
    </w:p>
  </w:footnote>
  <w:footnote w:id="8">
    <w:p w14:paraId="27D47463" w14:textId="77777777" w:rsidR="00436929" w:rsidRPr="008142B4" w:rsidRDefault="00436929" w:rsidP="00AB3A7A">
      <w:pPr>
        <w:pStyle w:val="FootnoteText"/>
        <w:rPr>
          <w:szCs w:val="18"/>
        </w:rPr>
      </w:pPr>
      <w:r w:rsidRPr="008142B4">
        <w:rPr>
          <w:rStyle w:val="FootnoteReference"/>
          <w:szCs w:val="18"/>
        </w:rPr>
        <w:footnoteRef/>
      </w:r>
      <w:r w:rsidRPr="008142B4">
        <w:rPr>
          <w:szCs w:val="18"/>
        </w:rPr>
        <w:t xml:space="preserve"> </w:t>
      </w:r>
      <w:r>
        <w:rPr>
          <w:szCs w:val="18"/>
        </w:rPr>
        <w:t>Spinraza (Nusinersen). Australian Approved Product Information. North Ryde: Biogen. Approved 3 November 2017, updated 2 January 2020. Available from &lt;</w:t>
      </w:r>
      <w:r w:rsidRPr="00CD4486">
        <w:t xml:space="preserve"> </w:t>
      </w:r>
      <w:r w:rsidRPr="00CD4486">
        <w:rPr>
          <w:szCs w:val="18"/>
        </w:rPr>
        <w:t>https://www.tga.gov.au/product-information-pi</w:t>
      </w:r>
      <w:r>
        <w:rPr>
          <w:szCs w:val="18"/>
        </w:rPr>
        <w:t>.&gt;</w:t>
      </w:r>
    </w:p>
  </w:footnote>
  <w:footnote w:id="9">
    <w:p w14:paraId="1C81D11C" w14:textId="77777777" w:rsidR="00436929" w:rsidRDefault="00436929">
      <w:pPr>
        <w:pStyle w:val="FootnoteText"/>
      </w:pPr>
      <w:r w:rsidRPr="000938D0">
        <w:rPr>
          <w:rStyle w:val="FootnoteReference"/>
          <w:sz w:val="20"/>
        </w:rPr>
        <w:footnoteRef/>
      </w:r>
      <w:r w:rsidRPr="000938D0">
        <w:rPr>
          <w:sz w:val="20"/>
        </w:rPr>
        <w:t xml:space="preserve"> Australian Bureau of Statistics. Quarterly Population Estimates (ERP), by State/Territory, Sex and Age. &lt;</w:t>
      </w:r>
      <w:hyperlink r:id="rId4" w:history="1">
        <w:r w:rsidRPr="000938D0">
          <w:rPr>
            <w:rStyle w:val="Hyperlink"/>
            <w:sz w:val="20"/>
          </w:rPr>
          <w:t>http://stat.data.abs.gov.au/Index.aspx?DataSetCode=ERP_QUARTERLY#</w:t>
        </w:r>
      </w:hyperlink>
      <w:r w:rsidRPr="000938D0">
        <w:rPr>
          <w:sz w:val="20"/>
        </w:rPr>
        <w:t xml:space="preserve">&gt;. Accessed 9 December 2020. </w:t>
      </w:r>
    </w:p>
  </w:footnote>
  <w:footnote w:id="10">
    <w:p w14:paraId="3B3FDC2A" w14:textId="77777777" w:rsidR="00436929" w:rsidRPr="00BC5AE2" w:rsidRDefault="00436929" w:rsidP="00576B18">
      <w:pPr>
        <w:pStyle w:val="FootnoteText"/>
        <w:rPr>
          <w:sz w:val="20"/>
        </w:rPr>
      </w:pPr>
      <w:r w:rsidRPr="00BC5AE2">
        <w:rPr>
          <w:rStyle w:val="FootnoteReference"/>
          <w:sz w:val="20"/>
        </w:rPr>
        <w:footnoteRef/>
      </w:r>
      <w:r w:rsidRPr="00BC5AE2">
        <w:rPr>
          <w:sz w:val="20"/>
        </w:rPr>
        <w:t xml:space="preserve"> PBS statistics</w:t>
      </w:r>
      <w:r>
        <w:rPr>
          <w:sz w:val="20"/>
        </w:rPr>
        <w:t>. Australian Government Department of Human Services Medicare. Canberra. Available from &lt;</w:t>
      </w:r>
      <w:hyperlink r:id="rId5" w:history="1">
        <w:r>
          <w:rPr>
            <w:rStyle w:val="Hyperlink"/>
            <w:sz w:val="20"/>
          </w:rPr>
          <w:t>http://www.medicareaustralia.gov.au/provider/pbs/stats.jsp</w:t>
        </w:r>
      </w:hyperlink>
      <w:r>
        <w:rPr>
          <w:sz w:val="20"/>
        </w:rPr>
        <w:t>&gt;.</w:t>
      </w:r>
    </w:p>
  </w:footnote>
  <w:footnote w:id="11">
    <w:p w14:paraId="1BEE0B8E" w14:textId="77777777" w:rsidR="00436929" w:rsidRDefault="00436929">
      <w:pPr>
        <w:pStyle w:val="FootnoteText"/>
      </w:pPr>
      <w:r>
        <w:rPr>
          <w:rStyle w:val="FootnoteReference"/>
        </w:rPr>
        <w:footnoteRef/>
      </w:r>
      <w:r>
        <w:t xml:space="preserve"> Australian Bureau of Statistics. Births, Australia, 2019 </w:t>
      </w:r>
      <w:hyperlink r:id="rId6" w:history="1">
        <w:r w:rsidRPr="00F36A8D">
          <w:rPr>
            <w:rStyle w:val="Hyperlink"/>
          </w:rPr>
          <w:t>https://www.abs.gov.au/statistics/people/population/births-australia/latest-release</w:t>
        </w:r>
      </w:hyperlink>
      <w:r>
        <w:t xml:space="preserve">. </w:t>
      </w:r>
      <w:r w:rsidRPr="007C183D">
        <w:t xml:space="preserve">Accessed 9 December </w:t>
      </w:r>
      <w:r>
        <w:t xml:space="preserve">2020 </w:t>
      </w:r>
    </w:p>
  </w:footnote>
  <w:footnote w:id="12">
    <w:p w14:paraId="163E0754" w14:textId="77777777" w:rsidR="00436929" w:rsidRDefault="00436929" w:rsidP="00C654FE">
      <w:pPr>
        <w:pStyle w:val="FootnoteText"/>
      </w:pPr>
      <w:r>
        <w:rPr>
          <w:rStyle w:val="FootnoteReference"/>
        </w:rPr>
        <w:footnoteRef/>
      </w:r>
      <w:r>
        <w:t xml:space="preserve"> Finkel R.S, Mercuri E, Darras B.T, Connolly A.M, Kuntz N.L, Kirschner J. Nusinersen versus Sham Control in Infantile-Onset Spinal Muscular Atrophy. The New England Journal of Medicine. 2017; 377, 1723-32. </w:t>
      </w:r>
    </w:p>
  </w:footnote>
  <w:footnote w:id="13">
    <w:p w14:paraId="64ABD297" w14:textId="77777777" w:rsidR="00436929" w:rsidRDefault="00436929">
      <w:pPr>
        <w:pStyle w:val="FootnoteText"/>
      </w:pPr>
      <w:r>
        <w:rPr>
          <w:rStyle w:val="FootnoteReference"/>
        </w:rPr>
        <w:footnoteRef/>
      </w:r>
      <w:r>
        <w:t xml:space="preserve"> Mercuri E, Darras BT, Chiriboga CA, et al. Nusinersen versus sham control in later-onset spinal muscular atrophy. The New England Journal of Medicine 2018;378:625-35. DOI: 10.1056/NEJMoa1710504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33647" w14:textId="77777777" w:rsidR="00436929" w:rsidRDefault="004369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D1B5F" w14:textId="77777777" w:rsidR="00436929" w:rsidRDefault="00436929" w:rsidP="00FB77FA">
    <w:pPr>
      <w:pStyle w:val="Header"/>
    </w:pPr>
    <w:r w:rsidRPr="000E0CCC">
      <w:t>Item 7.1 DUSC February</w:t>
    </w:r>
    <w:r>
      <w:t xml:space="preserve"> 2021</w:t>
    </w:r>
  </w:p>
  <w:p w14:paraId="38FFBACB" w14:textId="77777777" w:rsidR="00436929" w:rsidRDefault="004369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A14DC" w14:textId="77777777" w:rsidR="00436929" w:rsidRDefault="004369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65E98"/>
    <w:multiLevelType w:val="multilevel"/>
    <w:tmpl w:val="51FC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D277F"/>
    <w:multiLevelType w:val="hybridMultilevel"/>
    <w:tmpl w:val="DD6E6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AC6EA0"/>
    <w:multiLevelType w:val="multilevel"/>
    <w:tmpl w:val="7472C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C74AC"/>
    <w:multiLevelType w:val="multilevel"/>
    <w:tmpl w:val="6CC6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DC706B"/>
    <w:multiLevelType w:val="hybridMultilevel"/>
    <w:tmpl w:val="307A1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F81649"/>
    <w:multiLevelType w:val="hybridMultilevel"/>
    <w:tmpl w:val="2ED63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132720"/>
    <w:multiLevelType w:val="multilevel"/>
    <w:tmpl w:val="71123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61BFB"/>
    <w:multiLevelType w:val="multilevel"/>
    <w:tmpl w:val="350E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8A5798"/>
    <w:multiLevelType w:val="multilevel"/>
    <w:tmpl w:val="54720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0579D5"/>
    <w:multiLevelType w:val="multilevel"/>
    <w:tmpl w:val="52E4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650703"/>
    <w:multiLevelType w:val="hybridMultilevel"/>
    <w:tmpl w:val="C2EEA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8F04E3"/>
    <w:multiLevelType w:val="multilevel"/>
    <w:tmpl w:val="2C38B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B0813"/>
    <w:multiLevelType w:val="multilevel"/>
    <w:tmpl w:val="D6F8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3E17B9"/>
    <w:multiLevelType w:val="hybridMultilevel"/>
    <w:tmpl w:val="75C23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226513"/>
    <w:multiLevelType w:val="multilevel"/>
    <w:tmpl w:val="CC847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BF28DE"/>
    <w:multiLevelType w:val="multilevel"/>
    <w:tmpl w:val="1630B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771FE7"/>
    <w:multiLevelType w:val="multilevel"/>
    <w:tmpl w:val="33F8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4D7E3C"/>
    <w:multiLevelType w:val="multilevel"/>
    <w:tmpl w:val="268C5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9C0739"/>
    <w:multiLevelType w:val="hybridMultilevel"/>
    <w:tmpl w:val="6728E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0FD2393"/>
    <w:multiLevelType w:val="multilevel"/>
    <w:tmpl w:val="FB90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927188"/>
    <w:multiLevelType w:val="hybridMultilevel"/>
    <w:tmpl w:val="80AE0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C152268"/>
    <w:multiLevelType w:val="multilevel"/>
    <w:tmpl w:val="447E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816C3B"/>
    <w:multiLevelType w:val="multilevel"/>
    <w:tmpl w:val="A670A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73046E"/>
    <w:multiLevelType w:val="hybridMultilevel"/>
    <w:tmpl w:val="638C5FD6"/>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5" w15:restartNumberingAfterBreak="0">
    <w:nsid w:val="4065175E"/>
    <w:multiLevelType w:val="hybridMultilevel"/>
    <w:tmpl w:val="64322EE4"/>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6" w15:restartNumberingAfterBreak="0">
    <w:nsid w:val="43CF2640"/>
    <w:multiLevelType w:val="multilevel"/>
    <w:tmpl w:val="2A0A0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DF5E1C"/>
    <w:multiLevelType w:val="hybridMultilevel"/>
    <w:tmpl w:val="6964B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8E65D11"/>
    <w:multiLevelType w:val="hybridMultilevel"/>
    <w:tmpl w:val="5B2E8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AB605D"/>
    <w:multiLevelType w:val="multilevel"/>
    <w:tmpl w:val="1EE21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2048B5"/>
    <w:multiLevelType w:val="multilevel"/>
    <w:tmpl w:val="15782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9350BD"/>
    <w:multiLevelType w:val="multilevel"/>
    <w:tmpl w:val="6BD0A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C03BB5"/>
    <w:multiLevelType w:val="multilevel"/>
    <w:tmpl w:val="9A34460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EastAsia"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D519F2"/>
    <w:multiLevelType w:val="multilevel"/>
    <w:tmpl w:val="08D8C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FC7263"/>
    <w:multiLevelType w:val="hybridMultilevel"/>
    <w:tmpl w:val="10A4B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76D3BB1"/>
    <w:multiLevelType w:val="multilevel"/>
    <w:tmpl w:val="5734B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48F139B"/>
    <w:multiLevelType w:val="hybridMultilevel"/>
    <w:tmpl w:val="C9AC8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7920F4B"/>
    <w:multiLevelType w:val="multilevel"/>
    <w:tmpl w:val="B1269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765231"/>
    <w:multiLevelType w:val="multilevel"/>
    <w:tmpl w:val="D154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C80C26"/>
    <w:multiLevelType w:val="multilevel"/>
    <w:tmpl w:val="8C52C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46476CC"/>
    <w:multiLevelType w:val="hybridMultilevel"/>
    <w:tmpl w:val="8C24B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7F83C35"/>
    <w:multiLevelType w:val="hybridMultilevel"/>
    <w:tmpl w:val="0E0A1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84D033C"/>
    <w:multiLevelType w:val="multilevel"/>
    <w:tmpl w:val="8B7A296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A6B1FFE"/>
    <w:multiLevelType w:val="multilevel"/>
    <w:tmpl w:val="F6140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1"/>
  </w:num>
  <w:num w:numId="2">
    <w:abstractNumId w:val="36"/>
  </w:num>
  <w:num w:numId="3">
    <w:abstractNumId w:val="16"/>
  </w:num>
  <w:num w:numId="4">
    <w:abstractNumId w:val="9"/>
  </w:num>
  <w:num w:numId="5">
    <w:abstractNumId w:val="15"/>
  </w:num>
  <w:num w:numId="6">
    <w:abstractNumId w:val="18"/>
  </w:num>
  <w:num w:numId="7">
    <w:abstractNumId w:val="22"/>
  </w:num>
  <w:num w:numId="8">
    <w:abstractNumId w:val="7"/>
  </w:num>
  <w:num w:numId="9">
    <w:abstractNumId w:val="14"/>
  </w:num>
  <w:num w:numId="10">
    <w:abstractNumId w:val="12"/>
  </w:num>
  <w:num w:numId="11">
    <w:abstractNumId w:val="20"/>
  </w:num>
  <w:num w:numId="12">
    <w:abstractNumId w:val="32"/>
  </w:num>
  <w:num w:numId="13">
    <w:abstractNumId w:val="6"/>
  </w:num>
  <w:num w:numId="14">
    <w:abstractNumId w:val="28"/>
  </w:num>
  <w:num w:numId="15">
    <w:abstractNumId w:val="5"/>
  </w:num>
  <w:num w:numId="16">
    <w:abstractNumId w:val="44"/>
  </w:num>
  <w:num w:numId="17">
    <w:abstractNumId w:val="42"/>
  </w:num>
  <w:num w:numId="18">
    <w:abstractNumId w:val="1"/>
  </w:num>
  <w:num w:numId="19">
    <w:abstractNumId w:val="34"/>
  </w:num>
  <w:num w:numId="20">
    <w:abstractNumId w:val="27"/>
  </w:num>
  <w:num w:numId="21">
    <w:abstractNumId w:val="4"/>
  </w:num>
  <w:num w:numId="22">
    <w:abstractNumId w:val="35"/>
  </w:num>
  <w:num w:numId="23">
    <w:abstractNumId w:val="45"/>
  </w:num>
  <w:num w:numId="24">
    <w:abstractNumId w:val="38"/>
  </w:num>
  <w:num w:numId="25">
    <w:abstractNumId w:val="39"/>
  </w:num>
  <w:num w:numId="26">
    <w:abstractNumId w:val="31"/>
  </w:num>
  <w:num w:numId="27">
    <w:abstractNumId w:val="29"/>
  </w:num>
  <w:num w:numId="28">
    <w:abstractNumId w:val="0"/>
  </w:num>
  <w:num w:numId="29">
    <w:abstractNumId w:val="8"/>
  </w:num>
  <w:num w:numId="30">
    <w:abstractNumId w:val="3"/>
  </w:num>
  <w:num w:numId="31">
    <w:abstractNumId w:val="26"/>
  </w:num>
  <w:num w:numId="32">
    <w:abstractNumId w:val="37"/>
  </w:num>
  <w:num w:numId="33">
    <w:abstractNumId w:val="19"/>
  </w:num>
  <w:num w:numId="34">
    <w:abstractNumId w:val="21"/>
  </w:num>
  <w:num w:numId="35">
    <w:abstractNumId w:val="43"/>
  </w:num>
  <w:num w:numId="36">
    <w:abstractNumId w:val="2"/>
  </w:num>
  <w:num w:numId="37">
    <w:abstractNumId w:val="30"/>
  </w:num>
  <w:num w:numId="38">
    <w:abstractNumId w:val="40"/>
  </w:num>
  <w:num w:numId="39">
    <w:abstractNumId w:val="33"/>
  </w:num>
  <w:num w:numId="40">
    <w:abstractNumId w:val="23"/>
  </w:num>
  <w:num w:numId="41">
    <w:abstractNumId w:val="11"/>
  </w:num>
  <w:num w:numId="42">
    <w:abstractNumId w:val="17"/>
  </w:num>
  <w:num w:numId="43">
    <w:abstractNumId w:val="24"/>
  </w:num>
  <w:num w:numId="44">
    <w:abstractNumId w:val="25"/>
  </w:num>
  <w:num w:numId="45">
    <w:abstractNumId w:val="10"/>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41"/>
    <w:rsid w:val="00000D77"/>
    <w:rsid w:val="0000145D"/>
    <w:rsid w:val="000038A0"/>
    <w:rsid w:val="000066B8"/>
    <w:rsid w:val="000079A0"/>
    <w:rsid w:val="00007E85"/>
    <w:rsid w:val="00011594"/>
    <w:rsid w:val="00013465"/>
    <w:rsid w:val="0001419C"/>
    <w:rsid w:val="000226B3"/>
    <w:rsid w:val="00024549"/>
    <w:rsid w:val="00025685"/>
    <w:rsid w:val="00036FB7"/>
    <w:rsid w:val="0004325B"/>
    <w:rsid w:val="00045B40"/>
    <w:rsid w:val="00053F35"/>
    <w:rsid w:val="000544B6"/>
    <w:rsid w:val="000578D7"/>
    <w:rsid w:val="000604AF"/>
    <w:rsid w:val="00067434"/>
    <w:rsid w:val="0008148B"/>
    <w:rsid w:val="000815BB"/>
    <w:rsid w:val="000821C7"/>
    <w:rsid w:val="000841C3"/>
    <w:rsid w:val="00086A76"/>
    <w:rsid w:val="00086C11"/>
    <w:rsid w:val="000938D0"/>
    <w:rsid w:val="000944C6"/>
    <w:rsid w:val="00094DCF"/>
    <w:rsid w:val="000A0678"/>
    <w:rsid w:val="000A0F27"/>
    <w:rsid w:val="000A4BA6"/>
    <w:rsid w:val="000A657C"/>
    <w:rsid w:val="000A6CFD"/>
    <w:rsid w:val="000B0982"/>
    <w:rsid w:val="000B2F78"/>
    <w:rsid w:val="000B39E7"/>
    <w:rsid w:val="000B3C3D"/>
    <w:rsid w:val="000B5E1B"/>
    <w:rsid w:val="000B796C"/>
    <w:rsid w:val="000C0D59"/>
    <w:rsid w:val="000C46BB"/>
    <w:rsid w:val="000C4D9D"/>
    <w:rsid w:val="000C7B60"/>
    <w:rsid w:val="000C7C4B"/>
    <w:rsid w:val="000C7D8B"/>
    <w:rsid w:val="000D3039"/>
    <w:rsid w:val="000D30C7"/>
    <w:rsid w:val="000D3A24"/>
    <w:rsid w:val="000E0CCC"/>
    <w:rsid w:val="000E485D"/>
    <w:rsid w:val="000E5B67"/>
    <w:rsid w:val="000E72C6"/>
    <w:rsid w:val="000E7B26"/>
    <w:rsid w:val="000F1893"/>
    <w:rsid w:val="000F2F51"/>
    <w:rsid w:val="000F2FD2"/>
    <w:rsid w:val="000F4D54"/>
    <w:rsid w:val="000F6376"/>
    <w:rsid w:val="000F63B4"/>
    <w:rsid w:val="000F7E4B"/>
    <w:rsid w:val="0010383E"/>
    <w:rsid w:val="001044EF"/>
    <w:rsid w:val="00105399"/>
    <w:rsid w:val="00113CF8"/>
    <w:rsid w:val="00113D74"/>
    <w:rsid w:val="00117C5C"/>
    <w:rsid w:val="001246E0"/>
    <w:rsid w:val="00130057"/>
    <w:rsid w:val="0013060D"/>
    <w:rsid w:val="001310AE"/>
    <w:rsid w:val="0013414F"/>
    <w:rsid w:val="00135509"/>
    <w:rsid w:val="001420B3"/>
    <w:rsid w:val="001431DB"/>
    <w:rsid w:val="001460C4"/>
    <w:rsid w:val="0015691C"/>
    <w:rsid w:val="001621F7"/>
    <w:rsid w:val="001624D7"/>
    <w:rsid w:val="0017444F"/>
    <w:rsid w:val="00174E6B"/>
    <w:rsid w:val="0017681C"/>
    <w:rsid w:val="00177B86"/>
    <w:rsid w:val="00182585"/>
    <w:rsid w:val="001833F0"/>
    <w:rsid w:val="0018543C"/>
    <w:rsid w:val="00191182"/>
    <w:rsid w:val="00193356"/>
    <w:rsid w:val="001948D3"/>
    <w:rsid w:val="0019664D"/>
    <w:rsid w:val="001A53A1"/>
    <w:rsid w:val="001A6103"/>
    <w:rsid w:val="001A69F5"/>
    <w:rsid w:val="001B2DA0"/>
    <w:rsid w:val="001B5D37"/>
    <w:rsid w:val="001B6F29"/>
    <w:rsid w:val="001C2940"/>
    <w:rsid w:val="001C2C54"/>
    <w:rsid w:val="001C4016"/>
    <w:rsid w:val="001C4B98"/>
    <w:rsid w:val="001C548D"/>
    <w:rsid w:val="001C58E0"/>
    <w:rsid w:val="001C5B54"/>
    <w:rsid w:val="001C6A5D"/>
    <w:rsid w:val="001D30CE"/>
    <w:rsid w:val="001D3964"/>
    <w:rsid w:val="001D4A6B"/>
    <w:rsid w:val="001D5E5F"/>
    <w:rsid w:val="001D66E8"/>
    <w:rsid w:val="001D79FF"/>
    <w:rsid w:val="001E31A6"/>
    <w:rsid w:val="001E42C7"/>
    <w:rsid w:val="001E4CAB"/>
    <w:rsid w:val="001E660F"/>
    <w:rsid w:val="001E6A32"/>
    <w:rsid w:val="001E72DA"/>
    <w:rsid w:val="001F0A4E"/>
    <w:rsid w:val="001F19AE"/>
    <w:rsid w:val="001F2F3E"/>
    <w:rsid w:val="001F4906"/>
    <w:rsid w:val="001F7C4A"/>
    <w:rsid w:val="0020117F"/>
    <w:rsid w:val="00204FD7"/>
    <w:rsid w:val="0020578A"/>
    <w:rsid w:val="00206364"/>
    <w:rsid w:val="00207631"/>
    <w:rsid w:val="002115B9"/>
    <w:rsid w:val="00214013"/>
    <w:rsid w:val="00214A94"/>
    <w:rsid w:val="00220FC1"/>
    <w:rsid w:val="00222E9A"/>
    <w:rsid w:val="00223E38"/>
    <w:rsid w:val="00224E4C"/>
    <w:rsid w:val="00225031"/>
    <w:rsid w:val="0023086A"/>
    <w:rsid w:val="00230E57"/>
    <w:rsid w:val="0023179D"/>
    <w:rsid w:val="002318FF"/>
    <w:rsid w:val="00233437"/>
    <w:rsid w:val="00234A54"/>
    <w:rsid w:val="00234F52"/>
    <w:rsid w:val="0025389D"/>
    <w:rsid w:val="00254E02"/>
    <w:rsid w:val="002551D0"/>
    <w:rsid w:val="0026265F"/>
    <w:rsid w:val="00263C8F"/>
    <w:rsid w:val="00265C90"/>
    <w:rsid w:val="00270EDE"/>
    <w:rsid w:val="00273608"/>
    <w:rsid w:val="0027544D"/>
    <w:rsid w:val="00276C82"/>
    <w:rsid w:val="002818C2"/>
    <w:rsid w:val="0028265F"/>
    <w:rsid w:val="0028471C"/>
    <w:rsid w:val="00286C3A"/>
    <w:rsid w:val="002900DB"/>
    <w:rsid w:val="0029174E"/>
    <w:rsid w:val="00291B95"/>
    <w:rsid w:val="002930F5"/>
    <w:rsid w:val="002935DA"/>
    <w:rsid w:val="00296D56"/>
    <w:rsid w:val="00296F89"/>
    <w:rsid w:val="002A00F7"/>
    <w:rsid w:val="002A06B7"/>
    <w:rsid w:val="002A58B3"/>
    <w:rsid w:val="002A5F9B"/>
    <w:rsid w:val="002B2AE3"/>
    <w:rsid w:val="002B3F60"/>
    <w:rsid w:val="002C3D0C"/>
    <w:rsid w:val="002C5120"/>
    <w:rsid w:val="002C6E0C"/>
    <w:rsid w:val="002D144A"/>
    <w:rsid w:val="002D3E02"/>
    <w:rsid w:val="002D6F63"/>
    <w:rsid w:val="002D6FF0"/>
    <w:rsid w:val="002E19A3"/>
    <w:rsid w:val="002E212B"/>
    <w:rsid w:val="002E2A83"/>
    <w:rsid w:val="002E3337"/>
    <w:rsid w:val="002E4EE8"/>
    <w:rsid w:val="002E5675"/>
    <w:rsid w:val="002E6D03"/>
    <w:rsid w:val="002F02B8"/>
    <w:rsid w:val="002F49A8"/>
    <w:rsid w:val="002F5E66"/>
    <w:rsid w:val="002F61CA"/>
    <w:rsid w:val="0030010D"/>
    <w:rsid w:val="0030202D"/>
    <w:rsid w:val="003136E7"/>
    <w:rsid w:val="00315C8E"/>
    <w:rsid w:val="00327C47"/>
    <w:rsid w:val="003318F1"/>
    <w:rsid w:val="003345AC"/>
    <w:rsid w:val="0033504C"/>
    <w:rsid w:val="00336816"/>
    <w:rsid w:val="003370D0"/>
    <w:rsid w:val="00337355"/>
    <w:rsid w:val="003401CC"/>
    <w:rsid w:val="003402E4"/>
    <w:rsid w:val="00340F95"/>
    <w:rsid w:val="00342DD2"/>
    <w:rsid w:val="00343290"/>
    <w:rsid w:val="00347E62"/>
    <w:rsid w:val="003519A2"/>
    <w:rsid w:val="0035308B"/>
    <w:rsid w:val="003531ED"/>
    <w:rsid w:val="00355D73"/>
    <w:rsid w:val="0035664D"/>
    <w:rsid w:val="00360B9A"/>
    <w:rsid w:val="003625D3"/>
    <w:rsid w:val="00362885"/>
    <w:rsid w:val="003646C3"/>
    <w:rsid w:val="0037092C"/>
    <w:rsid w:val="00373820"/>
    <w:rsid w:val="0037519E"/>
    <w:rsid w:val="003801A4"/>
    <w:rsid w:val="0038146A"/>
    <w:rsid w:val="00383DAE"/>
    <w:rsid w:val="00386367"/>
    <w:rsid w:val="00386C2F"/>
    <w:rsid w:val="00387CF1"/>
    <w:rsid w:val="0039017F"/>
    <w:rsid w:val="00390603"/>
    <w:rsid w:val="00391382"/>
    <w:rsid w:val="003915E0"/>
    <w:rsid w:val="00394AEE"/>
    <w:rsid w:val="003A2382"/>
    <w:rsid w:val="003A2BA5"/>
    <w:rsid w:val="003B3BAB"/>
    <w:rsid w:val="003C0F95"/>
    <w:rsid w:val="003C2D98"/>
    <w:rsid w:val="003C39E1"/>
    <w:rsid w:val="003C54B9"/>
    <w:rsid w:val="003D3A96"/>
    <w:rsid w:val="003D3B9C"/>
    <w:rsid w:val="003D47F0"/>
    <w:rsid w:val="003D689F"/>
    <w:rsid w:val="003E3CD5"/>
    <w:rsid w:val="003E40F9"/>
    <w:rsid w:val="003E5428"/>
    <w:rsid w:val="003E61A7"/>
    <w:rsid w:val="00400BAE"/>
    <w:rsid w:val="00401424"/>
    <w:rsid w:val="00404F03"/>
    <w:rsid w:val="00407FE0"/>
    <w:rsid w:val="00412051"/>
    <w:rsid w:val="004157D8"/>
    <w:rsid w:val="00422EE1"/>
    <w:rsid w:val="00423B94"/>
    <w:rsid w:val="004271CF"/>
    <w:rsid w:val="00430420"/>
    <w:rsid w:val="00431621"/>
    <w:rsid w:val="00435029"/>
    <w:rsid w:val="00436929"/>
    <w:rsid w:val="00441496"/>
    <w:rsid w:val="004449F4"/>
    <w:rsid w:val="004556C3"/>
    <w:rsid w:val="00457C43"/>
    <w:rsid w:val="00463731"/>
    <w:rsid w:val="0046400A"/>
    <w:rsid w:val="00465406"/>
    <w:rsid w:val="00467B25"/>
    <w:rsid w:val="00472527"/>
    <w:rsid w:val="00472A73"/>
    <w:rsid w:val="00473A05"/>
    <w:rsid w:val="00474B10"/>
    <w:rsid w:val="00477415"/>
    <w:rsid w:val="00481108"/>
    <w:rsid w:val="00482951"/>
    <w:rsid w:val="0049042B"/>
    <w:rsid w:val="004913B9"/>
    <w:rsid w:val="00495473"/>
    <w:rsid w:val="004A458E"/>
    <w:rsid w:val="004A4B05"/>
    <w:rsid w:val="004A5C05"/>
    <w:rsid w:val="004A79FE"/>
    <w:rsid w:val="004B23E7"/>
    <w:rsid w:val="004B306F"/>
    <w:rsid w:val="004B5356"/>
    <w:rsid w:val="004C285C"/>
    <w:rsid w:val="004C3186"/>
    <w:rsid w:val="004C5042"/>
    <w:rsid w:val="004C550D"/>
    <w:rsid w:val="004D0D55"/>
    <w:rsid w:val="004D491A"/>
    <w:rsid w:val="004E1C22"/>
    <w:rsid w:val="004E4422"/>
    <w:rsid w:val="004E7661"/>
    <w:rsid w:val="004F401A"/>
    <w:rsid w:val="004F63C2"/>
    <w:rsid w:val="004F6C21"/>
    <w:rsid w:val="004F70BB"/>
    <w:rsid w:val="00500EE5"/>
    <w:rsid w:val="00503998"/>
    <w:rsid w:val="005060D1"/>
    <w:rsid w:val="0050623B"/>
    <w:rsid w:val="005107EE"/>
    <w:rsid w:val="00510AF8"/>
    <w:rsid w:val="00523181"/>
    <w:rsid w:val="00524D13"/>
    <w:rsid w:val="00526DB6"/>
    <w:rsid w:val="00527D4F"/>
    <w:rsid w:val="005339F6"/>
    <w:rsid w:val="00534912"/>
    <w:rsid w:val="00542AF2"/>
    <w:rsid w:val="00547A81"/>
    <w:rsid w:val="00557718"/>
    <w:rsid w:val="00557FC2"/>
    <w:rsid w:val="005653AC"/>
    <w:rsid w:val="00565BEC"/>
    <w:rsid w:val="005716AD"/>
    <w:rsid w:val="00573BD1"/>
    <w:rsid w:val="00576B18"/>
    <w:rsid w:val="0058147F"/>
    <w:rsid w:val="00587724"/>
    <w:rsid w:val="00591512"/>
    <w:rsid w:val="005921C2"/>
    <w:rsid w:val="005924E5"/>
    <w:rsid w:val="005A47D4"/>
    <w:rsid w:val="005A5C8A"/>
    <w:rsid w:val="005B1291"/>
    <w:rsid w:val="005B2D91"/>
    <w:rsid w:val="005B349B"/>
    <w:rsid w:val="005B48B4"/>
    <w:rsid w:val="005C593C"/>
    <w:rsid w:val="005C6661"/>
    <w:rsid w:val="005C6E3B"/>
    <w:rsid w:val="005D4501"/>
    <w:rsid w:val="005D474B"/>
    <w:rsid w:val="005D67B1"/>
    <w:rsid w:val="005E02E0"/>
    <w:rsid w:val="005E085C"/>
    <w:rsid w:val="005E147D"/>
    <w:rsid w:val="005E1B78"/>
    <w:rsid w:val="005E22C2"/>
    <w:rsid w:val="005E24F6"/>
    <w:rsid w:val="005E57BB"/>
    <w:rsid w:val="005E6371"/>
    <w:rsid w:val="005F0017"/>
    <w:rsid w:val="006014F1"/>
    <w:rsid w:val="0060280F"/>
    <w:rsid w:val="00603044"/>
    <w:rsid w:val="006044A6"/>
    <w:rsid w:val="006047BF"/>
    <w:rsid w:val="00605032"/>
    <w:rsid w:val="00606153"/>
    <w:rsid w:val="006063A2"/>
    <w:rsid w:val="00606DA5"/>
    <w:rsid w:val="00606DF7"/>
    <w:rsid w:val="0061357B"/>
    <w:rsid w:val="00614A7D"/>
    <w:rsid w:val="00616688"/>
    <w:rsid w:val="00622220"/>
    <w:rsid w:val="0063631C"/>
    <w:rsid w:val="0063757B"/>
    <w:rsid w:val="006377CE"/>
    <w:rsid w:val="00643775"/>
    <w:rsid w:val="00645B8E"/>
    <w:rsid w:val="00647E27"/>
    <w:rsid w:val="006537D9"/>
    <w:rsid w:val="006554E2"/>
    <w:rsid w:val="00655EA1"/>
    <w:rsid w:val="00660A0D"/>
    <w:rsid w:val="00660DFD"/>
    <w:rsid w:val="00661FBA"/>
    <w:rsid w:val="006629DA"/>
    <w:rsid w:val="00664A48"/>
    <w:rsid w:val="00665DEF"/>
    <w:rsid w:val="006755EE"/>
    <w:rsid w:val="00675BB1"/>
    <w:rsid w:val="006766E9"/>
    <w:rsid w:val="006775F1"/>
    <w:rsid w:val="00684BB7"/>
    <w:rsid w:val="006855AA"/>
    <w:rsid w:val="006876F7"/>
    <w:rsid w:val="00687B1F"/>
    <w:rsid w:val="00692668"/>
    <w:rsid w:val="00692AA7"/>
    <w:rsid w:val="00697FEC"/>
    <w:rsid w:val="006A175F"/>
    <w:rsid w:val="006A1ACF"/>
    <w:rsid w:val="006A36A2"/>
    <w:rsid w:val="006A44F5"/>
    <w:rsid w:val="006A45BA"/>
    <w:rsid w:val="006A6420"/>
    <w:rsid w:val="006B2E6A"/>
    <w:rsid w:val="006B4537"/>
    <w:rsid w:val="006B561C"/>
    <w:rsid w:val="006B5F85"/>
    <w:rsid w:val="006B6325"/>
    <w:rsid w:val="006B6929"/>
    <w:rsid w:val="006B709B"/>
    <w:rsid w:val="006C0B07"/>
    <w:rsid w:val="006C3067"/>
    <w:rsid w:val="006C54AF"/>
    <w:rsid w:val="006C59AF"/>
    <w:rsid w:val="006D01C4"/>
    <w:rsid w:val="006D31FE"/>
    <w:rsid w:val="006D3ADC"/>
    <w:rsid w:val="006D3C89"/>
    <w:rsid w:val="006D56EA"/>
    <w:rsid w:val="006E0181"/>
    <w:rsid w:val="006E2D89"/>
    <w:rsid w:val="006E73F0"/>
    <w:rsid w:val="006F3B30"/>
    <w:rsid w:val="006F3FF2"/>
    <w:rsid w:val="006F7CC2"/>
    <w:rsid w:val="00700A10"/>
    <w:rsid w:val="00700C0E"/>
    <w:rsid w:val="007043B7"/>
    <w:rsid w:val="00705DAD"/>
    <w:rsid w:val="00710698"/>
    <w:rsid w:val="0071493B"/>
    <w:rsid w:val="00715CEE"/>
    <w:rsid w:val="007247B9"/>
    <w:rsid w:val="0072584F"/>
    <w:rsid w:val="00727D85"/>
    <w:rsid w:val="00732A52"/>
    <w:rsid w:val="007346C7"/>
    <w:rsid w:val="00736041"/>
    <w:rsid w:val="00736080"/>
    <w:rsid w:val="00736E30"/>
    <w:rsid w:val="007408C7"/>
    <w:rsid w:val="00745CB1"/>
    <w:rsid w:val="007465DA"/>
    <w:rsid w:val="00746842"/>
    <w:rsid w:val="00750D26"/>
    <w:rsid w:val="00752046"/>
    <w:rsid w:val="00752C7F"/>
    <w:rsid w:val="00757049"/>
    <w:rsid w:val="007632FD"/>
    <w:rsid w:val="007660CA"/>
    <w:rsid w:val="0077109E"/>
    <w:rsid w:val="00771CF8"/>
    <w:rsid w:val="00776598"/>
    <w:rsid w:val="007773DF"/>
    <w:rsid w:val="00784D08"/>
    <w:rsid w:val="00792948"/>
    <w:rsid w:val="00796E84"/>
    <w:rsid w:val="007A3ADE"/>
    <w:rsid w:val="007A5395"/>
    <w:rsid w:val="007A5733"/>
    <w:rsid w:val="007A5774"/>
    <w:rsid w:val="007A7B56"/>
    <w:rsid w:val="007B0BB1"/>
    <w:rsid w:val="007B412F"/>
    <w:rsid w:val="007B503A"/>
    <w:rsid w:val="007B64B0"/>
    <w:rsid w:val="007B6E7D"/>
    <w:rsid w:val="007C01E4"/>
    <w:rsid w:val="007C183D"/>
    <w:rsid w:val="007C2112"/>
    <w:rsid w:val="007C3B3B"/>
    <w:rsid w:val="007C4AAF"/>
    <w:rsid w:val="007C56BD"/>
    <w:rsid w:val="007D72B1"/>
    <w:rsid w:val="007E4237"/>
    <w:rsid w:val="007F6737"/>
    <w:rsid w:val="008001BC"/>
    <w:rsid w:val="00800E47"/>
    <w:rsid w:val="00801CF0"/>
    <w:rsid w:val="00801E74"/>
    <w:rsid w:val="0080485E"/>
    <w:rsid w:val="00810081"/>
    <w:rsid w:val="008106D6"/>
    <w:rsid w:val="00812B27"/>
    <w:rsid w:val="00813BFC"/>
    <w:rsid w:val="00813D25"/>
    <w:rsid w:val="00813FED"/>
    <w:rsid w:val="008142B4"/>
    <w:rsid w:val="008218A3"/>
    <w:rsid w:val="00821F0A"/>
    <w:rsid w:val="00824845"/>
    <w:rsid w:val="00827AA6"/>
    <w:rsid w:val="008305FF"/>
    <w:rsid w:val="008319E9"/>
    <w:rsid w:val="00831D15"/>
    <w:rsid w:val="00832324"/>
    <w:rsid w:val="00835337"/>
    <w:rsid w:val="0083724E"/>
    <w:rsid w:val="00837AB9"/>
    <w:rsid w:val="00841087"/>
    <w:rsid w:val="00843805"/>
    <w:rsid w:val="00844405"/>
    <w:rsid w:val="008457A1"/>
    <w:rsid w:val="00846DCD"/>
    <w:rsid w:val="00850338"/>
    <w:rsid w:val="008505C4"/>
    <w:rsid w:val="00851D85"/>
    <w:rsid w:val="00854518"/>
    <w:rsid w:val="00856F5F"/>
    <w:rsid w:val="00860CCB"/>
    <w:rsid w:val="00864A13"/>
    <w:rsid w:val="0087196F"/>
    <w:rsid w:val="0087299F"/>
    <w:rsid w:val="008740A3"/>
    <w:rsid w:val="0087577C"/>
    <w:rsid w:val="00877054"/>
    <w:rsid w:val="008867A8"/>
    <w:rsid w:val="0089297B"/>
    <w:rsid w:val="00892EBB"/>
    <w:rsid w:val="00893AC3"/>
    <w:rsid w:val="008A089C"/>
    <w:rsid w:val="008A481F"/>
    <w:rsid w:val="008A699E"/>
    <w:rsid w:val="008A7B73"/>
    <w:rsid w:val="008A7F98"/>
    <w:rsid w:val="008B3775"/>
    <w:rsid w:val="008B4BB6"/>
    <w:rsid w:val="008B7EE4"/>
    <w:rsid w:val="008C11BA"/>
    <w:rsid w:val="008C1220"/>
    <w:rsid w:val="008C124D"/>
    <w:rsid w:val="008C36CA"/>
    <w:rsid w:val="008D22A2"/>
    <w:rsid w:val="008D3761"/>
    <w:rsid w:val="008E1504"/>
    <w:rsid w:val="008E3F8C"/>
    <w:rsid w:val="008E3FF7"/>
    <w:rsid w:val="008F0595"/>
    <w:rsid w:val="008F1394"/>
    <w:rsid w:val="008F29B7"/>
    <w:rsid w:val="008F5B43"/>
    <w:rsid w:val="008F6CCA"/>
    <w:rsid w:val="00900CF2"/>
    <w:rsid w:val="00902754"/>
    <w:rsid w:val="00902FD0"/>
    <w:rsid w:val="0090412E"/>
    <w:rsid w:val="009050CC"/>
    <w:rsid w:val="009053D3"/>
    <w:rsid w:val="0090691F"/>
    <w:rsid w:val="009134A0"/>
    <w:rsid w:val="00914E6C"/>
    <w:rsid w:val="009168E4"/>
    <w:rsid w:val="009177F2"/>
    <w:rsid w:val="009178E5"/>
    <w:rsid w:val="00920348"/>
    <w:rsid w:val="00924A13"/>
    <w:rsid w:val="00927B27"/>
    <w:rsid w:val="0093111F"/>
    <w:rsid w:val="0093239F"/>
    <w:rsid w:val="009350C1"/>
    <w:rsid w:val="00935689"/>
    <w:rsid w:val="009369C1"/>
    <w:rsid w:val="00945955"/>
    <w:rsid w:val="0095303B"/>
    <w:rsid w:val="00955CF2"/>
    <w:rsid w:val="00956143"/>
    <w:rsid w:val="00956C4A"/>
    <w:rsid w:val="00962E47"/>
    <w:rsid w:val="00964093"/>
    <w:rsid w:val="00964938"/>
    <w:rsid w:val="009663B6"/>
    <w:rsid w:val="00974A47"/>
    <w:rsid w:val="009760E3"/>
    <w:rsid w:val="00976A3D"/>
    <w:rsid w:val="00980286"/>
    <w:rsid w:val="00980544"/>
    <w:rsid w:val="009815B8"/>
    <w:rsid w:val="00983019"/>
    <w:rsid w:val="009843D2"/>
    <w:rsid w:val="00984B0C"/>
    <w:rsid w:val="009858E1"/>
    <w:rsid w:val="00990DCF"/>
    <w:rsid w:val="0099190B"/>
    <w:rsid w:val="00994E53"/>
    <w:rsid w:val="009A18B2"/>
    <w:rsid w:val="009A18D3"/>
    <w:rsid w:val="009A1B8F"/>
    <w:rsid w:val="009A4CD6"/>
    <w:rsid w:val="009A537C"/>
    <w:rsid w:val="009A64AB"/>
    <w:rsid w:val="009A6912"/>
    <w:rsid w:val="009A703F"/>
    <w:rsid w:val="009B5B45"/>
    <w:rsid w:val="009C070B"/>
    <w:rsid w:val="009C0886"/>
    <w:rsid w:val="009C19EE"/>
    <w:rsid w:val="009C1CA2"/>
    <w:rsid w:val="009C28D0"/>
    <w:rsid w:val="009C35F2"/>
    <w:rsid w:val="009C7782"/>
    <w:rsid w:val="009D024B"/>
    <w:rsid w:val="009D1ED5"/>
    <w:rsid w:val="009D4C13"/>
    <w:rsid w:val="009D620B"/>
    <w:rsid w:val="009E0620"/>
    <w:rsid w:val="009E102B"/>
    <w:rsid w:val="009E1A77"/>
    <w:rsid w:val="009E21A7"/>
    <w:rsid w:val="009F0753"/>
    <w:rsid w:val="009F5DEF"/>
    <w:rsid w:val="00A00E42"/>
    <w:rsid w:val="00A033C2"/>
    <w:rsid w:val="00A07A76"/>
    <w:rsid w:val="00A1006B"/>
    <w:rsid w:val="00A103ED"/>
    <w:rsid w:val="00A10FA2"/>
    <w:rsid w:val="00A12310"/>
    <w:rsid w:val="00A13576"/>
    <w:rsid w:val="00A13C60"/>
    <w:rsid w:val="00A1441F"/>
    <w:rsid w:val="00A15134"/>
    <w:rsid w:val="00A22FBF"/>
    <w:rsid w:val="00A246BF"/>
    <w:rsid w:val="00A32D94"/>
    <w:rsid w:val="00A341A3"/>
    <w:rsid w:val="00A34C51"/>
    <w:rsid w:val="00A35800"/>
    <w:rsid w:val="00A36E7E"/>
    <w:rsid w:val="00A424E6"/>
    <w:rsid w:val="00A52918"/>
    <w:rsid w:val="00A531D7"/>
    <w:rsid w:val="00A54596"/>
    <w:rsid w:val="00A547B3"/>
    <w:rsid w:val="00A569C9"/>
    <w:rsid w:val="00A671AF"/>
    <w:rsid w:val="00A70E82"/>
    <w:rsid w:val="00A754D1"/>
    <w:rsid w:val="00A816EE"/>
    <w:rsid w:val="00A83D44"/>
    <w:rsid w:val="00A840D7"/>
    <w:rsid w:val="00A849D9"/>
    <w:rsid w:val="00A84CAD"/>
    <w:rsid w:val="00A8766B"/>
    <w:rsid w:val="00A87A60"/>
    <w:rsid w:val="00A90E50"/>
    <w:rsid w:val="00A94502"/>
    <w:rsid w:val="00A95D4C"/>
    <w:rsid w:val="00A95FA5"/>
    <w:rsid w:val="00A96344"/>
    <w:rsid w:val="00A96836"/>
    <w:rsid w:val="00A96AF3"/>
    <w:rsid w:val="00A96D92"/>
    <w:rsid w:val="00A976D6"/>
    <w:rsid w:val="00AA2AEE"/>
    <w:rsid w:val="00AB028E"/>
    <w:rsid w:val="00AB1856"/>
    <w:rsid w:val="00AB199C"/>
    <w:rsid w:val="00AB35A5"/>
    <w:rsid w:val="00AB3733"/>
    <w:rsid w:val="00AB3A7A"/>
    <w:rsid w:val="00AB588C"/>
    <w:rsid w:val="00AB7897"/>
    <w:rsid w:val="00AC1516"/>
    <w:rsid w:val="00AC2CEF"/>
    <w:rsid w:val="00AC5054"/>
    <w:rsid w:val="00AC69FF"/>
    <w:rsid w:val="00AC7DDF"/>
    <w:rsid w:val="00AD202D"/>
    <w:rsid w:val="00AE034C"/>
    <w:rsid w:val="00AE082F"/>
    <w:rsid w:val="00AE2A37"/>
    <w:rsid w:val="00AE4BAC"/>
    <w:rsid w:val="00B01D83"/>
    <w:rsid w:val="00B026AE"/>
    <w:rsid w:val="00B034FC"/>
    <w:rsid w:val="00B05310"/>
    <w:rsid w:val="00B06781"/>
    <w:rsid w:val="00B07A42"/>
    <w:rsid w:val="00B10A0B"/>
    <w:rsid w:val="00B128C8"/>
    <w:rsid w:val="00B13542"/>
    <w:rsid w:val="00B13D6A"/>
    <w:rsid w:val="00B14FAA"/>
    <w:rsid w:val="00B21AB0"/>
    <w:rsid w:val="00B30D85"/>
    <w:rsid w:val="00B3156F"/>
    <w:rsid w:val="00B34A9B"/>
    <w:rsid w:val="00B35599"/>
    <w:rsid w:val="00B35A4A"/>
    <w:rsid w:val="00B375BB"/>
    <w:rsid w:val="00B453CF"/>
    <w:rsid w:val="00B47873"/>
    <w:rsid w:val="00B55792"/>
    <w:rsid w:val="00B63FD7"/>
    <w:rsid w:val="00B654EE"/>
    <w:rsid w:val="00B70D04"/>
    <w:rsid w:val="00B72011"/>
    <w:rsid w:val="00B76F3E"/>
    <w:rsid w:val="00B816D9"/>
    <w:rsid w:val="00B82A0D"/>
    <w:rsid w:val="00B8750A"/>
    <w:rsid w:val="00B9038F"/>
    <w:rsid w:val="00B9120F"/>
    <w:rsid w:val="00B9216C"/>
    <w:rsid w:val="00B924A4"/>
    <w:rsid w:val="00B93758"/>
    <w:rsid w:val="00B937D1"/>
    <w:rsid w:val="00B94BC4"/>
    <w:rsid w:val="00B95E25"/>
    <w:rsid w:val="00B97EDB"/>
    <w:rsid w:val="00BA0AA2"/>
    <w:rsid w:val="00BA0DB4"/>
    <w:rsid w:val="00BA4479"/>
    <w:rsid w:val="00BA5C7D"/>
    <w:rsid w:val="00BA6FCB"/>
    <w:rsid w:val="00BA7F91"/>
    <w:rsid w:val="00BB0D1A"/>
    <w:rsid w:val="00BB1D3B"/>
    <w:rsid w:val="00BB3492"/>
    <w:rsid w:val="00BB39A1"/>
    <w:rsid w:val="00BB55D2"/>
    <w:rsid w:val="00BB7B39"/>
    <w:rsid w:val="00BC0C25"/>
    <w:rsid w:val="00BC35ED"/>
    <w:rsid w:val="00BD07C4"/>
    <w:rsid w:val="00BD3FB2"/>
    <w:rsid w:val="00BD7E60"/>
    <w:rsid w:val="00BE205A"/>
    <w:rsid w:val="00BE3802"/>
    <w:rsid w:val="00BF238E"/>
    <w:rsid w:val="00BF2A24"/>
    <w:rsid w:val="00BF2F4A"/>
    <w:rsid w:val="00BF41B2"/>
    <w:rsid w:val="00BF544D"/>
    <w:rsid w:val="00C0076F"/>
    <w:rsid w:val="00C01AE6"/>
    <w:rsid w:val="00C020B3"/>
    <w:rsid w:val="00C02260"/>
    <w:rsid w:val="00C02584"/>
    <w:rsid w:val="00C0301C"/>
    <w:rsid w:val="00C050B6"/>
    <w:rsid w:val="00C07ADC"/>
    <w:rsid w:val="00C10F12"/>
    <w:rsid w:val="00C13CEB"/>
    <w:rsid w:val="00C16470"/>
    <w:rsid w:val="00C211E1"/>
    <w:rsid w:val="00C23AC3"/>
    <w:rsid w:val="00C23DA7"/>
    <w:rsid w:val="00C245EA"/>
    <w:rsid w:val="00C256F6"/>
    <w:rsid w:val="00C27C31"/>
    <w:rsid w:val="00C3097E"/>
    <w:rsid w:val="00C34B08"/>
    <w:rsid w:val="00C35ECC"/>
    <w:rsid w:val="00C361A8"/>
    <w:rsid w:val="00C37195"/>
    <w:rsid w:val="00C379B8"/>
    <w:rsid w:val="00C41246"/>
    <w:rsid w:val="00C41F3F"/>
    <w:rsid w:val="00C42AEA"/>
    <w:rsid w:val="00C42C2E"/>
    <w:rsid w:val="00C45E5F"/>
    <w:rsid w:val="00C46291"/>
    <w:rsid w:val="00C47B96"/>
    <w:rsid w:val="00C543B6"/>
    <w:rsid w:val="00C63412"/>
    <w:rsid w:val="00C654FE"/>
    <w:rsid w:val="00C66086"/>
    <w:rsid w:val="00C67E6A"/>
    <w:rsid w:val="00C70454"/>
    <w:rsid w:val="00C713E2"/>
    <w:rsid w:val="00C714D0"/>
    <w:rsid w:val="00C733EE"/>
    <w:rsid w:val="00C74088"/>
    <w:rsid w:val="00C76CD2"/>
    <w:rsid w:val="00C8013C"/>
    <w:rsid w:val="00C843E6"/>
    <w:rsid w:val="00C862A9"/>
    <w:rsid w:val="00C8650B"/>
    <w:rsid w:val="00C86DAD"/>
    <w:rsid w:val="00C87382"/>
    <w:rsid w:val="00C874BB"/>
    <w:rsid w:val="00C90ABA"/>
    <w:rsid w:val="00C90EF4"/>
    <w:rsid w:val="00C922BB"/>
    <w:rsid w:val="00C92B85"/>
    <w:rsid w:val="00CA015A"/>
    <w:rsid w:val="00CA2D63"/>
    <w:rsid w:val="00CA5521"/>
    <w:rsid w:val="00CB138C"/>
    <w:rsid w:val="00CB34BB"/>
    <w:rsid w:val="00CB4DF9"/>
    <w:rsid w:val="00CB7535"/>
    <w:rsid w:val="00CC0645"/>
    <w:rsid w:val="00CC0D02"/>
    <w:rsid w:val="00CC1AA3"/>
    <w:rsid w:val="00CC291E"/>
    <w:rsid w:val="00CC770A"/>
    <w:rsid w:val="00CD0025"/>
    <w:rsid w:val="00CD0959"/>
    <w:rsid w:val="00CD4486"/>
    <w:rsid w:val="00CD4CAA"/>
    <w:rsid w:val="00CE441E"/>
    <w:rsid w:val="00CE47DD"/>
    <w:rsid w:val="00CE7F63"/>
    <w:rsid w:val="00CF2642"/>
    <w:rsid w:val="00CF5E22"/>
    <w:rsid w:val="00CF72DC"/>
    <w:rsid w:val="00D00D6E"/>
    <w:rsid w:val="00D02F1D"/>
    <w:rsid w:val="00D06A44"/>
    <w:rsid w:val="00D137F7"/>
    <w:rsid w:val="00D14F7B"/>
    <w:rsid w:val="00D151EB"/>
    <w:rsid w:val="00D16EE5"/>
    <w:rsid w:val="00D1790B"/>
    <w:rsid w:val="00D20B78"/>
    <w:rsid w:val="00D20FF4"/>
    <w:rsid w:val="00D21882"/>
    <w:rsid w:val="00D22437"/>
    <w:rsid w:val="00D2247D"/>
    <w:rsid w:val="00D247B1"/>
    <w:rsid w:val="00D25110"/>
    <w:rsid w:val="00D300E0"/>
    <w:rsid w:val="00D30E1A"/>
    <w:rsid w:val="00D34FC2"/>
    <w:rsid w:val="00D36ADC"/>
    <w:rsid w:val="00D374CD"/>
    <w:rsid w:val="00D4075A"/>
    <w:rsid w:val="00D40912"/>
    <w:rsid w:val="00D43958"/>
    <w:rsid w:val="00D47492"/>
    <w:rsid w:val="00D47565"/>
    <w:rsid w:val="00D650CE"/>
    <w:rsid w:val="00D71719"/>
    <w:rsid w:val="00D76D95"/>
    <w:rsid w:val="00D776DA"/>
    <w:rsid w:val="00D816D6"/>
    <w:rsid w:val="00D81E21"/>
    <w:rsid w:val="00D82100"/>
    <w:rsid w:val="00D86BF9"/>
    <w:rsid w:val="00D8758B"/>
    <w:rsid w:val="00D936D5"/>
    <w:rsid w:val="00D942B3"/>
    <w:rsid w:val="00D947C0"/>
    <w:rsid w:val="00D94863"/>
    <w:rsid w:val="00D97D6D"/>
    <w:rsid w:val="00DA0981"/>
    <w:rsid w:val="00DA56AC"/>
    <w:rsid w:val="00DA7839"/>
    <w:rsid w:val="00DA7D09"/>
    <w:rsid w:val="00DB088F"/>
    <w:rsid w:val="00DB413A"/>
    <w:rsid w:val="00DB59CD"/>
    <w:rsid w:val="00DC13AA"/>
    <w:rsid w:val="00DC2630"/>
    <w:rsid w:val="00DC49E9"/>
    <w:rsid w:val="00DC55E4"/>
    <w:rsid w:val="00DC7D71"/>
    <w:rsid w:val="00DD188C"/>
    <w:rsid w:val="00DD29A3"/>
    <w:rsid w:val="00DD3AB0"/>
    <w:rsid w:val="00DD48EE"/>
    <w:rsid w:val="00DD6B6D"/>
    <w:rsid w:val="00DE0B96"/>
    <w:rsid w:val="00DE0BB4"/>
    <w:rsid w:val="00DE10B9"/>
    <w:rsid w:val="00DE201F"/>
    <w:rsid w:val="00DF0B13"/>
    <w:rsid w:val="00DF2EB8"/>
    <w:rsid w:val="00DF4A94"/>
    <w:rsid w:val="00DF531F"/>
    <w:rsid w:val="00DF6003"/>
    <w:rsid w:val="00DF7D1F"/>
    <w:rsid w:val="00E00095"/>
    <w:rsid w:val="00E066C3"/>
    <w:rsid w:val="00E10D8C"/>
    <w:rsid w:val="00E125E7"/>
    <w:rsid w:val="00E12CEB"/>
    <w:rsid w:val="00E1353A"/>
    <w:rsid w:val="00E1564B"/>
    <w:rsid w:val="00E16DB6"/>
    <w:rsid w:val="00E208A0"/>
    <w:rsid w:val="00E25B49"/>
    <w:rsid w:val="00E323F3"/>
    <w:rsid w:val="00E371EA"/>
    <w:rsid w:val="00E418CD"/>
    <w:rsid w:val="00E46A3C"/>
    <w:rsid w:val="00E47406"/>
    <w:rsid w:val="00E479F3"/>
    <w:rsid w:val="00E5402A"/>
    <w:rsid w:val="00E54C35"/>
    <w:rsid w:val="00E608B1"/>
    <w:rsid w:val="00E60CEE"/>
    <w:rsid w:val="00E62691"/>
    <w:rsid w:val="00E64429"/>
    <w:rsid w:val="00E677DD"/>
    <w:rsid w:val="00E70769"/>
    <w:rsid w:val="00E709AA"/>
    <w:rsid w:val="00E70A44"/>
    <w:rsid w:val="00E73074"/>
    <w:rsid w:val="00E753E0"/>
    <w:rsid w:val="00E7594B"/>
    <w:rsid w:val="00E773BD"/>
    <w:rsid w:val="00E778B7"/>
    <w:rsid w:val="00E81696"/>
    <w:rsid w:val="00E818C8"/>
    <w:rsid w:val="00E84145"/>
    <w:rsid w:val="00E86F9C"/>
    <w:rsid w:val="00E90DB0"/>
    <w:rsid w:val="00E93E7C"/>
    <w:rsid w:val="00E96624"/>
    <w:rsid w:val="00E97E92"/>
    <w:rsid w:val="00EA61F7"/>
    <w:rsid w:val="00EB4017"/>
    <w:rsid w:val="00EB4688"/>
    <w:rsid w:val="00EB5A70"/>
    <w:rsid w:val="00EB5BE1"/>
    <w:rsid w:val="00EB6C07"/>
    <w:rsid w:val="00EB7AF5"/>
    <w:rsid w:val="00EC028D"/>
    <w:rsid w:val="00EC0D35"/>
    <w:rsid w:val="00EC0FCF"/>
    <w:rsid w:val="00EC14A6"/>
    <w:rsid w:val="00EC1EE3"/>
    <w:rsid w:val="00EC2170"/>
    <w:rsid w:val="00ED202D"/>
    <w:rsid w:val="00ED633B"/>
    <w:rsid w:val="00EE2BBB"/>
    <w:rsid w:val="00EE478C"/>
    <w:rsid w:val="00EE73B7"/>
    <w:rsid w:val="00EF0E05"/>
    <w:rsid w:val="00F02C9E"/>
    <w:rsid w:val="00F05EAB"/>
    <w:rsid w:val="00F1132C"/>
    <w:rsid w:val="00F128F5"/>
    <w:rsid w:val="00F1324B"/>
    <w:rsid w:val="00F15DD5"/>
    <w:rsid w:val="00F1726B"/>
    <w:rsid w:val="00F17D4B"/>
    <w:rsid w:val="00F20E06"/>
    <w:rsid w:val="00F23139"/>
    <w:rsid w:val="00F24C1C"/>
    <w:rsid w:val="00F24EF8"/>
    <w:rsid w:val="00F3256B"/>
    <w:rsid w:val="00F3547A"/>
    <w:rsid w:val="00F40D99"/>
    <w:rsid w:val="00F42CAE"/>
    <w:rsid w:val="00F43AE6"/>
    <w:rsid w:val="00F4748D"/>
    <w:rsid w:val="00F477C8"/>
    <w:rsid w:val="00F51566"/>
    <w:rsid w:val="00F522F3"/>
    <w:rsid w:val="00F52F12"/>
    <w:rsid w:val="00F64DA1"/>
    <w:rsid w:val="00F6572F"/>
    <w:rsid w:val="00F65962"/>
    <w:rsid w:val="00F66CD5"/>
    <w:rsid w:val="00F670C6"/>
    <w:rsid w:val="00F67A9A"/>
    <w:rsid w:val="00F7045B"/>
    <w:rsid w:val="00F70F4E"/>
    <w:rsid w:val="00F73113"/>
    <w:rsid w:val="00F73745"/>
    <w:rsid w:val="00F73E43"/>
    <w:rsid w:val="00F74A65"/>
    <w:rsid w:val="00F75FC4"/>
    <w:rsid w:val="00F76F04"/>
    <w:rsid w:val="00F8168A"/>
    <w:rsid w:val="00F849BE"/>
    <w:rsid w:val="00F85981"/>
    <w:rsid w:val="00F86171"/>
    <w:rsid w:val="00F87263"/>
    <w:rsid w:val="00F90A17"/>
    <w:rsid w:val="00F91DF0"/>
    <w:rsid w:val="00F93186"/>
    <w:rsid w:val="00F93725"/>
    <w:rsid w:val="00F93F58"/>
    <w:rsid w:val="00F95D87"/>
    <w:rsid w:val="00F966AA"/>
    <w:rsid w:val="00F96BDC"/>
    <w:rsid w:val="00FA1B4F"/>
    <w:rsid w:val="00FA1BA3"/>
    <w:rsid w:val="00FA4890"/>
    <w:rsid w:val="00FA6487"/>
    <w:rsid w:val="00FB74AC"/>
    <w:rsid w:val="00FB77FA"/>
    <w:rsid w:val="00FC1A08"/>
    <w:rsid w:val="00FC3C70"/>
    <w:rsid w:val="00FC3C85"/>
    <w:rsid w:val="00FC48E9"/>
    <w:rsid w:val="00FC4A73"/>
    <w:rsid w:val="00FC559C"/>
    <w:rsid w:val="00FC7F0D"/>
    <w:rsid w:val="00FD0D9A"/>
    <w:rsid w:val="00FD15A5"/>
    <w:rsid w:val="00FD3D17"/>
    <w:rsid w:val="00FD45D0"/>
    <w:rsid w:val="00FD72AA"/>
    <w:rsid w:val="00FD799E"/>
    <w:rsid w:val="00FE0F24"/>
    <w:rsid w:val="00FE1B92"/>
    <w:rsid w:val="00FE645A"/>
    <w:rsid w:val="00FF0188"/>
    <w:rsid w:val="00FF34D9"/>
    <w:rsid w:val="00FF6102"/>
    <w:rsid w:val="00FF730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C57B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aliases w:val="BulletPoints,Bullet point,List Paragraph1,List Paragraph11,Recommendation"/>
    <w:basedOn w:val="Normal"/>
    <w:link w:val="ListParagraphChar"/>
    <w:uiPriority w:val="72"/>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paragraph" w:styleId="NormalWeb">
    <w:name w:val="Normal (Web)"/>
    <w:basedOn w:val="Normal"/>
    <w:uiPriority w:val="99"/>
    <w:unhideWhenUsed/>
    <w:rsid w:val="00F43AE6"/>
    <w:pPr>
      <w:spacing w:before="100" w:beforeAutospacing="1" w:after="100" w:afterAutospacing="1"/>
    </w:pPr>
    <w:rPr>
      <w:rFonts w:ascii="Times New Roman" w:eastAsia="Times New Roman" w:hAnsi="Times New Roman" w:cs="Times New Roman"/>
    </w:rPr>
  </w:style>
  <w:style w:type="character" w:customStyle="1" w:styleId="ListParagraphChar">
    <w:name w:val="List Paragraph Char"/>
    <w:aliases w:val="BulletPoints Char,Bullet point Char,List Paragraph1 Char,List Paragraph11 Char,Recommendation Char"/>
    <w:basedOn w:val="DefaultParagraphFont"/>
    <w:link w:val="ListParagraph"/>
    <w:uiPriority w:val="72"/>
    <w:qFormat/>
    <w:rsid w:val="00F02C9E"/>
    <w:rPr>
      <w:sz w:val="24"/>
      <w:szCs w:val="24"/>
    </w:rPr>
  </w:style>
  <w:style w:type="paragraph" w:customStyle="1" w:styleId="PBACHeading1">
    <w:name w:val="PBAC Heading 1"/>
    <w:qFormat/>
    <w:rsid w:val="00F02C9E"/>
    <w:pPr>
      <w:numPr>
        <w:numId w:val="16"/>
      </w:numPr>
      <w:spacing w:after="0" w:line="240" w:lineRule="auto"/>
      <w:outlineLvl w:val="0"/>
    </w:pPr>
    <w:rPr>
      <w:rFonts w:ascii="Arial" w:eastAsia="Times New Roman" w:hAnsi="Arial" w:cs="Arial"/>
      <w:b/>
      <w:snapToGrid w:val="0"/>
      <w:lang w:eastAsia="en-US"/>
    </w:rPr>
  </w:style>
  <w:style w:type="character" w:customStyle="1" w:styleId="TableTextChar">
    <w:name w:val="Table Text Char"/>
    <w:link w:val="TableText"/>
    <w:locked/>
    <w:rsid w:val="002B3F60"/>
    <w:rPr>
      <w:rFonts w:ascii="Arial Narrow" w:hAnsi="Arial Narrow"/>
      <w:sz w:val="20"/>
    </w:rPr>
  </w:style>
  <w:style w:type="paragraph" w:customStyle="1" w:styleId="TableText">
    <w:name w:val="Table Text"/>
    <w:basedOn w:val="Normal"/>
    <w:link w:val="TableTextChar"/>
    <w:qFormat/>
    <w:rsid w:val="002B3F60"/>
    <w:pPr>
      <w:keepNext/>
      <w:spacing w:before="40" w:after="40"/>
    </w:pPr>
    <w:rPr>
      <w:rFonts w:ascii="Arial Narrow" w:hAnsi="Arial Narrow"/>
      <w:sz w:val="20"/>
      <w:szCs w:val="22"/>
    </w:rPr>
  </w:style>
  <w:style w:type="paragraph" w:customStyle="1" w:styleId="TableHeading0">
    <w:name w:val="Table Heading"/>
    <w:basedOn w:val="Normal"/>
    <w:qFormat/>
    <w:rsid w:val="002B3F60"/>
    <w:pPr>
      <w:keepNext/>
      <w:spacing w:after="60"/>
    </w:pPr>
    <w:rPr>
      <w:rFonts w:ascii="Arial Narrow" w:eastAsiaTheme="minorHAnsi" w:hAnsi="Arial Narrow"/>
      <w:b/>
      <w:sz w:val="20"/>
      <w:szCs w:val="22"/>
      <w:lang w:eastAsia="en-US"/>
    </w:rPr>
  </w:style>
  <w:style w:type="character" w:customStyle="1" w:styleId="TableFooterChar">
    <w:name w:val="Table Footer Char"/>
    <w:link w:val="TableFooter"/>
    <w:locked/>
    <w:rsid w:val="002B3F60"/>
    <w:rPr>
      <w:rFonts w:ascii="Arial Narrow" w:eastAsia="Times New Roman" w:hAnsi="Arial Narrow" w:cs="Arial"/>
      <w:sz w:val="18"/>
      <w:szCs w:val="20"/>
    </w:rPr>
  </w:style>
  <w:style w:type="paragraph" w:customStyle="1" w:styleId="TableFooter">
    <w:name w:val="Table Footer"/>
    <w:basedOn w:val="Normal"/>
    <w:link w:val="TableFooterChar"/>
    <w:qFormat/>
    <w:rsid w:val="002B3F60"/>
    <w:pPr>
      <w:widowControl w:val="0"/>
      <w:snapToGrid w:val="0"/>
      <w:spacing w:after="120"/>
      <w:contextualSpacing/>
      <w:jc w:val="both"/>
    </w:pPr>
    <w:rPr>
      <w:rFonts w:ascii="Arial Narrow" w:eastAsia="Times New Roman" w:hAnsi="Arial Narrow" w:cs="Arial"/>
      <w:sz w:val="18"/>
      <w:szCs w:val="20"/>
    </w:rPr>
  </w:style>
  <w:style w:type="character" w:customStyle="1" w:styleId="label-">
    <w:name w:val="label-"/>
    <w:basedOn w:val="DefaultParagraphFont"/>
    <w:rsid w:val="00500EE5"/>
  </w:style>
  <w:style w:type="character" w:styleId="FollowedHyperlink">
    <w:name w:val="FollowedHyperlink"/>
    <w:basedOn w:val="DefaultParagraphFont"/>
    <w:uiPriority w:val="99"/>
    <w:semiHidden/>
    <w:unhideWhenUsed/>
    <w:rsid w:val="003E40F9"/>
    <w:rPr>
      <w:color w:val="800080" w:themeColor="followedHyperlink"/>
      <w:u w:val="single"/>
    </w:rPr>
  </w:style>
  <w:style w:type="paragraph" w:styleId="Revision">
    <w:name w:val="Revision"/>
    <w:hidden/>
    <w:uiPriority w:val="99"/>
    <w:semiHidden/>
    <w:rsid w:val="000B3C3D"/>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446895131">
      <w:bodyDiv w:val="1"/>
      <w:marLeft w:val="0"/>
      <w:marRight w:val="0"/>
      <w:marTop w:val="0"/>
      <w:marBottom w:val="0"/>
      <w:divBdr>
        <w:top w:val="none" w:sz="0" w:space="0" w:color="auto"/>
        <w:left w:val="none" w:sz="0" w:space="0" w:color="auto"/>
        <w:bottom w:val="none" w:sz="0" w:space="0" w:color="auto"/>
        <w:right w:val="none" w:sz="0" w:space="0" w:color="auto"/>
      </w:divBdr>
    </w:div>
    <w:div w:id="478621788">
      <w:bodyDiv w:val="1"/>
      <w:marLeft w:val="0"/>
      <w:marRight w:val="0"/>
      <w:marTop w:val="0"/>
      <w:marBottom w:val="0"/>
      <w:divBdr>
        <w:top w:val="none" w:sz="0" w:space="0" w:color="auto"/>
        <w:left w:val="none" w:sz="0" w:space="0" w:color="auto"/>
        <w:bottom w:val="none" w:sz="0" w:space="0" w:color="auto"/>
        <w:right w:val="none" w:sz="0" w:space="0" w:color="auto"/>
      </w:divBdr>
    </w:div>
    <w:div w:id="766124226">
      <w:bodyDiv w:val="1"/>
      <w:marLeft w:val="0"/>
      <w:marRight w:val="0"/>
      <w:marTop w:val="0"/>
      <w:marBottom w:val="0"/>
      <w:divBdr>
        <w:top w:val="none" w:sz="0" w:space="0" w:color="auto"/>
        <w:left w:val="none" w:sz="0" w:space="0" w:color="auto"/>
        <w:bottom w:val="none" w:sz="0" w:space="0" w:color="auto"/>
        <w:right w:val="none" w:sz="0" w:space="0" w:color="auto"/>
      </w:divBdr>
    </w:div>
    <w:div w:id="799763356">
      <w:bodyDiv w:val="1"/>
      <w:marLeft w:val="0"/>
      <w:marRight w:val="0"/>
      <w:marTop w:val="0"/>
      <w:marBottom w:val="0"/>
      <w:divBdr>
        <w:top w:val="none" w:sz="0" w:space="0" w:color="auto"/>
        <w:left w:val="none" w:sz="0" w:space="0" w:color="auto"/>
        <w:bottom w:val="none" w:sz="0" w:space="0" w:color="auto"/>
        <w:right w:val="none" w:sz="0" w:space="0" w:color="auto"/>
      </w:divBdr>
    </w:div>
    <w:div w:id="850879396">
      <w:bodyDiv w:val="1"/>
      <w:marLeft w:val="0"/>
      <w:marRight w:val="0"/>
      <w:marTop w:val="0"/>
      <w:marBottom w:val="0"/>
      <w:divBdr>
        <w:top w:val="none" w:sz="0" w:space="0" w:color="auto"/>
        <w:left w:val="none" w:sz="0" w:space="0" w:color="auto"/>
        <w:bottom w:val="none" w:sz="0" w:space="0" w:color="auto"/>
        <w:right w:val="none" w:sz="0" w:space="0" w:color="auto"/>
      </w:divBdr>
    </w:div>
    <w:div w:id="928730084">
      <w:bodyDiv w:val="1"/>
      <w:marLeft w:val="0"/>
      <w:marRight w:val="0"/>
      <w:marTop w:val="0"/>
      <w:marBottom w:val="0"/>
      <w:divBdr>
        <w:top w:val="none" w:sz="0" w:space="0" w:color="auto"/>
        <w:left w:val="none" w:sz="0" w:space="0" w:color="auto"/>
        <w:bottom w:val="none" w:sz="0" w:space="0" w:color="auto"/>
        <w:right w:val="none" w:sz="0" w:space="0" w:color="auto"/>
      </w:divBdr>
    </w:div>
    <w:div w:id="973372856">
      <w:bodyDiv w:val="1"/>
      <w:marLeft w:val="0"/>
      <w:marRight w:val="0"/>
      <w:marTop w:val="0"/>
      <w:marBottom w:val="0"/>
      <w:divBdr>
        <w:top w:val="none" w:sz="0" w:space="0" w:color="auto"/>
        <w:left w:val="none" w:sz="0" w:space="0" w:color="auto"/>
        <w:bottom w:val="none" w:sz="0" w:space="0" w:color="auto"/>
        <w:right w:val="none" w:sz="0" w:space="0" w:color="auto"/>
      </w:divBdr>
    </w:div>
    <w:div w:id="1049189573">
      <w:bodyDiv w:val="1"/>
      <w:marLeft w:val="0"/>
      <w:marRight w:val="0"/>
      <w:marTop w:val="0"/>
      <w:marBottom w:val="0"/>
      <w:divBdr>
        <w:top w:val="none" w:sz="0" w:space="0" w:color="auto"/>
        <w:left w:val="none" w:sz="0" w:space="0" w:color="auto"/>
        <w:bottom w:val="none" w:sz="0" w:space="0" w:color="auto"/>
        <w:right w:val="none" w:sz="0" w:space="0" w:color="auto"/>
      </w:divBdr>
    </w:div>
    <w:div w:id="1080907920">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229070285">
      <w:bodyDiv w:val="1"/>
      <w:marLeft w:val="0"/>
      <w:marRight w:val="0"/>
      <w:marTop w:val="0"/>
      <w:marBottom w:val="0"/>
      <w:divBdr>
        <w:top w:val="none" w:sz="0" w:space="0" w:color="auto"/>
        <w:left w:val="none" w:sz="0" w:space="0" w:color="auto"/>
        <w:bottom w:val="none" w:sz="0" w:space="0" w:color="auto"/>
        <w:right w:val="none" w:sz="0" w:space="0" w:color="auto"/>
      </w:divBdr>
    </w:div>
    <w:div w:id="1563443909">
      <w:bodyDiv w:val="1"/>
      <w:marLeft w:val="0"/>
      <w:marRight w:val="0"/>
      <w:marTop w:val="0"/>
      <w:marBottom w:val="0"/>
      <w:divBdr>
        <w:top w:val="none" w:sz="0" w:space="0" w:color="auto"/>
        <w:left w:val="none" w:sz="0" w:space="0" w:color="auto"/>
        <w:bottom w:val="none" w:sz="0" w:space="0" w:color="auto"/>
        <w:right w:val="none" w:sz="0" w:space="0" w:color="auto"/>
      </w:divBdr>
    </w:div>
    <w:div w:id="1604923464">
      <w:bodyDiv w:val="1"/>
      <w:marLeft w:val="0"/>
      <w:marRight w:val="0"/>
      <w:marTop w:val="0"/>
      <w:marBottom w:val="0"/>
      <w:divBdr>
        <w:top w:val="none" w:sz="0" w:space="0" w:color="auto"/>
        <w:left w:val="none" w:sz="0" w:space="0" w:color="auto"/>
        <w:bottom w:val="none" w:sz="0" w:space="0" w:color="auto"/>
        <w:right w:val="none" w:sz="0" w:space="0" w:color="auto"/>
      </w:divBdr>
    </w:div>
    <w:div w:id="1680812275">
      <w:bodyDiv w:val="1"/>
      <w:marLeft w:val="0"/>
      <w:marRight w:val="0"/>
      <w:marTop w:val="0"/>
      <w:marBottom w:val="0"/>
      <w:divBdr>
        <w:top w:val="none" w:sz="0" w:space="0" w:color="auto"/>
        <w:left w:val="none" w:sz="0" w:space="0" w:color="auto"/>
        <w:bottom w:val="none" w:sz="0" w:space="0" w:color="auto"/>
        <w:right w:val="none" w:sz="0" w:space="0" w:color="auto"/>
      </w:divBdr>
    </w:div>
    <w:div w:id="1839928888">
      <w:bodyDiv w:val="1"/>
      <w:marLeft w:val="0"/>
      <w:marRight w:val="0"/>
      <w:marTop w:val="0"/>
      <w:marBottom w:val="0"/>
      <w:divBdr>
        <w:top w:val="none" w:sz="0" w:space="0" w:color="auto"/>
        <w:left w:val="none" w:sz="0" w:space="0" w:color="auto"/>
        <w:bottom w:val="none" w:sz="0" w:space="0" w:color="auto"/>
        <w:right w:val="none" w:sz="0" w:space="0" w:color="auto"/>
      </w:divBdr>
    </w:div>
    <w:div w:id="2075006496">
      <w:bodyDiv w:val="1"/>
      <w:marLeft w:val="0"/>
      <w:marRight w:val="0"/>
      <w:marTop w:val="0"/>
      <w:marBottom w:val="0"/>
      <w:divBdr>
        <w:top w:val="none" w:sz="0" w:space="0" w:color="auto"/>
        <w:left w:val="none" w:sz="0" w:space="0" w:color="auto"/>
        <w:bottom w:val="none" w:sz="0" w:space="0" w:color="auto"/>
        <w:right w:val="none" w:sz="0" w:space="0" w:color="auto"/>
      </w:divBdr>
    </w:div>
    <w:div w:id="212233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5.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x.doi.org/10.1002%2Fana.24864" TargetMode="External"/><Relationship Id="rId2" Type="http://schemas.openxmlformats.org/officeDocument/2006/relationships/hyperlink" Target="https://smaaustralia.org.au/wp-content/uploads/SMA_2020_A4_Information_Guide-compressed.pdf" TargetMode="External"/><Relationship Id="rId1" Type="http://schemas.openxmlformats.org/officeDocument/2006/relationships/hyperlink" Target="https://doi.org/10.1016/S0140-6736(08)60921-6" TargetMode="External"/><Relationship Id="rId6" Type="http://schemas.openxmlformats.org/officeDocument/2006/relationships/hyperlink" Target="https://www.abs.gov.au/statistics/people/population/births-australia/latest-release" TargetMode="External"/><Relationship Id="rId5" Type="http://schemas.openxmlformats.org/officeDocument/2006/relationships/hyperlink" Target="http://www.medicareaustralia.gov.au/provider/pbs/stats.jsp" TargetMode="External"/><Relationship Id="rId4" Type="http://schemas.openxmlformats.org/officeDocument/2006/relationships/hyperlink" Target="http://stat.data.abs.gov.au/Index.aspx?DataSetCode=ERP_QUARTERLY"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entral.health\dfsuserenv\Users\User_14\HOHO\Desktop\Nusinersen\d1274%20nusinerse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entral.health\dfsuserenv\Users\User_14\HOHO\Desktop\Nusinersen\d1274%20nusinerse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entral.health\dfsuserenv\Users\User_14\HOHO\Desktop\Nusinersen\d1274%20nusinersen.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entral.health\dfsuserenv\Users\User_14\HOHO\Desktop\Nusinersen\d1274%20qa.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[d1274 nusinersen.xlsx]scripts!PivotTable1</c:name>
    <c:fmtId val="-1"/>
  </c:pivotSource>
  <c:chart>
    <c:autoTitleDeleted val="1"/>
    <c:pivotFmts>
      <c:pivotFmt>
        <c:idx val="0"/>
        <c:spPr>
          <a:solidFill>
            <a:schemeClr val="accent1"/>
          </a:solidFill>
          <a:ln w="28575" cap="rnd">
            <a:solidFill>
              <a:schemeClr val="accent1"/>
            </a:solidFill>
            <a:round/>
          </a:ln>
          <a:effectLst/>
        </c:spPr>
        <c:marker>
          <c:symbol val="none"/>
        </c:marker>
      </c:pivotFmt>
      <c:pivotFmt>
        <c:idx val="1"/>
        <c:spPr>
          <a:solidFill>
            <a:schemeClr val="accent1"/>
          </a:solidFill>
          <a:ln w="28575" cap="rnd">
            <a:solidFill>
              <a:schemeClr val="accent1"/>
            </a:solidFill>
            <a:round/>
          </a:ln>
          <a:effectLst/>
        </c:spPr>
        <c:marker>
          <c:symbol val="none"/>
        </c:marker>
      </c:pivotFmt>
      <c:pivotFmt>
        <c:idx val="2"/>
        <c:spPr>
          <a:solidFill>
            <a:schemeClr val="accent1"/>
          </a:solidFill>
          <a:ln w="28575" cap="rnd">
            <a:solidFill>
              <a:schemeClr val="accent1"/>
            </a:solidFill>
            <a:round/>
          </a:ln>
          <a:effectLst/>
        </c:spPr>
        <c:marker>
          <c:symbol val="none"/>
        </c:marker>
      </c:pivotFmt>
      <c:pivotFmt>
        <c:idx val="3"/>
        <c:spPr>
          <a:solidFill>
            <a:schemeClr val="accent1"/>
          </a:solidFill>
          <a:ln w="28575" cap="rnd">
            <a:solidFill>
              <a:schemeClr val="accent1"/>
            </a:solidFill>
            <a:round/>
          </a:ln>
          <a:effectLst/>
        </c:spPr>
        <c:marker>
          <c:symbol val="none"/>
        </c:marker>
      </c:pivotFmt>
    </c:pivotFmts>
    <c:plotArea>
      <c:layout/>
      <c:lineChart>
        <c:grouping val="standard"/>
        <c:varyColors val="0"/>
        <c:ser>
          <c:idx val="0"/>
          <c:order val="0"/>
          <c:tx>
            <c:strRef>
              <c:f>scripts!$P$1</c:f>
              <c:strCache>
                <c:ptCount val="1"/>
                <c:pt idx="0">
                  <c:v>Total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scripts!$O$2:$O$12</c:f>
              <c:strCache>
                <c:ptCount val="10"/>
                <c:pt idx="0">
                  <c:v>2018Q2</c:v>
                </c:pt>
                <c:pt idx="1">
                  <c:v>2018Q3</c:v>
                </c:pt>
                <c:pt idx="2">
                  <c:v>2018Q4</c:v>
                </c:pt>
                <c:pt idx="3">
                  <c:v>2019Q1</c:v>
                </c:pt>
                <c:pt idx="4">
                  <c:v>2019Q2</c:v>
                </c:pt>
                <c:pt idx="5">
                  <c:v>2019Q3</c:v>
                </c:pt>
                <c:pt idx="6">
                  <c:v>2019Q4</c:v>
                </c:pt>
                <c:pt idx="7">
                  <c:v>2020Q1</c:v>
                </c:pt>
                <c:pt idx="8">
                  <c:v>2020Q2</c:v>
                </c:pt>
                <c:pt idx="9">
                  <c:v>2020Q3</c:v>
                </c:pt>
              </c:strCache>
            </c:strRef>
          </c:cat>
          <c:val>
            <c:numRef>
              <c:f>scripts!$P$2:$P$12</c:f>
              <c:numCache>
                <c:formatCode>General</c:formatCode>
                <c:ptCount val="10"/>
                <c:pt idx="0">
                  <c:v>48</c:v>
                </c:pt>
                <c:pt idx="1">
                  <c:v>158</c:v>
                </c:pt>
                <c:pt idx="2">
                  <c:v>160</c:v>
                </c:pt>
                <c:pt idx="3">
                  <c:v>117</c:v>
                </c:pt>
                <c:pt idx="4">
                  <c:v>139</c:v>
                </c:pt>
                <c:pt idx="5">
                  <c:v>148</c:v>
                </c:pt>
                <c:pt idx="6">
                  <c:v>110</c:v>
                </c:pt>
                <c:pt idx="7">
                  <c:v>132</c:v>
                </c:pt>
                <c:pt idx="8">
                  <c:v>122</c:v>
                </c:pt>
                <c:pt idx="9">
                  <c:v>135</c:v>
                </c:pt>
              </c:numCache>
            </c:numRef>
          </c:val>
          <c:smooth val="0"/>
          <c:extLst>
            <c:ext xmlns:c16="http://schemas.microsoft.com/office/drawing/2014/chart" uri="{C3380CC4-5D6E-409C-BE32-E72D297353CC}">
              <c16:uniqueId val="{00000000-086D-4740-A3B8-E98D66019D0C}"/>
            </c:ext>
          </c:extLst>
        </c:ser>
        <c:dLbls>
          <c:showLegendKey val="0"/>
          <c:showVal val="0"/>
          <c:showCatName val="0"/>
          <c:showSerName val="0"/>
          <c:showPercent val="0"/>
          <c:showBubbleSize val="0"/>
        </c:dLbls>
        <c:marker val="1"/>
        <c:smooth val="0"/>
        <c:axId val="324061744"/>
        <c:axId val="324059448"/>
      </c:lineChart>
      <c:catAx>
        <c:axId val="324061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4059448"/>
        <c:crosses val="autoZero"/>
        <c:auto val="1"/>
        <c:lblAlgn val="ctr"/>
        <c:lblOffset val="100"/>
        <c:noMultiLvlLbl val="0"/>
      </c:catAx>
      <c:valAx>
        <c:axId val="324059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prescriptions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4061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[d1274 nusinersen.xlsx]Sheet4!PivotTable2</c:name>
    <c:fmtId val="-1"/>
  </c:pivotSource>
  <c:chart>
    <c:autoTitleDeleted val="0"/>
    <c:pivotFmts>
      <c:pivotFmt>
        <c:idx val="0"/>
        <c:spPr>
          <a:solidFill>
            <a:schemeClr val="accent1"/>
          </a:solidFill>
          <a:ln w="28575" cap="rnd">
            <a:solidFill>
              <a:schemeClr val="accent1"/>
            </a:solidFill>
            <a:round/>
          </a:ln>
          <a:effectLst/>
        </c:spPr>
        <c:marker>
          <c:symbol val="none"/>
        </c:marker>
      </c:pivotFmt>
      <c:pivotFmt>
        <c:idx val="1"/>
        <c:spPr>
          <a:solidFill>
            <a:schemeClr val="accent1"/>
          </a:solidFill>
          <a:ln w="28575" cap="rnd">
            <a:solidFill>
              <a:schemeClr val="accent1"/>
            </a:solidFill>
            <a:round/>
          </a:ln>
          <a:effectLst/>
        </c:spPr>
        <c:marker>
          <c:symbol val="none"/>
        </c:marker>
      </c:pivotFmt>
      <c:pivotFmt>
        <c:idx val="2"/>
        <c:spPr>
          <a:solidFill>
            <a:schemeClr val="accent1"/>
          </a:solidFill>
          <a:ln w="28575" cap="rnd">
            <a:solidFill>
              <a:schemeClr val="accent1"/>
            </a:solidFill>
            <a:round/>
          </a:ln>
          <a:effectLst/>
        </c:spPr>
        <c:marker>
          <c:symbol val="none"/>
        </c:marker>
      </c:pivotFmt>
      <c:pivotFmt>
        <c:idx val="3"/>
        <c:spPr>
          <a:solidFill>
            <a:schemeClr val="accent1"/>
          </a:solidFill>
          <a:ln w="28575" cap="rnd">
            <a:solidFill>
              <a:schemeClr val="accent1"/>
            </a:solidFill>
            <a:round/>
          </a:ln>
          <a:effectLst/>
        </c:spPr>
        <c:marker>
          <c:symbol val="none"/>
        </c:marker>
      </c:pivotFmt>
      <c:pivotFmt>
        <c:idx val="4"/>
        <c:spPr>
          <a:solidFill>
            <a:schemeClr val="accent1"/>
          </a:solidFill>
          <a:ln w="28575" cap="rnd">
            <a:solidFill>
              <a:schemeClr val="accent1"/>
            </a:solidFill>
            <a:round/>
          </a:ln>
          <a:effectLst/>
        </c:spPr>
        <c:marker>
          <c:symbol val="none"/>
        </c:marker>
      </c:pivotFmt>
      <c:pivotFmt>
        <c:idx val="5"/>
        <c:spPr>
          <a:solidFill>
            <a:schemeClr val="accent1"/>
          </a:solidFill>
          <a:ln w="28575" cap="rnd">
            <a:solidFill>
              <a:schemeClr val="accent1"/>
            </a:solidFill>
            <a:round/>
          </a:ln>
          <a:effectLst/>
        </c:spPr>
        <c:marker>
          <c:symbol val="none"/>
        </c:marker>
      </c:pivotFmt>
    </c:pivotFmts>
    <c:plotArea>
      <c:layout/>
      <c:lineChart>
        <c:grouping val="standard"/>
        <c:varyColors val="0"/>
        <c:ser>
          <c:idx val="0"/>
          <c:order val="0"/>
          <c:tx>
            <c:strRef>
              <c:f>Sheet4!$P$1</c:f>
              <c:strCache>
                <c:ptCount val="1"/>
                <c:pt idx="0">
                  <c:v>Initiating patients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Sheet4!$O$2:$O$12</c:f>
              <c:strCache>
                <c:ptCount val="10"/>
                <c:pt idx="0">
                  <c:v>2018Q2</c:v>
                </c:pt>
                <c:pt idx="1">
                  <c:v>2018Q3</c:v>
                </c:pt>
                <c:pt idx="2">
                  <c:v>2018Q4</c:v>
                </c:pt>
                <c:pt idx="3">
                  <c:v>2019Q1</c:v>
                </c:pt>
                <c:pt idx="4">
                  <c:v>2019Q2</c:v>
                </c:pt>
                <c:pt idx="5">
                  <c:v>2019Q3</c:v>
                </c:pt>
                <c:pt idx="6">
                  <c:v>2019Q4</c:v>
                </c:pt>
                <c:pt idx="7">
                  <c:v>2020Q1</c:v>
                </c:pt>
                <c:pt idx="8">
                  <c:v>2020Q2</c:v>
                </c:pt>
                <c:pt idx="9">
                  <c:v>2020Q3</c:v>
                </c:pt>
              </c:strCache>
            </c:strRef>
          </c:cat>
          <c:val>
            <c:numRef>
              <c:f>Sheet4!$P$2:$P$12</c:f>
              <c:numCache>
                <c:formatCode>General</c:formatCode>
                <c:ptCount val="10"/>
                <c:pt idx="0">
                  <c:v>42</c:v>
                </c:pt>
                <c:pt idx="1">
                  <c:v>53</c:v>
                </c:pt>
                <c:pt idx="2">
                  <c:v>26</c:v>
                </c:pt>
                <c:pt idx="3">
                  <c:v>11</c:v>
                </c:pt>
                <c:pt idx="4">
                  <c:v>10</c:v>
                </c:pt>
                <c:pt idx="5">
                  <c:v>9</c:v>
                </c:pt>
                <c:pt idx="6">
                  <c:v>5</c:v>
                </c:pt>
                <c:pt idx="7">
                  <c:v>6</c:v>
                </c:pt>
                <c:pt idx="8">
                  <c:v>5</c:v>
                </c:pt>
                <c:pt idx="9">
                  <c:v>5</c:v>
                </c:pt>
              </c:numCache>
            </c:numRef>
          </c:val>
          <c:smooth val="0"/>
          <c:extLst>
            <c:ext xmlns:c16="http://schemas.microsoft.com/office/drawing/2014/chart" uri="{C3380CC4-5D6E-409C-BE32-E72D297353CC}">
              <c16:uniqueId val="{00000000-9803-42AE-A499-BF473FDCAE91}"/>
            </c:ext>
          </c:extLst>
        </c:ser>
        <c:ser>
          <c:idx val="1"/>
          <c:order val="1"/>
          <c:tx>
            <c:strRef>
              <c:f>Sheet4!$Q$1</c:f>
              <c:strCache>
                <c:ptCount val="1"/>
                <c:pt idx="0">
                  <c:v>Prevalent patients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Sheet4!$O$2:$O$12</c:f>
              <c:strCache>
                <c:ptCount val="10"/>
                <c:pt idx="0">
                  <c:v>2018Q2</c:v>
                </c:pt>
                <c:pt idx="1">
                  <c:v>2018Q3</c:v>
                </c:pt>
                <c:pt idx="2">
                  <c:v>2018Q4</c:v>
                </c:pt>
                <c:pt idx="3">
                  <c:v>2019Q1</c:v>
                </c:pt>
                <c:pt idx="4">
                  <c:v>2019Q2</c:v>
                </c:pt>
                <c:pt idx="5">
                  <c:v>2019Q3</c:v>
                </c:pt>
                <c:pt idx="6">
                  <c:v>2019Q4</c:v>
                </c:pt>
                <c:pt idx="7">
                  <c:v>2020Q1</c:v>
                </c:pt>
                <c:pt idx="8">
                  <c:v>2020Q2</c:v>
                </c:pt>
                <c:pt idx="9">
                  <c:v>2020Q3</c:v>
                </c:pt>
              </c:strCache>
            </c:strRef>
          </c:cat>
          <c:val>
            <c:numRef>
              <c:f>Sheet4!$Q$2:$Q$12</c:f>
              <c:numCache>
                <c:formatCode>General</c:formatCode>
                <c:ptCount val="10"/>
                <c:pt idx="0">
                  <c:v>42</c:v>
                </c:pt>
                <c:pt idx="1">
                  <c:v>89</c:v>
                </c:pt>
                <c:pt idx="2">
                  <c:v>93</c:v>
                </c:pt>
                <c:pt idx="3">
                  <c:v>90</c:v>
                </c:pt>
                <c:pt idx="4">
                  <c:v>111</c:v>
                </c:pt>
                <c:pt idx="5">
                  <c:v>127</c:v>
                </c:pt>
                <c:pt idx="6">
                  <c:v>102</c:v>
                </c:pt>
                <c:pt idx="7">
                  <c:v>118</c:v>
                </c:pt>
                <c:pt idx="8">
                  <c:v>116</c:v>
                </c:pt>
                <c:pt idx="9">
                  <c:v>123</c:v>
                </c:pt>
              </c:numCache>
            </c:numRef>
          </c:val>
          <c:smooth val="0"/>
          <c:extLst>
            <c:ext xmlns:c16="http://schemas.microsoft.com/office/drawing/2014/chart" uri="{C3380CC4-5D6E-409C-BE32-E72D297353CC}">
              <c16:uniqueId val="{00000001-9803-42AE-A499-BF473FDCAE91}"/>
            </c:ext>
          </c:extLst>
        </c:ser>
        <c:dLbls>
          <c:showLegendKey val="0"/>
          <c:showVal val="0"/>
          <c:showCatName val="0"/>
          <c:showSerName val="0"/>
          <c:showPercent val="0"/>
          <c:showBubbleSize val="0"/>
        </c:dLbls>
        <c:marker val="1"/>
        <c:smooth val="0"/>
        <c:axId val="350596912"/>
        <c:axId val="350597240"/>
      </c:lineChart>
      <c:catAx>
        <c:axId val="350596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597240"/>
        <c:crosses val="autoZero"/>
        <c:auto val="1"/>
        <c:lblAlgn val="ctr"/>
        <c:lblOffset val="100"/>
        <c:noMultiLvlLbl val="0"/>
      </c:catAx>
      <c:valAx>
        <c:axId val="3505972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patients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596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[d1274 nusinersen.xlsx]age v3!PivotTable1</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s>
    <c:plotArea>
      <c:layout/>
      <c:barChart>
        <c:barDir val="col"/>
        <c:grouping val="clustered"/>
        <c:varyColors val="0"/>
        <c:ser>
          <c:idx val="0"/>
          <c:order val="0"/>
          <c:tx>
            <c:strRef>
              <c:f>'age v3'!$P$1:$P$2</c:f>
              <c:strCache>
                <c:ptCount val="1"/>
                <c:pt idx="0">
                  <c:v>Male and female</c:v>
                </c:pt>
              </c:strCache>
            </c:strRef>
          </c:tx>
          <c:spPr>
            <a:solidFill>
              <a:schemeClr val="bg1">
                <a:lumMod val="50000"/>
              </a:schemeClr>
            </a:solidFill>
            <a:ln>
              <a:noFill/>
            </a:ln>
            <a:effectLst/>
          </c:spPr>
          <c:invertIfNegative val="0"/>
          <c:cat>
            <c:strRef>
              <c:f>'age v3'!$O$3:$O$8</c:f>
              <c:strCache>
                <c:ptCount val="5"/>
                <c:pt idx="0">
                  <c:v> 0-4  yrs</c:v>
                </c:pt>
                <c:pt idx="1">
                  <c:v> 5-9  yrs</c:v>
                </c:pt>
                <c:pt idx="2">
                  <c:v>10-14 yrs</c:v>
                </c:pt>
                <c:pt idx="3">
                  <c:v>15-17 yrs</c:v>
                </c:pt>
                <c:pt idx="4">
                  <c:v>18+   yrs</c:v>
                </c:pt>
              </c:strCache>
            </c:strRef>
          </c:cat>
          <c:val>
            <c:numRef>
              <c:f>'age v3'!$P$3:$P$8</c:f>
              <c:numCache>
                <c:formatCode>General</c:formatCode>
                <c:ptCount val="5"/>
                <c:pt idx="4">
                  <c:v>8</c:v>
                </c:pt>
              </c:numCache>
            </c:numRef>
          </c:val>
          <c:extLst>
            <c:ext xmlns:c16="http://schemas.microsoft.com/office/drawing/2014/chart" uri="{C3380CC4-5D6E-409C-BE32-E72D297353CC}">
              <c16:uniqueId val="{00000000-AD5A-4D8B-BE99-D0B8398770FD}"/>
            </c:ext>
          </c:extLst>
        </c:ser>
        <c:ser>
          <c:idx val="1"/>
          <c:order val="1"/>
          <c:tx>
            <c:strRef>
              <c:f>'age v3'!$Q$1:$Q$2</c:f>
              <c:strCache>
                <c:ptCount val="1"/>
                <c:pt idx="0">
                  <c:v>Female</c:v>
                </c:pt>
              </c:strCache>
            </c:strRef>
          </c:tx>
          <c:spPr>
            <a:solidFill>
              <a:schemeClr val="accent2"/>
            </a:solidFill>
            <a:ln>
              <a:noFill/>
            </a:ln>
            <a:effectLst/>
          </c:spPr>
          <c:invertIfNegative val="0"/>
          <c:cat>
            <c:strRef>
              <c:f>'age v3'!$O$3:$O$8</c:f>
              <c:strCache>
                <c:ptCount val="5"/>
                <c:pt idx="0">
                  <c:v> 0-4  yrs</c:v>
                </c:pt>
                <c:pt idx="1">
                  <c:v> 5-9  yrs</c:v>
                </c:pt>
                <c:pt idx="2">
                  <c:v>10-14 yrs</c:v>
                </c:pt>
                <c:pt idx="3">
                  <c:v>15-17 yrs</c:v>
                </c:pt>
                <c:pt idx="4">
                  <c:v>18+   yrs</c:v>
                </c:pt>
              </c:strCache>
            </c:strRef>
          </c:cat>
          <c:val>
            <c:numRef>
              <c:f>'age v3'!$Q$3:$Q$8</c:f>
              <c:numCache>
                <c:formatCode>General</c:formatCode>
                <c:ptCount val="5"/>
                <c:pt idx="0">
                  <c:v>36</c:v>
                </c:pt>
                <c:pt idx="1">
                  <c:v>18</c:v>
                </c:pt>
                <c:pt idx="2">
                  <c:v>16</c:v>
                </c:pt>
                <c:pt idx="3">
                  <c:v>7</c:v>
                </c:pt>
              </c:numCache>
            </c:numRef>
          </c:val>
          <c:extLst>
            <c:ext xmlns:c16="http://schemas.microsoft.com/office/drawing/2014/chart" uri="{C3380CC4-5D6E-409C-BE32-E72D297353CC}">
              <c16:uniqueId val="{00000001-AD5A-4D8B-BE99-D0B8398770FD}"/>
            </c:ext>
          </c:extLst>
        </c:ser>
        <c:ser>
          <c:idx val="2"/>
          <c:order val="2"/>
          <c:tx>
            <c:strRef>
              <c:f>'age v3'!$R$1:$R$2</c:f>
              <c:strCache>
                <c:ptCount val="1"/>
                <c:pt idx="0">
                  <c:v>Male</c:v>
                </c:pt>
              </c:strCache>
            </c:strRef>
          </c:tx>
          <c:spPr>
            <a:solidFill>
              <a:schemeClr val="accent1"/>
            </a:solidFill>
            <a:ln>
              <a:noFill/>
            </a:ln>
            <a:effectLst/>
          </c:spPr>
          <c:invertIfNegative val="0"/>
          <c:cat>
            <c:strRef>
              <c:f>'age v3'!$O$3:$O$8</c:f>
              <c:strCache>
                <c:ptCount val="5"/>
                <c:pt idx="0">
                  <c:v> 0-4  yrs</c:v>
                </c:pt>
                <c:pt idx="1">
                  <c:v> 5-9  yrs</c:v>
                </c:pt>
                <c:pt idx="2">
                  <c:v>10-14 yrs</c:v>
                </c:pt>
                <c:pt idx="3">
                  <c:v>15-17 yrs</c:v>
                </c:pt>
                <c:pt idx="4">
                  <c:v>18+   yrs</c:v>
                </c:pt>
              </c:strCache>
            </c:strRef>
          </c:cat>
          <c:val>
            <c:numRef>
              <c:f>'age v3'!$R$3:$R$8</c:f>
              <c:numCache>
                <c:formatCode>General</c:formatCode>
                <c:ptCount val="5"/>
                <c:pt idx="0">
                  <c:v>31</c:v>
                </c:pt>
                <c:pt idx="1">
                  <c:v>20</c:v>
                </c:pt>
                <c:pt idx="2">
                  <c:v>24</c:v>
                </c:pt>
                <c:pt idx="3">
                  <c:v>8</c:v>
                </c:pt>
              </c:numCache>
            </c:numRef>
          </c:val>
          <c:extLst>
            <c:ext xmlns:c16="http://schemas.microsoft.com/office/drawing/2014/chart" uri="{C3380CC4-5D6E-409C-BE32-E72D297353CC}">
              <c16:uniqueId val="{00000002-AD5A-4D8B-BE99-D0B8398770FD}"/>
            </c:ext>
          </c:extLst>
        </c:ser>
        <c:dLbls>
          <c:showLegendKey val="0"/>
          <c:showVal val="0"/>
          <c:showCatName val="0"/>
          <c:showSerName val="0"/>
          <c:showPercent val="0"/>
          <c:showBubbleSize val="0"/>
        </c:dLbls>
        <c:gapWidth val="219"/>
        <c:overlap val="-27"/>
        <c:axId val="626047648"/>
        <c:axId val="626046992"/>
      </c:barChart>
      <c:catAx>
        <c:axId val="626047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6046992"/>
        <c:crosses val="autoZero"/>
        <c:auto val="1"/>
        <c:lblAlgn val="ctr"/>
        <c:lblOffset val="100"/>
        <c:noMultiLvlLbl val="0"/>
      </c:catAx>
      <c:valAx>
        <c:axId val="6260469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6047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[d1274 nusinersen.xlsx]Sheet8!PivotTable13</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s>
    <c:plotArea>
      <c:layout/>
      <c:barChart>
        <c:barDir val="col"/>
        <c:grouping val="clustered"/>
        <c:varyColors val="0"/>
        <c:ser>
          <c:idx val="0"/>
          <c:order val="0"/>
          <c:tx>
            <c:strRef>
              <c:f>Sheet8!$P$1:$P$2</c:f>
              <c:strCache>
                <c:ptCount val="1"/>
                <c:pt idx="0">
                  <c:v>Year 1</c:v>
                </c:pt>
              </c:strCache>
            </c:strRef>
          </c:tx>
          <c:spPr>
            <a:solidFill>
              <a:schemeClr val="accent1"/>
            </a:solidFill>
            <a:ln>
              <a:noFill/>
            </a:ln>
            <a:effectLst/>
          </c:spPr>
          <c:invertIfNegative val="0"/>
          <c:cat>
            <c:multiLvlStrRef>
              <c:f>Sheet8!$O$3:$O$7</c:f>
              <c:multiLvlStrCache>
                <c:ptCount val="3"/>
                <c:lvl>
                  <c:pt idx="0">
                    <c:v>Continuing</c:v>
                  </c:pt>
                  <c:pt idx="1">
                    <c:v>Grandfather</c:v>
                  </c:pt>
                  <c:pt idx="2">
                    <c:v>Initial </c:v>
                  </c:pt>
                </c:lvl>
                <c:lvl>
                  <c:pt idx="0">
                    <c:v>Public</c:v>
                  </c:pt>
                </c:lvl>
              </c:multiLvlStrCache>
            </c:multiLvlStrRef>
          </c:cat>
          <c:val>
            <c:numRef>
              <c:f>Sheet8!$P$3:$P$7</c:f>
              <c:numCache>
                <c:formatCode>General</c:formatCode>
                <c:ptCount val="3"/>
                <c:pt idx="0">
                  <c:v>118</c:v>
                </c:pt>
                <c:pt idx="1">
                  <c:v>47</c:v>
                </c:pt>
                <c:pt idx="2">
                  <c:v>93</c:v>
                </c:pt>
              </c:numCache>
            </c:numRef>
          </c:val>
          <c:extLst>
            <c:ext xmlns:c16="http://schemas.microsoft.com/office/drawing/2014/chart" uri="{C3380CC4-5D6E-409C-BE32-E72D297353CC}">
              <c16:uniqueId val="{00000000-4DA5-4CFD-9233-96EA49EAF118}"/>
            </c:ext>
          </c:extLst>
        </c:ser>
        <c:ser>
          <c:idx val="1"/>
          <c:order val="1"/>
          <c:tx>
            <c:strRef>
              <c:f>Sheet8!$Q$1:$Q$2</c:f>
              <c:strCache>
                <c:ptCount val="1"/>
                <c:pt idx="0">
                  <c:v>Year 2</c:v>
                </c:pt>
              </c:strCache>
            </c:strRef>
          </c:tx>
          <c:spPr>
            <a:solidFill>
              <a:schemeClr val="accent2"/>
            </a:solidFill>
            <a:ln>
              <a:noFill/>
            </a:ln>
            <a:effectLst/>
          </c:spPr>
          <c:invertIfNegative val="0"/>
          <c:cat>
            <c:multiLvlStrRef>
              <c:f>Sheet8!$O$3:$O$7</c:f>
              <c:multiLvlStrCache>
                <c:ptCount val="3"/>
                <c:lvl>
                  <c:pt idx="0">
                    <c:v>Continuing</c:v>
                  </c:pt>
                  <c:pt idx="1">
                    <c:v>Grandfather</c:v>
                  </c:pt>
                  <c:pt idx="2">
                    <c:v>Initial </c:v>
                  </c:pt>
                </c:lvl>
                <c:lvl>
                  <c:pt idx="0">
                    <c:v>Public</c:v>
                  </c:pt>
                </c:lvl>
              </c:multiLvlStrCache>
            </c:multiLvlStrRef>
          </c:cat>
          <c:val>
            <c:numRef>
              <c:f>Sheet8!$Q$3:$Q$7</c:f>
              <c:numCache>
                <c:formatCode>General</c:formatCode>
                <c:ptCount val="3"/>
                <c:pt idx="0">
                  <c:v>149</c:v>
                </c:pt>
                <c:pt idx="2">
                  <c:v>29</c:v>
                </c:pt>
              </c:numCache>
            </c:numRef>
          </c:val>
          <c:extLst>
            <c:ext xmlns:c16="http://schemas.microsoft.com/office/drawing/2014/chart" uri="{C3380CC4-5D6E-409C-BE32-E72D297353CC}">
              <c16:uniqueId val="{00000001-4DA5-4CFD-9233-96EA49EAF118}"/>
            </c:ext>
          </c:extLst>
        </c:ser>
        <c:ser>
          <c:idx val="2"/>
          <c:order val="2"/>
          <c:tx>
            <c:strRef>
              <c:f>Sheet8!$R$1:$R$2</c:f>
              <c:strCache>
                <c:ptCount val="1"/>
                <c:pt idx="0">
                  <c:v>Year 3</c:v>
                </c:pt>
              </c:strCache>
            </c:strRef>
          </c:tx>
          <c:spPr>
            <a:solidFill>
              <a:schemeClr val="accent3"/>
            </a:solidFill>
            <a:ln>
              <a:noFill/>
            </a:ln>
            <a:effectLst/>
          </c:spPr>
          <c:invertIfNegative val="0"/>
          <c:cat>
            <c:multiLvlStrRef>
              <c:f>Sheet8!$O$3:$O$7</c:f>
              <c:multiLvlStrCache>
                <c:ptCount val="3"/>
                <c:lvl>
                  <c:pt idx="0">
                    <c:v>Continuing</c:v>
                  </c:pt>
                  <c:pt idx="1">
                    <c:v>Grandfather</c:v>
                  </c:pt>
                  <c:pt idx="2">
                    <c:v>Initial </c:v>
                  </c:pt>
                </c:lvl>
                <c:lvl>
                  <c:pt idx="0">
                    <c:v>Public</c:v>
                  </c:pt>
                </c:lvl>
              </c:multiLvlStrCache>
            </c:multiLvlStrRef>
          </c:cat>
          <c:val>
            <c:numRef>
              <c:f>Sheet8!$R$3:$R$7</c:f>
              <c:numCache>
                <c:formatCode>General</c:formatCode>
                <c:ptCount val="3"/>
                <c:pt idx="0">
                  <c:v>140</c:v>
                </c:pt>
                <c:pt idx="2">
                  <c:v>9</c:v>
                </c:pt>
              </c:numCache>
            </c:numRef>
          </c:val>
          <c:extLst>
            <c:ext xmlns:c16="http://schemas.microsoft.com/office/drawing/2014/chart" uri="{C3380CC4-5D6E-409C-BE32-E72D297353CC}">
              <c16:uniqueId val="{00000002-4DA5-4CFD-9233-96EA49EAF118}"/>
            </c:ext>
          </c:extLst>
        </c:ser>
        <c:dLbls>
          <c:showLegendKey val="0"/>
          <c:showVal val="0"/>
          <c:showCatName val="0"/>
          <c:showSerName val="0"/>
          <c:showPercent val="0"/>
          <c:showBubbleSize val="0"/>
        </c:dLbls>
        <c:gapWidth val="219"/>
        <c:overlap val="-27"/>
        <c:axId val="708816104"/>
        <c:axId val="708818728"/>
      </c:barChart>
      <c:catAx>
        <c:axId val="7088161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Hospital Setting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8818728"/>
        <c:crosses val="autoZero"/>
        <c:auto val="1"/>
        <c:lblAlgn val="ctr"/>
        <c:lblOffset val="100"/>
        <c:noMultiLvlLbl val="0"/>
      </c:catAx>
      <c:valAx>
        <c:axId val="7088187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8816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Type!$B$16</c:f>
              <c:strCache>
                <c:ptCount val="1"/>
                <c:pt idx="0">
                  <c:v>Count</c:v>
                </c:pt>
              </c:strCache>
            </c:strRef>
          </c:tx>
          <c:spPr>
            <a:solidFill>
              <a:schemeClr val="accent1"/>
            </a:solidFill>
            <a:ln>
              <a:noFill/>
            </a:ln>
            <a:effectLst/>
          </c:spPr>
          <c:invertIfNegative val="0"/>
          <c:cat>
            <c:strRef>
              <c:f>Type!$A$17:$A$19</c:f>
              <c:strCache>
                <c:ptCount val="3"/>
                <c:pt idx="0">
                  <c:v>Type 1</c:v>
                </c:pt>
                <c:pt idx="1">
                  <c:v>Type II</c:v>
                </c:pt>
                <c:pt idx="2">
                  <c:v>Type IIIa</c:v>
                </c:pt>
              </c:strCache>
            </c:strRef>
          </c:cat>
          <c:val>
            <c:numRef>
              <c:f>Type!$B$17:$B$19</c:f>
              <c:numCache>
                <c:formatCode>General</c:formatCode>
                <c:ptCount val="3"/>
                <c:pt idx="0">
                  <c:v>39</c:v>
                </c:pt>
                <c:pt idx="1">
                  <c:v>78</c:v>
                </c:pt>
                <c:pt idx="2">
                  <c:v>43</c:v>
                </c:pt>
              </c:numCache>
            </c:numRef>
          </c:val>
          <c:extLst>
            <c:ext xmlns:c16="http://schemas.microsoft.com/office/drawing/2014/chart" uri="{C3380CC4-5D6E-409C-BE32-E72D297353CC}">
              <c16:uniqueId val="{00000000-0B57-4E07-9063-E5CE370A30DA}"/>
            </c:ext>
          </c:extLst>
        </c:ser>
        <c:dLbls>
          <c:showLegendKey val="0"/>
          <c:showVal val="0"/>
          <c:showCatName val="0"/>
          <c:showSerName val="0"/>
          <c:showPercent val="0"/>
          <c:showBubbleSize val="0"/>
        </c:dLbls>
        <c:gapWidth val="219"/>
        <c:overlap val="-27"/>
        <c:axId val="502602768"/>
        <c:axId val="502604408"/>
      </c:barChart>
      <c:catAx>
        <c:axId val="5026027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SMA</a:t>
                </a:r>
                <a:r>
                  <a:rPr lang="en-AU" baseline="0"/>
                  <a:t> type</a:t>
                </a:r>
                <a:endParaRPr lang="en-AU"/>
              </a:p>
            </c:rich>
          </c:tx>
          <c:layout>
            <c:manualLayout>
              <c:xMode val="edge"/>
              <c:yMode val="edge"/>
              <c:x val="0.48932824803149605"/>
              <c:y val="0.8954516681824107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2604408"/>
        <c:crosses val="autoZero"/>
        <c:auto val="1"/>
        <c:lblAlgn val="ctr"/>
        <c:lblOffset val="100"/>
        <c:noMultiLvlLbl val="0"/>
      </c:catAx>
      <c:valAx>
        <c:axId val="5026044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patients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26027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AE07D-2E1F-46E0-97B8-DB2DC3787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8767</Words>
  <Characters>49973</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2021-06-24T00:30:00Z</dcterms:created>
  <dcterms:modified xsi:type="dcterms:W3CDTF">2021-06-24T02:06:00Z</dcterms:modified>
</cp:coreProperties>
</file>